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F08C" w14:textId="77777777" w:rsidR="00000000" w:rsidRDefault="00632532">
      <w:pPr>
        <w:divId w:val="80765304"/>
        <w:rPr>
          <w:rFonts w:eastAsia="Times New Roman"/>
          <w:vanish/>
        </w:rPr>
      </w:pPr>
      <w:r>
        <w:rPr>
          <w:rFonts w:eastAsia="Times New Roman"/>
          <w:vanish/>
        </w:rPr>
        <w:t>http://fasb.org/us-gaap/2022#AccruedLiabilitiesCurrent--12-31http://fasb.org/us-gaap/2022#OtherLiabilitiesNoncurrenthttp://fasb.org/us-gaap/2022#OtherLiabilitiesNoncurrentfalse</w:t>
      </w:r>
      <w:r>
        <w:rPr>
          <w:rFonts w:eastAsia="Times New Roman"/>
          <w:vanish/>
        </w:rPr>
        <w:t>http://fasb.org/us-gaap/2022#OtherLiabilitiesNoncurrenthttp://fasb.org/us-gaap/2022#AccruedLiabilitiesCurrenthttp://fasb.org/us-gaap/2022#OtherAssetsNoncurrenthttp://fasb.org/us-gaap/2022#AccruedLiabilitiesCurrentJuly 31, 2027http://fasb.org/us-gaap/2022#A</w:t>
      </w:r>
      <w:r>
        <w:rPr>
          <w:rFonts w:eastAsia="Times New Roman"/>
          <w:vanish/>
        </w:rPr>
        <w:t>ccruedLiabilitiesCurrent0001674930http://fasb.org/us-gaap/2022#OtherAssetsNoncurrenthttp://fasb.org/us-gaap/2022#OtherAssetsNoncurrenthttp://fasb.org/us-gaap/2022#OtherAssetsNoncurrentQ2http://fasb.org/us-gaap/2022#OtherLiabilitiesNoncurrent0001674930srt:M</w:t>
      </w:r>
      <w:r>
        <w:rPr>
          <w:rFonts w:eastAsia="Times New Roman"/>
          <w:vanish/>
        </w:rPr>
        <w:t>inimumMemberus-gaap:CustomerConcentrationRiskMemberus-gaap:AccountsReceivableMember2022-01-012022-06-300001674930flgt:ShortTermMarketableSecuritesMemberus-gaap:AgencySecuritiesMember2022-06-300001674930us-gaap:AccountingStandardsUpdate201409Member2021-01-0</w:t>
      </w:r>
      <w:r>
        <w:rPr>
          <w:rFonts w:eastAsia="Times New Roman"/>
          <w:vanish/>
        </w:rPr>
        <w:t>12021-06-300001674930country:US2021-01-012021-06-300001674930country:US2022-01-012022-06-300001674930us-gaap:CustomerRelationshipsMember2021-12-310001674930us-gaap:MunicipalBondsMemberus-gaap:FairValueMeasurementsRecurringMember2021-12-310001674930us-gaap:</w:t>
      </w:r>
      <w:r>
        <w:rPr>
          <w:rFonts w:eastAsia="Times New Roman"/>
          <w:vanish/>
        </w:rPr>
        <w:t>ParentMember2021-12-310001674930us-gaap:USGovernmentDebtSecuritiesMemberflgt:DebtSecuritiesDueAfterOneYearThroughFiveYearsMember2021-12-310001674930us-gaap:CustomerRelationshipsMember2022-06-300001674930us-gaap:USGovernmentDebtSecuritiesMemberus-gaap:FairV</w:t>
      </w:r>
      <w:r>
        <w:rPr>
          <w:rFonts w:eastAsia="Times New Roman"/>
          <w:vanish/>
        </w:rPr>
        <w:t>alueInputsLevel2Memberus-gaap:FairValueMeasurementsRecurringMember2022-06-300001674930flgt:ShortTermMarketableSecuritesMember2022-06-300001674930us-gaap:AccumulatedOtherComprehensiveIncomeMember2022-03-310001674930flgt:ShortTermMarketableSecuritesMemberus-</w:t>
      </w:r>
      <w:r>
        <w:rPr>
          <w:rFonts w:eastAsia="Times New Roman"/>
          <w:vanish/>
        </w:rPr>
        <w:t>gaap:CorporateDebtSecuritiesMember2022-06-300001674930us-gaap:USGovernmentDebtSecuritiesMemberus-gaap:FairValueMeasurementsRecurringMember2021-12-310001674930flgt:AssetsNotYetPlacedInServiceMember2021-12-310001674930flgt:RoyaltyFreeTechnologyMember2022-01-</w:t>
      </w:r>
      <w:r>
        <w:rPr>
          <w:rFonts w:eastAsia="Times New Roman"/>
          <w:vanish/>
        </w:rPr>
        <w:t>012022-06-300001674930us-gaap:RetainedEarningsMember2022-06-300001674930flgt:YankeeDebtSecuritiesMemberus-gaap:FairValueMeasurementsRecurringMember2022-06-300001674930flgt:GeneticSequencingServiceMemberflgt:AHMCHealthcareIncMember2022-01-012022-06-30000167</w:t>
      </w:r>
      <w:r>
        <w:rPr>
          <w:rFonts w:eastAsia="Times New Roman"/>
          <w:vanish/>
        </w:rPr>
        <w:t>49302021-01-012021-03-310001674930flgt:ShortTermMarketableSecuritesMemberus-gaap:MoneyMarketFundsMember2022-06-300001674930us-gaap:FurnitureAndFixturesMember2022-06-300001674930flgt:AutomobileMember2022-06-300001674930us-gaap:TradeNamesMember2022-01-012022</w:t>
      </w:r>
      <w:r>
        <w:rPr>
          <w:rFonts w:eastAsia="Times New Roman"/>
          <w:vanish/>
        </w:rPr>
        <w:t>-06-300001674930us-gaap:NonUsMember2022-01-012022-06-300001674930us-gaap:FairValueInputsLevel1Memberus-gaap:BondsMemberus-gaap:FairValueMeasurementsRecurringMember2021-12-310001674930srt:MinimumMemberus-gaap:FurnitureAndFixturesMember2022-01-012022-06-3000</w:t>
      </w:r>
      <w:r>
        <w:rPr>
          <w:rFonts w:eastAsia="Times New Roman"/>
          <w:vanish/>
        </w:rPr>
        <w:t>01674930flgt:DebtSecuritiesDueAfterFiveYearsThroughTenYearsMember2021-12-310001674930us-gaap:FairValueInputsLevel1Memberus-gaap:FairValueMeasurementsRecurringMember2021-12-310001674930us-gaap:FairValueInputsLevel3Memberus-gaap:PrivateEquityFundsMemberus-ga</w:t>
      </w:r>
      <w:r>
        <w:rPr>
          <w:rFonts w:eastAsia="Times New Roman"/>
          <w:vanish/>
        </w:rPr>
        <w:t>ap:FairValueMeasurementsRecurringMember2022-06-300001674930flgt:InformDiagnosticsMember2022-04-162022-04-160001674930flgt:RoyaltyFreeTechnologyMember2021-12-310001674930us-gaap:CommonStockMember2022-01-012022-03-310001674930flgt:ClinicalInsuranceContractsM</w:t>
      </w:r>
      <w:r>
        <w:rPr>
          <w:rFonts w:eastAsia="Times New Roman"/>
          <w:vanish/>
        </w:rPr>
        <w:t>emberflgt:HealthResourcesAndServicesAdministrationCovidNineteenUninsuredProgramMember2022-04-012022-06-300001674930flgt:ClinicalPatientContractsMemberus-gaap:AccountingStandardsUpdate201409Member2022-04-012022-06-300001674930us-gaap:CustomerRelationshipsMe</w:t>
      </w:r>
      <w:r>
        <w:rPr>
          <w:rFonts w:eastAsia="Times New Roman"/>
          <w:vanish/>
        </w:rPr>
        <w:t>mberflgt:InformDiagnosticsMember2022-04-262022-04-260001674930flgt:ResearchDevelopmentServiceMemberflgt:FulgentPharmaLimitedLiabilityCompanyMember2022-04-012022-06-300001674930flgt:ClinicalPatientContractsMemberus-gaap:AccountingStandardsUpdate201409Member</w:t>
      </w:r>
      <w:r>
        <w:rPr>
          <w:rFonts w:eastAsia="Times New Roman"/>
          <w:vanish/>
        </w:rPr>
        <w:t>2022-01-012022-06-300001674930flgt:USAgencyDebtSecuritiesMemberus-gaap:FairValueMeasurementsRecurringMember2022-06-300001674930flgt:RoyaltyFreeTechnologyMember2022-06-300001674930flgt:ANPTechnologiesIncMember2021-04-012021-06-300001674930us-gaap:Accumulate</w:t>
      </w:r>
      <w:r>
        <w:rPr>
          <w:rFonts w:eastAsia="Times New Roman"/>
          <w:vanish/>
        </w:rPr>
        <w:t>dOtherComprehensiveIncomeMember2022-04-012022-06-300001674930us-gaap:RetainedEarningsMember2021-04-012021-06-300001674930flgt:InformDiagnosticsMember2022-04-012022-06-300001674930us-gaap:AdditionalPaidInCapitalMember2021-04-012021-06-300001674930us-gaap:Ac</w:t>
      </w:r>
      <w:r>
        <w:rPr>
          <w:rFonts w:eastAsia="Times New Roman"/>
          <w:vanish/>
        </w:rPr>
        <w:t>cumulatedOtherComprehensiveIncomeMember2021-01-012021-03-310001674930us-gaap:AccumulatedOtherComprehensiveIncomeMember2020-12-310001674930us-gaap:NoncontrollingInterestMember2021-04-012021-06-300001674930us-gaap:FairValueInputsLevel3Memberus-gaap:FairValue</w:t>
      </w:r>
      <w:r>
        <w:rPr>
          <w:rFonts w:eastAsia="Times New Roman"/>
          <w:vanish/>
        </w:rPr>
        <w:t>MeasurementsRecurringMember2022-06-300001674930flgt:ReagentsAndOtherSuppliesMember2022-06-300001674930us-gaap:RedeemablePreferredStockMemberus-gaap:FairValueMeasurementsRecurringMember2022-06-300001674930us-gaap:SalesRevenueNetMemberflgt:CustomerOneMemberu</w:t>
      </w:r>
      <w:r>
        <w:rPr>
          <w:rFonts w:eastAsia="Times New Roman"/>
          <w:vanish/>
        </w:rPr>
        <w:t>s-gaap:CustomerConcentrationRiskMember2022-01-012022-06-300001674930flgt:InstallmentSaleContractMember2022-01-012022-06-300001674930us-gaap:FairValueMeasurementsRecurringMember2021-12-310001674930flgt:DebtSecuritiesDueAfterFiveYearsThroughTenYearsMemberflg</w:t>
      </w:r>
      <w:r>
        <w:rPr>
          <w:rFonts w:eastAsia="Times New Roman"/>
          <w:vanish/>
        </w:rPr>
        <w:t>t:RedeemablePreferredStockInvestmentMember2022-06-300001674930us-gaap:FairValueInputsLevel2Memberus-gaap:FairValueMeasurementsRecurringMember2022-06-300001674930us-gaap:ParentMember2021-03-310001674930us-gaap:FairValueInputsLevel3Memberus-gaap:FairValueMea</w:t>
      </w:r>
      <w:r>
        <w:rPr>
          <w:rFonts w:eastAsia="Times New Roman"/>
          <w:vanish/>
        </w:rPr>
        <w:t>surementsRecurringMember2021-12-310001674930flgt:LaboratoryInformationSystemPlatformMember2022-06-300001674930us-gaap:ComputerEquipmentMember2022-06-3000016749302022-06-300001674930flgt:ShortTermMarketableSecuritesMemberflgt:YankeeDebtSecuritiesMember2021-</w:t>
      </w:r>
      <w:r>
        <w:rPr>
          <w:rFonts w:eastAsia="Times New Roman"/>
          <w:vanish/>
        </w:rPr>
        <w:t>12-310001674930flgt:GeneticSequencingServiceMemberflgt:AHMCHealthcareIncMember2021-04-012021-06-300001674930srt:MaximumMemberus-gaap:SoftwareDevelopmentMember2022-01-012022-06-300001674930flgt:GeneralEquipmentMembersrt:MinimumMember2022-01-012022-06-300001</w:t>
      </w:r>
      <w:r>
        <w:rPr>
          <w:rFonts w:eastAsia="Times New Roman"/>
          <w:vanish/>
        </w:rPr>
        <w:t>674930flgt:GeneticSequencingServiceMemberflgt:AHMCHealthcareIncMember2022-06-300001674930us-gaap:NoncontrollingInterestMember2022-04-012022-06-3000016749302021-06-300001674930flgt:InformDiagnosticsMemberflgt:InPlaceLeaseIntangibleAssetsMember2022-04-260001</w:t>
      </w:r>
      <w:r>
        <w:rPr>
          <w:rFonts w:eastAsia="Times New Roman"/>
          <w:vanish/>
        </w:rPr>
        <w:t>6749302021-01-012021-12-310001674930us-gaap:EmployeeStockOptionMember2021-01-012021-06-300001674930flgt:LaboratoryInformationSystemPlatformMember2022-01-012022-06-3000016749302021-12-310001674930flgt:InstitutionalCustomerMember2022-06-300001674930us-gaap:D</w:t>
      </w:r>
      <w:r>
        <w:rPr>
          <w:rFonts w:eastAsia="Times New Roman"/>
          <w:vanish/>
        </w:rPr>
        <w:t>ebtSecuritiesMember2021-12-310001674930us-gaap:FairValueInputsLevel2Memberus-gaap:FairValueMeasurementsRecurringMemberflgt:USAgencyDebtSecuritiesMember2021-12-310001674930us-gaap:FairValueInputsLevel2Memberus-gaap:FairValueMeasurementsRecurringMember2021-1</w:t>
      </w:r>
      <w:r>
        <w:rPr>
          <w:rFonts w:eastAsia="Times New Roman"/>
          <w:vanish/>
        </w:rPr>
        <w:t>2-310001674930flgt:DebtSecuritiesDueAfterOneYearThroughFiveYearsMember2022-06-300001674930flgt:MedicalLabEquipmentMember2022-06-300001674930flgt:PTJAssociatesIncMember2021-04-012021-06-300001674930flgt:ClinicalInsuranceContractsMemberus-gaap:AccountingStan</w:t>
      </w:r>
      <w:r>
        <w:rPr>
          <w:rFonts w:eastAsia="Times New Roman"/>
          <w:vanish/>
        </w:rPr>
        <w:t>dardsUpdate201409Member2021-01-012021-06-300001674930flgt:ShortTermEquitySecuritiesMember2021-12-310001674930flgt:DebtSecuritiesDueAfterFiveYearsThroughTenYearsMemberus-gaap:MunicipalBondsMember2021-12-310001674930flgt:PurchasedPatentMember2022-06-30000167</w:t>
      </w:r>
      <w:r>
        <w:rPr>
          <w:rFonts w:eastAsia="Times New Roman"/>
          <w:vanish/>
        </w:rPr>
        <w:t>4930us-gaap:RestrictedStockUnitsRSUMember2022-01-012022-06-300001674930us-gaap:BuildingMember2022-01-012022-06-300001674930us-gaap:NoncontrollingInterestMember2022-03-310001674930flgt:PTJAssociatesIncMember2022-04-012022-06-300001674930us-gaap:FairValueInp</w:t>
      </w:r>
      <w:r>
        <w:rPr>
          <w:rFonts w:eastAsia="Times New Roman"/>
          <w:vanish/>
        </w:rPr>
        <w:t>utsLevel2Memberus-gaap:MunicipalBondsMemberus-gaap:FairValueMeasurementsRecurringMember2022-06-300001674930us-gaap:ExchangeTradedFundsMemberus-gaap:FairValueMeasurementsRecurringMember2021-12-310001674930us-gaap:AdditionalPaidInCapitalMember2021-06-3000016</w:t>
      </w:r>
      <w:r>
        <w:rPr>
          <w:rFonts w:eastAsia="Times New Roman"/>
          <w:vanish/>
        </w:rPr>
        <w:t>74930us-gaap:AdditionalPaidInCapitalMember2022-06-300001674930us-gaap:MoneyMarketFundsMemberflgt:ShortTermEquitySecuritiesMember2021-12-310001674930us-gaap:MunicipalBondsMemberus-gaap:FairValueMeasurementsRecurringMember2022-06-300001674930srt:MaximumMembe</w:t>
      </w:r>
      <w:r>
        <w:rPr>
          <w:rFonts w:eastAsia="Times New Roman"/>
          <w:vanish/>
        </w:rPr>
        <w:t>rflgt:AutomobileMember2022-01-012022-06-300001674930flgt:YankeeDebtSecuritiesMemberus-gaap:FairValueMeasurementsRecurringMember2021-12-310001674930us-gaap:BuildingImprovementsMember2022-06-300001674930us-gaap:GeneralAndAdministrativeExpenseMember2022-01-01</w:t>
      </w:r>
      <w:r>
        <w:rPr>
          <w:rFonts w:eastAsia="Times New Roman"/>
          <w:vanish/>
        </w:rPr>
        <w:t>2022-06-300001674930flgt:FulgentPharmaLimitedLiabilityCompanyMember2021-04-012021-06-300001674930flgt:LongTermEquitySecuritiesMember2022-06-300001674930us-gaap:FairValueInputsLevel2Memberus-gaap:CorporateDebtSecuritiesMemberus-gaap:FairValueMeasurementsRec</w:t>
      </w:r>
      <w:r>
        <w:rPr>
          <w:rFonts w:eastAsia="Times New Roman"/>
          <w:vanish/>
        </w:rPr>
        <w:t>urringMember2022-06-300001674930srt:MaximumMemberus-gaap:BuildingMember2022-01-012022-06-300001674930us-gaap:RestrictedStockUnitsRSUMember2021-01-012021-06-300001674930us-gaap:CorporateDebtSecuritiesMemberus-gaap:FairValueMeasurementsRecurringMember2021-12</w:t>
      </w:r>
      <w:r>
        <w:rPr>
          <w:rFonts w:eastAsia="Times New Roman"/>
          <w:vanish/>
        </w:rPr>
        <w:t>-310001674930us-gaap:AccountingStandardsUpdate201409Member2022-01-012022-06-300001674930us-gaap:ResearchAndDevelopmentExpenseMember2021-01-012021-06-3000016749302021-03-310001674930country:US2022-04-012022-06-300001674930us-gaap:ParentMember2022-04-012022-</w:t>
      </w:r>
      <w:r>
        <w:rPr>
          <w:rFonts w:eastAsia="Times New Roman"/>
          <w:vanish/>
        </w:rPr>
        <w:t>06-300001674930us-gaap:ComputerEquipmentMember2021-12-310001674930flgt:DebtSecuritiesDueAfterFiveYearsThroughTenYearsMemberflgt:RedeemablePreferredStockInvestmentMember2021-12-310001674930srt:MinimumMemberus-gaap:CustomerConcentrationRiskMemberus-gaap:Acco</w:t>
      </w:r>
      <w:r>
        <w:rPr>
          <w:rFonts w:eastAsia="Times New Roman"/>
          <w:vanish/>
        </w:rPr>
        <w:t>untsReceivableMember2021-01-012021-12-310001674930us-gaap:ParentMembersrt:CumulativeEffectPeriodOfAdoptionAdjustmentMember2020-12-310001674930flgt:InformDiagnosticsMemberus-gaap:TradeNamesMember2022-04-262022-04-260001674930us-gaap:AdditionalPaidInCapitalM</w:t>
      </w:r>
      <w:r>
        <w:rPr>
          <w:rFonts w:eastAsia="Times New Roman"/>
          <w:vanish/>
        </w:rPr>
        <w:t>ember2020-12-310001674930us-gaap:SellingAndMarketingExpenseMember2021-01-012021-06-300001674930flgt:ClinicalInstitutionalCustomersContractsMemberus-gaap:AccountingStandardsUpdate201409Member2021-01-012021-06-300001674930flgt:PurchasedPatentMember2021-12-31</w:t>
      </w:r>
      <w:r>
        <w:rPr>
          <w:rFonts w:eastAsia="Times New Roman"/>
          <w:vanish/>
        </w:rPr>
        <w:t>0001674930us-gaap:AccountingStandardsUpdate201409Member2022-04-012022-06-300001674930flgt:XilongScientificMemberflgt:FFGeneBiotechMember2022-06-300001674930us-gaap:SalesRevenueNetMemberus-gaap:CustomerConcentrationRiskMember2021-01-012021-06-300001674930us</w:t>
      </w:r>
      <w:r>
        <w:rPr>
          <w:rFonts w:eastAsia="Times New Roman"/>
          <w:vanish/>
        </w:rPr>
        <w:t>-gaap:NonUsMember2021-01-012021-06-300001674930flgt:GeneticSequencingServiceMemberflgt:AHMCHealthcareIncMember2021-01-012021-06-300001674930us-gaap:BondsMemberus-gaap:FairValueMeasurementsRecurringMember2021-12-310001674930us-gaap:USGovernmentDebtSecuritie</w:t>
      </w:r>
      <w:r>
        <w:rPr>
          <w:rFonts w:eastAsia="Times New Roman"/>
          <w:vanish/>
        </w:rPr>
        <w:t>sMemberflgt:DebtSecuritiesDueAfterOneYearThroughFiveYearsMember2022-06-300001674930us-gaap:PrivateEquityFundsMemberus-gaap:FairValueMeasurementsRecurringMember2022-06-300001674930flgt:AnpTechnologiesIncorporationMembersrt:DirectorMember2022-06-300001674930</w:t>
      </w:r>
      <w:r>
        <w:rPr>
          <w:rFonts w:eastAsia="Times New Roman"/>
          <w:vanish/>
        </w:rPr>
        <w:t>flgt:AircraftMember2022-01-012022-06-300001674930flgt:AutomobileMember2021-12-310001674930us-gaap:AdditionalPaidInCapitalMember2021-03-310001674930flgt:PurchasedPatentMember2022-01-012022-06-300001674930us-gaap:FairValueInputsLevel3Memberus-gaap:Redeemable</w:t>
      </w:r>
      <w:r>
        <w:rPr>
          <w:rFonts w:eastAsia="Times New Roman"/>
          <w:vanish/>
        </w:rPr>
        <w:t>PreferredStockMemberus-gaap:FairValueMeasurementsRecurringMember2022-06-300001674930us-gaap:GeneralAndAdministrativeExpenseMember2022-04-012022-06-3000016749302022-03-310001674930us-gaap:CostOfSalesMember2022-04-012022-06-300001674930flgt:ShortTermMarketab</w:t>
      </w:r>
      <w:r>
        <w:rPr>
          <w:rFonts w:eastAsia="Times New Roman"/>
          <w:vanish/>
        </w:rPr>
        <w:t>leSecuritesMemberus-gaap:USTreasuryBillSecuritiesMember2022-06-300001674930us-gaap:CommonStockMember2021-03-310001674930flgt:ResearchDevelopmentServiceMemberflgt:FulgentPharmaLimitedLiabilityCompanyMember2022-01-012022-06-300001674930flgt:ClinicalInsurance</w:t>
      </w:r>
      <w:r>
        <w:rPr>
          <w:rFonts w:eastAsia="Times New Roman"/>
          <w:vanish/>
        </w:rPr>
        <w:t>ContractsMemberflgt:HealthResourcesAndServicesAdministrationCovidNineteenUninsuredProgramMember2022-01-012022-06-300001674930flgt:ClinicalInsuranceContractsMemberflgt:HealthResourcesAndServicesAdministrationCovidNineteenUninsuredProgramMember2021-04-012021</w:t>
      </w:r>
      <w:r>
        <w:rPr>
          <w:rFonts w:eastAsia="Times New Roman"/>
          <w:vanish/>
        </w:rPr>
        <w:t>-06-300001674930flgt:DebtSecuritiesDueAfterOneYearThroughFiveYearsMemberus-gaap:AgencySecuritiesMember2022-06-300001674930flgt:InformDiagnosticsMember2022-01-012022-06-300001674930flgt:CustomerOneMemberus-gaap:SalesRevenueNetMemberus-gaap:CustomerConcentra</w:t>
      </w:r>
      <w:r>
        <w:rPr>
          <w:rFonts w:eastAsia="Times New Roman"/>
          <w:vanish/>
        </w:rPr>
        <w:t>tionRiskMember2022-04-012022-06-300001674930flgt:DebtSecuritiesDueAfterOneYearThroughFiveYearsMemberus-gaap:CorporateDebtSecuritiesMember2022-06-300001674930us-gaap:FairValueInputsLevel1Memberus-gaap:FairValueMeasurementsRecurringMember2022-06-300001674930</w:t>
      </w:r>
      <w:r>
        <w:rPr>
          <w:rFonts w:eastAsia="Times New Roman"/>
          <w:vanish/>
        </w:rPr>
        <w:t>us-gaap:FairValueInputsLevel3Memberus-gaap:RedeemablePreferredStockMember2022-06-300001674930us-gaap:NoncontrollingInterestMember2021-06-300001674930flgt:FulgentPharmaLimitedLiabilityCompanyMember2022-04-012022-06-300001674930flgt:InformDiagnosticsMember20</w:t>
      </w:r>
      <w:r>
        <w:rPr>
          <w:rFonts w:eastAsia="Times New Roman"/>
          <w:vanish/>
        </w:rPr>
        <w:t>22-06-300001674930us-gaap:LandMember2022-06-300001674930us-gaap:ParentMember2021-01-012021-03-310001674930flgt:InPlaceLeaseIntangibleAssetsMember2022-06-300001674930us-gaap:AdditionalPaidInCapitalMember2021-01-012021-03-310001674930flgt:ShortTermMarketable</w:t>
      </w:r>
      <w:r>
        <w:rPr>
          <w:rFonts w:eastAsia="Times New Roman"/>
          <w:vanish/>
        </w:rPr>
        <w:t>SecuritesMemberus-gaap:MunicipalBondsMember2021-12-310001674930flgt:AircraftMember2022-06-300001674930flgt:CustomerOneMemberus-gaap:SalesRevenueNetMemberus-gaap:CustomerConcentrationRiskMember2021-04-012021-06-3000016749302022-01-012022-06-300001674930flgt</w:t>
      </w:r>
      <w:r>
        <w:rPr>
          <w:rFonts w:eastAsia="Times New Roman"/>
          <w:vanish/>
        </w:rPr>
        <w:t>:ClinicalInsuranceContractsMemberflgt:HealthResourcesAndServicesAdministrationCovidNineteenUninsuredProgramMember2021-01-012021-06-300001674930us-gaap:CommonStockMember2022-03-310001674930us-gaap:AdditionalPaidInCapitalMember2022-04-012022-06-300001674930f</w:t>
      </w:r>
      <w:r>
        <w:rPr>
          <w:rFonts w:eastAsia="Times New Roman"/>
          <w:vanish/>
        </w:rPr>
        <w:t>lgt:DebtSecuritiesDueAfterFiveYearsThroughTenYearsMember2022-06-300001674930us-gaap:RestrictedStockUnitsRSUMember2021-04-012021-06-300001674930us-gaap:CommonStockMember2022-06-300001674930us-gaap:MunicipalBondsMemberflgt:DebtSecuritiesDueAfterOneYearThroug</w:t>
      </w:r>
      <w:r>
        <w:rPr>
          <w:rFonts w:eastAsia="Times New Roman"/>
          <w:vanish/>
        </w:rPr>
        <w:t>hFiveYearsMember2022-06-300001674930flgt:InstitutionalCustomerMember2021-12-310001674930us-gaap:ParentMember2020-12-310001674930flgt:AircraftMember2021-12-3100016749302020-12-310001674930us-gaap:TradeNamesMember2022-06-300001674930us-gaap:LeaseholdImprovem</w:t>
      </w:r>
      <w:r>
        <w:rPr>
          <w:rFonts w:eastAsia="Times New Roman"/>
          <w:vanish/>
        </w:rPr>
        <w:t>entsMember2022-01-012022-06-300001674930us-gaap:RetainedEarningsMember2022-03-310001674930flgt:USAgencyDebtSecuritiesMemberus-gaap:FairValueMeasurementsRecurringMember2021-12-310001674930flgt:XilongScientificMemberflgt:FFGeneBiotechMember2021-06-3000016749</w:t>
      </w:r>
      <w:r>
        <w:rPr>
          <w:rFonts w:eastAsia="Times New Roman"/>
          <w:vanish/>
        </w:rPr>
        <w:t>30us-gaap:SoftwareDevelopmentMember2022-06-300001674930srt:MinimumMemberus-gaap:SoftwareDevelopmentMember2022-01-012022-06-300001674930flgt:FulgentPharmaLimitedLiabilityCompanyMember2021-12-310001674930us-gaap:ParentMember2021-06-300001674930flgt:Installme</w:t>
      </w:r>
      <w:r>
        <w:rPr>
          <w:rFonts w:eastAsia="Times New Roman"/>
          <w:vanish/>
        </w:rPr>
        <w:t>ntSaleContractMember2022-06-300001674930us-gaap:USTreasuryBillSecuritiesMemberus-gaap:FairValueInputsLevel1Memberus-gaap:FairValueMeasurementsRecurringMember2022-06-300001674930flgt:InformDiagnosticsMember2021-01-012021-06-300001674930flgt:NovemberTwoThous</w:t>
      </w:r>
      <w:r>
        <w:rPr>
          <w:rFonts w:eastAsia="Times New Roman"/>
          <w:vanish/>
        </w:rPr>
        <w:t>andTwentyEquityDistributionAgreementMember2021-03-310001674930flgt:ClinicalPatientContractsMemberus-gaap:AccountingStandardsUpdate201409Member2021-04-012021-06-300001674930flgt:ShortTermMarketableSecuritesMember2021-12-310001674930srt:MaximumMember2022-01-</w:t>
      </w:r>
      <w:r>
        <w:rPr>
          <w:rFonts w:eastAsia="Times New Roman"/>
          <w:vanish/>
        </w:rPr>
        <w:t>012022-06-300001674930flgt:CustomerTwoMemberus-gaap:SalesRevenueNetMemberus-gaap:CustomerConcentrationRiskMember2021-04-012021-06-300001674930flgt:ShortTermMarketableSecuritesMemberus-gaap:MunicipalBondsMember2022-06-300001674930us-gaap:AccumulatedOtherCom</w:t>
      </w:r>
      <w:r>
        <w:rPr>
          <w:rFonts w:eastAsia="Times New Roman"/>
          <w:vanish/>
        </w:rPr>
        <w:t>prehensiveIncomeMember2021-04-012021-06-300001674930flgt:XilongScientificMemberflgt:FFGeneBiotechMember2021-01-012021-06-300001674930us-gaap:CustomerRelationshipsMemberflgt:InformDiagnosticsMember2022-04-260001674930us-gaap:ParentMember2021-04-012021-06-30</w:t>
      </w:r>
      <w:r>
        <w:rPr>
          <w:rFonts w:eastAsia="Times New Roman"/>
          <w:vanish/>
        </w:rPr>
        <w:t>0001674930flgt:DebtSecuritiesDueAfterOneYearThroughFiveYearsMemberus-gaap:AgencySecuritiesMember2021-12-310001674930us-gaap:NoncontrollingInterestMember2021-12-310001674930us-gaap:LeaseholdImprovementsMember2022-06-300001674930us-gaap:CorporateDebtSecuriti</w:t>
      </w:r>
      <w:r>
        <w:rPr>
          <w:rFonts w:eastAsia="Times New Roman"/>
          <w:vanish/>
        </w:rPr>
        <w:t>esMemberus-gaap:FairValueMeasurementsRecurringMember2022-06-300001674930flgt:InformDiagnosticsMember2022-04-260001674930flgt:PTJAssociatesIncMember2021-12-310001674930flgt:XilongScientificMemberflgt:FFGeneBiotechMember2021-04-012021-06-300001674930flgt:ANP</w:t>
      </w:r>
      <w:r>
        <w:rPr>
          <w:rFonts w:eastAsia="Times New Roman"/>
          <w:vanish/>
        </w:rPr>
        <w:t>TechnologiesIncMember2022-01-012022-06-300001674930us-gaap:ExchangeTradedFundsMemberflgt:ShortTermEquitySecuritiesMember2021-12-310001674930flgt:SoftwareMember2022-06-300001674930us-gaap:CommonStockMember2022-04-012022-06-300001674930flgt:MedicalLabEquipme</w:t>
      </w:r>
      <w:r>
        <w:rPr>
          <w:rFonts w:eastAsia="Times New Roman"/>
          <w:vanish/>
        </w:rPr>
        <w:t>ntMember2022-06-300001674930us-gaap:SellingGeneralAndAdministrativeExpensesMemberflgt:InformDiagnosticsMember2022-04-012022-06-300001674930flgt:ClinicalInsuranceContractsMemberus-gaap:AccountingStandardsUpdate201409Member2022-04-012022-06-300001674930us-ga</w:t>
      </w:r>
      <w:r>
        <w:rPr>
          <w:rFonts w:eastAsia="Times New Roman"/>
          <w:vanish/>
        </w:rPr>
        <w:t>ap:AdditionalPaidInCapitalMember2021-12-310001674930flgt:ShortTermEquitySecuritiesMemberus-gaap:BondsMember2021-12-310001674930us-gaap:GeneralAndAdministrativeExpenseMember2021-04-012021-06-300001674930srt:MinimumMemberflgt:AutomobileMember2022-01-012022-0</w:t>
      </w:r>
      <w:r>
        <w:rPr>
          <w:rFonts w:eastAsia="Times New Roman"/>
          <w:vanish/>
        </w:rPr>
        <w:t>6-300001674930us-gaap:AccumulatedOtherComprehensiveIncomeMember2021-06-300001674930flgt:LongTermEquitySecuritiesMemberus-gaap:PrivateEquityFundsMember2022-06-300001674930flgt:ClinicalInsuranceContractsMemberus-gaap:AccountingStandardsUpdate201409Member2022</w:t>
      </w:r>
      <w:r>
        <w:rPr>
          <w:rFonts w:eastAsia="Times New Roman"/>
          <w:vanish/>
        </w:rPr>
        <w:t>-01-012022-06-300001674930us-gaap:FairValueMeasurementsRecurringMember2022-06-300001674930us-gaap:AccruedLiabilitiesMember2022-06-300001674930us-gaap:BuildingMembersrt:MinimumMember2022-01-012022-06-300001674930flgt:InstallmentSaleContractMember2021-12-310</w:t>
      </w:r>
      <w:r>
        <w:rPr>
          <w:rFonts w:eastAsia="Times New Roman"/>
          <w:vanish/>
        </w:rPr>
        <w:t>001674930us-gaap:NonUsMember2022-04-012022-06-300001674930flgt:MedicalLabEquipmentMember2021-12-310001674930us-gaap:FairValueInputsLevel1Memberus-gaap:MoneyMarketFundsMemberus-gaap:FairValueMeasurementsRecurringMember2022-06-300001674930flgt:GeneralEquipme</w:t>
      </w:r>
      <w:r>
        <w:rPr>
          <w:rFonts w:eastAsia="Times New Roman"/>
          <w:vanish/>
        </w:rPr>
        <w:t>ntMember2022-06-300001674930flgt:AssetsNotYetPlacedInServiceMember2022-06-300001674930us-gaap:FairValueInputsLevel2Memberus-gaap:CorporateDebtSecuritiesMemberus-gaap:FairValueMeasurementsRecurringMember2021-12-310001674930flgt:FulgentPharmaLimitedLiability</w:t>
      </w:r>
      <w:r>
        <w:rPr>
          <w:rFonts w:eastAsia="Times New Roman"/>
          <w:vanish/>
        </w:rPr>
        <w:t>CompanyMember2022-06-300001674930us-gaap:FairValueInputsLevel1Memberus-gaap:ExchangeTradedFundsMemberus-gaap:FairValueMeasurementsRecurringMember2021-12-310001674930flgt:DebtSecuritiesDueAfterFiveYearsThroughTenYearsMemberus-gaap:MunicipalBondsMember2022-0</w:t>
      </w:r>
      <w:r>
        <w:rPr>
          <w:rFonts w:eastAsia="Times New Roman"/>
          <w:vanish/>
        </w:rPr>
        <w:t>6-300001674930flgt:InformDiagnosticsMember2021-04-012021-06-300001674930flgt:InformDiagnosticsMember2022-04-262022-04-260001674930us-gaap:FairValueInputsLevel2Memberflgt:YankeeDebtSecuritiesMemberus-gaap:FairValueMeasurementsRecurringMember2021-12-31000167</w:t>
      </w:r>
      <w:r>
        <w:rPr>
          <w:rFonts w:eastAsia="Times New Roman"/>
          <w:vanish/>
        </w:rPr>
        <w:t>4930us-gaap:FairValueInputsLevel1Memberus-gaap:MoneyMarketFundsMemberus-gaap:FairValueMeasurementsRecurringMember2021-12-310001674930us-gaap:CommonStockMember2021-06-300001674930us-gaap:RetainedEarningsMember2021-03-310001674930us-gaap:AccumulatedOtherComp</w:t>
      </w:r>
      <w:r>
        <w:rPr>
          <w:rFonts w:eastAsia="Times New Roman"/>
          <w:vanish/>
        </w:rPr>
        <w:t>rehensiveIncomeMember2022-01-012022-03-310001674930flgt:CustomerTwoMemberus-gaap:SalesRevenueNetMemberus-gaap:CustomerConcentrationRiskMember2022-04-012022-06-300001674930flgt:PTJAssociatesIncMember2022-01-012022-06-300001674930flgt:InstallmentSaleContract</w:t>
      </w:r>
      <w:r>
        <w:rPr>
          <w:rFonts w:eastAsia="Times New Roman"/>
          <w:vanish/>
        </w:rPr>
        <w:t>Memberus-gaap:OtherNoncurrentLiabilitiesMember2022-06-300001674930flgt:DebtSecuritiesDueAfterOneYearThroughFiveYearsMember2021-12-310001674930us-gaap:LeaseholdImprovementsMember2021-12-310001674930us-gaap:ParentMember2022-06-300001674930us-gaap:MoneyMarket</w:t>
      </w:r>
      <w:r>
        <w:rPr>
          <w:rFonts w:eastAsia="Times New Roman"/>
          <w:vanish/>
        </w:rPr>
        <w:t>FundsMemberus-gaap:FairValueMeasurementsRecurringMember2022-06-300001674930us-gaap:SellingAndMarketingExpenseMember2021-04-012021-06-300001674930us-gaap:CommonStockMember2021-01-012021-03-310001674930us-gaap:SellingAndMarketingExpenseMember2022-01-012022-0</w:t>
      </w:r>
      <w:r>
        <w:rPr>
          <w:rFonts w:eastAsia="Times New Roman"/>
          <w:vanish/>
        </w:rPr>
        <w:t>6-300001674930flgt:FulgentPharmaLimitedLiabilityCompanyMember2021-01-012021-06-300001674930us-gaap:EmployeeStockOptionMember2022-04-012022-06-300001674930flgt:ClinicalInstitutionalCustomersContractsMemberus-gaap:AccountingStandardsUpdate201409Member2022-04</w:t>
      </w:r>
      <w:r>
        <w:rPr>
          <w:rFonts w:eastAsia="Times New Roman"/>
          <w:vanish/>
        </w:rPr>
        <w:t>-012022-06-300001674930flgt:PTJAssociatesIncMember2022-06-300001674930flgt:ResearchDevelopmentServiceMemberflgt:FulgentPharmaLimitedLiabilityCompanyMember2021-04-012021-06-300001674930flgt:ANPTechnologiesIncMember2022-04-012022-06-300001674930flgt:November</w:t>
      </w:r>
      <w:r>
        <w:rPr>
          <w:rFonts w:eastAsia="Times New Roman"/>
          <w:vanish/>
        </w:rPr>
        <w:t>TwoThousandTwentyEquityDistributionAgreementMember2021-06-300001674930srt:CumulativeEffectPeriodOfAdoptionAdjustmentMember2020-12-310001674930flgt:GeneticSequencingServiceMemberflgt:AHMCHealthcareIncMember2022-04-012022-06-300001674930flgt:ShortTermMarketa</w:t>
      </w:r>
      <w:r>
        <w:rPr>
          <w:rFonts w:eastAsia="Times New Roman"/>
          <w:vanish/>
        </w:rPr>
        <w:t>bleSecuritesMemberflgt:YankeeDebtSecuritiesMember2022-06-300001674930us-gaap:SalesRevenueNetMemberflgt:CustomerOneMemberus-gaap:CustomerConcentrationRiskMember2021-01-012021-06-300001674930us-gaap:USTreasuryBillSecuritiesMemberus-gaap:FairValueMeasurements</w:t>
      </w:r>
      <w:r>
        <w:rPr>
          <w:rFonts w:eastAsia="Times New Roman"/>
          <w:vanish/>
        </w:rPr>
        <w:t>RecurringMember2022-06-300001674930us-gaap:RetainedEarningsMember2021-06-300001674930us-gaap:RestrictedStockUnitsRSUMember2022-04-012022-06-300001674930us-gaap:USGovernmentDebtSecuritiesMemberus-gaap:FairValueInputsLevel2Memberus-gaap:FairValueMeasurements</w:t>
      </w:r>
      <w:r>
        <w:rPr>
          <w:rFonts w:eastAsia="Times New Roman"/>
          <w:vanish/>
        </w:rPr>
        <w:t>RecurringMember2021-12-310001674930us-gaap:CostOfSalesMember2021-04-012021-06-300001674930us-gaap:MunicipalBondsMemberflgt:DebtSecuritiesDueAfterOneYearThroughFiveYearsMember2021-12-310001674930us-gaap:EmployeeStockOptionMember2022-01-012022-06-30000167493</w:t>
      </w:r>
      <w:r>
        <w:rPr>
          <w:rFonts w:eastAsia="Times New Roman"/>
          <w:vanish/>
        </w:rPr>
        <w:t>0flgt:InPlaceLeaseIntangibleAssetsMember2022-01-012022-06-300001674930flgt:ClinicalPatientContractsMemberus-gaap:AccountingStandardsUpdate201409Member2021-01-012021-06-3000016749302022-08-010001674930flgt:ClinicalInsuranceContractsMemberus-gaap:AccountingS</w:t>
      </w:r>
      <w:r>
        <w:rPr>
          <w:rFonts w:eastAsia="Times New Roman"/>
          <w:vanish/>
        </w:rPr>
        <w:t>tandardsUpdate201409Member2021-04-012021-06-300001674930us-gaap:USGovernmentDebtSecuritiesMemberus-gaap:FairValueMeasurementsRecurringMember2022-06-300001674930us-gaap:CommonStockMember2021-12-310001674930us-gaap:ParentMember2022-01-012022-03-310001674930u</w:t>
      </w:r>
      <w:r>
        <w:rPr>
          <w:rFonts w:eastAsia="Times New Roman"/>
          <w:vanish/>
        </w:rPr>
        <w:t>s-gaap:CostOfSalesMember2022-01-012022-06-300001674930srt:MinimumMemberus-gaap:BuildingImprovementsMember2022-01-012022-06-300001674930us-gaap:GeneralAndAdministrativeExpenseMember2021-01-012021-06-300001674930flgt:ANPTechnologiesIncMember2021-01-012021-06</w:t>
      </w:r>
      <w:r>
        <w:rPr>
          <w:rFonts w:eastAsia="Times New Roman"/>
          <w:vanish/>
        </w:rPr>
        <w:t>-300001674930flgt:ShortTermMarketableSecuritesMemberus-gaap:CorporateDebtSecuritiesMember2021-12-310001674930us-gaap:ParentMemberflgt:NovemberTwoThousandTwentyEquityDistributionAgreementMember2021-01-012021-03-310001674930flgt:GeneticSequencingServiceMembe</w:t>
      </w:r>
      <w:r>
        <w:rPr>
          <w:rFonts w:eastAsia="Times New Roman"/>
          <w:vanish/>
        </w:rPr>
        <w:t>rflgt:AHMCHealthcareIncMember2021-12-310001674930us-gaap:NoncontrollingInterestMember2022-01-012022-03-3100016749302021-04-012021-06-300001674930us-gaap:RetainedEarningsMember2020-12-310001674930flgt:DebtSecuritiesDueAfterOneYearThroughFiveYearsMemberus-ga</w:t>
      </w:r>
      <w:r>
        <w:rPr>
          <w:rFonts w:eastAsia="Times New Roman"/>
          <w:vanish/>
        </w:rPr>
        <w:t>ap:CorporateDebtSecuritiesMember2021-12-310001674930us-gaap:AccumulatedOtherComprehensiveIncomeMember2022-06-300001674930country:US2021-04-012021-06-300001674930us-gaap:FairValueInputsLevel2Memberus-gaap:FairValueMeasurementsRecurringMemberflgt:USAgencyDeb</w:t>
      </w:r>
      <w:r>
        <w:rPr>
          <w:rFonts w:eastAsia="Times New Roman"/>
          <w:vanish/>
        </w:rPr>
        <w:t>tSecuritiesMember2022-06-300001674930srt:MaximumMemberus-gaap:LandImprovementsMember2022-01-012022-06-300001674930us-gaap:ResearchAndDevelopmentExpenseMember2022-04-012022-06-300001674930flgt:DebtSecuritiesDueAfterOneYearThroughFiveYearsMemberflgt:YankeeDe</w:t>
      </w:r>
      <w:r>
        <w:rPr>
          <w:rFonts w:eastAsia="Times New Roman"/>
          <w:vanish/>
        </w:rPr>
        <w:t>btSecuritiesMember2021-12-310001674930us-gaap:SalesRevenueNetMemberus-gaap:CustomerConcentrationRiskMember2022-01-012022-06-300001674930us-gaap:CommonStockMember2021-04-012021-06-300001674930us-gaap:RetainedEarningsMember2022-04-012022-06-300001674930us-ga</w:t>
      </w:r>
      <w:r>
        <w:rPr>
          <w:rFonts w:eastAsia="Times New Roman"/>
          <w:vanish/>
        </w:rPr>
        <w:t>ap:LandMember2021-12-310001674930us-gaap:LandImprovementsMember2022-06-3000016749302022-01-012022-03-310001674930srt:MaximumMemberflgt:InformDiagnosticsMember2022-01-012022-06-300001674930flgt:NovemberTwoThousandTwentyEquityDistributionAgreementMemberus-ga</w:t>
      </w:r>
      <w:r>
        <w:rPr>
          <w:rFonts w:eastAsia="Times New Roman"/>
          <w:vanish/>
        </w:rPr>
        <w:t>ap:CommonStockMember2021-01-012021-03-310001674930flgt:InsuranceCustomerMember2021-12-310001674930us-gaap:FurnitureAndFixturesMember2021-12-310001674930us-gaap:RetainedEarningsMember2022-01-012022-03-310001674930us-gaap:SellingAndMarketingExpenseMember2022</w:t>
      </w:r>
      <w:r>
        <w:rPr>
          <w:rFonts w:eastAsia="Times New Roman"/>
          <w:vanish/>
        </w:rPr>
        <w:t>-04-012022-06-300001674930us-gaap:AccumulatedOtherComprehensiveIncomeMember2021-03-310001674930us-gaap:RetainedEarningsMembersrt:CumulativeEffectPeriodOfAdoptionAdjustmentMember2020-12-310001674930us-gaap:FairValueInputsLevel2Memberflgt:YankeeDebtSecuritie</w:t>
      </w:r>
      <w:r>
        <w:rPr>
          <w:rFonts w:eastAsia="Times New Roman"/>
          <w:vanish/>
        </w:rPr>
        <w:t>sMemberus-gaap:FairValueMeasurementsRecurringMember2022-06-300001674930flgt:GeneralEquipmentMembersrt:MaximumMember2022-01-012022-06-3000016749302022-04-012022-06-300001674930us-gaap:AccountingStandardsUpdate201409Member2021-04-012021-06-300001674930us-gaa</w:t>
      </w:r>
      <w:r>
        <w:rPr>
          <w:rFonts w:eastAsia="Times New Roman"/>
          <w:vanish/>
        </w:rPr>
        <w:t>p:RetainedEarningsMember2021-01-012021-03-310001674930flgt:InsuranceCustomerMember2022-06-300001674930flgt:GeneralEquipmentMember2021-12-310001674930flgt:FulgentPharmaLimitedLiabilityCompanyMember2022-01-012022-06-300001674930us-gaap:SoftwareDevelopmentMem</w:t>
      </w:r>
      <w:r>
        <w:rPr>
          <w:rFonts w:eastAsia="Times New Roman"/>
          <w:vanish/>
        </w:rPr>
        <w:t>ber2021-12-310001674930us-gaap:SalesRevenueNetMemberflgt:CustomerTwoMemberus-gaap:CustomerConcentrationRiskMember2021-01-012021-06-300001674930us-gaap:CommonStockMember2020-12-310001674930srt:MaximumMemberus-gaap:BuildingImprovementsMember2022-01-012022-06</w:t>
      </w:r>
      <w:r>
        <w:rPr>
          <w:rFonts w:eastAsia="Times New Roman"/>
          <w:vanish/>
        </w:rPr>
        <w:t>-300001674930us-gaap:CustomerRelationshipsMember2022-01-012022-06-300001674930flgt:ClinicalInstitutionalCustomersContractsMemberus-gaap:AccountingStandardsUpdate201409Member2022-01-012022-06-300001674930srt:MinimumMemberflgt:MedicalLabEquipmentMember2022-0</w:t>
      </w:r>
      <w:r>
        <w:rPr>
          <w:rFonts w:eastAsia="Times New Roman"/>
          <w:vanish/>
        </w:rPr>
        <w:t>1-012022-06-300001674930srt:MinimumMemberus-gaap:ComputerEquipmentMember2022-01-012022-06-300001674930us-gaap:BuildingImprovementsMember2021-12-310001674930flgt:XilongScientificMemberflgt:FFGeneBiotechMember2022-04-012022-06-300001674930flgt:PTJAssociatesI</w:t>
      </w:r>
      <w:r>
        <w:rPr>
          <w:rFonts w:eastAsia="Times New Roman"/>
          <w:vanish/>
        </w:rPr>
        <w:t>ncMember2021-01-012021-06-300001674930flgt:ClinicalInstitutionalCustomersContractsMemberus-gaap:AccountingStandardsUpdate201409Member2021-04-012021-06-300001674930flgt:MarginAccountBorrowingMember2022-06-300001674930flgt:ShortTermMarketableSecuritesMemberu</w:t>
      </w:r>
      <w:r>
        <w:rPr>
          <w:rFonts w:eastAsia="Times New Roman"/>
          <w:vanish/>
        </w:rPr>
        <w:t>s-gaap:USGovernmentDebtSecuritiesMember2022-06-300001674930flgt:DebtSecuritiesDueAfterOneYearThroughFiveYearsMemberflgt:YankeeDebtSecuritiesMember2022-06-300001674930flgt:ServicesMember2022-06-300001674930us-gaap:AccumulatedOtherComprehensiveIncomeMember20</w:t>
      </w:r>
      <w:r>
        <w:rPr>
          <w:rFonts w:eastAsia="Times New Roman"/>
          <w:vanish/>
        </w:rPr>
        <w:t>21-12-310001674930srt:MaximumMemberflgt:MedicalLabEquipmentMember2022-01-012022-06-300001674930us-gaap:NoncontrollingInterestMember2022-06-300001674930flgt:ANPTechnologiesIncMember2022-06-300001674930us-gaap:NonUsMember2021-04-012021-06-300001674930flgt:In</w:t>
      </w:r>
      <w:r>
        <w:rPr>
          <w:rFonts w:eastAsia="Times New Roman"/>
          <w:vanish/>
        </w:rPr>
        <w:t>formDiagnosticsMemberus-gaap:SellingGeneralAndAdministrativeExpensesMember2022-01-012022-06-300001674930us-gaap:BuildingMember2021-12-310001674930us-gaap:RetainedEarningsMember2021-12-310001674930us-gaap:EmployeeStockOptionMember2021-04-012021-06-300001674</w:t>
      </w:r>
      <w:r>
        <w:rPr>
          <w:rFonts w:eastAsia="Times New Roman"/>
          <w:vanish/>
        </w:rPr>
        <w:t>930flgt:XilongScientificMemberflgt:FFGeneBiotechMember2022-01-012022-06-300001674930us-gaap:ParentMember2022-03-310001674930us-gaap:AdditionalPaidInCapitalMemberflgt:NovemberTwoThousandTwentyEquityDistributionAgreementMember2021-01-012021-03-310001674930us</w:t>
      </w:r>
      <w:r>
        <w:rPr>
          <w:rFonts w:eastAsia="Times New Roman"/>
          <w:vanish/>
        </w:rPr>
        <w:t>-gaap:BuildingMember2022-06-300001674930us-gaap:MoneyMarketFundsMemberus-gaap:FairValueMeasurementsRecurringMember2021-12-310001674930flgt:InformDiagnosticsMemberus-gaap:TradeNamesMember2022-04-260001674930flgt:NovemberTwoThousandTwentyEquityDistributionAg</w:t>
      </w:r>
      <w:r>
        <w:rPr>
          <w:rFonts w:eastAsia="Times New Roman"/>
          <w:vanish/>
        </w:rPr>
        <w:t>reementMember2021-01-012021-03-310001674930srt:MinimumMemberus-gaap:LandImprovementsMember2022-01-012022-06-300001674930us-gaap:RedeemablePreferredStockMemberus-gaap:FairValueMeasurementsRecurringMember2021-12-310001674930us-gaap:ResearchAndDevelopmentExpe</w:t>
      </w:r>
      <w:r>
        <w:rPr>
          <w:rFonts w:eastAsia="Times New Roman"/>
          <w:vanish/>
        </w:rPr>
        <w:t>nseMember2022-01-012022-06-300001674930us-gaap:AdditionalPaidInCapitalMember2022-01-012022-03-3100016749302021-01-012021-06-300001674930us-gaap:SalesRevenueNetMemberus-gaap:CustomerConcentrationRiskMember2022-04-012022-06-300001674930us-gaap:SalesRevenueNe</w:t>
      </w:r>
      <w:r>
        <w:rPr>
          <w:rFonts w:eastAsia="Times New Roman"/>
          <w:vanish/>
        </w:rPr>
        <w:t>tMemberus-gaap:CustomerConcentrationRiskMember2021-04-012021-06-300001674930us-gaap:AdditionalPaidInCapitalMember2022-03-310001674930us-gaap:CostOfSalesMember2021-01-012021-06-300001674930flgt:LaboratoryInformationSystemPlatformMember2021-12-310001674930us</w:t>
      </w:r>
      <w:r>
        <w:rPr>
          <w:rFonts w:eastAsia="Times New Roman"/>
          <w:vanish/>
        </w:rPr>
        <w:t>-gaap:DebtSecuritiesMember2022-06-300001674930srt:MaximumMemberus-gaap:FurnitureAndFixturesMember2022-01-012022-06-300001674930srt:MaximumMemberus-gaap:ComputerEquipmentMember2022-01-012022-06-300001674930us-gaap:FairValueInputsLevel3Memberus-gaap:Redeemab</w:t>
      </w:r>
      <w:r>
        <w:rPr>
          <w:rFonts w:eastAsia="Times New Roman"/>
          <w:vanish/>
        </w:rPr>
        <w:t>lePreferredStockMemberus-gaap:FairValueMeasurementsRecurringMember2021-12-310001674930us-gaap:FairValueInputsLevel2Memberus-gaap:MunicipalBondsMemberus-gaap:FairValueMeasurementsRecurringMember2021-12-310001674930us-gaap:TradeNamesMember2021-12-31000167493</w:t>
      </w:r>
      <w:r>
        <w:rPr>
          <w:rFonts w:eastAsia="Times New Roman"/>
          <w:vanish/>
        </w:rPr>
        <w:t>0flgt:ResearchDevelopmentServiceMemberflgt:FulgentPharmaLimitedLiabilityCompanyMember2021-01-012021-06-300001674930flgt:InformDiagnosticsMemberflgt:InPlaceLeaseIntangibleAssetsMember2022-04-262022-04-260001674930flgt:ShortTermMarketableSecuritesMemberus-ga</w:t>
      </w:r>
      <w:r>
        <w:rPr>
          <w:rFonts w:eastAsia="Times New Roman"/>
          <w:vanish/>
        </w:rPr>
        <w:t>ap:USGovernmentDebtSecuritiesMember2021-12-310001674930us-gaap:LandImprovementsMember2021-12-310001674930us-gaap:OtherNoncurrentAssetsMemberus-gaap:FairValueInputsLevel3Memberus-gaap:PrivateEquityFundsMember2022-06-300001674930us-gaap:ResearchAndDevelopmen</w:t>
      </w:r>
      <w:r>
        <w:rPr>
          <w:rFonts w:eastAsia="Times New Roman"/>
          <w:vanish/>
        </w:rPr>
        <w:t>tExpenseMember2021-04-012021-06-30xbrli:pureflgt:Customerxbrli:sharesiso4217:USDxbrli:sharesiso4217:USDflgt:Segment</w:t>
      </w:r>
    </w:p>
    <w:p w14:paraId="5BA4ED52" w14:textId="77777777" w:rsidR="00000000" w:rsidRDefault="00632532">
      <w:pPr>
        <w:pStyle w:val="a3"/>
        <w:pBdr>
          <w:bottom w:val="double" w:sz="6" w:space="1" w:color="auto"/>
        </w:pBdr>
        <w:spacing w:before="0" w:beforeAutospacing="0" w:after="0" w:afterAutospacing="0"/>
        <w:rPr>
          <w:sz w:val="20"/>
          <w:szCs w:val="20"/>
        </w:rPr>
      </w:pPr>
      <w:r>
        <w:rPr>
          <w:sz w:val="2"/>
          <w:szCs w:val="2"/>
        </w:rPr>
        <w:t>f</w:t>
      </w:r>
      <w:r>
        <w:rPr>
          <w:sz w:val="2"/>
          <w:szCs w:val="2"/>
        </w:rPr>
        <w:t>f</w:t>
      </w:r>
    </w:p>
    <w:p w14:paraId="6131410C" w14:textId="77777777" w:rsidR="00000000" w:rsidRDefault="00632532">
      <w:pPr>
        <w:pStyle w:val="a3"/>
        <w:spacing w:before="0" w:beforeAutospacing="0" w:after="0" w:afterAutospacing="0"/>
        <w:jc w:val="center"/>
        <w:rPr>
          <w:sz w:val="20"/>
          <w:szCs w:val="20"/>
        </w:rPr>
      </w:pPr>
      <w:r>
        <w:rPr>
          <w:sz w:val="20"/>
          <w:szCs w:val="20"/>
        </w:rPr>
        <w:t> </w:t>
      </w:r>
    </w:p>
    <w:p w14:paraId="39995688" w14:textId="77777777" w:rsidR="00000000" w:rsidRDefault="00632532">
      <w:pPr>
        <w:pStyle w:val="a3"/>
        <w:spacing w:before="0" w:beforeAutospacing="0" w:after="0" w:afterAutospacing="0"/>
        <w:jc w:val="center"/>
        <w:rPr>
          <w:sz w:val="20"/>
          <w:szCs w:val="20"/>
        </w:rPr>
      </w:pPr>
      <w:r>
        <w:rPr>
          <w:b/>
          <w:bCs/>
          <w:sz w:val="36"/>
          <w:szCs w:val="36"/>
        </w:rPr>
        <w:t>UNITED STATE</w:t>
      </w:r>
      <w:r>
        <w:rPr>
          <w:b/>
          <w:bCs/>
          <w:sz w:val="36"/>
          <w:szCs w:val="36"/>
        </w:rPr>
        <w:t>S</w:t>
      </w:r>
    </w:p>
    <w:p w14:paraId="4A996BD5" w14:textId="77777777" w:rsidR="00000000" w:rsidRDefault="00632532">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14:paraId="7ACAAEB4" w14:textId="77777777" w:rsidR="00000000" w:rsidRDefault="00632532">
      <w:pPr>
        <w:pStyle w:val="a3"/>
        <w:spacing w:before="0" w:beforeAutospacing="0" w:after="0" w:afterAutospacing="0"/>
        <w:jc w:val="center"/>
        <w:rPr>
          <w:sz w:val="20"/>
          <w:szCs w:val="20"/>
        </w:rPr>
      </w:pPr>
      <w:r>
        <w:rPr>
          <w:b/>
          <w:bCs/>
        </w:rPr>
        <w:t>WASHINGTON, DC 2054</w:t>
      </w:r>
      <w:r>
        <w:rPr>
          <w:b/>
          <w:bCs/>
        </w:rPr>
        <w:t>9</w:t>
      </w:r>
    </w:p>
    <w:p w14:paraId="4C9D37E9" w14:textId="77777777" w:rsidR="00000000" w:rsidRDefault="00632532">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4676BDAF" w14:textId="77777777" w:rsidR="00000000" w:rsidRDefault="00632532">
      <w:pPr>
        <w:pStyle w:val="a3"/>
        <w:spacing w:before="8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14:paraId="5457CCD2" w14:textId="77777777" w:rsidR="00000000" w:rsidRDefault="00632532">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475983DB" w14:textId="77777777" w:rsidR="00000000" w:rsidRDefault="00632532">
      <w:pPr>
        <w:pStyle w:val="a3"/>
        <w:spacing w:before="80" w:beforeAutospacing="0" w:after="0" w:afterAutospacing="0"/>
        <w:rPr>
          <w:sz w:val="20"/>
          <w:szCs w:val="20"/>
        </w:rPr>
      </w:pPr>
      <w:r>
        <w:rPr>
          <w:b/>
          <w:bCs/>
        </w:rPr>
        <w:t>(Mark One</w:t>
      </w:r>
      <w:r>
        <w:rPr>
          <w:b/>
          <w:bCs/>
        </w:rPr>
        <w:t>)</w:t>
      </w:r>
    </w:p>
    <w:p w14:paraId="50245428" w14:textId="77777777" w:rsidR="00000000" w:rsidRDefault="00632532">
      <w:pPr>
        <w:pStyle w:val="a3"/>
        <w:spacing w:before="0" w:beforeAutospacing="0" w:after="0" w:afterAutospacing="0"/>
        <w:ind w:hanging="581"/>
        <w:rPr>
          <w:sz w:val="20"/>
          <w:szCs w:val="20"/>
        </w:rPr>
      </w:pPr>
      <w:r>
        <w:rPr>
          <w:rFonts w:ascii="Segoe UI Symbol" w:hAnsi="Segoe UI Symbol" w:cs="Segoe UI Symbol"/>
          <w:b/>
          <w:bCs/>
        </w:rPr>
        <w:t>☒</w:t>
      </w:r>
      <w:r>
        <w:rPr>
          <w:rFonts w:ascii="Wingdings" w:hAnsi="Wingdings"/>
          <w:b/>
          <w:bCs/>
        </w:rPr>
        <w:t xml:space="preserve"> </w:t>
      </w:r>
      <w:r>
        <w:rPr>
          <w:b/>
          <w:bCs/>
        </w:rPr>
        <w:t>QUARTERLY REPORT PURSUANT TO SECTION 1</w:t>
      </w:r>
      <w:r>
        <w:rPr>
          <w:b/>
          <w:bCs/>
        </w:rPr>
        <w:t>3 OR 15(d) OF THE SECURITIES EXCHANGE ACT OF 193</w:t>
      </w:r>
      <w:r>
        <w:rPr>
          <w:b/>
          <w:bCs/>
        </w:rPr>
        <w:t>4</w:t>
      </w:r>
    </w:p>
    <w:p w14:paraId="1CBD5614" w14:textId="77777777" w:rsidR="00000000" w:rsidRDefault="00632532">
      <w:pPr>
        <w:pStyle w:val="a3"/>
        <w:spacing w:before="8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June 30,</w:t>
      </w:r>
      <w:r>
        <w:rPr>
          <w:b/>
          <w:bCs/>
          <w:sz w:val="20"/>
          <w:szCs w:val="20"/>
        </w:rPr>
        <w:t xml:space="preserve"> </w:t>
      </w:r>
      <w:r>
        <w:rPr>
          <w:b/>
          <w:bCs/>
          <w:sz w:val="20"/>
          <w:szCs w:val="20"/>
        </w:rPr>
        <w:t>202</w:t>
      </w:r>
      <w:r>
        <w:rPr>
          <w:b/>
          <w:bCs/>
          <w:sz w:val="20"/>
          <w:szCs w:val="20"/>
        </w:rPr>
        <w:t>2</w:t>
      </w:r>
    </w:p>
    <w:p w14:paraId="269C050C" w14:textId="77777777" w:rsidR="00000000" w:rsidRDefault="00632532">
      <w:pPr>
        <w:pStyle w:val="a3"/>
        <w:spacing w:before="80" w:beforeAutospacing="0" w:after="0" w:afterAutospacing="0"/>
        <w:jc w:val="center"/>
        <w:rPr>
          <w:sz w:val="20"/>
          <w:szCs w:val="20"/>
        </w:rPr>
      </w:pPr>
      <w:r>
        <w:rPr>
          <w:b/>
          <w:bCs/>
          <w:sz w:val="20"/>
          <w:szCs w:val="20"/>
        </w:rPr>
        <w:t>o</w:t>
      </w:r>
      <w:r>
        <w:rPr>
          <w:b/>
          <w:bCs/>
          <w:sz w:val="20"/>
          <w:szCs w:val="20"/>
        </w:rPr>
        <w:t>r</w:t>
      </w:r>
    </w:p>
    <w:p w14:paraId="4A7A77A6" w14:textId="77777777" w:rsidR="00000000" w:rsidRDefault="00632532">
      <w:pPr>
        <w:pStyle w:val="a3"/>
        <w:spacing w:before="80" w:beforeAutospacing="0" w:after="0" w:afterAutospacing="0"/>
        <w:ind w:hanging="581"/>
        <w:rPr>
          <w:sz w:val="20"/>
          <w:szCs w:val="20"/>
        </w:rPr>
      </w:pPr>
      <w:r>
        <w:rPr>
          <w:rFonts w:ascii="Segoe UI Symbol" w:hAnsi="Segoe UI Symbol" w:cs="Segoe UI Symbol"/>
          <w:b/>
          <w:bCs/>
        </w:rPr>
        <w:t>☐</w:t>
      </w:r>
      <w:r>
        <w:rPr>
          <w:rFonts w:ascii="Wingdings" w:hAnsi="Wingdings"/>
          <w:b/>
          <w:bCs/>
        </w:rPr>
        <w:t xml:space="preserve"> </w:t>
      </w:r>
      <w:r>
        <w:rPr>
          <w:b/>
          <w:bCs/>
        </w:rPr>
        <w:t>TRANSITION REPORT PURSUANT TO SECTION 13 OR 15(d) OF THE SECURITIES EXCHANGE ACT OF 193</w:t>
      </w:r>
      <w:r>
        <w:rPr>
          <w:b/>
          <w:bCs/>
        </w:rPr>
        <w:t>4</w:t>
      </w:r>
    </w:p>
    <w:p w14:paraId="574CF06C" w14:textId="77777777" w:rsidR="00000000" w:rsidRDefault="00632532">
      <w:pPr>
        <w:pStyle w:val="a3"/>
        <w:spacing w:before="80" w:beforeAutospacing="0" w:after="0" w:afterAutospacing="0"/>
        <w:jc w:val="center"/>
        <w:rPr>
          <w:sz w:val="20"/>
          <w:szCs w:val="20"/>
        </w:rPr>
      </w:pPr>
      <w:r>
        <w:rPr>
          <w:b/>
          <w:bCs/>
          <w:sz w:val="20"/>
          <w:szCs w:val="20"/>
        </w:rPr>
        <w:t>For the transition period from</w:t>
      </w:r>
      <w:r>
        <w:rPr>
          <w:b/>
          <w:bCs/>
          <w:sz w:val="20"/>
          <w:szCs w:val="20"/>
        </w:rPr>
        <w:t xml:space="preserve"> </w:t>
      </w:r>
      <w:r>
        <w:rPr>
          <w:b/>
          <w:bCs/>
          <w:sz w:val="20"/>
          <w:szCs w:val="20"/>
        </w:rPr>
        <w:t>t</w:t>
      </w:r>
      <w:r>
        <w:rPr>
          <w:b/>
          <w:bCs/>
          <w:sz w:val="20"/>
          <w:szCs w:val="20"/>
        </w:rPr>
        <w:t>o</w:t>
      </w:r>
      <w:r>
        <w:rPr>
          <w:b/>
          <w:bCs/>
          <w:sz w:val="20"/>
          <w:szCs w:val="20"/>
        </w:rPr>
        <w:t xml:space="preserve"> </w:t>
      </w:r>
    </w:p>
    <w:p w14:paraId="3DB04643" w14:textId="77777777" w:rsidR="00000000" w:rsidRDefault="00632532">
      <w:pPr>
        <w:pStyle w:val="a3"/>
        <w:spacing w:before="8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001-3789</w:t>
      </w:r>
      <w:r>
        <w:rPr>
          <w:b/>
          <w:bCs/>
          <w:sz w:val="20"/>
          <w:szCs w:val="20"/>
        </w:rPr>
        <w:t>4</w:t>
      </w:r>
    </w:p>
    <w:p w14:paraId="2E8448D0" w14:textId="77777777" w:rsidR="00000000" w:rsidRDefault="00632532">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23EA308D" w14:textId="77777777" w:rsidR="00000000" w:rsidRDefault="00632532">
      <w:pPr>
        <w:pStyle w:val="a3"/>
        <w:spacing w:before="80" w:beforeAutospacing="0" w:after="0" w:afterAutospacing="0"/>
        <w:jc w:val="center"/>
        <w:rPr>
          <w:sz w:val="20"/>
          <w:szCs w:val="20"/>
        </w:rPr>
      </w:pPr>
      <w:r>
        <w:rPr>
          <w:b/>
          <w:bCs/>
          <w:sz w:val="48"/>
          <w:szCs w:val="48"/>
        </w:rPr>
        <w:t>FULGENT GENETICS, INC</w:t>
      </w:r>
      <w:r>
        <w:rPr>
          <w:b/>
          <w:bCs/>
          <w:sz w:val="48"/>
          <w:szCs w:val="48"/>
        </w:rPr>
        <w:t>.</w:t>
      </w:r>
    </w:p>
    <w:p w14:paraId="6A5554A8" w14:textId="77777777" w:rsidR="00000000" w:rsidRDefault="00632532">
      <w:pPr>
        <w:pStyle w:val="a3"/>
        <w:spacing w:before="0" w:beforeAutospacing="0" w:after="0" w:afterAutospacing="0"/>
        <w:jc w:val="center"/>
        <w:rPr>
          <w:sz w:val="20"/>
          <w:szCs w:val="20"/>
        </w:rPr>
      </w:pPr>
      <w:r>
        <w:rPr>
          <w:b/>
          <w:bCs/>
        </w:rPr>
        <w:t>(</w:t>
      </w:r>
      <w:r>
        <w:rPr>
          <w:b/>
          <w:bCs/>
          <w:sz w:val="20"/>
          <w:szCs w:val="20"/>
        </w:rPr>
        <w:t>exact name of registrant as specified in its charter</w:t>
      </w:r>
      <w:r>
        <w:rPr>
          <w:b/>
          <w:bCs/>
          <w:sz w:val="20"/>
          <w:szCs w:val="20"/>
        </w:rPr>
        <w:t>)</w:t>
      </w:r>
    </w:p>
    <w:p w14:paraId="669D9D27" w14:textId="77777777" w:rsidR="00000000" w:rsidRDefault="00632532">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47A2BF21"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14:paraId="4E7FADCA" w14:textId="77777777">
        <w:trPr>
          <w:tblCellSpacing w:w="15" w:type="dxa"/>
        </w:trPr>
        <w:tc>
          <w:tcPr>
            <w:tcW w:w="2500" w:type="pct"/>
            <w:vAlign w:val="center"/>
            <w:hideMark/>
          </w:tcPr>
          <w:p w14:paraId="498B2649" w14:textId="77777777" w:rsidR="00000000" w:rsidRDefault="00632532">
            <w:pPr>
              <w:rPr>
                <w:sz w:val="20"/>
                <w:szCs w:val="20"/>
              </w:rPr>
            </w:pPr>
          </w:p>
        </w:tc>
        <w:tc>
          <w:tcPr>
            <w:tcW w:w="2500" w:type="pct"/>
            <w:vAlign w:val="center"/>
            <w:hideMark/>
          </w:tcPr>
          <w:p w14:paraId="7A489B6D" w14:textId="77777777" w:rsidR="00000000" w:rsidRDefault="00632532">
            <w:pPr>
              <w:rPr>
                <w:rFonts w:eastAsia="Times New Roman"/>
                <w:sz w:val="20"/>
                <w:szCs w:val="20"/>
              </w:rPr>
            </w:pPr>
          </w:p>
        </w:tc>
      </w:tr>
      <w:tr w:rsidR="00000000" w14:paraId="026E9DD5" w14:textId="77777777">
        <w:trPr>
          <w:trHeight w:val="200"/>
          <w:tblCellSpacing w:w="15" w:type="dxa"/>
        </w:trPr>
        <w:tc>
          <w:tcPr>
            <w:tcW w:w="0" w:type="auto"/>
            <w:vAlign w:val="bottom"/>
            <w:hideMark/>
          </w:tcPr>
          <w:p w14:paraId="133B0EB4" w14:textId="77777777" w:rsidR="00000000" w:rsidRDefault="00632532">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vAlign w:val="bottom"/>
            <w:hideMark/>
          </w:tcPr>
          <w:p w14:paraId="5BAFCD94" w14:textId="77777777" w:rsidR="00000000" w:rsidRDefault="00632532">
            <w:pPr>
              <w:pStyle w:val="a3"/>
              <w:spacing w:before="0" w:beforeAutospacing="0" w:after="0" w:afterAutospacing="0"/>
              <w:jc w:val="center"/>
              <w:rPr>
                <w:sz w:val="20"/>
                <w:szCs w:val="20"/>
              </w:rPr>
            </w:pPr>
            <w:r>
              <w:rPr>
                <w:b/>
                <w:bCs/>
                <w:sz w:val="20"/>
                <w:szCs w:val="20"/>
              </w:rPr>
              <w:t>81-262130</w:t>
            </w:r>
            <w:r>
              <w:rPr>
                <w:b/>
                <w:bCs/>
                <w:sz w:val="20"/>
                <w:szCs w:val="20"/>
              </w:rPr>
              <w:t>4</w:t>
            </w:r>
          </w:p>
        </w:tc>
      </w:tr>
      <w:tr w:rsidR="00000000" w14:paraId="12AFC273" w14:textId="77777777">
        <w:trPr>
          <w:trHeight w:val="160"/>
          <w:tblCellSpacing w:w="15" w:type="dxa"/>
        </w:trPr>
        <w:tc>
          <w:tcPr>
            <w:tcW w:w="0" w:type="auto"/>
            <w:vAlign w:val="bottom"/>
            <w:hideMark/>
          </w:tcPr>
          <w:p w14:paraId="68A9998B" w14:textId="77777777" w:rsidR="00000000" w:rsidRDefault="00632532">
            <w:pPr>
              <w:pStyle w:val="a3"/>
              <w:spacing w:before="0" w:beforeAutospacing="0" w:after="0" w:afterAutospacing="0"/>
              <w:jc w:val="center"/>
              <w:rPr>
                <w:sz w:val="16"/>
                <w:szCs w:val="16"/>
              </w:rPr>
            </w:pPr>
            <w:r>
              <w:rPr>
                <w:b/>
                <w:bCs/>
                <w:sz w:val="16"/>
                <w:szCs w:val="16"/>
              </w:rPr>
              <w:t>(State or other jurisdiction o</w:t>
            </w:r>
            <w:r>
              <w:rPr>
                <w:b/>
                <w:bCs/>
                <w:sz w:val="16"/>
                <w:szCs w:val="16"/>
              </w:rPr>
              <w:t>f</w:t>
            </w:r>
          </w:p>
          <w:p w14:paraId="4D7446EF" w14:textId="77777777" w:rsidR="00000000" w:rsidRDefault="00632532">
            <w:pPr>
              <w:pStyle w:val="a3"/>
              <w:spacing w:before="0" w:beforeAutospacing="0" w:after="0" w:afterAutospacing="0"/>
              <w:jc w:val="center"/>
              <w:rPr>
                <w:sz w:val="16"/>
                <w:szCs w:val="16"/>
              </w:rPr>
            </w:pPr>
            <w:r>
              <w:rPr>
                <w:b/>
                <w:bCs/>
                <w:sz w:val="16"/>
                <w:szCs w:val="16"/>
              </w:rPr>
              <w:t>incorporation or organization</w:t>
            </w:r>
            <w:r>
              <w:rPr>
                <w:b/>
                <w:bCs/>
                <w:sz w:val="16"/>
                <w:szCs w:val="16"/>
              </w:rPr>
              <w:t>)</w:t>
            </w:r>
          </w:p>
        </w:tc>
        <w:tc>
          <w:tcPr>
            <w:tcW w:w="0" w:type="auto"/>
            <w:vAlign w:val="bottom"/>
            <w:hideMark/>
          </w:tcPr>
          <w:p w14:paraId="00D21CB7" w14:textId="77777777" w:rsidR="00000000" w:rsidRDefault="00632532">
            <w:pPr>
              <w:pStyle w:val="a3"/>
              <w:spacing w:before="0" w:beforeAutospacing="0" w:after="0" w:afterAutospacing="0"/>
              <w:jc w:val="center"/>
              <w:rPr>
                <w:sz w:val="16"/>
                <w:szCs w:val="16"/>
              </w:rPr>
            </w:pPr>
            <w:r>
              <w:rPr>
                <w:b/>
                <w:bCs/>
                <w:sz w:val="16"/>
                <w:szCs w:val="16"/>
              </w:rPr>
              <w:t>(I.R.S. Employe</w:t>
            </w:r>
            <w:r>
              <w:rPr>
                <w:b/>
                <w:bCs/>
                <w:sz w:val="16"/>
                <w:szCs w:val="16"/>
              </w:rPr>
              <w:t>r</w:t>
            </w:r>
          </w:p>
          <w:p w14:paraId="17A43C73" w14:textId="77777777" w:rsidR="00000000" w:rsidRDefault="00632532">
            <w:pPr>
              <w:pStyle w:val="a3"/>
              <w:spacing w:before="0" w:beforeAutospacing="0" w:after="0" w:afterAutospacing="0"/>
              <w:jc w:val="center"/>
              <w:rPr>
                <w:sz w:val="16"/>
                <w:szCs w:val="16"/>
              </w:rPr>
            </w:pPr>
            <w:r>
              <w:rPr>
                <w:b/>
                <w:bCs/>
                <w:sz w:val="16"/>
                <w:szCs w:val="16"/>
              </w:rPr>
              <w:t>Identification No.</w:t>
            </w:r>
            <w:r>
              <w:rPr>
                <w:b/>
                <w:bCs/>
                <w:sz w:val="16"/>
                <w:szCs w:val="16"/>
              </w:rPr>
              <w:t>)</w:t>
            </w:r>
          </w:p>
        </w:tc>
      </w:tr>
      <w:tr w:rsidR="00000000" w14:paraId="3C503DAA" w14:textId="77777777">
        <w:trPr>
          <w:tblCellSpacing w:w="15" w:type="dxa"/>
        </w:trPr>
        <w:tc>
          <w:tcPr>
            <w:tcW w:w="0" w:type="auto"/>
            <w:vAlign w:val="bottom"/>
            <w:hideMark/>
          </w:tcPr>
          <w:p w14:paraId="7BC37D5E" w14:textId="77777777" w:rsidR="00000000" w:rsidRDefault="00632532">
            <w:pPr>
              <w:pStyle w:val="a3"/>
              <w:spacing w:before="0" w:beforeAutospacing="0" w:after="0" w:afterAutospacing="0"/>
              <w:jc w:val="center"/>
              <w:rPr>
                <w:sz w:val="8"/>
                <w:szCs w:val="8"/>
              </w:rPr>
            </w:pPr>
            <w:r>
              <w:rPr>
                <w:sz w:val="8"/>
                <w:szCs w:val="8"/>
              </w:rPr>
              <w:t> </w:t>
            </w:r>
          </w:p>
        </w:tc>
        <w:tc>
          <w:tcPr>
            <w:tcW w:w="0" w:type="auto"/>
            <w:vAlign w:val="bottom"/>
            <w:hideMark/>
          </w:tcPr>
          <w:p w14:paraId="15AD8190" w14:textId="77777777" w:rsidR="00000000" w:rsidRDefault="00632532">
            <w:pPr>
              <w:pStyle w:val="a3"/>
              <w:spacing w:before="0" w:beforeAutospacing="0" w:after="0" w:afterAutospacing="0"/>
              <w:jc w:val="center"/>
              <w:rPr>
                <w:sz w:val="8"/>
                <w:szCs w:val="8"/>
              </w:rPr>
            </w:pPr>
            <w:r>
              <w:rPr>
                <w:sz w:val="8"/>
                <w:szCs w:val="8"/>
              </w:rPr>
              <w:t> </w:t>
            </w:r>
          </w:p>
        </w:tc>
      </w:tr>
      <w:tr w:rsidR="00000000" w14:paraId="2369CBFE" w14:textId="77777777">
        <w:trPr>
          <w:trHeight w:val="200"/>
          <w:tblCellSpacing w:w="15" w:type="dxa"/>
        </w:trPr>
        <w:tc>
          <w:tcPr>
            <w:tcW w:w="0" w:type="auto"/>
            <w:vAlign w:val="bottom"/>
            <w:hideMark/>
          </w:tcPr>
          <w:p w14:paraId="6D5A801E" w14:textId="77777777" w:rsidR="00000000" w:rsidRDefault="00632532">
            <w:pPr>
              <w:pStyle w:val="a3"/>
              <w:spacing w:before="0" w:beforeAutospacing="0" w:after="0" w:afterAutospacing="0"/>
              <w:jc w:val="center"/>
              <w:rPr>
                <w:sz w:val="20"/>
                <w:szCs w:val="20"/>
              </w:rPr>
            </w:pPr>
            <w:r>
              <w:rPr>
                <w:b/>
                <w:bCs/>
                <w:sz w:val="20"/>
                <w:szCs w:val="20"/>
              </w:rPr>
              <w:t>4978 Santa Anita Avenu</w:t>
            </w:r>
            <w:r>
              <w:rPr>
                <w:b/>
                <w:bCs/>
                <w:sz w:val="20"/>
                <w:szCs w:val="20"/>
              </w:rPr>
              <w:t>e</w:t>
            </w:r>
          </w:p>
          <w:p w14:paraId="43F1E52D" w14:textId="77777777" w:rsidR="00000000" w:rsidRDefault="00632532">
            <w:pPr>
              <w:pStyle w:val="a3"/>
              <w:spacing w:before="0" w:beforeAutospacing="0" w:after="0" w:afterAutospacing="0"/>
              <w:jc w:val="center"/>
              <w:rPr>
                <w:sz w:val="20"/>
                <w:szCs w:val="20"/>
              </w:rPr>
            </w:pPr>
            <w:r>
              <w:rPr>
                <w:b/>
                <w:bCs/>
                <w:sz w:val="20"/>
                <w:szCs w:val="20"/>
              </w:rPr>
              <w:t>Temple Cit</w:t>
            </w:r>
            <w:r>
              <w:rPr>
                <w:b/>
                <w:bCs/>
                <w:sz w:val="20"/>
                <w:szCs w:val="20"/>
              </w:rPr>
              <w:t>y</w:t>
            </w:r>
            <w:r>
              <w:rPr>
                <w:b/>
                <w:bCs/>
                <w:sz w:val="20"/>
                <w:szCs w:val="20"/>
              </w:rPr>
              <w:t>,</w:t>
            </w:r>
            <w:r>
              <w:rPr>
                <w:b/>
                <w:bCs/>
                <w:sz w:val="20"/>
                <w:szCs w:val="20"/>
              </w:rPr>
              <w:t xml:space="preserve"> </w:t>
            </w:r>
            <w:r>
              <w:rPr>
                <w:b/>
                <w:bCs/>
                <w:sz w:val="20"/>
                <w:szCs w:val="20"/>
              </w:rPr>
              <w:t>C</w:t>
            </w:r>
            <w:r>
              <w:rPr>
                <w:b/>
                <w:bCs/>
                <w:sz w:val="20"/>
                <w:szCs w:val="20"/>
              </w:rPr>
              <w:t>A</w:t>
            </w:r>
          </w:p>
        </w:tc>
        <w:tc>
          <w:tcPr>
            <w:tcW w:w="0" w:type="auto"/>
            <w:vAlign w:val="bottom"/>
            <w:hideMark/>
          </w:tcPr>
          <w:p w14:paraId="31F1C6F1" w14:textId="77777777" w:rsidR="00000000" w:rsidRDefault="00632532">
            <w:pPr>
              <w:pStyle w:val="a3"/>
              <w:spacing w:before="0" w:beforeAutospacing="0" w:after="0" w:afterAutospacing="0"/>
              <w:jc w:val="center"/>
              <w:rPr>
                <w:sz w:val="20"/>
                <w:szCs w:val="20"/>
              </w:rPr>
            </w:pPr>
            <w:r>
              <w:rPr>
                <w:b/>
                <w:bCs/>
                <w:sz w:val="20"/>
                <w:szCs w:val="20"/>
              </w:rPr>
              <w:t>9178</w:t>
            </w:r>
            <w:r>
              <w:rPr>
                <w:b/>
                <w:bCs/>
                <w:sz w:val="20"/>
                <w:szCs w:val="20"/>
              </w:rPr>
              <w:t>0</w:t>
            </w:r>
          </w:p>
        </w:tc>
      </w:tr>
      <w:tr w:rsidR="00000000" w14:paraId="25D2A1D1" w14:textId="77777777">
        <w:trPr>
          <w:trHeight w:val="160"/>
          <w:tblCellSpacing w:w="15" w:type="dxa"/>
        </w:trPr>
        <w:tc>
          <w:tcPr>
            <w:tcW w:w="0" w:type="auto"/>
            <w:vAlign w:val="bottom"/>
            <w:hideMark/>
          </w:tcPr>
          <w:p w14:paraId="2CC38AD8" w14:textId="77777777" w:rsidR="00000000" w:rsidRDefault="00632532">
            <w:pPr>
              <w:pStyle w:val="a3"/>
              <w:spacing w:before="0" w:beforeAutospacing="0" w:after="0" w:afterAutospacing="0"/>
              <w:jc w:val="center"/>
              <w:rPr>
                <w:sz w:val="16"/>
                <w:szCs w:val="16"/>
              </w:rPr>
            </w:pPr>
            <w:r>
              <w:rPr>
                <w:b/>
                <w:bCs/>
                <w:sz w:val="16"/>
                <w:szCs w:val="16"/>
              </w:rPr>
              <w:t>(Address of principal executive offices</w:t>
            </w:r>
            <w:r>
              <w:rPr>
                <w:b/>
                <w:bCs/>
                <w:sz w:val="16"/>
                <w:szCs w:val="16"/>
              </w:rPr>
              <w:t>)</w:t>
            </w:r>
          </w:p>
        </w:tc>
        <w:tc>
          <w:tcPr>
            <w:tcW w:w="0" w:type="auto"/>
            <w:vAlign w:val="bottom"/>
            <w:hideMark/>
          </w:tcPr>
          <w:p w14:paraId="64B24374" w14:textId="77777777" w:rsidR="00000000" w:rsidRDefault="00632532">
            <w:pPr>
              <w:pStyle w:val="a3"/>
              <w:spacing w:before="0" w:beforeAutospacing="0" w:after="0" w:afterAutospacing="0"/>
              <w:jc w:val="center"/>
              <w:rPr>
                <w:sz w:val="16"/>
                <w:szCs w:val="16"/>
              </w:rPr>
            </w:pPr>
            <w:r>
              <w:rPr>
                <w:b/>
                <w:bCs/>
                <w:sz w:val="16"/>
                <w:szCs w:val="16"/>
              </w:rPr>
              <w:t>(Zip Code</w:t>
            </w:r>
            <w:r>
              <w:rPr>
                <w:b/>
                <w:bCs/>
                <w:sz w:val="16"/>
                <w:szCs w:val="16"/>
              </w:rPr>
              <w:t>)</w:t>
            </w:r>
          </w:p>
        </w:tc>
      </w:tr>
    </w:tbl>
    <w:p w14:paraId="1C969F40" w14:textId="77777777" w:rsidR="00000000" w:rsidRDefault="00632532">
      <w:pPr>
        <w:pStyle w:val="a3"/>
        <w:spacing w:before="0" w:beforeAutospacing="0" w:after="0" w:afterAutospacing="0"/>
        <w:rPr>
          <w:sz w:val="20"/>
          <w:szCs w:val="20"/>
        </w:rPr>
      </w:pPr>
      <w:r>
        <w:rPr>
          <w:sz w:val="20"/>
          <w:szCs w:val="20"/>
        </w:rPr>
        <w:t> </w:t>
      </w:r>
    </w:p>
    <w:p w14:paraId="5968294C" w14:textId="77777777" w:rsidR="00000000" w:rsidRDefault="00632532">
      <w:pPr>
        <w:pStyle w:val="a3"/>
        <w:spacing w:before="0" w:beforeAutospacing="0" w:after="0" w:afterAutospacing="0"/>
        <w:jc w:val="center"/>
        <w:rPr>
          <w:sz w:val="20"/>
          <w:szCs w:val="20"/>
        </w:rPr>
      </w:pPr>
      <w:r>
        <w:rPr>
          <w:b/>
          <w:bCs/>
          <w:sz w:val="20"/>
          <w:szCs w:val="20"/>
        </w:rPr>
        <w:t>(</w:t>
      </w:r>
      <w:r>
        <w:rPr>
          <w:b/>
          <w:bCs/>
          <w:sz w:val="20"/>
          <w:szCs w:val="20"/>
        </w:rPr>
        <w:t>62</w:t>
      </w:r>
      <w:r>
        <w:rPr>
          <w:b/>
          <w:bCs/>
          <w:sz w:val="20"/>
          <w:szCs w:val="20"/>
        </w:rPr>
        <w:t>6</w:t>
      </w:r>
      <w:r>
        <w:rPr>
          <w:b/>
          <w:bCs/>
          <w:sz w:val="20"/>
          <w:szCs w:val="20"/>
        </w:rPr>
        <w:t>)</w:t>
      </w:r>
      <w:r>
        <w:rPr>
          <w:b/>
          <w:bCs/>
          <w:sz w:val="20"/>
          <w:szCs w:val="20"/>
        </w:rPr>
        <w:t xml:space="preserve"> </w:t>
      </w:r>
      <w:r>
        <w:rPr>
          <w:b/>
          <w:bCs/>
          <w:sz w:val="20"/>
          <w:szCs w:val="20"/>
        </w:rPr>
        <w:t>350-053</w:t>
      </w:r>
      <w:r>
        <w:rPr>
          <w:b/>
          <w:bCs/>
          <w:sz w:val="20"/>
          <w:szCs w:val="20"/>
        </w:rPr>
        <w:t>7</w:t>
      </w:r>
    </w:p>
    <w:p w14:paraId="0C053AA7" w14:textId="77777777" w:rsidR="00000000" w:rsidRDefault="00632532">
      <w:pPr>
        <w:pStyle w:val="a3"/>
        <w:spacing w:before="80" w:beforeAutospacing="0" w:after="0" w:afterAutospacing="0"/>
        <w:jc w:val="center"/>
        <w:rPr>
          <w:sz w:val="20"/>
          <w:szCs w:val="20"/>
        </w:rPr>
      </w:pPr>
      <w:r>
        <w:rPr>
          <w:b/>
          <w:bCs/>
          <w:sz w:val="20"/>
          <w:szCs w:val="20"/>
        </w:rPr>
        <w:t>(Registrant’s telephone number, including area code</w:t>
      </w:r>
      <w:r>
        <w:rPr>
          <w:b/>
          <w:bCs/>
          <w:sz w:val="20"/>
          <w:szCs w:val="20"/>
        </w:rPr>
        <w:t>)</w:t>
      </w:r>
    </w:p>
    <w:p w14:paraId="3FA7DDAD" w14:textId="77777777" w:rsidR="00000000" w:rsidRDefault="00632532">
      <w:pPr>
        <w:pStyle w:val="a3"/>
        <w:pBdr>
          <w:bottom w:val="single" w:sz="4" w:space="1" w:color="auto"/>
        </w:pBdr>
        <w:spacing w:before="0" w:beforeAutospacing="0" w:after="0" w:afterAutospacing="0"/>
        <w:ind w:left="4762" w:right="4762"/>
        <w:jc w:val="center"/>
        <w:rPr>
          <w:sz w:val="20"/>
          <w:szCs w:val="20"/>
        </w:rPr>
      </w:pPr>
      <w:r>
        <w:rPr>
          <w:sz w:val="20"/>
          <w:szCs w:val="20"/>
        </w:rPr>
        <w:t> </w:t>
      </w:r>
    </w:p>
    <w:p w14:paraId="25F01ADA" w14:textId="77777777" w:rsidR="00000000" w:rsidRDefault="00632532">
      <w:pPr>
        <w:pStyle w:val="a3"/>
        <w:spacing w:before="80" w:beforeAutospacing="0" w:after="0" w:afterAutospacing="0"/>
        <w:ind w:firstLine="555"/>
        <w:rPr>
          <w:sz w:val="20"/>
          <w:szCs w:val="20"/>
        </w:rPr>
      </w:pPr>
      <w:r>
        <w:rPr>
          <w:sz w:val="18"/>
          <w:szCs w:val="18"/>
        </w:rPr>
        <w:t>Securities registered pursuant to Section 12(b) of the Act</w:t>
      </w:r>
      <w:r>
        <w:rPr>
          <w:sz w:val="18"/>
          <w:szCs w:val="18"/>
        </w:rPr>
        <w:t>:</w:t>
      </w:r>
    </w:p>
    <w:p w14:paraId="0742F158"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45"/>
        <w:gridCol w:w="193"/>
        <w:gridCol w:w="2630"/>
        <w:gridCol w:w="193"/>
        <w:gridCol w:w="2645"/>
      </w:tblGrid>
      <w:tr w:rsidR="00000000" w14:paraId="43986C63" w14:textId="77777777">
        <w:trPr>
          <w:tblCellSpacing w:w="15" w:type="dxa"/>
        </w:trPr>
        <w:tc>
          <w:tcPr>
            <w:tcW w:w="1599" w:type="pct"/>
            <w:vAlign w:val="center"/>
            <w:hideMark/>
          </w:tcPr>
          <w:p w14:paraId="2E316FC6" w14:textId="77777777" w:rsidR="00000000" w:rsidRDefault="00632532">
            <w:pPr>
              <w:rPr>
                <w:sz w:val="20"/>
                <w:szCs w:val="20"/>
              </w:rPr>
            </w:pPr>
          </w:p>
        </w:tc>
        <w:tc>
          <w:tcPr>
            <w:tcW w:w="100" w:type="pct"/>
            <w:vAlign w:val="center"/>
            <w:hideMark/>
          </w:tcPr>
          <w:p w14:paraId="3999B840" w14:textId="77777777" w:rsidR="00000000" w:rsidRDefault="00632532">
            <w:pPr>
              <w:rPr>
                <w:rFonts w:eastAsia="Times New Roman"/>
                <w:sz w:val="20"/>
                <w:szCs w:val="20"/>
              </w:rPr>
            </w:pPr>
          </w:p>
        </w:tc>
        <w:tc>
          <w:tcPr>
            <w:tcW w:w="1599" w:type="pct"/>
            <w:vAlign w:val="center"/>
            <w:hideMark/>
          </w:tcPr>
          <w:p w14:paraId="593E475D" w14:textId="77777777" w:rsidR="00000000" w:rsidRDefault="00632532">
            <w:pPr>
              <w:rPr>
                <w:rFonts w:eastAsia="Times New Roman"/>
                <w:sz w:val="20"/>
                <w:szCs w:val="20"/>
              </w:rPr>
            </w:pPr>
          </w:p>
        </w:tc>
        <w:tc>
          <w:tcPr>
            <w:tcW w:w="100" w:type="pct"/>
            <w:vAlign w:val="center"/>
            <w:hideMark/>
          </w:tcPr>
          <w:p w14:paraId="4544AC00" w14:textId="77777777" w:rsidR="00000000" w:rsidRDefault="00632532">
            <w:pPr>
              <w:rPr>
                <w:rFonts w:eastAsia="Times New Roman"/>
                <w:sz w:val="20"/>
                <w:szCs w:val="20"/>
              </w:rPr>
            </w:pPr>
          </w:p>
        </w:tc>
        <w:tc>
          <w:tcPr>
            <w:tcW w:w="1599" w:type="pct"/>
            <w:vAlign w:val="center"/>
            <w:hideMark/>
          </w:tcPr>
          <w:p w14:paraId="76876772" w14:textId="77777777" w:rsidR="00000000" w:rsidRDefault="00632532">
            <w:pPr>
              <w:rPr>
                <w:rFonts w:eastAsia="Times New Roman"/>
                <w:sz w:val="20"/>
                <w:szCs w:val="20"/>
              </w:rPr>
            </w:pPr>
          </w:p>
        </w:tc>
      </w:tr>
      <w:tr w:rsidR="00000000" w14:paraId="60D190E0" w14:textId="77777777">
        <w:trPr>
          <w:trHeight w:val="180"/>
          <w:tblCellSpacing w:w="15" w:type="dxa"/>
        </w:trPr>
        <w:tc>
          <w:tcPr>
            <w:tcW w:w="0" w:type="auto"/>
            <w:tcBorders>
              <w:top w:val="single" w:sz="4" w:space="0" w:color="auto"/>
              <w:left w:val="single" w:sz="4" w:space="0" w:color="auto"/>
              <w:bottom w:val="single" w:sz="4" w:space="0" w:color="auto"/>
              <w:right w:val="single" w:sz="4" w:space="0" w:color="auto"/>
            </w:tcBorders>
            <w:vAlign w:val="bottom"/>
            <w:hideMark/>
          </w:tcPr>
          <w:p w14:paraId="4982E210" w14:textId="77777777" w:rsidR="00000000" w:rsidRDefault="00632532">
            <w:pPr>
              <w:pStyle w:val="a3"/>
              <w:spacing w:before="0" w:beforeAutospacing="0" w:after="0" w:afterAutospacing="0"/>
              <w:jc w:val="center"/>
              <w:rPr>
                <w:sz w:val="18"/>
                <w:szCs w:val="18"/>
              </w:rPr>
            </w:pPr>
            <w:r>
              <w:rPr>
                <w:b/>
                <w:bCs/>
                <w:sz w:val="18"/>
                <w:szCs w:val="18"/>
              </w:rPr>
              <w:t>Title of each clas</w:t>
            </w:r>
            <w:r>
              <w:rPr>
                <w:b/>
                <w:bCs/>
                <w:sz w:val="18"/>
                <w:szCs w:val="18"/>
              </w:rPr>
              <w:t>s</w:t>
            </w:r>
          </w:p>
        </w:tc>
        <w:tc>
          <w:tcPr>
            <w:tcW w:w="0" w:type="auto"/>
            <w:tcBorders>
              <w:top w:val="single" w:sz="4" w:space="0" w:color="auto"/>
              <w:bottom w:val="single" w:sz="4" w:space="0" w:color="auto"/>
            </w:tcBorders>
            <w:hideMark/>
          </w:tcPr>
          <w:p w14:paraId="3D276052" w14:textId="77777777" w:rsidR="00000000" w:rsidRDefault="00632532">
            <w:pPr>
              <w:pStyle w:val="a3"/>
              <w:spacing w:before="80" w:beforeAutospacing="0" w:after="0" w:afterAutospacing="0"/>
              <w:jc w:val="center"/>
              <w:rPr>
                <w:sz w:val="18"/>
                <w:szCs w:val="18"/>
              </w:rPr>
            </w:pPr>
            <w:r>
              <w:rPr>
                <w:sz w:val="18"/>
                <w:szCs w:val="18"/>
              </w:rPr>
              <w:t> </w:t>
            </w:r>
          </w:p>
        </w:tc>
        <w:tc>
          <w:tcPr>
            <w:tcW w:w="0" w:type="auto"/>
            <w:tcBorders>
              <w:top w:val="single" w:sz="4" w:space="0" w:color="auto"/>
              <w:bottom w:val="single" w:sz="4" w:space="0" w:color="auto"/>
            </w:tcBorders>
            <w:vAlign w:val="bottom"/>
            <w:hideMark/>
          </w:tcPr>
          <w:p w14:paraId="2AA701D5" w14:textId="77777777" w:rsidR="00000000" w:rsidRDefault="00632532">
            <w:pPr>
              <w:pStyle w:val="a3"/>
              <w:spacing w:before="0" w:beforeAutospacing="0" w:after="0" w:afterAutospacing="0"/>
              <w:jc w:val="center"/>
              <w:rPr>
                <w:sz w:val="18"/>
                <w:szCs w:val="18"/>
              </w:rPr>
            </w:pPr>
            <w:r>
              <w:rPr>
                <w:b/>
                <w:bCs/>
                <w:sz w:val="18"/>
                <w:szCs w:val="18"/>
              </w:rPr>
              <w:t>Trading Symbol(s</w:t>
            </w:r>
            <w:r>
              <w:rPr>
                <w:b/>
                <w:bCs/>
                <w:sz w:val="18"/>
                <w:szCs w:val="18"/>
              </w:rPr>
              <w:t>)</w:t>
            </w:r>
          </w:p>
        </w:tc>
        <w:tc>
          <w:tcPr>
            <w:tcW w:w="0" w:type="auto"/>
            <w:tcBorders>
              <w:top w:val="single" w:sz="4" w:space="0" w:color="auto"/>
              <w:bottom w:val="single" w:sz="4" w:space="0" w:color="auto"/>
              <w:right w:val="single" w:sz="4" w:space="0" w:color="auto"/>
            </w:tcBorders>
            <w:hideMark/>
          </w:tcPr>
          <w:p w14:paraId="63FE0C43" w14:textId="77777777" w:rsidR="00000000" w:rsidRDefault="00632532">
            <w:pPr>
              <w:pStyle w:val="a3"/>
              <w:spacing w:before="80" w:beforeAutospacing="0" w:after="0" w:afterAutospacing="0"/>
              <w:jc w:val="center"/>
              <w:rPr>
                <w:sz w:val="18"/>
                <w:szCs w:val="18"/>
              </w:rPr>
            </w:pPr>
            <w:r>
              <w:rPr>
                <w:sz w:val="18"/>
                <w:szCs w:val="18"/>
              </w:rPr>
              <w:t> </w:t>
            </w:r>
          </w:p>
        </w:tc>
        <w:tc>
          <w:tcPr>
            <w:tcW w:w="0" w:type="auto"/>
            <w:tcBorders>
              <w:top w:val="single" w:sz="4" w:space="0" w:color="auto"/>
              <w:bottom w:val="single" w:sz="4" w:space="0" w:color="auto"/>
              <w:right w:val="single" w:sz="4" w:space="0" w:color="auto"/>
            </w:tcBorders>
            <w:vAlign w:val="bottom"/>
            <w:hideMark/>
          </w:tcPr>
          <w:p w14:paraId="242955E9" w14:textId="77777777" w:rsidR="00000000" w:rsidRDefault="00632532">
            <w:pPr>
              <w:pStyle w:val="a3"/>
              <w:spacing w:before="0" w:beforeAutospacing="0" w:after="0" w:afterAutospacing="0"/>
              <w:jc w:val="center"/>
              <w:rPr>
                <w:sz w:val="18"/>
                <w:szCs w:val="18"/>
              </w:rPr>
            </w:pPr>
            <w:r>
              <w:rPr>
                <w:b/>
                <w:bCs/>
                <w:sz w:val="18"/>
                <w:szCs w:val="18"/>
              </w:rPr>
              <w:t>Name of each exchange on which registere</w:t>
            </w:r>
            <w:r>
              <w:rPr>
                <w:b/>
                <w:bCs/>
                <w:sz w:val="18"/>
                <w:szCs w:val="18"/>
              </w:rPr>
              <w:t>d</w:t>
            </w:r>
          </w:p>
        </w:tc>
      </w:tr>
      <w:tr w:rsidR="00000000" w14:paraId="08E286F5" w14:textId="77777777">
        <w:trPr>
          <w:trHeight w:val="180"/>
          <w:tblCellSpacing w:w="15" w:type="dxa"/>
        </w:trPr>
        <w:tc>
          <w:tcPr>
            <w:tcW w:w="0" w:type="auto"/>
            <w:tcBorders>
              <w:left w:val="single" w:sz="4" w:space="0" w:color="auto"/>
              <w:bottom w:val="single" w:sz="4" w:space="0" w:color="auto"/>
              <w:right w:val="single" w:sz="4" w:space="0" w:color="auto"/>
            </w:tcBorders>
            <w:hideMark/>
          </w:tcPr>
          <w:p w14:paraId="62AFDB48" w14:textId="77777777" w:rsidR="00000000" w:rsidRDefault="00632532">
            <w:pPr>
              <w:pStyle w:val="a3"/>
              <w:spacing w:before="0" w:beforeAutospacing="0" w:after="0" w:afterAutospacing="0"/>
              <w:jc w:val="center"/>
              <w:rPr>
                <w:sz w:val="20"/>
                <w:szCs w:val="20"/>
              </w:rPr>
            </w:pPr>
            <w:r>
              <w:rPr>
                <w:sz w:val="18"/>
                <w:szCs w:val="18"/>
              </w:rPr>
              <w:t>Common Stock, par value $0.0001 per shar</w:t>
            </w:r>
            <w:r>
              <w:rPr>
                <w:sz w:val="18"/>
                <w:szCs w:val="18"/>
              </w:rPr>
              <w:t>e</w:t>
            </w:r>
          </w:p>
        </w:tc>
        <w:tc>
          <w:tcPr>
            <w:tcW w:w="0" w:type="auto"/>
            <w:tcBorders>
              <w:bottom w:val="single" w:sz="4" w:space="0" w:color="auto"/>
            </w:tcBorders>
            <w:hideMark/>
          </w:tcPr>
          <w:p w14:paraId="0F7C474E" w14:textId="77777777" w:rsidR="00000000" w:rsidRDefault="00632532">
            <w:pPr>
              <w:pStyle w:val="a3"/>
              <w:spacing w:before="80" w:beforeAutospacing="0" w:after="0" w:afterAutospacing="0"/>
              <w:jc w:val="center"/>
              <w:rPr>
                <w:sz w:val="18"/>
                <w:szCs w:val="18"/>
              </w:rPr>
            </w:pPr>
            <w:r>
              <w:rPr>
                <w:sz w:val="18"/>
                <w:szCs w:val="18"/>
              </w:rPr>
              <w:t> </w:t>
            </w:r>
          </w:p>
        </w:tc>
        <w:tc>
          <w:tcPr>
            <w:tcW w:w="0" w:type="auto"/>
            <w:tcBorders>
              <w:bottom w:val="single" w:sz="4" w:space="0" w:color="auto"/>
            </w:tcBorders>
            <w:hideMark/>
          </w:tcPr>
          <w:p w14:paraId="2DC82F43" w14:textId="77777777" w:rsidR="00000000" w:rsidRDefault="00632532">
            <w:pPr>
              <w:pStyle w:val="a3"/>
              <w:spacing w:before="0" w:beforeAutospacing="0" w:after="0" w:afterAutospacing="0"/>
              <w:jc w:val="center"/>
              <w:rPr>
                <w:sz w:val="20"/>
                <w:szCs w:val="20"/>
              </w:rPr>
            </w:pPr>
            <w:r>
              <w:rPr>
                <w:sz w:val="18"/>
                <w:szCs w:val="18"/>
              </w:rPr>
              <w:t>FLG</w:t>
            </w:r>
            <w:r>
              <w:rPr>
                <w:sz w:val="18"/>
                <w:szCs w:val="18"/>
              </w:rPr>
              <w:t>T</w:t>
            </w:r>
          </w:p>
        </w:tc>
        <w:tc>
          <w:tcPr>
            <w:tcW w:w="0" w:type="auto"/>
            <w:tcBorders>
              <w:bottom w:val="single" w:sz="4" w:space="0" w:color="auto"/>
              <w:right w:val="single" w:sz="4" w:space="0" w:color="auto"/>
            </w:tcBorders>
            <w:hideMark/>
          </w:tcPr>
          <w:p w14:paraId="73C9F275" w14:textId="77777777" w:rsidR="00000000" w:rsidRDefault="00632532">
            <w:pPr>
              <w:pStyle w:val="a3"/>
              <w:spacing w:before="80" w:beforeAutospacing="0" w:after="0" w:afterAutospacing="0"/>
              <w:jc w:val="center"/>
              <w:rPr>
                <w:sz w:val="18"/>
                <w:szCs w:val="18"/>
              </w:rPr>
            </w:pPr>
            <w:r>
              <w:rPr>
                <w:sz w:val="18"/>
                <w:szCs w:val="18"/>
              </w:rPr>
              <w:t> </w:t>
            </w:r>
          </w:p>
        </w:tc>
        <w:tc>
          <w:tcPr>
            <w:tcW w:w="0" w:type="auto"/>
            <w:tcBorders>
              <w:bottom w:val="single" w:sz="4" w:space="0" w:color="auto"/>
              <w:right w:val="single" w:sz="4" w:space="0" w:color="auto"/>
            </w:tcBorders>
            <w:hideMark/>
          </w:tcPr>
          <w:p w14:paraId="25675988" w14:textId="77777777" w:rsidR="00000000" w:rsidRDefault="00632532">
            <w:pPr>
              <w:pStyle w:val="a3"/>
              <w:spacing w:before="0" w:beforeAutospacing="0" w:after="0" w:afterAutospacing="0"/>
              <w:jc w:val="center"/>
              <w:rPr>
                <w:sz w:val="20"/>
                <w:szCs w:val="20"/>
              </w:rPr>
            </w:pPr>
            <w:r>
              <w:rPr>
                <w:sz w:val="18"/>
                <w:szCs w:val="18"/>
              </w:rPr>
              <w:t>The</w:t>
            </w:r>
            <w:r>
              <w:rPr>
                <w:sz w:val="18"/>
                <w:szCs w:val="18"/>
              </w:rPr>
              <w:t xml:space="preserve"> </w:t>
            </w:r>
            <w:r>
              <w:rPr>
                <w:sz w:val="18"/>
                <w:szCs w:val="18"/>
              </w:rPr>
              <w:t>Nasda</w:t>
            </w:r>
            <w:r>
              <w:rPr>
                <w:sz w:val="18"/>
                <w:szCs w:val="18"/>
              </w:rPr>
              <w:t>q</w:t>
            </w:r>
            <w:r>
              <w:rPr>
                <w:sz w:val="18"/>
                <w:szCs w:val="18"/>
              </w:rPr>
              <w:t xml:space="preserve"> Stock Market </w:t>
            </w:r>
            <w:r>
              <w:rPr>
                <w:sz w:val="18"/>
                <w:szCs w:val="18"/>
              </w:rPr>
              <w:br/>
              <w:t>(Nasdaq Global Market</w:t>
            </w:r>
            <w:r>
              <w:rPr>
                <w:sz w:val="18"/>
                <w:szCs w:val="18"/>
              </w:rPr>
              <w:t>)</w:t>
            </w:r>
          </w:p>
        </w:tc>
      </w:tr>
    </w:tbl>
    <w:p w14:paraId="75602298" w14:textId="77777777" w:rsidR="00000000" w:rsidRDefault="00632532">
      <w:pPr>
        <w:pStyle w:val="a3"/>
        <w:spacing w:before="0" w:beforeAutospacing="0" w:after="0" w:afterAutospacing="0"/>
        <w:rPr>
          <w:sz w:val="20"/>
          <w:szCs w:val="20"/>
        </w:rPr>
      </w:pPr>
      <w:r>
        <w:rPr>
          <w:sz w:val="20"/>
          <w:szCs w:val="20"/>
        </w:rPr>
        <w:t> </w:t>
      </w:r>
    </w:p>
    <w:p w14:paraId="041C06E7" w14:textId="77777777" w:rsidR="00000000" w:rsidRDefault="00632532">
      <w:pPr>
        <w:pStyle w:val="a3"/>
        <w:spacing w:before="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14:paraId="42416BC3" w14:textId="77777777" w:rsidR="00000000" w:rsidRDefault="00632532">
      <w:pPr>
        <w:pStyle w:val="a3"/>
        <w:spacing w:before="80" w:beforeAutospacing="0" w:after="0" w:afterAutospacing="0"/>
        <w:ind w:firstLine="555"/>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lation S-T (§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14:paraId="62CFF93F" w14:textId="77777777" w:rsidR="00000000" w:rsidRDefault="00632532">
      <w:pPr>
        <w:pStyle w:val="a3"/>
        <w:spacing w:before="80" w:beforeAutospacing="0" w:after="0" w:afterAutospacing="0"/>
        <w:ind w:firstLine="555"/>
        <w:rPr>
          <w:sz w:val="20"/>
          <w:szCs w:val="20"/>
        </w:rPr>
      </w:pPr>
      <w:r>
        <w:rPr>
          <w:sz w:val="18"/>
          <w:szCs w:val="18"/>
        </w:rPr>
        <w:t xml:space="preserve">Indicate by check mark whether the registrant is a large accelerated filer, an accelerated </w:t>
      </w:r>
      <w:r>
        <w:rPr>
          <w:sz w:val="18"/>
          <w:szCs w:val="18"/>
        </w:rPr>
        <w:t xml:space="preserve">filer, a non-accelerated filer, a smaller reporting company, or an emerging growth company. See the definitions of “large </w:t>
      </w:r>
      <w:r>
        <w:rPr>
          <w:sz w:val="18"/>
          <w:szCs w:val="18"/>
        </w:rPr>
        <w:lastRenderedPageBreak/>
        <w:t>accelerated filer,” “accelerated filer” “smaller reporting company,” and “emerging growth company” in Rule 12b-2 of the Exchange Act</w:t>
      </w:r>
      <w:r>
        <w:rPr>
          <w:sz w:val="18"/>
          <w:szCs w:val="18"/>
        </w:rPr>
        <w:t>.</w:t>
      </w:r>
    </w:p>
    <w:p w14:paraId="5F99C4D2"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1"/>
        <w:gridCol w:w="106"/>
        <w:gridCol w:w="4515"/>
        <w:gridCol w:w="106"/>
        <w:gridCol w:w="1662"/>
        <w:gridCol w:w="106"/>
        <w:gridCol w:w="230"/>
      </w:tblGrid>
      <w:tr w:rsidR="00000000" w14:paraId="7124A2EE" w14:textId="77777777">
        <w:trPr>
          <w:tblCellSpacing w:w="15" w:type="dxa"/>
        </w:trPr>
        <w:tc>
          <w:tcPr>
            <w:tcW w:w="955" w:type="pct"/>
            <w:vAlign w:val="center"/>
            <w:hideMark/>
          </w:tcPr>
          <w:p w14:paraId="29208B73" w14:textId="77777777" w:rsidR="00000000" w:rsidRDefault="00632532">
            <w:pPr>
              <w:rPr>
                <w:sz w:val="20"/>
                <w:szCs w:val="20"/>
              </w:rPr>
            </w:pPr>
          </w:p>
        </w:tc>
        <w:tc>
          <w:tcPr>
            <w:tcW w:w="50" w:type="pct"/>
            <w:vAlign w:val="center"/>
            <w:hideMark/>
          </w:tcPr>
          <w:p w14:paraId="6092887A" w14:textId="77777777" w:rsidR="00000000" w:rsidRDefault="00632532">
            <w:pPr>
              <w:rPr>
                <w:rFonts w:eastAsia="Times New Roman"/>
                <w:sz w:val="20"/>
                <w:szCs w:val="20"/>
              </w:rPr>
            </w:pPr>
          </w:p>
        </w:tc>
        <w:tc>
          <w:tcPr>
            <w:tcW w:w="2782" w:type="pct"/>
            <w:vAlign w:val="center"/>
            <w:hideMark/>
          </w:tcPr>
          <w:p w14:paraId="708A9805" w14:textId="77777777" w:rsidR="00000000" w:rsidRDefault="00632532">
            <w:pPr>
              <w:rPr>
                <w:rFonts w:eastAsia="Times New Roman"/>
                <w:sz w:val="20"/>
                <w:szCs w:val="20"/>
              </w:rPr>
            </w:pPr>
          </w:p>
        </w:tc>
        <w:tc>
          <w:tcPr>
            <w:tcW w:w="50" w:type="pct"/>
            <w:vAlign w:val="center"/>
            <w:hideMark/>
          </w:tcPr>
          <w:p w14:paraId="0FF6E0A5" w14:textId="77777777" w:rsidR="00000000" w:rsidRDefault="00632532">
            <w:pPr>
              <w:rPr>
                <w:rFonts w:eastAsia="Times New Roman"/>
                <w:sz w:val="20"/>
                <w:szCs w:val="20"/>
              </w:rPr>
            </w:pPr>
          </w:p>
        </w:tc>
        <w:tc>
          <w:tcPr>
            <w:tcW w:w="1015" w:type="pct"/>
            <w:vAlign w:val="center"/>
            <w:hideMark/>
          </w:tcPr>
          <w:p w14:paraId="0D14D1EB" w14:textId="77777777" w:rsidR="00000000" w:rsidRDefault="00632532">
            <w:pPr>
              <w:rPr>
                <w:rFonts w:eastAsia="Times New Roman"/>
                <w:sz w:val="20"/>
                <w:szCs w:val="20"/>
              </w:rPr>
            </w:pPr>
          </w:p>
        </w:tc>
        <w:tc>
          <w:tcPr>
            <w:tcW w:w="50" w:type="pct"/>
            <w:vAlign w:val="center"/>
            <w:hideMark/>
          </w:tcPr>
          <w:p w14:paraId="72C5CBC8" w14:textId="77777777" w:rsidR="00000000" w:rsidRDefault="00632532">
            <w:pPr>
              <w:rPr>
                <w:rFonts w:eastAsia="Times New Roman"/>
                <w:sz w:val="20"/>
                <w:szCs w:val="20"/>
              </w:rPr>
            </w:pPr>
          </w:p>
        </w:tc>
        <w:tc>
          <w:tcPr>
            <w:tcW w:w="96" w:type="pct"/>
            <w:vAlign w:val="center"/>
            <w:hideMark/>
          </w:tcPr>
          <w:p w14:paraId="2927A654" w14:textId="77777777" w:rsidR="00000000" w:rsidRDefault="00632532">
            <w:pPr>
              <w:rPr>
                <w:rFonts w:eastAsia="Times New Roman"/>
                <w:sz w:val="20"/>
                <w:szCs w:val="20"/>
              </w:rPr>
            </w:pPr>
          </w:p>
        </w:tc>
      </w:tr>
      <w:tr w:rsidR="00000000" w14:paraId="01D76864" w14:textId="77777777">
        <w:trPr>
          <w:trHeight w:val="216"/>
          <w:tblCellSpacing w:w="15" w:type="dxa"/>
        </w:trPr>
        <w:tc>
          <w:tcPr>
            <w:tcW w:w="0" w:type="auto"/>
            <w:tcMar>
              <w:top w:w="14" w:type="dxa"/>
              <w:left w:w="15" w:type="dxa"/>
              <w:bottom w:w="15" w:type="dxa"/>
              <w:right w:w="14" w:type="dxa"/>
            </w:tcMar>
            <w:hideMark/>
          </w:tcPr>
          <w:p w14:paraId="258B6A11" w14:textId="77777777" w:rsidR="00000000" w:rsidRDefault="00632532">
            <w:pPr>
              <w:pStyle w:val="a3"/>
              <w:spacing w:before="0" w:beforeAutospacing="0" w:after="0" w:afterAutospacing="0"/>
              <w:rPr>
                <w:sz w:val="20"/>
                <w:szCs w:val="20"/>
              </w:rPr>
            </w:pPr>
            <w:r>
              <w:rPr>
                <w:sz w:val="18"/>
                <w:szCs w:val="18"/>
              </w:rPr>
              <w:t>Large accelerated file</w:t>
            </w:r>
            <w:r>
              <w:rPr>
                <w:sz w:val="18"/>
                <w:szCs w:val="18"/>
              </w:rPr>
              <w:t>r</w:t>
            </w:r>
          </w:p>
        </w:tc>
        <w:tc>
          <w:tcPr>
            <w:tcW w:w="0" w:type="auto"/>
            <w:tcMar>
              <w:top w:w="14" w:type="dxa"/>
              <w:left w:w="15" w:type="dxa"/>
              <w:bottom w:w="15" w:type="dxa"/>
              <w:right w:w="14" w:type="dxa"/>
            </w:tcMar>
            <w:hideMark/>
          </w:tcPr>
          <w:p w14:paraId="7070CD56" w14:textId="77777777" w:rsidR="00000000" w:rsidRDefault="00632532">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3282612B" w14:textId="77777777" w:rsidR="00000000" w:rsidRDefault="00632532">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14:paraId="4ED66B16" w14:textId="77777777" w:rsidR="00000000" w:rsidRDefault="00632532">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12D71B3D" w14:textId="77777777" w:rsidR="00000000" w:rsidRDefault="00632532">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14:paraId="613CAA61" w14:textId="77777777" w:rsidR="00000000" w:rsidRDefault="00632532">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6F61466B" w14:textId="77777777" w:rsidR="00000000" w:rsidRDefault="00632532">
            <w:pPr>
              <w:pStyle w:val="a3"/>
              <w:spacing w:before="0" w:beforeAutospacing="0" w:after="0" w:afterAutospacing="0"/>
              <w:rPr>
                <w:sz w:val="18"/>
                <w:szCs w:val="18"/>
              </w:rPr>
            </w:pPr>
            <w:r>
              <w:rPr>
                <w:rFonts w:ascii="Segoe UI Symbol" w:hAnsi="Segoe UI Symbol" w:cs="Segoe UI Symbol"/>
                <w:sz w:val="18"/>
                <w:szCs w:val="18"/>
              </w:rPr>
              <w:t>☐</w:t>
            </w:r>
          </w:p>
        </w:tc>
      </w:tr>
      <w:tr w:rsidR="00000000" w14:paraId="65F7BFBC" w14:textId="77777777">
        <w:trPr>
          <w:trHeight w:val="72"/>
          <w:tblCellSpacing w:w="15" w:type="dxa"/>
        </w:trPr>
        <w:tc>
          <w:tcPr>
            <w:tcW w:w="0" w:type="auto"/>
            <w:tcMar>
              <w:top w:w="14" w:type="dxa"/>
              <w:left w:w="15" w:type="dxa"/>
              <w:bottom w:w="15" w:type="dxa"/>
              <w:right w:w="14" w:type="dxa"/>
            </w:tcMar>
            <w:hideMark/>
          </w:tcPr>
          <w:p w14:paraId="3FCC7EFF" w14:textId="77777777" w:rsidR="00000000" w:rsidRDefault="00632532">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14:paraId="2330DF19" w14:textId="77777777" w:rsidR="00000000" w:rsidRDefault="00632532">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14:paraId="24EB8020" w14:textId="77777777" w:rsidR="00000000" w:rsidRDefault="00632532">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14:paraId="799F0E62" w14:textId="77777777" w:rsidR="00000000" w:rsidRDefault="00632532">
            <w:pPr>
              <w:pStyle w:val="a3"/>
              <w:spacing w:before="0" w:beforeAutospacing="0" w:after="0" w:afterAutospacing="0"/>
              <w:rPr>
                <w:sz w:val="4"/>
                <w:szCs w:val="4"/>
              </w:rPr>
            </w:pPr>
            <w:r>
              <w:rPr>
                <w:sz w:val="4"/>
                <w:szCs w:val="4"/>
              </w:rPr>
              <w:t> </w:t>
            </w:r>
          </w:p>
        </w:tc>
      </w:tr>
      <w:tr w:rsidR="00000000" w14:paraId="34326EC7" w14:textId="77777777">
        <w:trPr>
          <w:trHeight w:val="180"/>
          <w:tblCellSpacing w:w="15" w:type="dxa"/>
        </w:trPr>
        <w:tc>
          <w:tcPr>
            <w:tcW w:w="0" w:type="auto"/>
            <w:tcMar>
              <w:top w:w="14" w:type="dxa"/>
              <w:left w:w="15" w:type="dxa"/>
              <w:bottom w:w="15" w:type="dxa"/>
              <w:right w:w="14" w:type="dxa"/>
            </w:tcMar>
            <w:hideMark/>
          </w:tcPr>
          <w:p w14:paraId="6C836C21" w14:textId="77777777" w:rsidR="00000000" w:rsidRDefault="00632532">
            <w:pPr>
              <w:pStyle w:val="a3"/>
              <w:spacing w:before="0" w:beforeAutospacing="0" w:after="0" w:afterAutospacing="0"/>
              <w:rPr>
                <w:sz w:val="18"/>
                <w:szCs w:val="18"/>
              </w:rPr>
            </w:pPr>
            <w:r>
              <w:rPr>
                <w:sz w:val="18"/>
                <w:szCs w:val="18"/>
              </w:rPr>
              <w:t>Non-accelerated file</w:t>
            </w:r>
            <w:r>
              <w:rPr>
                <w:sz w:val="18"/>
                <w:szCs w:val="18"/>
              </w:rPr>
              <w:t>r</w:t>
            </w:r>
          </w:p>
        </w:tc>
        <w:tc>
          <w:tcPr>
            <w:tcW w:w="0" w:type="auto"/>
            <w:tcMar>
              <w:top w:w="14" w:type="dxa"/>
              <w:left w:w="15" w:type="dxa"/>
              <w:bottom w:w="15" w:type="dxa"/>
              <w:right w:w="14" w:type="dxa"/>
            </w:tcMar>
            <w:hideMark/>
          </w:tcPr>
          <w:p w14:paraId="08D83038" w14:textId="77777777" w:rsidR="00000000" w:rsidRDefault="00632532">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68BE7C21" w14:textId="77777777" w:rsidR="00000000" w:rsidRDefault="00632532">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14:paraId="6EACE922" w14:textId="77777777" w:rsidR="00000000" w:rsidRDefault="00632532">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7A78B3CF" w14:textId="77777777" w:rsidR="00000000" w:rsidRDefault="00632532">
            <w:pPr>
              <w:pStyle w:val="a3"/>
              <w:spacing w:before="0" w:beforeAutospacing="0" w:after="0" w:afterAutospacing="0"/>
              <w:rPr>
                <w:sz w:val="18"/>
                <w:szCs w:val="18"/>
              </w:rPr>
            </w:pPr>
            <w:r>
              <w:rPr>
                <w:sz w:val="18"/>
                <w:szCs w:val="18"/>
              </w:rPr>
              <w:t>Smaller reporting compan</w:t>
            </w:r>
            <w:r>
              <w:rPr>
                <w:sz w:val="18"/>
                <w:szCs w:val="18"/>
              </w:rPr>
              <w:t>y</w:t>
            </w:r>
          </w:p>
        </w:tc>
        <w:tc>
          <w:tcPr>
            <w:tcW w:w="0" w:type="auto"/>
            <w:tcMar>
              <w:top w:w="14" w:type="dxa"/>
              <w:left w:w="15" w:type="dxa"/>
              <w:bottom w:w="15" w:type="dxa"/>
              <w:right w:w="14" w:type="dxa"/>
            </w:tcMar>
            <w:hideMark/>
          </w:tcPr>
          <w:p w14:paraId="03971326" w14:textId="77777777" w:rsidR="00000000" w:rsidRDefault="00632532">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55C65186" w14:textId="77777777" w:rsidR="00000000" w:rsidRDefault="00632532">
            <w:pPr>
              <w:pStyle w:val="a3"/>
              <w:spacing w:before="0" w:beforeAutospacing="0" w:after="0" w:afterAutospacing="0"/>
              <w:rPr>
                <w:sz w:val="20"/>
                <w:szCs w:val="20"/>
              </w:rPr>
            </w:pPr>
            <w:r>
              <w:rPr>
                <w:rFonts w:ascii="Segoe UI Symbol" w:hAnsi="Segoe UI Symbol" w:cs="Segoe UI Symbol"/>
                <w:sz w:val="18"/>
                <w:szCs w:val="18"/>
              </w:rPr>
              <w:t>☐</w:t>
            </w:r>
          </w:p>
        </w:tc>
      </w:tr>
      <w:tr w:rsidR="00000000" w14:paraId="206E3D1D" w14:textId="77777777">
        <w:trPr>
          <w:tblCellSpacing w:w="15" w:type="dxa"/>
        </w:trPr>
        <w:tc>
          <w:tcPr>
            <w:tcW w:w="0" w:type="auto"/>
            <w:tcMar>
              <w:top w:w="14" w:type="dxa"/>
              <w:left w:w="15" w:type="dxa"/>
              <w:bottom w:w="15" w:type="dxa"/>
              <w:right w:w="14" w:type="dxa"/>
            </w:tcMar>
            <w:hideMark/>
          </w:tcPr>
          <w:p w14:paraId="0DD08DC1" w14:textId="77777777" w:rsidR="00000000" w:rsidRDefault="00632532">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14DAE734" w14:textId="77777777" w:rsidR="00000000" w:rsidRDefault="00632532">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2CE4714F" w14:textId="77777777" w:rsidR="00000000" w:rsidRDefault="00632532">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52DBBF1C" w14:textId="77777777" w:rsidR="00000000" w:rsidRDefault="00632532">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533F8617" w14:textId="77777777" w:rsidR="00000000" w:rsidRDefault="00632532">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4707EFEE" w14:textId="77777777" w:rsidR="00000000" w:rsidRDefault="00632532">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168C538E" w14:textId="77777777" w:rsidR="00000000" w:rsidRDefault="00632532">
            <w:pPr>
              <w:pStyle w:val="a3"/>
              <w:spacing w:before="0" w:beforeAutospacing="0" w:after="0" w:afterAutospacing="0"/>
              <w:rPr>
                <w:sz w:val="4"/>
                <w:szCs w:val="4"/>
              </w:rPr>
            </w:pPr>
            <w:r>
              <w:rPr>
                <w:sz w:val="4"/>
                <w:szCs w:val="4"/>
              </w:rPr>
              <w:t> </w:t>
            </w:r>
          </w:p>
        </w:tc>
      </w:tr>
      <w:tr w:rsidR="00000000" w14:paraId="629BBD80" w14:textId="77777777">
        <w:trPr>
          <w:trHeight w:val="240"/>
          <w:tblCellSpacing w:w="15" w:type="dxa"/>
        </w:trPr>
        <w:tc>
          <w:tcPr>
            <w:tcW w:w="0" w:type="auto"/>
            <w:tcMar>
              <w:top w:w="14" w:type="dxa"/>
              <w:left w:w="15" w:type="dxa"/>
              <w:bottom w:w="15" w:type="dxa"/>
              <w:right w:w="14" w:type="dxa"/>
            </w:tcMar>
            <w:hideMark/>
          </w:tcPr>
          <w:p w14:paraId="402B42CC" w14:textId="77777777" w:rsidR="00000000" w:rsidRDefault="00632532">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56AE6DF7" w14:textId="77777777" w:rsidR="00000000" w:rsidRDefault="00632532">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7CBD7F1C" w14:textId="77777777" w:rsidR="00000000" w:rsidRDefault="00632532">
            <w:pPr>
              <w:pStyle w:val="a3"/>
              <w:spacing w:before="0" w:beforeAutospacing="0" w:after="0" w:afterAutospacing="0"/>
            </w:pPr>
            <w:r>
              <w:t> </w:t>
            </w:r>
          </w:p>
        </w:tc>
        <w:tc>
          <w:tcPr>
            <w:tcW w:w="0" w:type="auto"/>
            <w:tcMar>
              <w:top w:w="14" w:type="dxa"/>
              <w:left w:w="15" w:type="dxa"/>
              <w:bottom w:w="15" w:type="dxa"/>
              <w:right w:w="14" w:type="dxa"/>
            </w:tcMar>
            <w:hideMark/>
          </w:tcPr>
          <w:p w14:paraId="0CC241F9" w14:textId="77777777" w:rsidR="00000000" w:rsidRDefault="00632532">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1369970C" w14:textId="77777777" w:rsidR="00000000" w:rsidRDefault="00632532">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14:paraId="54D45391" w14:textId="77777777" w:rsidR="00000000" w:rsidRDefault="00632532">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7096C1F5" w14:textId="77777777" w:rsidR="00000000" w:rsidRDefault="00632532">
            <w:pPr>
              <w:pStyle w:val="a3"/>
              <w:spacing w:before="0" w:beforeAutospacing="0" w:after="0" w:afterAutospacing="0"/>
              <w:rPr>
                <w:sz w:val="20"/>
                <w:szCs w:val="20"/>
              </w:rPr>
            </w:pPr>
            <w:r>
              <w:rPr>
                <w:rFonts w:ascii="Segoe UI Symbol" w:hAnsi="Segoe UI Symbol" w:cs="Segoe UI Symbol"/>
                <w:sz w:val="18"/>
                <w:szCs w:val="18"/>
              </w:rPr>
              <w:t>☐</w:t>
            </w:r>
          </w:p>
        </w:tc>
      </w:tr>
    </w:tbl>
    <w:p w14:paraId="0BC1CE1D" w14:textId="77777777" w:rsidR="00000000" w:rsidRDefault="00632532">
      <w:pPr>
        <w:pStyle w:val="a3"/>
        <w:spacing w:before="0" w:beforeAutospacing="0" w:after="0" w:afterAutospacing="0"/>
        <w:rPr>
          <w:sz w:val="20"/>
          <w:szCs w:val="20"/>
        </w:rPr>
      </w:pPr>
      <w:r>
        <w:rPr>
          <w:sz w:val="20"/>
          <w:szCs w:val="20"/>
        </w:rPr>
        <w:t> </w:t>
      </w:r>
    </w:p>
    <w:p w14:paraId="250CF69E" w14:textId="77777777" w:rsidR="00000000" w:rsidRDefault="00632532">
      <w:pPr>
        <w:pStyle w:val="a3"/>
        <w:spacing w:before="0" w:beforeAutospacing="0" w:after="0" w:afterAutospacing="0"/>
        <w:ind w:firstLine="55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p>
    <w:p w14:paraId="7D5DDB32" w14:textId="77777777" w:rsidR="00000000" w:rsidRDefault="00632532">
      <w:pPr>
        <w:pStyle w:val="a3"/>
        <w:spacing w:before="80" w:beforeAutospacing="0" w:after="0" w:afterAutospacing="0"/>
        <w:ind w:firstLine="555"/>
        <w:rPr>
          <w:sz w:val="20"/>
          <w:szCs w:val="20"/>
        </w:rPr>
      </w:pPr>
      <w:r>
        <w:rPr>
          <w:sz w:val="18"/>
          <w:szCs w:val="18"/>
        </w:rPr>
        <w:t>Ind</w:t>
      </w:r>
      <w:r>
        <w:rPr>
          <w:sz w:val="18"/>
          <w:szCs w:val="18"/>
        </w:rPr>
        <w:t xml:space="preserve">icate by check mark whether the registrant is a shell company (as defined in Rule 12b-2 of the Exchange Act). Yes </w:t>
      </w:r>
      <w:r>
        <w:rPr>
          <w:rFonts w:ascii="Segoe UI Symbol" w:hAnsi="Segoe UI Symbol" w:cs="Segoe UI Symbol"/>
          <w:sz w:val="18"/>
          <w:szCs w:val="18"/>
        </w:rPr>
        <w:t>☐</w:t>
      </w:r>
      <w:r>
        <w:rPr>
          <w:sz w:val="18"/>
          <w:szCs w:val="18"/>
        </w:rPr>
        <w:t xml:space="preserve"> No</w:t>
      </w:r>
      <w:r>
        <w:rPr>
          <w:sz w:val="18"/>
          <w:szCs w:val="18"/>
        </w:rPr>
        <w:t xml:space="preserve"> </w:t>
      </w:r>
      <w:r>
        <w:rPr>
          <w:rFonts w:ascii="Segoe UI Symbol" w:hAnsi="Segoe UI Symbol" w:cs="Segoe UI Symbol"/>
          <w:sz w:val="18"/>
          <w:szCs w:val="18"/>
        </w:rPr>
        <w:t>☒</w:t>
      </w:r>
      <w:r>
        <w:rPr>
          <w:sz w:val="18"/>
          <w:szCs w:val="18"/>
        </w:rPr>
        <w:t xml:space="preserve"> </w:t>
      </w:r>
    </w:p>
    <w:p w14:paraId="14AEF82A" w14:textId="77777777" w:rsidR="00000000" w:rsidRDefault="00632532">
      <w:pPr>
        <w:pStyle w:val="a3"/>
        <w:spacing w:before="80" w:beforeAutospacing="0" w:after="0" w:afterAutospacing="0"/>
        <w:ind w:firstLine="555"/>
        <w:rPr>
          <w:sz w:val="20"/>
          <w:szCs w:val="20"/>
        </w:rPr>
      </w:pPr>
      <w:r>
        <w:rPr>
          <w:sz w:val="18"/>
          <w:szCs w:val="18"/>
        </w:rPr>
        <w:t>As of August 1, 2022, there were</w:t>
      </w:r>
      <w:r>
        <w:rPr>
          <w:sz w:val="18"/>
          <w:szCs w:val="18"/>
        </w:rPr>
        <w:t xml:space="preserve"> </w:t>
      </w:r>
      <w:r>
        <w:rPr>
          <w:sz w:val="18"/>
          <w:szCs w:val="18"/>
        </w:rPr>
        <w:t>30,265,75</w:t>
      </w:r>
      <w:r>
        <w:rPr>
          <w:sz w:val="18"/>
          <w:szCs w:val="18"/>
        </w:rPr>
        <w:t>4</w:t>
      </w:r>
      <w:r>
        <w:rPr>
          <w:sz w:val="18"/>
          <w:szCs w:val="18"/>
        </w:rPr>
        <w:t xml:space="preserve"> outstanding shares of the registrant’s common stock</w:t>
      </w:r>
      <w:r>
        <w:rPr>
          <w:sz w:val="18"/>
          <w:szCs w:val="18"/>
        </w:rPr>
        <w:t>.</w:t>
      </w:r>
    </w:p>
    <w:p w14:paraId="1773256C" w14:textId="77777777" w:rsidR="00000000" w:rsidRDefault="00632532">
      <w:pPr>
        <w:pStyle w:val="a3"/>
        <w:pBdr>
          <w:bottom w:val="double" w:sz="6" w:space="1" w:color="auto"/>
        </w:pBdr>
        <w:spacing w:before="0" w:beforeAutospacing="0" w:after="0" w:afterAutospacing="0"/>
        <w:jc w:val="center"/>
        <w:rPr>
          <w:sz w:val="20"/>
          <w:szCs w:val="20"/>
        </w:rPr>
      </w:pPr>
      <w:r>
        <w:rPr>
          <w:sz w:val="20"/>
          <w:szCs w:val="20"/>
        </w:rPr>
        <w:t> </w:t>
      </w:r>
    </w:p>
    <w:p w14:paraId="376F629F" w14:textId="77777777" w:rsidR="00000000" w:rsidRDefault="00632532">
      <w:pPr>
        <w:pStyle w:val="a3"/>
        <w:spacing w:before="240" w:beforeAutospacing="0" w:after="0" w:afterAutospacing="0"/>
        <w:jc w:val="center"/>
        <w:rPr>
          <w:sz w:val="20"/>
          <w:szCs w:val="20"/>
        </w:rPr>
      </w:pPr>
      <w:r>
        <w:rPr>
          <w:sz w:val="20"/>
          <w:szCs w:val="20"/>
        </w:rPr>
        <w:t> </w:t>
      </w:r>
    </w:p>
    <w:p w14:paraId="4727450E" w14:textId="77777777" w:rsidR="00000000" w:rsidRDefault="00632532">
      <w:pPr>
        <w:rPr>
          <w:rFonts w:eastAsia="Times New Roman"/>
        </w:rPr>
      </w:pPr>
      <w:r>
        <w:rPr>
          <w:rFonts w:eastAsia="Times New Roman"/>
        </w:rPr>
        <w:pict w14:anchorId="5683AB65">
          <v:rect id="_x0000_i1025" style="width:0;height:1.5pt" o:hralign="center" o:hrstd="t" o:hr="t" fillcolor="#a0a0a0" stroked="f"/>
        </w:pict>
      </w:r>
    </w:p>
    <w:p w14:paraId="4890F504" w14:textId="77777777" w:rsidR="00000000" w:rsidRDefault="00632532">
      <w:pPr>
        <w:pStyle w:val="a3"/>
        <w:spacing w:before="0" w:beforeAutospacing="0" w:after="0" w:afterAutospacing="0"/>
        <w:jc w:val="center"/>
        <w:rPr>
          <w:sz w:val="20"/>
          <w:szCs w:val="20"/>
        </w:rPr>
      </w:pPr>
      <w:r>
        <w:rPr>
          <w:b/>
          <w:bCs/>
        </w:rPr>
        <w:t>Table of Content</w:t>
      </w:r>
      <w:r>
        <w:rPr>
          <w:b/>
          <w:bCs/>
        </w:rPr>
        <w:t>s</w:t>
      </w:r>
    </w:p>
    <w:p w14:paraId="7C146681"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20"/>
        <w:gridCol w:w="486"/>
      </w:tblGrid>
      <w:tr w:rsidR="00000000" w14:paraId="3C6B337F" w14:textId="77777777">
        <w:trPr>
          <w:tblCellSpacing w:w="15" w:type="dxa"/>
        </w:trPr>
        <w:tc>
          <w:tcPr>
            <w:tcW w:w="4777" w:type="pct"/>
            <w:vAlign w:val="center"/>
            <w:hideMark/>
          </w:tcPr>
          <w:p w14:paraId="35AD4AB7" w14:textId="77777777" w:rsidR="00000000" w:rsidRDefault="00632532">
            <w:pPr>
              <w:rPr>
                <w:sz w:val="20"/>
                <w:szCs w:val="20"/>
              </w:rPr>
            </w:pPr>
          </w:p>
        </w:tc>
        <w:tc>
          <w:tcPr>
            <w:tcW w:w="222" w:type="pct"/>
            <w:vAlign w:val="center"/>
            <w:hideMark/>
          </w:tcPr>
          <w:p w14:paraId="54181F07" w14:textId="77777777" w:rsidR="00000000" w:rsidRDefault="00632532">
            <w:pPr>
              <w:rPr>
                <w:rFonts w:eastAsia="Times New Roman"/>
                <w:sz w:val="20"/>
                <w:szCs w:val="20"/>
              </w:rPr>
            </w:pPr>
          </w:p>
        </w:tc>
      </w:tr>
      <w:tr w:rsidR="00000000" w14:paraId="2D9DE5E4" w14:textId="77777777">
        <w:trPr>
          <w:trHeight w:val="200"/>
          <w:tblCellSpacing w:w="15" w:type="dxa"/>
        </w:trPr>
        <w:tc>
          <w:tcPr>
            <w:tcW w:w="0" w:type="auto"/>
            <w:hideMark/>
          </w:tcPr>
          <w:p w14:paraId="77A374D0"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54C53C0F" w14:textId="77777777" w:rsidR="00000000" w:rsidRDefault="00632532">
            <w:pPr>
              <w:pStyle w:val="a3"/>
              <w:spacing w:before="0" w:beforeAutospacing="0" w:after="0" w:afterAutospacing="0"/>
              <w:jc w:val="center"/>
              <w:rPr>
                <w:sz w:val="20"/>
                <w:szCs w:val="20"/>
              </w:rPr>
            </w:pPr>
            <w:r>
              <w:rPr>
                <w:b/>
                <w:bCs/>
                <w:sz w:val="20"/>
                <w:szCs w:val="20"/>
              </w:rPr>
              <w:t>Pag</w:t>
            </w:r>
            <w:r>
              <w:rPr>
                <w:b/>
                <w:bCs/>
                <w:sz w:val="20"/>
                <w:szCs w:val="20"/>
              </w:rPr>
              <w:t>e</w:t>
            </w:r>
          </w:p>
        </w:tc>
      </w:tr>
      <w:tr w:rsidR="00000000" w14:paraId="23C507AB" w14:textId="77777777">
        <w:trPr>
          <w:trHeight w:val="200"/>
          <w:tblCellSpacing w:w="15" w:type="dxa"/>
        </w:trPr>
        <w:tc>
          <w:tcPr>
            <w:tcW w:w="0" w:type="auto"/>
            <w:hideMark/>
          </w:tcPr>
          <w:p w14:paraId="1D891886" w14:textId="77777777" w:rsidR="00000000" w:rsidRDefault="00632532">
            <w:pPr>
              <w:pStyle w:val="a3"/>
              <w:spacing w:beforeAutospacing="0" w:after="0" w:afterAutospacing="0"/>
              <w:rPr>
                <w:sz w:val="20"/>
                <w:szCs w:val="20"/>
              </w:rPr>
            </w:pPr>
            <w:hyperlink w:anchor="part_ifinancial_information" w:history="1">
              <w:r>
                <w:rPr>
                  <w:rStyle w:val="a4"/>
                  <w:b/>
                  <w:bCs/>
                  <w:sz w:val="20"/>
                  <w:szCs w:val="20"/>
                </w:rPr>
                <w:t>PART I—FINANCIAL INFORMATIO</w:t>
              </w:r>
              <w:r>
                <w:rPr>
                  <w:rStyle w:val="a4"/>
                  <w:b/>
                  <w:bCs/>
                  <w:sz w:val="20"/>
                  <w:szCs w:val="20"/>
                </w:rPr>
                <w:t>N</w:t>
              </w:r>
            </w:hyperlink>
          </w:p>
        </w:tc>
        <w:tc>
          <w:tcPr>
            <w:tcW w:w="0" w:type="auto"/>
            <w:vAlign w:val="bottom"/>
            <w:hideMark/>
          </w:tcPr>
          <w:p w14:paraId="2F7E851A" w14:textId="77777777" w:rsidR="00000000" w:rsidRDefault="00632532">
            <w:pPr>
              <w:pStyle w:val="a3"/>
              <w:spacing w:before="0" w:beforeAutospacing="0" w:after="0" w:afterAutospacing="0"/>
              <w:jc w:val="center"/>
              <w:rPr>
                <w:sz w:val="20"/>
                <w:szCs w:val="20"/>
              </w:rPr>
            </w:pPr>
            <w:r>
              <w:rPr>
                <w:sz w:val="20"/>
                <w:szCs w:val="20"/>
              </w:rPr>
              <w:t>1</w:t>
            </w:r>
          </w:p>
        </w:tc>
      </w:tr>
      <w:tr w:rsidR="00000000" w14:paraId="5AA28DB5" w14:textId="77777777">
        <w:trPr>
          <w:trHeight w:val="200"/>
          <w:tblCellSpacing w:w="15" w:type="dxa"/>
        </w:trPr>
        <w:tc>
          <w:tcPr>
            <w:tcW w:w="0" w:type="auto"/>
            <w:hideMark/>
          </w:tcPr>
          <w:p w14:paraId="58C40110" w14:textId="77777777" w:rsidR="00000000" w:rsidRDefault="00632532">
            <w:pPr>
              <w:pStyle w:val="a3"/>
              <w:spacing w:beforeAutospacing="0" w:after="0" w:afterAutospacing="0"/>
              <w:rPr>
                <w:sz w:val="20"/>
                <w:szCs w:val="20"/>
              </w:rPr>
            </w:pPr>
            <w:hyperlink w:anchor="item_1_financial" w:history="1">
              <w:r>
                <w:rPr>
                  <w:rStyle w:val="a4"/>
                  <w:sz w:val="20"/>
                  <w:szCs w:val="20"/>
                </w:rPr>
                <w:t>Item 1. Financial Statements (Unaudited</w:t>
              </w:r>
              <w:r>
                <w:rPr>
                  <w:rStyle w:val="a4"/>
                  <w:sz w:val="20"/>
                  <w:szCs w:val="20"/>
                </w:rPr>
                <w:t>)</w:t>
              </w:r>
            </w:hyperlink>
          </w:p>
        </w:tc>
        <w:tc>
          <w:tcPr>
            <w:tcW w:w="0" w:type="auto"/>
            <w:vAlign w:val="bottom"/>
            <w:hideMark/>
          </w:tcPr>
          <w:p w14:paraId="7269A9C3" w14:textId="77777777" w:rsidR="00000000" w:rsidRDefault="00632532">
            <w:pPr>
              <w:pStyle w:val="a3"/>
              <w:spacing w:before="0" w:beforeAutospacing="0" w:after="0" w:afterAutospacing="0"/>
              <w:jc w:val="center"/>
              <w:rPr>
                <w:sz w:val="20"/>
                <w:szCs w:val="20"/>
              </w:rPr>
            </w:pPr>
            <w:r>
              <w:rPr>
                <w:sz w:val="20"/>
                <w:szCs w:val="20"/>
              </w:rPr>
              <w:t>1</w:t>
            </w:r>
          </w:p>
        </w:tc>
      </w:tr>
      <w:tr w:rsidR="00000000" w14:paraId="0D2E0782" w14:textId="77777777">
        <w:trPr>
          <w:trHeight w:val="200"/>
          <w:tblCellSpacing w:w="15" w:type="dxa"/>
        </w:trPr>
        <w:tc>
          <w:tcPr>
            <w:tcW w:w="0" w:type="auto"/>
            <w:hideMark/>
          </w:tcPr>
          <w:p w14:paraId="292339F0" w14:textId="77777777" w:rsidR="00000000" w:rsidRDefault="00632532">
            <w:pPr>
              <w:pStyle w:val="a3"/>
              <w:spacing w:beforeAutospacing="0" w:after="0" w:afterAutospacing="0"/>
              <w:rPr>
                <w:sz w:val="20"/>
                <w:szCs w:val="20"/>
              </w:rPr>
            </w:pPr>
            <w:hyperlink w:anchor="condensed_consolidated_balance_sheets" w:history="1">
              <w:r>
                <w:rPr>
                  <w:rStyle w:val="a4"/>
                  <w:sz w:val="20"/>
                  <w:szCs w:val="20"/>
                </w:rPr>
                <w:t>Condensed Consolidated Balance Sheet</w:t>
              </w:r>
              <w:r>
                <w:rPr>
                  <w:rStyle w:val="a4"/>
                  <w:sz w:val="20"/>
                  <w:szCs w:val="20"/>
                </w:rPr>
                <w:t>s</w:t>
              </w:r>
            </w:hyperlink>
          </w:p>
        </w:tc>
        <w:tc>
          <w:tcPr>
            <w:tcW w:w="0" w:type="auto"/>
            <w:vAlign w:val="bottom"/>
            <w:hideMark/>
          </w:tcPr>
          <w:p w14:paraId="47727637" w14:textId="77777777" w:rsidR="00000000" w:rsidRDefault="00632532">
            <w:pPr>
              <w:pStyle w:val="a3"/>
              <w:spacing w:before="0" w:beforeAutospacing="0" w:after="0" w:afterAutospacing="0"/>
              <w:jc w:val="center"/>
              <w:rPr>
                <w:sz w:val="20"/>
                <w:szCs w:val="20"/>
              </w:rPr>
            </w:pPr>
            <w:r>
              <w:rPr>
                <w:sz w:val="20"/>
                <w:szCs w:val="20"/>
              </w:rPr>
              <w:t>1</w:t>
            </w:r>
          </w:p>
        </w:tc>
      </w:tr>
      <w:tr w:rsidR="00000000" w14:paraId="7E8F088D" w14:textId="77777777">
        <w:trPr>
          <w:trHeight w:val="200"/>
          <w:tblCellSpacing w:w="15" w:type="dxa"/>
        </w:trPr>
        <w:tc>
          <w:tcPr>
            <w:tcW w:w="0" w:type="auto"/>
            <w:hideMark/>
          </w:tcPr>
          <w:p w14:paraId="39E2AC71" w14:textId="77777777" w:rsidR="00000000" w:rsidRDefault="00632532">
            <w:pPr>
              <w:pStyle w:val="a3"/>
              <w:spacing w:beforeAutospacing="0" w:after="0" w:afterAutospacing="0"/>
              <w:rPr>
                <w:sz w:val="20"/>
                <w:szCs w:val="20"/>
              </w:rPr>
            </w:pPr>
            <w:hyperlink w:anchor="condensed_consolidated_statements_opera" w:history="1">
              <w:r>
                <w:rPr>
                  <w:rStyle w:val="a4"/>
                  <w:sz w:val="20"/>
                  <w:szCs w:val="20"/>
                </w:rPr>
                <w:t>Condensed Consolidated Statements of Incom</w:t>
              </w:r>
              <w:r>
                <w:rPr>
                  <w:rStyle w:val="a4"/>
                  <w:sz w:val="20"/>
                  <w:szCs w:val="20"/>
                </w:rPr>
                <w:t>e</w:t>
              </w:r>
            </w:hyperlink>
          </w:p>
        </w:tc>
        <w:tc>
          <w:tcPr>
            <w:tcW w:w="0" w:type="auto"/>
            <w:vAlign w:val="bottom"/>
            <w:hideMark/>
          </w:tcPr>
          <w:p w14:paraId="47FE36F4" w14:textId="77777777" w:rsidR="00000000" w:rsidRDefault="00632532">
            <w:pPr>
              <w:pStyle w:val="a3"/>
              <w:spacing w:before="0" w:beforeAutospacing="0" w:after="0" w:afterAutospacing="0"/>
              <w:jc w:val="center"/>
              <w:rPr>
                <w:sz w:val="20"/>
                <w:szCs w:val="20"/>
              </w:rPr>
            </w:pPr>
            <w:r>
              <w:rPr>
                <w:sz w:val="20"/>
                <w:szCs w:val="20"/>
              </w:rPr>
              <w:t>2</w:t>
            </w:r>
          </w:p>
        </w:tc>
      </w:tr>
      <w:tr w:rsidR="00000000" w14:paraId="5248AE13" w14:textId="77777777">
        <w:trPr>
          <w:trHeight w:val="200"/>
          <w:tblCellSpacing w:w="15" w:type="dxa"/>
        </w:trPr>
        <w:tc>
          <w:tcPr>
            <w:tcW w:w="0" w:type="auto"/>
            <w:hideMark/>
          </w:tcPr>
          <w:p w14:paraId="5048083A" w14:textId="77777777" w:rsidR="00000000" w:rsidRDefault="00632532">
            <w:pPr>
              <w:pStyle w:val="a3"/>
              <w:spacing w:beforeAutospacing="0" w:after="0" w:afterAutospacing="0"/>
              <w:rPr>
                <w:sz w:val="20"/>
                <w:szCs w:val="20"/>
              </w:rPr>
            </w:pPr>
            <w:hyperlink w:anchor="consolidated_stmt_of_comp_lost" w:history="1">
              <w:r>
                <w:rPr>
                  <w:rStyle w:val="a4"/>
                  <w:sz w:val="20"/>
                  <w:szCs w:val="20"/>
                </w:rPr>
                <w:t>Condensed Consolidated Statements of Comprehensive Incom</w:t>
              </w:r>
              <w:r>
                <w:rPr>
                  <w:rStyle w:val="a4"/>
                  <w:sz w:val="20"/>
                  <w:szCs w:val="20"/>
                </w:rPr>
                <w:t>e</w:t>
              </w:r>
            </w:hyperlink>
          </w:p>
        </w:tc>
        <w:tc>
          <w:tcPr>
            <w:tcW w:w="0" w:type="auto"/>
            <w:vAlign w:val="bottom"/>
            <w:hideMark/>
          </w:tcPr>
          <w:p w14:paraId="76706E69" w14:textId="77777777" w:rsidR="00000000" w:rsidRDefault="00632532">
            <w:pPr>
              <w:pStyle w:val="a3"/>
              <w:spacing w:beforeAutospacing="0" w:after="0" w:afterAutospacing="0"/>
              <w:jc w:val="center"/>
              <w:rPr>
                <w:sz w:val="20"/>
                <w:szCs w:val="20"/>
              </w:rPr>
            </w:pPr>
            <w:r>
              <w:rPr>
                <w:sz w:val="20"/>
                <w:szCs w:val="20"/>
              </w:rPr>
              <w:t>3</w:t>
            </w:r>
          </w:p>
        </w:tc>
      </w:tr>
      <w:tr w:rsidR="00000000" w14:paraId="08D83791" w14:textId="77777777">
        <w:trPr>
          <w:trHeight w:val="200"/>
          <w:tblCellSpacing w:w="15" w:type="dxa"/>
        </w:trPr>
        <w:tc>
          <w:tcPr>
            <w:tcW w:w="0" w:type="auto"/>
            <w:hideMark/>
          </w:tcPr>
          <w:p w14:paraId="494AF986" w14:textId="77777777" w:rsidR="00000000" w:rsidRDefault="00632532">
            <w:pPr>
              <w:pStyle w:val="a3"/>
              <w:spacing w:beforeAutospacing="0" w:after="0" w:afterAutospacing="0"/>
              <w:rPr>
                <w:sz w:val="20"/>
                <w:szCs w:val="20"/>
              </w:rPr>
            </w:pPr>
            <w:hyperlink w:anchor="consolidated_statements_stockholders_eq" w:history="1">
              <w:r>
                <w:rPr>
                  <w:rStyle w:val="a4"/>
                  <w:sz w:val="20"/>
                  <w:szCs w:val="20"/>
                </w:rPr>
                <w:t>Condensed Consolidated Statements of Stockholders’ Equit</w:t>
              </w:r>
              <w:r>
                <w:rPr>
                  <w:rStyle w:val="a4"/>
                  <w:sz w:val="20"/>
                  <w:szCs w:val="20"/>
                </w:rPr>
                <w:t>y</w:t>
              </w:r>
            </w:hyperlink>
          </w:p>
        </w:tc>
        <w:tc>
          <w:tcPr>
            <w:tcW w:w="0" w:type="auto"/>
            <w:vAlign w:val="bottom"/>
            <w:hideMark/>
          </w:tcPr>
          <w:p w14:paraId="5C5375BA" w14:textId="77777777" w:rsidR="00000000" w:rsidRDefault="00632532">
            <w:pPr>
              <w:pStyle w:val="a3"/>
              <w:spacing w:beforeAutospacing="0" w:after="0" w:afterAutospacing="0"/>
              <w:jc w:val="center"/>
              <w:rPr>
                <w:sz w:val="20"/>
                <w:szCs w:val="20"/>
              </w:rPr>
            </w:pPr>
            <w:r>
              <w:rPr>
                <w:sz w:val="20"/>
                <w:szCs w:val="20"/>
              </w:rPr>
              <w:t>4</w:t>
            </w:r>
          </w:p>
        </w:tc>
      </w:tr>
      <w:tr w:rsidR="00000000" w14:paraId="033F7FF3" w14:textId="77777777">
        <w:trPr>
          <w:trHeight w:val="200"/>
          <w:tblCellSpacing w:w="15" w:type="dxa"/>
        </w:trPr>
        <w:tc>
          <w:tcPr>
            <w:tcW w:w="0" w:type="auto"/>
            <w:hideMark/>
          </w:tcPr>
          <w:p w14:paraId="69D864BB" w14:textId="77777777" w:rsidR="00000000" w:rsidRDefault="00632532">
            <w:pPr>
              <w:pStyle w:val="a3"/>
              <w:spacing w:beforeAutospacing="0" w:after="0" w:afterAutospacing="0"/>
              <w:rPr>
                <w:sz w:val="20"/>
                <w:szCs w:val="20"/>
              </w:rPr>
            </w:pPr>
            <w:hyperlink w:anchor="condensed_consolidated_statements_cash_" w:history="1">
              <w:r>
                <w:rPr>
                  <w:rStyle w:val="a4"/>
                  <w:sz w:val="20"/>
                  <w:szCs w:val="20"/>
                </w:rPr>
                <w:t>Condensed Consolidated Statements of Cash Flow</w:t>
              </w:r>
              <w:r>
                <w:rPr>
                  <w:rStyle w:val="a4"/>
                  <w:sz w:val="20"/>
                  <w:szCs w:val="20"/>
                </w:rPr>
                <w:t>s</w:t>
              </w:r>
            </w:hyperlink>
          </w:p>
        </w:tc>
        <w:tc>
          <w:tcPr>
            <w:tcW w:w="0" w:type="auto"/>
            <w:vAlign w:val="bottom"/>
            <w:hideMark/>
          </w:tcPr>
          <w:p w14:paraId="2D9D3679" w14:textId="77777777" w:rsidR="00000000" w:rsidRDefault="00632532">
            <w:pPr>
              <w:pStyle w:val="a3"/>
              <w:spacing w:beforeAutospacing="0" w:after="0" w:afterAutospacing="0"/>
              <w:jc w:val="center"/>
              <w:rPr>
                <w:sz w:val="20"/>
                <w:szCs w:val="20"/>
              </w:rPr>
            </w:pPr>
            <w:r>
              <w:rPr>
                <w:sz w:val="20"/>
                <w:szCs w:val="20"/>
              </w:rPr>
              <w:t>6</w:t>
            </w:r>
          </w:p>
        </w:tc>
      </w:tr>
      <w:tr w:rsidR="00000000" w14:paraId="77DE9DA1" w14:textId="77777777">
        <w:trPr>
          <w:trHeight w:val="200"/>
          <w:tblCellSpacing w:w="15" w:type="dxa"/>
        </w:trPr>
        <w:tc>
          <w:tcPr>
            <w:tcW w:w="0" w:type="auto"/>
            <w:hideMark/>
          </w:tcPr>
          <w:p w14:paraId="361C4566" w14:textId="77777777" w:rsidR="00000000" w:rsidRDefault="00632532">
            <w:pPr>
              <w:pStyle w:val="a3"/>
              <w:spacing w:beforeAutospacing="0" w:after="0" w:afterAutospacing="0"/>
              <w:rPr>
                <w:sz w:val="20"/>
                <w:szCs w:val="20"/>
              </w:rPr>
            </w:pPr>
            <w:hyperlink w:anchor="notes_to_condensed_consolidated_financi" w:history="1">
              <w:r>
                <w:rPr>
                  <w:rStyle w:val="a4"/>
                  <w:sz w:val="20"/>
                  <w:szCs w:val="20"/>
                </w:rPr>
                <w:t>Notes to the Condensed Consolidated Financial Statement</w:t>
              </w:r>
              <w:r>
                <w:rPr>
                  <w:rStyle w:val="a4"/>
                  <w:sz w:val="20"/>
                  <w:szCs w:val="20"/>
                </w:rPr>
                <w:t>s</w:t>
              </w:r>
            </w:hyperlink>
          </w:p>
        </w:tc>
        <w:tc>
          <w:tcPr>
            <w:tcW w:w="0" w:type="auto"/>
            <w:vAlign w:val="bottom"/>
            <w:hideMark/>
          </w:tcPr>
          <w:p w14:paraId="759F35C4" w14:textId="77777777" w:rsidR="00000000" w:rsidRDefault="00632532">
            <w:pPr>
              <w:pStyle w:val="a3"/>
              <w:spacing w:beforeAutospacing="0" w:after="0" w:afterAutospacing="0"/>
              <w:jc w:val="center"/>
              <w:rPr>
                <w:sz w:val="20"/>
                <w:szCs w:val="20"/>
              </w:rPr>
            </w:pPr>
            <w:r>
              <w:rPr>
                <w:sz w:val="20"/>
                <w:szCs w:val="20"/>
              </w:rPr>
              <w:t>7</w:t>
            </w:r>
          </w:p>
        </w:tc>
      </w:tr>
      <w:tr w:rsidR="00000000" w14:paraId="1317B9C9" w14:textId="77777777">
        <w:trPr>
          <w:trHeight w:val="200"/>
          <w:tblCellSpacing w:w="15" w:type="dxa"/>
        </w:trPr>
        <w:tc>
          <w:tcPr>
            <w:tcW w:w="0" w:type="auto"/>
            <w:hideMark/>
          </w:tcPr>
          <w:p w14:paraId="32522C64" w14:textId="77777777" w:rsidR="00000000" w:rsidRDefault="00632532">
            <w:pPr>
              <w:pStyle w:val="a3"/>
              <w:spacing w:beforeAutospacing="0" w:after="0" w:afterAutospacing="0"/>
              <w:rPr>
                <w:sz w:val="20"/>
                <w:szCs w:val="20"/>
              </w:rPr>
            </w:pPr>
            <w:hyperlink w:anchor="item_2_managements_discussion_analysis_" w:history="1">
              <w:r>
                <w:rPr>
                  <w:rStyle w:val="a4"/>
                  <w:sz w:val="20"/>
                  <w:szCs w:val="20"/>
                </w:rPr>
                <w:t>Item 2. Management’s Discussion and Analysis of Financial Condition and Results of Operation</w:t>
              </w:r>
              <w:r>
                <w:rPr>
                  <w:rStyle w:val="a4"/>
                  <w:sz w:val="20"/>
                  <w:szCs w:val="20"/>
                </w:rPr>
                <w:t>s</w:t>
              </w:r>
            </w:hyperlink>
          </w:p>
        </w:tc>
        <w:tc>
          <w:tcPr>
            <w:tcW w:w="0" w:type="auto"/>
            <w:vAlign w:val="bottom"/>
            <w:hideMark/>
          </w:tcPr>
          <w:p w14:paraId="157DB865" w14:textId="77777777" w:rsidR="00000000" w:rsidRDefault="00632532">
            <w:pPr>
              <w:pStyle w:val="a3"/>
              <w:spacing w:beforeAutospacing="0" w:after="0" w:afterAutospacing="0"/>
              <w:jc w:val="center"/>
              <w:rPr>
                <w:sz w:val="20"/>
                <w:szCs w:val="20"/>
              </w:rPr>
            </w:pPr>
            <w:r>
              <w:rPr>
                <w:sz w:val="20"/>
                <w:szCs w:val="20"/>
              </w:rPr>
              <w:t>2</w:t>
            </w:r>
            <w:r>
              <w:rPr>
                <w:sz w:val="20"/>
                <w:szCs w:val="20"/>
              </w:rPr>
              <w:t>3</w:t>
            </w:r>
          </w:p>
        </w:tc>
      </w:tr>
      <w:tr w:rsidR="00000000" w14:paraId="465AC9DE" w14:textId="77777777">
        <w:trPr>
          <w:trHeight w:val="200"/>
          <w:tblCellSpacing w:w="15" w:type="dxa"/>
        </w:trPr>
        <w:tc>
          <w:tcPr>
            <w:tcW w:w="0" w:type="auto"/>
            <w:hideMark/>
          </w:tcPr>
          <w:p w14:paraId="103F0540" w14:textId="77777777" w:rsidR="00000000" w:rsidRDefault="00632532">
            <w:pPr>
              <w:pStyle w:val="a3"/>
              <w:spacing w:beforeAutospacing="0" w:after="0" w:afterAutospacing="0"/>
              <w:rPr>
                <w:sz w:val="20"/>
                <w:szCs w:val="20"/>
              </w:rPr>
            </w:pPr>
            <w:hyperlink w:anchor="item_3_market_risk" w:history="1">
              <w:r>
                <w:rPr>
                  <w:rStyle w:val="a4"/>
                  <w:sz w:val="20"/>
                  <w:szCs w:val="20"/>
                </w:rPr>
                <w:t>Item 3. Quantitative and Qualitative Disclosures About Market Ris</w:t>
              </w:r>
              <w:r>
                <w:rPr>
                  <w:rStyle w:val="a4"/>
                  <w:sz w:val="20"/>
                  <w:szCs w:val="20"/>
                </w:rPr>
                <w:t>k</w:t>
              </w:r>
            </w:hyperlink>
          </w:p>
        </w:tc>
        <w:tc>
          <w:tcPr>
            <w:tcW w:w="0" w:type="auto"/>
            <w:vAlign w:val="bottom"/>
            <w:hideMark/>
          </w:tcPr>
          <w:p w14:paraId="5CB928B0" w14:textId="77777777" w:rsidR="00000000" w:rsidRDefault="00632532">
            <w:pPr>
              <w:pStyle w:val="a3"/>
              <w:spacing w:beforeAutospacing="0" w:after="0" w:afterAutospacing="0"/>
              <w:jc w:val="center"/>
              <w:rPr>
                <w:sz w:val="20"/>
                <w:szCs w:val="20"/>
              </w:rPr>
            </w:pPr>
            <w:r>
              <w:rPr>
                <w:sz w:val="20"/>
                <w:szCs w:val="20"/>
              </w:rPr>
              <w:t>3</w:t>
            </w:r>
            <w:r>
              <w:rPr>
                <w:sz w:val="20"/>
                <w:szCs w:val="20"/>
              </w:rPr>
              <w:t>0</w:t>
            </w:r>
          </w:p>
        </w:tc>
      </w:tr>
      <w:tr w:rsidR="00000000" w14:paraId="0C8D5264" w14:textId="77777777">
        <w:trPr>
          <w:trHeight w:val="200"/>
          <w:tblCellSpacing w:w="15" w:type="dxa"/>
        </w:trPr>
        <w:tc>
          <w:tcPr>
            <w:tcW w:w="0" w:type="auto"/>
            <w:hideMark/>
          </w:tcPr>
          <w:p w14:paraId="23FF3300" w14:textId="77777777" w:rsidR="00000000" w:rsidRDefault="00632532">
            <w:pPr>
              <w:pStyle w:val="a3"/>
              <w:spacing w:beforeAutospacing="0" w:after="0" w:afterAutospacing="0"/>
              <w:rPr>
                <w:sz w:val="20"/>
                <w:szCs w:val="20"/>
              </w:rPr>
            </w:pPr>
            <w:hyperlink w:anchor="item_4_controls_and_procedures" w:history="1">
              <w:r>
                <w:rPr>
                  <w:rStyle w:val="a4"/>
                  <w:sz w:val="20"/>
                  <w:szCs w:val="20"/>
                </w:rPr>
                <w:t>Item 4. Controls and Procedure</w:t>
              </w:r>
              <w:r>
                <w:rPr>
                  <w:rStyle w:val="a4"/>
                  <w:sz w:val="20"/>
                  <w:szCs w:val="20"/>
                </w:rPr>
                <w:t>s</w:t>
              </w:r>
            </w:hyperlink>
          </w:p>
        </w:tc>
        <w:tc>
          <w:tcPr>
            <w:tcW w:w="0" w:type="auto"/>
            <w:vAlign w:val="bottom"/>
            <w:hideMark/>
          </w:tcPr>
          <w:p w14:paraId="10544951" w14:textId="77777777" w:rsidR="00000000" w:rsidRDefault="00632532">
            <w:pPr>
              <w:pStyle w:val="a3"/>
              <w:spacing w:beforeAutospacing="0" w:after="0" w:afterAutospacing="0"/>
              <w:jc w:val="center"/>
              <w:rPr>
                <w:sz w:val="20"/>
                <w:szCs w:val="20"/>
              </w:rPr>
            </w:pPr>
            <w:r>
              <w:rPr>
                <w:sz w:val="20"/>
                <w:szCs w:val="20"/>
              </w:rPr>
              <w:t>3</w:t>
            </w:r>
            <w:r>
              <w:rPr>
                <w:sz w:val="20"/>
                <w:szCs w:val="20"/>
              </w:rPr>
              <w:t>0</w:t>
            </w:r>
          </w:p>
        </w:tc>
      </w:tr>
      <w:tr w:rsidR="00000000" w14:paraId="7545B55C" w14:textId="77777777">
        <w:trPr>
          <w:trHeight w:val="200"/>
          <w:tblCellSpacing w:w="15" w:type="dxa"/>
        </w:trPr>
        <w:tc>
          <w:tcPr>
            <w:tcW w:w="0" w:type="auto"/>
            <w:hideMark/>
          </w:tcPr>
          <w:p w14:paraId="249E6F04" w14:textId="77777777" w:rsidR="00000000" w:rsidRDefault="00632532">
            <w:pPr>
              <w:pStyle w:val="a3"/>
              <w:spacing w:beforeAutospacing="0" w:after="0" w:afterAutospacing="0"/>
              <w:rPr>
                <w:sz w:val="20"/>
                <w:szCs w:val="20"/>
              </w:rPr>
            </w:pPr>
            <w:hyperlink w:anchor="part_iior_information" w:history="1">
              <w:r>
                <w:rPr>
                  <w:rStyle w:val="a4"/>
                  <w:b/>
                  <w:bCs/>
                  <w:sz w:val="20"/>
                  <w:szCs w:val="20"/>
                </w:rPr>
                <w:t>PART II—OTHER INFORMATIO</w:t>
              </w:r>
              <w:r>
                <w:rPr>
                  <w:rStyle w:val="a4"/>
                  <w:b/>
                  <w:bCs/>
                  <w:sz w:val="20"/>
                  <w:szCs w:val="20"/>
                </w:rPr>
                <w:t>N</w:t>
              </w:r>
            </w:hyperlink>
          </w:p>
        </w:tc>
        <w:tc>
          <w:tcPr>
            <w:tcW w:w="0" w:type="auto"/>
            <w:vAlign w:val="bottom"/>
            <w:hideMark/>
          </w:tcPr>
          <w:p w14:paraId="6D15B821" w14:textId="77777777" w:rsidR="00000000" w:rsidRDefault="00632532">
            <w:pPr>
              <w:pStyle w:val="a3"/>
              <w:spacing w:beforeAutospacing="0" w:after="0" w:afterAutospacing="0"/>
              <w:jc w:val="center"/>
              <w:rPr>
                <w:sz w:val="20"/>
                <w:szCs w:val="20"/>
              </w:rPr>
            </w:pPr>
            <w:r>
              <w:rPr>
                <w:sz w:val="20"/>
                <w:szCs w:val="20"/>
              </w:rPr>
              <w:t>3</w:t>
            </w:r>
            <w:r>
              <w:rPr>
                <w:sz w:val="20"/>
                <w:szCs w:val="20"/>
              </w:rPr>
              <w:t>2</w:t>
            </w:r>
          </w:p>
        </w:tc>
      </w:tr>
      <w:tr w:rsidR="00000000" w14:paraId="724DA7F2" w14:textId="77777777">
        <w:trPr>
          <w:trHeight w:val="200"/>
          <w:tblCellSpacing w:w="15" w:type="dxa"/>
        </w:trPr>
        <w:tc>
          <w:tcPr>
            <w:tcW w:w="0" w:type="auto"/>
            <w:hideMark/>
          </w:tcPr>
          <w:p w14:paraId="0E4B6F81" w14:textId="77777777" w:rsidR="00000000" w:rsidRDefault="00632532">
            <w:pPr>
              <w:pStyle w:val="a3"/>
              <w:spacing w:beforeAutospacing="0" w:after="0" w:afterAutospacing="0"/>
              <w:rPr>
                <w:sz w:val="20"/>
                <w:szCs w:val="20"/>
              </w:rPr>
            </w:pPr>
            <w:hyperlink w:anchor="item_1_legal_proceedings" w:history="1">
              <w:r>
                <w:rPr>
                  <w:rStyle w:val="a4"/>
                  <w:sz w:val="20"/>
                  <w:szCs w:val="20"/>
                </w:rPr>
                <w:t>Item 1. Legal Proceeding</w:t>
              </w:r>
              <w:r>
                <w:rPr>
                  <w:rStyle w:val="a4"/>
                  <w:sz w:val="20"/>
                  <w:szCs w:val="20"/>
                </w:rPr>
                <w:t>s</w:t>
              </w:r>
            </w:hyperlink>
          </w:p>
        </w:tc>
        <w:tc>
          <w:tcPr>
            <w:tcW w:w="0" w:type="auto"/>
            <w:vAlign w:val="bottom"/>
            <w:hideMark/>
          </w:tcPr>
          <w:p w14:paraId="7F015CAF" w14:textId="77777777" w:rsidR="00000000" w:rsidRDefault="00632532">
            <w:pPr>
              <w:pStyle w:val="a3"/>
              <w:spacing w:before="0" w:beforeAutospacing="0" w:after="0" w:afterAutospacing="0"/>
              <w:jc w:val="center"/>
              <w:rPr>
                <w:sz w:val="20"/>
                <w:szCs w:val="20"/>
              </w:rPr>
            </w:pPr>
            <w:r>
              <w:rPr>
                <w:sz w:val="20"/>
                <w:szCs w:val="20"/>
              </w:rPr>
              <w:t>3</w:t>
            </w:r>
            <w:r>
              <w:rPr>
                <w:sz w:val="20"/>
                <w:szCs w:val="20"/>
              </w:rPr>
              <w:t>2</w:t>
            </w:r>
          </w:p>
        </w:tc>
      </w:tr>
      <w:tr w:rsidR="00000000" w14:paraId="11E1E63E" w14:textId="77777777">
        <w:trPr>
          <w:trHeight w:val="200"/>
          <w:tblCellSpacing w:w="15" w:type="dxa"/>
        </w:trPr>
        <w:tc>
          <w:tcPr>
            <w:tcW w:w="0" w:type="auto"/>
            <w:hideMark/>
          </w:tcPr>
          <w:p w14:paraId="2830F137" w14:textId="77777777" w:rsidR="00000000" w:rsidRDefault="00632532">
            <w:pPr>
              <w:pStyle w:val="a3"/>
              <w:spacing w:beforeAutospacing="0" w:after="0" w:afterAutospacing="0"/>
              <w:rPr>
                <w:sz w:val="20"/>
                <w:szCs w:val="20"/>
              </w:rPr>
            </w:pPr>
            <w:hyperlink w:anchor="item_1a_risk_factors" w:history="1">
              <w:r>
                <w:rPr>
                  <w:rStyle w:val="a4"/>
                  <w:sz w:val="20"/>
                  <w:szCs w:val="20"/>
                </w:rPr>
                <w:t>Item 1A. Risk Factor</w:t>
              </w:r>
              <w:r>
                <w:rPr>
                  <w:rStyle w:val="a4"/>
                  <w:sz w:val="20"/>
                  <w:szCs w:val="20"/>
                </w:rPr>
                <w:t>s</w:t>
              </w:r>
            </w:hyperlink>
          </w:p>
        </w:tc>
        <w:tc>
          <w:tcPr>
            <w:tcW w:w="0" w:type="auto"/>
            <w:vAlign w:val="bottom"/>
            <w:hideMark/>
          </w:tcPr>
          <w:p w14:paraId="78A2A005" w14:textId="77777777" w:rsidR="00000000" w:rsidRDefault="00632532">
            <w:pPr>
              <w:pStyle w:val="a3"/>
              <w:spacing w:before="0" w:beforeAutospacing="0" w:after="0" w:afterAutospacing="0"/>
              <w:jc w:val="center"/>
              <w:rPr>
                <w:sz w:val="20"/>
                <w:szCs w:val="20"/>
              </w:rPr>
            </w:pPr>
            <w:r>
              <w:rPr>
                <w:sz w:val="20"/>
                <w:szCs w:val="20"/>
              </w:rPr>
              <w:t>3</w:t>
            </w:r>
            <w:r>
              <w:rPr>
                <w:sz w:val="20"/>
                <w:szCs w:val="20"/>
              </w:rPr>
              <w:t>2</w:t>
            </w:r>
          </w:p>
        </w:tc>
      </w:tr>
      <w:tr w:rsidR="00000000" w14:paraId="7504584E" w14:textId="77777777">
        <w:trPr>
          <w:trHeight w:val="200"/>
          <w:tblCellSpacing w:w="15" w:type="dxa"/>
        </w:trPr>
        <w:tc>
          <w:tcPr>
            <w:tcW w:w="0" w:type="auto"/>
            <w:hideMark/>
          </w:tcPr>
          <w:p w14:paraId="224A86E8" w14:textId="77777777" w:rsidR="00000000" w:rsidRDefault="00632532">
            <w:pPr>
              <w:pStyle w:val="a3"/>
              <w:spacing w:beforeAutospacing="0" w:after="0" w:afterAutospacing="0"/>
              <w:rPr>
                <w:sz w:val="20"/>
                <w:szCs w:val="20"/>
              </w:rPr>
            </w:pPr>
            <w:hyperlink w:anchor="item_2_unregistered_sales_equity_securi" w:history="1">
              <w:r>
                <w:rPr>
                  <w:rStyle w:val="a4"/>
                  <w:sz w:val="20"/>
                  <w:szCs w:val="20"/>
                </w:rPr>
                <w:t>Item 2. Unregistered Sales of Equity Securities and Use of Proceed</w:t>
              </w:r>
              <w:r>
                <w:rPr>
                  <w:rStyle w:val="a4"/>
                  <w:sz w:val="20"/>
                  <w:szCs w:val="20"/>
                </w:rPr>
                <w:t>s</w:t>
              </w:r>
            </w:hyperlink>
          </w:p>
        </w:tc>
        <w:tc>
          <w:tcPr>
            <w:tcW w:w="0" w:type="auto"/>
            <w:vAlign w:val="bottom"/>
            <w:hideMark/>
          </w:tcPr>
          <w:p w14:paraId="20263678" w14:textId="77777777" w:rsidR="00000000" w:rsidRDefault="00632532">
            <w:pPr>
              <w:pStyle w:val="a3"/>
              <w:spacing w:beforeAutospacing="0" w:after="0" w:afterAutospacing="0"/>
              <w:jc w:val="center"/>
              <w:rPr>
                <w:sz w:val="20"/>
                <w:szCs w:val="20"/>
              </w:rPr>
            </w:pPr>
            <w:r>
              <w:rPr>
                <w:sz w:val="20"/>
                <w:szCs w:val="20"/>
              </w:rPr>
              <w:t>3</w:t>
            </w:r>
            <w:r>
              <w:rPr>
                <w:sz w:val="20"/>
                <w:szCs w:val="20"/>
              </w:rPr>
              <w:t>3</w:t>
            </w:r>
          </w:p>
        </w:tc>
      </w:tr>
      <w:tr w:rsidR="00000000" w14:paraId="4805CB5E" w14:textId="77777777">
        <w:trPr>
          <w:trHeight w:val="200"/>
          <w:tblCellSpacing w:w="15" w:type="dxa"/>
        </w:trPr>
        <w:tc>
          <w:tcPr>
            <w:tcW w:w="0" w:type="auto"/>
            <w:hideMark/>
          </w:tcPr>
          <w:p w14:paraId="42BCA9D0" w14:textId="77777777" w:rsidR="00000000" w:rsidRDefault="00632532">
            <w:pPr>
              <w:pStyle w:val="a3"/>
              <w:spacing w:beforeAutospacing="0" w:after="0" w:afterAutospacing="0"/>
              <w:rPr>
                <w:sz w:val="20"/>
                <w:szCs w:val="20"/>
              </w:rPr>
            </w:pPr>
            <w:hyperlink w:anchor="item_5_other_information" w:history="1">
              <w:r>
                <w:rPr>
                  <w:rStyle w:val="a4"/>
                  <w:sz w:val="20"/>
                  <w:szCs w:val="20"/>
                </w:rPr>
                <w:t>Item 5. Other Informatio</w:t>
              </w:r>
              <w:r>
                <w:rPr>
                  <w:rStyle w:val="a4"/>
                  <w:sz w:val="20"/>
                  <w:szCs w:val="20"/>
                </w:rPr>
                <w:t>n</w:t>
              </w:r>
            </w:hyperlink>
          </w:p>
        </w:tc>
        <w:tc>
          <w:tcPr>
            <w:tcW w:w="0" w:type="auto"/>
            <w:vAlign w:val="bottom"/>
            <w:hideMark/>
          </w:tcPr>
          <w:p w14:paraId="5ACB659B" w14:textId="77777777" w:rsidR="00000000" w:rsidRDefault="00632532">
            <w:pPr>
              <w:pStyle w:val="a3"/>
              <w:spacing w:beforeAutospacing="0" w:after="0" w:afterAutospacing="0"/>
              <w:jc w:val="center"/>
              <w:rPr>
                <w:sz w:val="20"/>
                <w:szCs w:val="20"/>
              </w:rPr>
            </w:pPr>
            <w:r>
              <w:rPr>
                <w:sz w:val="20"/>
                <w:szCs w:val="20"/>
              </w:rPr>
              <w:t>3</w:t>
            </w:r>
            <w:r>
              <w:rPr>
                <w:sz w:val="20"/>
                <w:szCs w:val="20"/>
              </w:rPr>
              <w:t>3</w:t>
            </w:r>
          </w:p>
        </w:tc>
      </w:tr>
      <w:tr w:rsidR="00000000" w14:paraId="185FC62D" w14:textId="77777777">
        <w:trPr>
          <w:trHeight w:val="200"/>
          <w:tblCellSpacing w:w="15" w:type="dxa"/>
        </w:trPr>
        <w:tc>
          <w:tcPr>
            <w:tcW w:w="0" w:type="auto"/>
            <w:hideMark/>
          </w:tcPr>
          <w:p w14:paraId="2157A9BF" w14:textId="77777777" w:rsidR="00000000" w:rsidRDefault="00632532">
            <w:pPr>
              <w:pStyle w:val="a3"/>
              <w:spacing w:beforeAutospacing="0" w:after="0" w:afterAutospacing="0"/>
              <w:rPr>
                <w:sz w:val="20"/>
                <w:szCs w:val="20"/>
              </w:rPr>
            </w:pPr>
            <w:hyperlink w:anchor="item_5_exhibits" w:history="1">
              <w:r>
                <w:rPr>
                  <w:rStyle w:val="a4"/>
                  <w:sz w:val="20"/>
                  <w:szCs w:val="20"/>
                </w:rPr>
                <w:t>Item 6. Exhibit</w:t>
              </w:r>
              <w:r>
                <w:rPr>
                  <w:rStyle w:val="a4"/>
                  <w:sz w:val="20"/>
                  <w:szCs w:val="20"/>
                </w:rPr>
                <w:t>s</w:t>
              </w:r>
            </w:hyperlink>
          </w:p>
        </w:tc>
        <w:tc>
          <w:tcPr>
            <w:tcW w:w="0" w:type="auto"/>
            <w:vAlign w:val="bottom"/>
            <w:hideMark/>
          </w:tcPr>
          <w:p w14:paraId="3B17BAA3" w14:textId="77777777" w:rsidR="00000000" w:rsidRDefault="00632532">
            <w:pPr>
              <w:pStyle w:val="a3"/>
              <w:spacing w:beforeAutospacing="0" w:after="0" w:afterAutospacing="0"/>
              <w:jc w:val="center"/>
              <w:rPr>
                <w:sz w:val="20"/>
                <w:szCs w:val="20"/>
              </w:rPr>
            </w:pPr>
            <w:r>
              <w:rPr>
                <w:sz w:val="20"/>
                <w:szCs w:val="20"/>
              </w:rPr>
              <w:t>3</w:t>
            </w:r>
            <w:r>
              <w:rPr>
                <w:sz w:val="20"/>
                <w:szCs w:val="20"/>
              </w:rPr>
              <w:t>4</w:t>
            </w:r>
          </w:p>
        </w:tc>
      </w:tr>
      <w:tr w:rsidR="00000000" w14:paraId="010A75C8" w14:textId="77777777">
        <w:trPr>
          <w:trHeight w:val="200"/>
          <w:tblCellSpacing w:w="15" w:type="dxa"/>
        </w:trPr>
        <w:tc>
          <w:tcPr>
            <w:tcW w:w="0" w:type="auto"/>
            <w:hideMark/>
          </w:tcPr>
          <w:p w14:paraId="2D426059" w14:textId="77777777" w:rsidR="00000000" w:rsidRDefault="00632532">
            <w:pPr>
              <w:pStyle w:val="a3"/>
              <w:spacing w:beforeAutospacing="0" w:after="0" w:afterAutospacing="0"/>
              <w:rPr>
                <w:sz w:val="20"/>
                <w:szCs w:val="20"/>
              </w:rPr>
            </w:pPr>
            <w:hyperlink w:anchor="exhibit_index" w:history="1">
              <w:r>
                <w:rPr>
                  <w:rStyle w:val="a4"/>
                  <w:sz w:val="20"/>
                  <w:szCs w:val="20"/>
                </w:rPr>
                <w:t>Exhibit Inde</w:t>
              </w:r>
              <w:r>
                <w:rPr>
                  <w:rStyle w:val="a4"/>
                  <w:sz w:val="20"/>
                  <w:szCs w:val="20"/>
                </w:rPr>
                <w:t>x</w:t>
              </w:r>
            </w:hyperlink>
          </w:p>
        </w:tc>
        <w:tc>
          <w:tcPr>
            <w:tcW w:w="0" w:type="auto"/>
            <w:vAlign w:val="bottom"/>
            <w:hideMark/>
          </w:tcPr>
          <w:p w14:paraId="6677126B" w14:textId="77777777" w:rsidR="00000000" w:rsidRDefault="00632532">
            <w:pPr>
              <w:pStyle w:val="a3"/>
              <w:spacing w:beforeAutospacing="0" w:after="0" w:afterAutospacing="0"/>
              <w:jc w:val="center"/>
              <w:rPr>
                <w:sz w:val="20"/>
                <w:szCs w:val="20"/>
              </w:rPr>
            </w:pPr>
            <w:r>
              <w:rPr>
                <w:sz w:val="20"/>
                <w:szCs w:val="20"/>
              </w:rPr>
              <w:t>3</w:t>
            </w:r>
            <w:r>
              <w:rPr>
                <w:sz w:val="20"/>
                <w:szCs w:val="20"/>
              </w:rPr>
              <w:t>5</w:t>
            </w:r>
          </w:p>
        </w:tc>
      </w:tr>
      <w:tr w:rsidR="00000000" w14:paraId="31637F31" w14:textId="77777777">
        <w:trPr>
          <w:trHeight w:val="200"/>
          <w:tblCellSpacing w:w="15" w:type="dxa"/>
        </w:trPr>
        <w:tc>
          <w:tcPr>
            <w:tcW w:w="0" w:type="auto"/>
            <w:hideMark/>
          </w:tcPr>
          <w:p w14:paraId="09552425" w14:textId="77777777" w:rsidR="00000000" w:rsidRDefault="00632532">
            <w:pPr>
              <w:pStyle w:val="a3"/>
              <w:spacing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vAlign w:val="bottom"/>
            <w:hideMark/>
          </w:tcPr>
          <w:p w14:paraId="2258528C" w14:textId="77777777" w:rsidR="00000000" w:rsidRDefault="00632532">
            <w:pPr>
              <w:pStyle w:val="a3"/>
              <w:spacing w:beforeAutospacing="0" w:after="0" w:afterAutospacing="0"/>
              <w:jc w:val="center"/>
              <w:rPr>
                <w:sz w:val="20"/>
                <w:szCs w:val="20"/>
              </w:rPr>
            </w:pPr>
            <w:r>
              <w:rPr>
                <w:sz w:val="20"/>
                <w:szCs w:val="20"/>
              </w:rPr>
              <w:t>3</w:t>
            </w:r>
            <w:r>
              <w:rPr>
                <w:sz w:val="20"/>
                <w:szCs w:val="20"/>
              </w:rPr>
              <w:t>6</w:t>
            </w:r>
          </w:p>
        </w:tc>
      </w:tr>
    </w:tbl>
    <w:p w14:paraId="51135114" w14:textId="77777777" w:rsidR="00000000" w:rsidRDefault="00632532">
      <w:pPr>
        <w:pStyle w:val="a3"/>
        <w:spacing w:before="0" w:beforeAutospacing="0" w:after="0" w:afterAutospacing="0"/>
        <w:rPr>
          <w:sz w:val="20"/>
          <w:szCs w:val="20"/>
        </w:rPr>
      </w:pPr>
      <w:r>
        <w:rPr>
          <w:sz w:val="20"/>
          <w:szCs w:val="20"/>
        </w:rPr>
        <w:t> </w:t>
      </w:r>
    </w:p>
    <w:p w14:paraId="6D1A5F64" w14:textId="77777777" w:rsidR="00000000" w:rsidRDefault="00632532">
      <w:pPr>
        <w:pStyle w:val="a3"/>
        <w:spacing w:before="240" w:beforeAutospacing="0" w:after="0" w:afterAutospacing="0"/>
        <w:jc w:val="center"/>
        <w:rPr>
          <w:sz w:val="20"/>
          <w:szCs w:val="20"/>
        </w:rPr>
      </w:pPr>
      <w:r>
        <w:rPr>
          <w:sz w:val="20"/>
          <w:szCs w:val="20"/>
        </w:rPr>
        <w:lastRenderedPageBreak/>
        <w:t>i</w:t>
      </w:r>
    </w:p>
    <w:p w14:paraId="27CA6FDF" w14:textId="77777777" w:rsidR="00000000" w:rsidRDefault="00632532">
      <w:pPr>
        <w:rPr>
          <w:rFonts w:eastAsia="Times New Roman"/>
        </w:rPr>
      </w:pPr>
      <w:r>
        <w:rPr>
          <w:rFonts w:eastAsia="Times New Roman"/>
        </w:rPr>
        <w:pict w14:anchorId="14532F77">
          <v:rect id="_x0000_i1026" style="width:0;height:1.5pt" o:hralign="center" o:hrstd="t" o:hr="t" fillcolor="#a0a0a0" stroked="f"/>
        </w:pict>
      </w:r>
    </w:p>
    <w:p w14:paraId="1C329142" w14:textId="77777777" w:rsidR="00000000" w:rsidRDefault="00632532">
      <w:pPr>
        <w:pStyle w:val="a3"/>
        <w:spacing w:before="0" w:beforeAutospacing="0" w:after="0" w:afterAutospacing="0"/>
        <w:jc w:val="center"/>
        <w:rPr>
          <w:sz w:val="20"/>
          <w:szCs w:val="20"/>
        </w:rPr>
      </w:pPr>
      <w:r>
        <w:rPr>
          <w:b/>
          <w:bCs/>
          <w:sz w:val="20"/>
          <w:szCs w:val="20"/>
        </w:rPr>
        <w:t>PART I—FI</w:t>
      </w:r>
      <w:r>
        <w:rPr>
          <w:b/>
          <w:bCs/>
          <w:sz w:val="20"/>
          <w:szCs w:val="20"/>
        </w:rPr>
        <w:t>N</w:t>
      </w:r>
      <w:r>
        <w:rPr>
          <w:b/>
          <w:bCs/>
          <w:sz w:val="20"/>
          <w:szCs w:val="20"/>
        </w:rPr>
        <w:t>ANCIAL INFORMATIO</w:t>
      </w:r>
      <w:r>
        <w:rPr>
          <w:b/>
          <w:bCs/>
          <w:sz w:val="20"/>
          <w:szCs w:val="20"/>
        </w:rPr>
        <w:t>N</w:t>
      </w:r>
    </w:p>
    <w:p w14:paraId="5AFB633F" w14:textId="77777777" w:rsidR="00000000" w:rsidRDefault="00632532">
      <w:pPr>
        <w:pStyle w:val="a3"/>
        <w:spacing w:before="240" w:beforeAutospacing="0" w:after="0" w:afterAutospacing="0"/>
        <w:rPr>
          <w:sz w:val="20"/>
          <w:szCs w:val="20"/>
        </w:rPr>
      </w:pPr>
      <w:r>
        <w:rPr>
          <w:b/>
          <w:bCs/>
          <w:sz w:val="20"/>
          <w:szCs w:val="20"/>
        </w:rPr>
        <w:t>Item 1. Fin</w:t>
      </w:r>
      <w:r>
        <w:rPr>
          <w:b/>
          <w:bCs/>
          <w:sz w:val="20"/>
          <w:szCs w:val="20"/>
        </w:rPr>
        <w:t>a</w:t>
      </w:r>
      <w:r>
        <w:rPr>
          <w:b/>
          <w:bCs/>
          <w:sz w:val="20"/>
          <w:szCs w:val="20"/>
        </w:rPr>
        <w:t>ncial Statements</w:t>
      </w:r>
      <w:r>
        <w:rPr>
          <w:b/>
          <w:bCs/>
          <w:sz w:val="20"/>
          <w:szCs w:val="20"/>
        </w:rPr>
        <w:t>.</w:t>
      </w:r>
    </w:p>
    <w:p w14:paraId="791B52A8" w14:textId="77777777" w:rsidR="00000000" w:rsidRDefault="00632532">
      <w:pPr>
        <w:pStyle w:val="a3"/>
        <w:spacing w:before="240" w:beforeAutospacing="0" w:after="0" w:afterAutospacing="0"/>
        <w:jc w:val="center"/>
        <w:rPr>
          <w:sz w:val="20"/>
          <w:szCs w:val="20"/>
        </w:rPr>
      </w:pPr>
      <w:r>
        <w:rPr>
          <w:b/>
          <w:bCs/>
          <w:sz w:val="20"/>
          <w:szCs w:val="20"/>
        </w:rPr>
        <w:t>FULGENT GENETICS, INC</w:t>
      </w:r>
      <w:r>
        <w:rPr>
          <w:b/>
          <w:bCs/>
          <w:sz w:val="20"/>
          <w:szCs w:val="20"/>
        </w:rPr>
        <w:t>.</w:t>
      </w:r>
    </w:p>
    <w:p w14:paraId="283EF104" w14:textId="77777777" w:rsidR="00000000" w:rsidRDefault="00632532">
      <w:pPr>
        <w:pStyle w:val="a3"/>
        <w:spacing w:before="0" w:beforeAutospacing="0" w:after="0" w:afterAutospacing="0"/>
        <w:jc w:val="center"/>
        <w:rPr>
          <w:sz w:val="20"/>
          <w:szCs w:val="20"/>
        </w:rPr>
      </w:pPr>
      <w:r>
        <w:rPr>
          <w:b/>
          <w:bCs/>
          <w:sz w:val="20"/>
          <w:szCs w:val="20"/>
        </w:rPr>
        <w:t>Condensed Consolid</w:t>
      </w:r>
      <w:r>
        <w:rPr>
          <w:b/>
          <w:bCs/>
          <w:sz w:val="20"/>
          <w:szCs w:val="20"/>
        </w:rPr>
        <w:t>a</w:t>
      </w:r>
      <w:r>
        <w:rPr>
          <w:b/>
          <w:bCs/>
          <w:sz w:val="20"/>
          <w:szCs w:val="20"/>
        </w:rPr>
        <w:t>ted Balance Sheet</w:t>
      </w:r>
      <w:r>
        <w:rPr>
          <w:b/>
          <w:bCs/>
          <w:sz w:val="20"/>
          <w:szCs w:val="20"/>
        </w:rPr>
        <w:t>s</w:t>
      </w:r>
    </w:p>
    <w:p w14:paraId="11B0F535" w14:textId="77777777" w:rsidR="00000000" w:rsidRDefault="00632532">
      <w:pPr>
        <w:pStyle w:val="a3"/>
        <w:spacing w:before="0" w:beforeAutospacing="0" w:after="0" w:afterAutospacing="0"/>
        <w:jc w:val="center"/>
        <w:rPr>
          <w:sz w:val="20"/>
          <w:szCs w:val="20"/>
        </w:rPr>
      </w:pPr>
      <w:r>
        <w:rPr>
          <w:b/>
          <w:bCs/>
          <w:sz w:val="20"/>
          <w:szCs w:val="20"/>
        </w:rPr>
        <w:t>(in thousands, except par value data</w:t>
      </w:r>
      <w:r>
        <w:rPr>
          <w:b/>
          <w:bCs/>
          <w:sz w:val="20"/>
          <w:szCs w:val="20"/>
        </w:rPr>
        <w:t>)</w:t>
      </w:r>
    </w:p>
    <w:p w14:paraId="4CBBA20F" w14:textId="77777777" w:rsidR="00000000" w:rsidRDefault="00632532">
      <w:pPr>
        <w:pStyle w:val="a3"/>
        <w:spacing w:before="0" w:beforeAutospacing="0" w:after="0" w:afterAutospacing="0"/>
        <w:jc w:val="center"/>
        <w:rPr>
          <w:sz w:val="20"/>
          <w:szCs w:val="20"/>
        </w:rPr>
      </w:pPr>
      <w:r>
        <w:rPr>
          <w:b/>
          <w:bCs/>
          <w:sz w:val="20"/>
          <w:szCs w:val="20"/>
        </w:rPr>
        <w:t>(unaudited</w:t>
      </w:r>
      <w:r>
        <w:rPr>
          <w:b/>
          <w:bCs/>
          <w:sz w:val="20"/>
          <w:szCs w:val="20"/>
        </w:rPr>
        <w:t>)</w:t>
      </w:r>
    </w:p>
    <w:p w14:paraId="5544EEF1" w14:textId="77777777" w:rsidR="00000000" w:rsidRDefault="00632532">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48"/>
        <w:gridCol w:w="160"/>
        <w:gridCol w:w="1077"/>
        <w:gridCol w:w="127"/>
        <w:gridCol w:w="129"/>
        <w:gridCol w:w="160"/>
        <w:gridCol w:w="1063"/>
        <w:gridCol w:w="142"/>
      </w:tblGrid>
      <w:tr w:rsidR="00000000" w14:paraId="07247BFB" w14:textId="77777777">
        <w:trPr>
          <w:tblCellSpacing w:w="15" w:type="dxa"/>
        </w:trPr>
        <w:tc>
          <w:tcPr>
            <w:tcW w:w="3381" w:type="pct"/>
            <w:vAlign w:val="center"/>
            <w:hideMark/>
          </w:tcPr>
          <w:p w14:paraId="508F770E" w14:textId="77777777" w:rsidR="00000000" w:rsidRDefault="00632532">
            <w:pPr>
              <w:rPr>
                <w:sz w:val="20"/>
                <w:szCs w:val="20"/>
              </w:rPr>
            </w:pPr>
          </w:p>
        </w:tc>
        <w:tc>
          <w:tcPr>
            <w:tcW w:w="50" w:type="pct"/>
            <w:vAlign w:val="center"/>
            <w:hideMark/>
          </w:tcPr>
          <w:p w14:paraId="2AD73652" w14:textId="77777777" w:rsidR="00000000" w:rsidRDefault="00632532">
            <w:pPr>
              <w:rPr>
                <w:rFonts w:eastAsia="Times New Roman"/>
                <w:sz w:val="20"/>
                <w:szCs w:val="20"/>
              </w:rPr>
            </w:pPr>
          </w:p>
        </w:tc>
        <w:tc>
          <w:tcPr>
            <w:tcW w:w="672" w:type="pct"/>
            <w:vAlign w:val="center"/>
            <w:hideMark/>
          </w:tcPr>
          <w:p w14:paraId="1D4BA04A" w14:textId="77777777" w:rsidR="00000000" w:rsidRDefault="00632532">
            <w:pPr>
              <w:rPr>
                <w:rFonts w:eastAsia="Times New Roman"/>
                <w:sz w:val="20"/>
                <w:szCs w:val="20"/>
              </w:rPr>
            </w:pPr>
          </w:p>
        </w:tc>
        <w:tc>
          <w:tcPr>
            <w:tcW w:w="50" w:type="pct"/>
            <w:vAlign w:val="center"/>
            <w:hideMark/>
          </w:tcPr>
          <w:p w14:paraId="7950E8B5" w14:textId="77777777" w:rsidR="00000000" w:rsidRDefault="00632532">
            <w:pPr>
              <w:rPr>
                <w:rFonts w:eastAsia="Times New Roman"/>
                <w:sz w:val="20"/>
                <w:szCs w:val="20"/>
              </w:rPr>
            </w:pPr>
          </w:p>
        </w:tc>
        <w:tc>
          <w:tcPr>
            <w:tcW w:w="82" w:type="pct"/>
            <w:vAlign w:val="center"/>
            <w:hideMark/>
          </w:tcPr>
          <w:p w14:paraId="2FFC5FF1" w14:textId="77777777" w:rsidR="00000000" w:rsidRDefault="00632532">
            <w:pPr>
              <w:rPr>
                <w:rFonts w:eastAsia="Times New Roman"/>
                <w:sz w:val="20"/>
                <w:szCs w:val="20"/>
              </w:rPr>
            </w:pPr>
          </w:p>
        </w:tc>
        <w:tc>
          <w:tcPr>
            <w:tcW w:w="50" w:type="pct"/>
            <w:vAlign w:val="center"/>
            <w:hideMark/>
          </w:tcPr>
          <w:p w14:paraId="7FF96183" w14:textId="77777777" w:rsidR="00000000" w:rsidRDefault="00632532">
            <w:pPr>
              <w:rPr>
                <w:rFonts w:eastAsia="Times New Roman"/>
                <w:sz w:val="20"/>
                <w:szCs w:val="20"/>
              </w:rPr>
            </w:pPr>
          </w:p>
        </w:tc>
        <w:tc>
          <w:tcPr>
            <w:tcW w:w="663" w:type="pct"/>
            <w:vAlign w:val="center"/>
            <w:hideMark/>
          </w:tcPr>
          <w:p w14:paraId="1D1ECAF0" w14:textId="77777777" w:rsidR="00000000" w:rsidRDefault="00632532">
            <w:pPr>
              <w:rPr>
                <w:rFonts w:eastAsia="Times New Roman"/>
                <w:sz w:val="20"/>
                <w:szCs w:val="20"/>
              </w:rPr>
            </w:pPr>
          </w:p>
        </w:tc>
        <w:tc>
          <w:tcPr>
            <w:tcW w:w="50" w:type="pct"/>
            <w:vAlign w:val="center"/>
            <w:hideMark/>
          </w:tcPr>
          <w:p w14:paraId="415C25D7" w14:textId="77777777" w:rsidR="00000000" w:rsidRDefault="00632532">
            <w:pPr>
              <w:rPr>
                <w:rFonts w:eastAsia="Times New Roman"/>
                <w:sz w:val="20"/>
                <w:szCs w:val="20"/>
              </w:rPr>
            </w:pPr>
          </w:p>
        </w:tc>
      </w:tr>
      <w:tr w:rsidR="00000000" w14:paraId="2AA5C769" w14:textId="77777777">
        <w:trPr>
          <w:trHeight w:val="160"/>
          <w:tblCellSpacing w:w="15" w:type="dxa"/>
        </w:trPr>
        <w:tc>
          <w:tcPr>
            <w:tcW w:w="0" w:type="auto"/>
            <w:hideMark/>
          </w:tcPr>
          <w:p w14:paraId="1DB4FB9E"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3258F0D" w14:textId="77777777" w:rsidR="00000000" w:rsidRDefault="00632532">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14:paraId="12EDB77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4A456F4"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FA898BE" w14:textId="77777777" w:rsidR="00000000" w:rsidRDefault="00632532">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14:paraId="31F8A384"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8034EF0" w14:textId="77777777">
        <w:trPr>
          <w:trHeight w:val="160"/>
          <w:tblCellSpacing w:w="15" w:type="dxa"/>
        </w:trPr>
        <w:tc>
          <w:tcPr>
            <w:tcW w:w="0" w:type="auto"/>
            <w:hideMark/>
          </w:tcPr>
          <w:p w14:paraId="34DFD36C"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9BEACA1"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2F16085"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110CBD3"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C681AB7"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0D5E01B"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7ABF0D8" w14:textId="77777777">
        <w:trPr>
          <w:trHeight w:val="200"/>
          <w:tblCellSpacing w:w="15" w:type="dxa"/>
        </w:trPr>
        <w:tc>
          <w:tcPr>
            <w:tcW w:w="0" w:type="auto"/>
            <w:hideMark/>
          </w:tcPr>
          <w:p w14:paraId="11F83305" w14:textId="77777777" w:rsidR="00000000" w:rsidRDefault="00632532">
            <w:pPr>
              <w:pStyle w:val="a3"/>
              <w:spacing w:before="0" w:beforeAutospacing="0" w:after="0" w:afterAutospacing="0"/>
              <w:rPr>
                <w:sz w:val="20"/>
                <w:szCs w:val="20"/>
              </w:rPr>
            </w:pPr>
            <w:r>
              <w:rPr>
                <w:b/>
                <w:bCs/>
                <w:sz w:val="20"/>
                <w:szCs w:val="20"/>
              </w:rPr>
              <w:t>Asset</w:t>
            </w:r>
            <w:r>
              <w:rPr>
                <w:b/>
                <w:bCs/>
                <w:sz w:val="20"/>
                <w:szCs w:val="20"/>
              </w:rPr>
              <w:t>s</w:t>
            </w:r>
          </w:p>
        </w:tc>
        <w:tc>
          <w:tcPr>
            <w:tcW w:w="0" w:type="auto"/>
            <w:gridSpan w:val="2"/>
            <w:vAlign w:val="bottom"/>
            <w:hideMark/>
          </w:tcPr>
          <w:p w14:paraId="79C9F485"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3B68AE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CFA9742"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4897752"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38B37568" w14:textId="77777777" w:rsidR="00000000" w:rsidRDefault="00632532">
            <w:pPr>
              <w:pStyle w:val="a3"/>
              <w:spacing w:before="0" w:beforeAutospacing="0" w:after="0" w:afterAutospacing="0"/>
              <w:jc w:val="right"/>
              <w:rPr>
                <w:sz w:val="20"/>
                <w:szCs w:val="20"/>
              </w:rPr>
            </w:pPr>
            <w:r>
              <w:rPr>
                <w:sz w:val="20"/>
                <w:szCs w:val="20"/>
              </w:rPr>
              <w:t> </w:t>
            </w:r>
          </w:p>
        </w:tc>
      </w:tr>
      <w:tr w:rsidR="00000000" w14:paraId="41FB0238" w14:textId="77777777">
        <w:trPr>
          <w:trHeight w:val="200"/>
          <w:tblCellSpacing w:w="15" w:type="dxa"/>
        </w:trPr>
        <w:tc>
          <w:tcPr>
            <w:tcW w:w="0" w:type="auto"/>
            <w:hideMark/>
          </w:tcPr>
          <w:p w14:paraId="7A43750B" w14:textId="77777777" w:rsidR="00000000" w:rsidRDefault="00632532">
            <w:pPr>
              <w:pStyle w:val="a3"/>
              <w:spacing w:before="0" w:beforeAutospacing="0" w:after="0" w:afterAutospacing="0"/>
              <w:rPr>
                <w:sz w:val="20"/>
                <w:szCs w:val="20"/>
              </w:rPr>
            </w:pPr>
            <w:r>
              <w:rPr>
                <w:sz w:val="20"/>
                <w:szCs w:val="20"/>
              </w:rPr>
              <w:t>Current asset</w:t>
            </w:r>
            <w:r>
              <w:rPr>
                <w:sz w:val="20"/>
                <w:szCs w:val="20"/>
              </w:rPr>
              <w:t>s</w:t>
            </w:r>
          </w:p>
        </w:tc>
        <w:tc>
          <w:tcPr>
            <w:tcW w:w="0" w:type="auto"/>
            <w:gridSpan w:val="2"/>
            <w:vAlign w:val="bottom"/>
            <w:hideMark/>
          </w:tcPr>
          <w:p w14:paraId="08EE1A64"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31771751"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0C63F9D"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08344E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6F7F83D" w14:textId="77777777" w:rsidR="00000000" w:rsidRDefault="00632532">
            <w:pPr>
              <w:pStyle w:val="a3"/>
              <w:spacing w:before="0" w:beforeAutospacing="0" w:after="0" w:afterAutospacing="0"/>
              <w:jc w:val="right"/>
              <w:rPr>
                <w:sz w:val="20"/>
                <w:szCs w:val="20"/>
              </w:rPr>
            </w:pPr>
            <w:r>
              <w:rPr>
                <w:sz w:val="20"/>
                <w:szCs w:val="20"/>
              </w:rPr>
              <w:t> </w:t>
            </w:r>
          </w:p>
        </w:tc>
      </w:tr>
      <w:tr w:rsidR="00000000" w14:paraId="78B5D592" w14:textId="77777777">
        <w:trPr>
          <w:trHeight w:val="200"/>
          <w:tblCellSpacing w:w="15" w:type="dxa"/>
        </w:trPr>
        <w:tc>
          <w:tcPr>
            <w:tcW w:w="0" w:type="auto"/>
            <w:hideMark/>
          </w:tcPr>
          <w:p w14:paraId="5590F1D0" w14:textId="77777777" w:rsidR="00000000" w:rsidRDefault="00632532">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noWrap/>
            <w:vAlign w:val="bottom"/>
            <w:hideMark/>
          </w:tcPr>
          <w:p w14:paraId="34999FB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491F413" w14:textId="77777777" w:rsidR="00000000" w:rsidRDefault="00632532">
            <w:pPr>
              <w:pStyle w:val="a3"/>
              <w:spacing w:before="0" w:beforeAutospacing="0" w:after="0" w:afterAutospacing="0"/>
              <w:jc w:val="right"/>
              <w:rPr>
                <w:sz w:val="20"/>
                <w:szCs w:val="20"/>
              </w:rPr>
            </w:pPr>
            <w:r>
              <w:rPr>
                <w:sz w:val="20"/>
                <w:szCs w:val="20"/>
              </w:rPr>
              <w:t>138,78</w:t>
            </w:r>
            <w:r>
              <w:rPr>
                <w:sz w:val="20"/>
                <w:szCs w:val="20"/>
              </w:rPr>
              <w:t>0</w:t>
            </w:r>
          </w:p>
        </w:tc>
        <w:tc>
          <w:tcPr>
            <w:tcW w:w="0" w:type="auto"/>
            <w:noWrap/>
            <w:vAlign w:val="bottom"/>
            <w:hideMark/>
          </w:tcPr>
          <w:p w14:paraId="6E4D2B4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8253B5"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FD2059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72E6772" w14:textId="77777777" w:rsidR="00000000" w:rsidRDefault="00632532">
            <w:pPr>
              <w:pStyle w:val="a3"/>
              <w:spacing w:before="0" w:beforeAutospacing="0" w:after="0" w:afterAutospacing="0"/>
              <w:jc w:val="right"/>
              <w:rPr>
                <w:sz w:val="20"/>
                <w:szCs w:val="20"/>
              </w:rPr>
            </w:pPr>
            <w:r>
              <w:rPr>
                <w:sz w:val="20"/>
                <w:szCs w:val="20"/>
              </w:rPr>
              <w:t>164,89</w:t>
            </w:r>
            <w:r>
              <w:rPr>
                <w:sz w:val="20"/>
                <w:szCs w:val="20"/>
              </w:rPr>
              <w:t>4</w:t>
            </w:r>
          </w:p>
        </w:tc>
        <w:tc>
          <w:tcPr>
            <w:tcW w:w="0" w:type="auto"/>
            <w:noWrap/>
            <w:vAlign w:val="bottom"/>
            <w:hideMark/>
          </w:tcPr>
          <w:p w14:paraId="2A437395" w14:textId="77777777" w:rsidR="00000000" w:rsidRDefault="00632532">
            <w:pPr>
              <w:pStyle w:val="a3"/>
              <w:spacing w:before="0" w:beforeAutospacing="0" w:after="0" w:afterAutospacing="0"/>
              <w:rPr>
                <w:sz w:val="20"/>
                <w:szCs w:val="20"/>
              </w:rPr>
            </w:pPr>
            <w:r>
              <w:rPr>
                <w:sz w:val="20"/>
                <w:szCs w:val="20"/>
              </w:rPr>
              <w:t> </w:t>
            </w:r>
          </w:p>
        </w:tc>
      </w:tr>
      <w:tr w:rsidR="00000000" w14:paraId="43B8A263" w14:textId="77777777">
        <w:trPr>
          <w:trHeight w:val="200"/>
          <w:tblCellSpacing w:w="15" w:type="dxa"/>
        </w:trPr>
        <w:tc>
          <w:tcPr>
            <w:tcW w:w="0" w:type="auto"/>
            <w:hideMark/>
          </w:tcPr>
          <w:p w14:paraId="72CF35F3" w14:textId="77777777" w:rsidR="00000000" w:rsidRDefault="00632532">
            <w:pPr>
              <w:pStyle w:val="a3"/>
              <w:spacing w:before="0" w:beforeAutospacing="0" w:after="0" w:afterAutospacing="0"/>
              <w:ind w:left="200"/>
              <w:rPr>
                <w:sz w:val="20"/>
                <w:szCs w:val="20"/>
              </w:rPr>
            </w:pPr>
            <w:r>
              <w:rPr>
                <w:sz w:val="20"/>
                <w:szCs w:val="20"/>
              </w:rPr>
              <w:t>Marketable securitie</w:t>
            </w:r>
            <w:r>
              <w:rPr>
                <w:sz w:val="20"/>
                <w:szCs w:val="20"/>
              </w:rPr>
              <w:t>s</w:t>
            </w:r>
          </w:p>
        </w:tc>
        <w:tc>
          <w:tcPr>
            <w:tcW w:w="0" w:type="auto"/>
            <w:noWrap/>
            <w:vAlign w:val="bottom"/>
            <w:hideMark/>
          </w:tcPr>
          <w:p w14:paraId="1255AB7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A05F6D" w14:textId="77777777" w:rsidR="00000000" w:rsidRDefault="00632532">
            <w:pPr>
              <w:pStyle w:val="a3"/>
              <w:spacing w:before="0" w:beforeAutospacing="0" w:after="0" w:afterAutospacing="0"/>
              <w:jc w:val="right"/>
              <w:rPr>
                <w:sz w:val="20"/>
                <w:szCs w:val="20"/>
              </w:rPr>
            </w:pPr>
            <w:r>
              <w:rPr>
                <w:sz w:val="20"/>
                <w:szCs w:val="20"/>
              </w:rPr>
              <w:t>376,62</w:t>
            </w:r>
            <w:r>
              <w:rPr>
                <w:sz w:val="20"/>
                <w:szCs w:val="20"/>
              </w:rPr>
              <w:t>2</w:t>
            </w:r>
          </w:p>
        </w:tc>
        <w:tc>
          <w:tcPr>
            <w:tcW w:w="0" w:type="auto"/>
            <w:noWrap/>
            <w:vAlign w:val="bottom"/>
            <w:hideMark/>
          </w:tcPr>
          <w:p w14:paraId="5279DF5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79170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875DB0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61B506" w14:textId="77777777" w:rsidR="00000000" w:rsidRDefault="00632532">
            <w:pPr>
              <w:pStyle w:val="a3"/>
              <w:spacing w:before="0" w:beforeAutospacing="0" w:after="0" w:afterAutospacing="0"/>
              <w:jc w:val="right"/>
              <w:rPr>
                <w:sz w:val="20"/>
                <w:szCs w:val="20"/>
              </w:rPr>
            </w:pPr>
            <w:r>
              <w:rPr>
                <w:sz w:val="20"/>
                <w:szCs w:val="20"/>
              </w:rPr>
              <w:t>285,60</w:t>
            </w:r>
            <w:r>
              <w:rPr>
                <w:sz w:val="20"/>
                <w:szCs w:val="20"/>
              </w:rPr>
              <w:t>5</w:t>
            </w:r>
          </w:p>
        </w:tc>
        <w:tc>
          <w:tcPr>
            <w:tcW w:w="0" w:type="auto"/>
            <w:noWrap/>
            <w:vAlign w:val="bottom"/>
            <w:hideMark/>
          </w:tcPr>
          <w:p w14:paraId="7B6A9A91" w14:textId="77777777" w:rsidR="00000000" w:rsidRDefault="00632532">
            <w:pPr>
              <w:pStyle w:val="a3"/>
              <w:spacing w:before="0" w:beforeAutospacing="0" w:after="0" w:afterAutospacing="0"/>
              <w:rPr>
                <w:sz w:val="20"/>
                <w:szCs w:val="20"/>
              </w:rPr>
            </w:pPr>
            <w:r>
              <w:rPr>
                <w:sz w:val="20"/>
                <w:szCs w:val="20"/>
              </w:rPr>
              <w:t> </w:t>
            </w:r>
          </w:p>
        </w:tc>
      </w:tr>
      <w:tr w:rsidR="00000000" w14:paraId="59EAACAF" w14:textId="77777777">
        <w:trPr>
          <w:trHeight w:val="200"/>
          <w:tblCellSpacing w:w="15" w:type="dxa"/>
        </w:trPr>
        <w:tc>
          <w:tcPr>
            <w:tcW w:w="0" w:type="auto"/>
            <w:hideMark/>
          </w:tcPr>
          <w:p w14:paraId="1D3A9798" w14:textId="77777777" w:rsidR="00000000" w:rsidRDefault="00632532">
            <w:pPr>
              <w:pStyle w:val="a3"/>
              <w:spacing w:before="0" w:beforeAutospacing="0" w:after="0" w:afterAutospacing="0"/>
              <w:ind w:left="200"/>
              <w:rPr>
                <w:sz w:val="20"/>
                <w:szCs w:val="20"/>
              </w:rPr>
            </w:pPr>
            <w:r>
              <w:rPr>
                <w:sz w:val="20"/>
                <w:szCs w:val="20"/>
              </w:rPr>
              <w:t xml:space="preserve">Trade accounts receivable, net of allowance for credit losses of </w:t>
            </w:r>
            <w:r>
              <w:rPr>
                <w:sz w:val="20"/>
                <w:szCs w:val="20"/>
              </w:rPr>
              <w:t>$</w:t>
            </w:r>
            <w:r>
              <w:rPr>
                <w:sz w:val="20"/>
                <w:szCs w:val="20"/>
              </w:rPr>
              <w:t>30,33</w:t>
            </w:r>
            <w:r>
              <w:rPr>
                <w:sz w:val="20"/>
                <w:szCs w:val="20"/>
              </w:rPr>
              <w:t>5</w:t>
            </w:r>
            <w:r>
              <w:rPr>
                <w:sz w:val="20"/>
                <w:szCs w:val="20"/>
              </w:rPr>
              <w:t xml:space="preserve"> and </w:t>
            </w:r>
            <w:r>
              <w:rPr>
                <w:sz w:val="20"/>
                <w:szCs w:val="20"/>
              </w:rPr>
              <w:t>$</w:t>
            </w:r>
            <w:r>
              <w:rPr>
                <w:sz w:val="20"/>
                <w:szCs w:val="20"/>
              </w:rPr>
              <w:t>11,21</w:t>
            </w:r>
            <w:r>
              <w:rPr>
                <w:sz w:val="20"/>
                <w:szCs w:val="20"/>
              </w:rPr>
              <w:t>7</w:t>
            </w:r>
          </w:p>
        </w:tc>
        <w:tc>
          <w:tcPr>
            <w:tcW w:w="0" w:type="auto"/>
            <w:noWrap/>
            <w:vAlign w:val="bottom"/>
            <w:hideMark/>
          </w:tcPr>
          <w:p w14:paraId="6BD65DB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9D5F180" w14:textId="77777777" w:rsidR="00000000" w:rsidRDefault="00632532">
            <w:pPr>
              <w:pStyle w:val="a3"/>
              <w:spacing w:before="0" w:beforeAutospacing="0" w:after="0" w:afterAutospacing="0"/>
              <w:jc w:val="right"/>
              <w:rPr>
                <w:sz w:val="20"/>
                <w:szCs w:val="20"/>
              </w:rPr>
            </w:pPr>
            <w:r>
              <w:rPr>
                <w:sz w:val="20"/>
                <w:szCs w:val="20"/>
              </w:rPr>
              <w:t>133,30</w:t>
            </w:r>
            <w:r>
              <w:rPr>
                <w:sz w:val="20"/>
                <w:szCs w:val="20"/>
              </w:rPr>
              <w:t>3</w:t>
            </w:r>
          </w:p>
        </w:tc>
        <w:tc>
          <w:tcPr>
            <w:tcW w:w="0" w:type="auto"/>
            <w:noWrap/>
            <w:vAlign w:val="bottom"/>
            <w:hideMark/>
          </w:tcPr>
          <w:p w14:paraId="3F9E820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EEE5DA5"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98B516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0BE49FC" w14:textId="77777777" w:rsidR="00000000" w:rsidRDefault="00632532">
            <w:pPr>
              <w:pStyle w:val="a3"/>
              <w:spacing w:before="0" w:beforeAutospacing="0" w:after="0" w:afterAutospacing="0"/>
              <w:jc w:val="right"/>
              <w:rPr>
                <w:sz w:val="20"/>
                <w:szCs w:val="20"/>
              </w:rPr>
            </w:pPr>
            <w:r>
              <w:rPr>
                <w:sz w:val="20"/>
                <w:szCs w:val="20"/>
              </w:rPr>
              <w:t>138,91</w:t>
            </w:r>
            <w:r>
              <w:rPr>
                <w:sz w:val="20"/>
                <w:szCs w:val="20"/>
              </w:rPr>
              <w:t>2</w:t>
            </w:r>
          </w:p>
        </w:tc>
        <w:tc>
          <w:tcPr>
            <w:tcW w:w="0" w:type="auto"/>
            <w:noWrap/>
            <w:vAlign w:val="bottom"/>
            <w:hideMark/>
          </w:tcPr>
          <w:p w14:paraId="2F292E87" w14:textId="77777777" w:rsidR="00000000" w:rsidRDefault="00632532">
            <w:pPr>
              <w:pStyle w:val="a3"/>
              <w:spacing w:before="0" w:beforeAutospacing="0" w:after="0" w:afterAutospacing="0"/>
              <w:rPr>
                <w:sz w:val="20"/>
                <w:szCs w:val="20"/>
              </w:rPr>
            </w:pPr>
            <w:r>
              <w:rPr>
                <w:sz w:val="20"/>
                <w:szCs w:val="20"/>
              </w:rPr>
              <w:t> </w:t>
            </w:r>
          </w:p>
        </w:tc>
      </w:tr>
      <w:tr w:rsidR="00000000" w14:paraId="06D2F459" w14:textId="77777777">
        <w:trPr>
          <w:trHeight w:val="200"/>
          <w:tblCellSpacing w:w="15" w:type="dxa"/>
        </w:trPr>
        <w:tc>
          <w:tcPr>
            <w:tcW w:w="0" w:type="auto"/>
            <w:hideMark/>
          </w:tcPr>
          <w:p w14:paraId="1AEFA5E5" w14:textId="77777777" w:rsidR="00000000" w:rsidRDefault="00632532">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noWrap/>
            <w:vAlign w:val="bottom"/>
            <w:hideMark/>
          </w:tcPr>
          <w:p w14:paraId="76BC006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567804D" w14:textId="77777777" w:rsidR="00000000" w:rsidRDefault="00632532">
            <w:pPr>
              <w:pStyle w:val="a3"/>
              <w:spacing w:before="0" w:beforeAutospacing="0" w:after="0" w:afterAutospacing="0"/>
              <w:jc w:val="right"/>
              <w:rPr>
                <w:sz w:val="20"/>
                <w:szCs w:val="20"/>
              </w:rPr>
            </w:pPr>
            <w:r>
              <w:rPr>
                <w:sz w:val="20"/>
                <w:szCs w:val="20"/>
              </w:rPr>
              <w:t>26,48</w:t>
            </w:r>
            <w:r>
              <w:rPr>
                <w:sz w:val="20"/>
                <w:szCs w:val="20"/>
              </w:rPr>
              <w:t>0</w:t>
            </w:r>
          </w:p>
        </w:tc>
        <w:tc>
          <w:tcPr>
            <w:tcW w:w="0" w:type="auto"/>
            <w:noWrap/>
            <w:vAlign w:val="bottom"/>
            <w:hideMark/>
          </w:tcPr>
          <w:p w14:paraId="0EB1D59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75B4CCE"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49E63F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B6DA823" w14:textId="77777777" w:rsidR="00000000" w:rsidRDefault="00632532">
            <w:pPr>
              <w:pStyle w:val="a3"/>
              <w:spacing w:before="0" w:beforeAutospacing="0" w:after="0" w:afterAutospacing="0"/>
              <w:jc w:val="right"/>
              <w:rPr>
                <w:sz w:val="20"/>
                <w:szCs w:val="20"/>
              </w:rPr>
            </w:pPr>
            <w:r>
              <w:rPr>
                <w:sz w:val="20"/>
                <w:szCs w:val="20"/>
              </w:rPr>
              <w:t>22,54</w:t>
            </w:r>
            <w:r>
              <w:rPr>
                <w:sz w:val="20"/>
                <w:szCs w:val="20"/>
              </w:rPr>
              <w:t>9</w:t>
            </w:r>
          </w:p>
        </w:tc>
        <w:tc>
          <w:tcPr>
            <w:tcW w:w="0" w:type="auto"/>
            <w:noWrap/>
            <w:vAlign w:val="bottom"/>
            <w:hideMark/>
          </w:tcPr>
          <w:p w14:paraId="28D82367" w14:textId="77777777" w:rsidR="00000000" w:rsidRDefault="00632532">
            <w:pPr>
              <w:pStyle w:val="a3"/>
              <w:spacing w:before="0" w:beforeAutospacing="0" w:after="0" w:afterAutospacing="0"/>
              <w:rPr>
                <w:sz w:val="20"/>
                <w:szCs w:val="20"/>
              </w:rPr>
            </w:pPr>
            <w:r>
              <w:rPr>
                <w:sz w:val="20"/>
                <w:szCs w:val="20"/>
              </w:rPr>
              <w:t> </w:t>
            </w:r>
          </w:p>
        </w:tc>
      </w:tr>
      <w:tr w:rsidR="00000000" w14:paraId="348AA7F6" w14:textId="77777777">
        <w:trPr>
          <w:trHeight w:val="200"/>
          <w:tblCellSpacing w:w="15" w:type="dxa"/>
        </w:trPr>
        <w:tc>
          <w:tcPr>
            <w:tcW w:w="0" w:type="auto"/>
            <w:hideMark/>
          </w:tcPr>
          <w:p w14:paraId="65F4AA36" w14:textId="77777777" w:rsidR="00000000" w:rsidRDefault="00632532">
            <w:pPr>
              <w:pStyle w:val="a3"/>
              <w:spacing w:before="0" w:beforeAutospacing="0" w:after="0" w:afterAutospacing="0"/>
              <w:ind w:left="300"/>
              <w:rPr>
                <w:sz w:val="20"/>
                <w:szCs w:val="20"/>
              </w:rPr>
            </w:pPr>
            <w:r>
              <w:rPr>
                <w:sz w:val="20"/>
                <w:szCs w:val="20"/>
              </w:rPr>
              <w:t>Total current asset</w:t>
            </w:r>
            <w:r>
              <w:rPr>
                <w:sz w:val="20"/>
                <w:szCs w:val="20"/>
              </w:rPr>
              <w:t>s</w:t>
            </w:r>
          </w:p>
        </w:tc>
        <w:tc>
          <w:tcPr>
            <w:tcW w:w="0" w:type="auto"/>
            <w:noWrap/>
            <w:vAlign w:val="bottom"/>
            <w:hideMark/>
          </w:tcPr>
          <w:p w14:paraId="7632B61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27FFCA7" w14:textId="77777777" w:rsidR="00000000" w:rsidRDefault="00632532">
            <w:pPr>
              <w:pStyle w:val="a3"/>
              <w:spacing w:before="0" w:beforeAutospacing="0" w:after="0" w:afterAutospacing="0"/>
              <w:jc w:val="right"/>
              <w:rPr>
                <w:sz w:val="20"/>
                <w:szCs w:val="20"/>
              </w:rPr>
            </w:pPr>
            <w:r>
              <w:rPr>
                <w:sz w:val="20"/>
                <w:szCs w:val="20"/>
              </w:rPr>
              <w:t>675,18</w:t>
            </w:r>
            <w:r>
              <w:rPr>
                <w:sz w:val="20"/>
                <w:szCs w:val="20"/>
              </w:rPr>
              <w:t>5</w:t>
            </w:r>
          </w:p>
        </w:tc>
        <w:tc>
          <w:tcPr>
            <w:tcW w:w="0" w:type="auto"/>
            <w:noWrap/>
            <w:vAlign w:val="bottom"/>
            <w:hideMark/>
          </w:tcPr>
          <w:p w14:paraId="530C4EF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3EFBD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D50C00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DE37A40" w14:textId="77777777" w:rsidR="00000000" w:rsidRDefault="00632532">
            <w:pPr>
              <w:pStyle w:val="a3"/>
              <w:spacing w:before="0" w:beforeAutospacing="0" w:after="0" w:afterAutospacing="0"/>
              <w:jc w:val="right"/>
              <w:rPr>
                <w:sz w:val="20"/>
                <w:szCs w:val="20"/>
              </w:rPr>
            </w:pPr>
            <w:r>
              <w:rPr>
                <w:sz w:val="20"/>
                <w:szCs w:val="20"/>
              </w:rPr>
              <w:t>611,96</w:t>
            </w:r>
            <w:r>
              <w:rPr>
                <w:sz w:val="20"/>
                <w:szCs w:val="20"/>
              </w:rPr>
              <w:t>0</w:t>
            </w:r>
          </w:p>
        </w:tc>
        <w:tc>
          <w:tcPr>
            <w:tcW w:w="0" w:type="auto"/>
            <w:noWrap/>
            <w:vAlign w:val="bottom"/>
            <w:hideMark/>
          </w:tcPr>
          <w:p w14:paraId="3AD5BB99" w14:textId="77777777" w:rsidR="00000000" w:rsidRDefault="00632532">
            <w:pPr>
              <w:pStyle w:val="a3"/>
              <w:spacing w:before="0" w:beforeAutospacing="0" w:after="0" w:afterAutospacing="0"/>
              <w:rPr>
                <w:sz w:val="20"/>
                <w:szCs w:val="20"/>
              </w:rPr>
            </w:pPr>
            <w:r>
              <w:rPr>
                <w:sz w:val="20"/>
                <w:szCs w:val="20"/>
              </w:rPr>
              <w:t> </w:t>
            </w:r>
          </w:p>
        </w:tc>
      </w:tr>
      <w:tr w:rsidR="00000000" w14:paraId="6064AFDB" w14:textId="77777777">
        <w:trPr>
          <w:trHeight w:val="200"/>
          <w:tblCellSpacing w:w="15" w:type="dxa"/>
        </w:trPr>
        <w:tc>
          <w:tcPr>
            <w:tcW w:w="0" w:type="auto"/>
            <w:hideMark/>
          </w:tcPr>
          <w:p w14:paraId="465A57DE" w14:textId="77777777" w:rsidR="00000000" w:rsidRDefault="00632532">
            <w:pPr>
              <w:pStyle w:val="a3"/>
              <w:spacing w:before="0" w:beforeAutospacing="0" w:after="0" w:afterAutospacing="0"/>
              <w:rPr>
                <w:sz w:val="20"/>
                <w:szCs w:val="20"/>
              </w:rPr>
            </w:pPr>
            <w:r>
              <w:rPr>
                <w:sz w:val="20"/>
                <w:szCs w:val="20"/>
              </w:rPr>
              <w:t>Marketable securities, long-ter</w:t>
            </w:r>
            <w:r>
              <w:rPr>
                <w:sz w:val="20"/>
                <w:szCs w:val="20"/>
              </w:rPr>
              <w:t>m</w:t>
            </w:r>
          </w:p>
        </w:tc>
        <w:tc>
          <w:tcPr>
            <w:tcW w:w="0" w:type="auto"/>
            <w:noWrap/>
            <w:vAlign w:val="bottom"/>
            <w:hideMark/>
          </w:tcPr>
          <w:p w14:paraId="12E9AEC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9E2B494" w14:textId="77777777" w:rsidR="00000000" w:rsidRDefault="00632532">
            <w:pPr>
              <w:pStyle w:val="a3"/>
              <w:spacing w:before="0" w:beforeAutospacing="0" w:after="0" w:afterAutospacing="0"/>
              <w:jc w:val="right"/>
              <w:rPr>
                <w:sz w:val="20"/>
                <w:szCs w:val="20"/>
              </w:rPr>
            </w:pPr>
            <w:r>
              <w:rPr>
                <w:sz w:val="20"/>
                <w:szCs w:val="20"/>
              </w:rPr>
              <w:t>415,62</w:t>
            </w:r>
            <w:r>
              <w:rPr>
                <w:sz w:val="20"/>
                <w:szCs w:val="20"/>
              </w:rPr>
              <w:t>1</w:t>
            </w:r>
          </w:p>
        </w:tc>
        <w:tc>
          <w:tcPr>
            <w:tcW w:w="0" w:type="auto"/>
            <w:noWrap/>
            <w:vAlign w:val="bottom"/>
            <w:hideMark/>
          </w:tcPr>
          <w:p w14:paraId="793652A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0DB60C"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D0DBB1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CDF9FA" w14:textId="77777777" w:rsidR="00000000" w:rsidRDefault="00632532">
            <w:pPr>
              <w:pStyle w:val="a3"/>
              <w:spacing w:before="0" w:beforeAutospacing="0" w:after="0" w:afterAutospacing="0"/>
              <w:jc w:val="right"/>
              <w:rPr>
                <w:sz w:val="20"/>
                <w:szCs w:val="20"/>
              </w:rPr>
            </w:pPr>
            <w:r>
              <w:rPr>
                <w:sz w:val="20"/>
                <w:szCs w:val="20"/>
              </w:rPr>
              <w:t>485,04</w:t>
            </w:r>
            <w:r>
              <w:rPr>
                <w:sz w:val="20"/>
                <w:szCs w:val="20"/>
              </w:rPr>
              <w:t>7</w:t>
            </w:r>
          </w:p>
        </w:tc>
        <w:tc>
          <w:tcPr>
            <w:tcW w:w="0" w:type="auto"/>
            <w:noWrap/>
            <w:vAlign w:val="bottom"/>
            <w:hideMark/>
          </w:tcPr>
          <w:p w14:paraId="12FBC942" w14:textId="77777777" w:rsidR="00000000" w:rsidRDefault="00632532">
            <w:pPr>
              <w:pStyle w:val="a3"/>
              <w:spacing w:before="0" w:beforeAutospacing="0" w:after="0" w:afterAutospacing="0"/>
              <w:rPr>
                <w:sz w:val="20"/>
                <w:szCs w:val="20"/>
              </w:rPr>
            </w:pPr>
            <w:r>
              <w:rPr>
                <w:sz w:val="20"/>
                <w:szCs w:val="20"/>
              </w:rPr>
              <w:t> </w:t>
            </w:r>
          </w:p>
        </w:tc>
      </w:tr>
      <w:tr w:rsidR="00000000" w14:paraId="277F7873" w14:textId="77777777">
        <w:trPr>
          <w:trHeight w:val="200"/>
          <w:tblCellSpacing w:w="15" w:type="dxa"/>
        </w:trPr>
        <w:tc>
          <w:tcPr>
            <w:tcW w:w="0" w:type="auto"/>
            <w:hideMark/>
          </w:tcPr>
          <w:p w14:paraId="11BB5E52" w14:textId="77777777" w:rsidR="00000000" w:rsidRDefault="00632532">
            <w:pPr>
              <w:pStyle w:val="a3"/>
              <w:spacing w:before="0" w:beforeAutospacing="0" w:after="0" w:afterAutospacing="0"/>
              <w:rPr>
                <w:sz w:val="20"/>
                <w:szCs w:val="20"/>
              </w:rPr>
            </w:pPr>
            <w:r>
              <w:rPr>
                <w:sz w:val="20"/>
                <w:szCs w:val="20"/>
              </w:rPr>
              <w:t>Redeemable preferred stock investmen</w:t>
            </w:r>
            <w:r>
              <w:rPr>
                <w:sz w:val="20"/>
                <w:szCs w:val="20"/>
              </w:rPr>
              <w:t>t</w:t>
            </w:r>
          </w:p>
        </w:tc>
        <w:tc>
          <w:tcPr>
            <w:tcW w:w="0" w:type="auto"/>
            <w:noWrap/>
            <w:vAlign w:val="bottom"/>
            <w:hideMark/>
          </w:tcPr>
          <w:p w14:paraId="5C1E29A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C300E63" w14:textId="77777777" w:rsidR="00000000" w:rsidRDefault="00632532">
            <w:pPr>
              <w:pStyle w:val="a3"/>
              <w:spacing w:before="0" w:beforeAutospacing="0" w:after="0" w:afterAutospacing="0"/>
              <w:jc w:val="right"/>
              <w:rPr>
                <w:sz w:val="20"/>
                <w:szCs w:val="20"/>
              </w:rPr>
            </w:pPr>
            <w:r>
              <w:rPr>
                <w:sz w:val="20"/>
                <w:szCs w:val="20"/>
              </w:rPr>
              <w:t>11,98</w:t>
            </w:r>
            <w:r>
              <w:rPr>
                <w:sz w:val="20"/>
                <w:szCs w:val="20"/>
              </w:rPr>
              <w:t>1</w:t>
            </w:r>
          </w:p>
        </w:tc>
        <w:tc>
          <w:tcPr>
            <w:tcW w:w="0" w:type="auto"/>
            <w:noWrap/>
            <w:vAlign w:val="bottom"/>
            <w:hideMark/>
          </w:tcPr>
          <w:p w14:paraId="2AA499F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7B3AD2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306F79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54C202" w14:textId="77777777" w:rsidR="00000000" w:rsidRDefault="00632532">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14:paraId="07A38705" w14:textId="77777777" w:rsidR="00000000" w:rsidRDefault="00632532">
            <w:pPr>
              <w:pStyle w:val="a3"/>
              <w:spacing w:before="0" w:beforeAutospacing="0" w:after="0" w:afterAutospacing="0"/>
              <w:rPr>
                <w:sz w:val="20"/>
                <w:szCs w:val="20"/>
              </w:rPr>
            </w:pPr>
            <w:r>
              <w:rPr>
                <w:sz w:val="20"/>
                <w:szCs w:val="20"/>
              </w:rPr>
              <w:t> </w:t>
            </w:r>
          </w:p>
        </w:tc>
      </w:tr>
      <w:tr w:rsidR="00000000" w14:paraId="15E1F9F6" w14:textId="77777777">
        <w:trPr>
          <w:trHeight w:val="200"/>
          <w:tblCellSpacing w:w="15" w:type="dxa"/>
        </w:trPr>
        <w:tc>
          <w:tcPr>
            <w:tcW w:w="0" w:type="auto"/>
            <w:hideMark/>
          </w:tcPr>
          <w:p w14:paraId="603C9F01" w14:textId="77777777" w:rsidR="00000000" w:rsidRDefault="00632532">
            <w:pPr>
              <w:pStyle w:val="a3"/>
              <w:spacing w:before="0" w:beforeAutospacing="0" w:after="0" w:afterAutospacing="0"/>
              <w:rPr>
                <w:sz w:val="20"/>
                <w:szCs w:val="20"/>
              </w:rPr>
            </w:pPr>
            <w:r>
              <w:rPr>
                <w:sz w:val="20"/>
                <w:szCs w:val="20"/>
              </w:rPr>
              <w:t>Fixed assets, ne</w:t>
            </w:r>
            <w:r>
              <w:rPr>
                <w:sz w:val="20"/>
                <w:szCs w:val="20"/>
              </w:rPr>
              <w:t>t</w:t>
            </w:r>
          </w:p>
        </w:tc>
        <w:tc>
          <w:tcPr>
            <w:tcW w:w="0" w:type="auto"/>
            <w:noWrap/>
            <w:vAlign w:val="bottom"/>
            <w:hideMark/>
          </w:tcPr>
          <w:p w14:paraId="10ACD14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0E5DB40" w14:textId="77777777" w:rsidR="00000000" w:rsidRDefault="00632532">
            <w:pPr>
              <w:pStyle w:val="a3"/>
              <w:spacing w:before="0" w:beforeAutospacing="0" w:after="0" w:afterAutospacing="0"/>
              <w:jc w:val="right"/>
              <w:rPr>
                <w:sz w:val="20"/>
                <w:szCs w:val="20"/>
              </w:rPr>
            </w:pPr>
            <w:r>
              <w:rPr>
                <w:sz w:val="20"/>
                <w:szCs w:val="20"/>
              </w:rPr>
              <w:t>86,04</w:t>
            </w:r>
            <w:r>
              <w:rPr>
                <w:sz w:val="20"/>
                <w:szCs w:val="20"/>
              </w:rPr>
              <w:t>9</w:t>
            </w:r>
          </w:p>
        </w:tc>
        <w:tc>
          <w:tcPr>
            <w:tcW w:w="0" w:type="auto"/>
            <w:noWrap/>
            <w:vAlign w:val="bottom"/>
            <w:hideMark/>
          </w:tcPr>
          <w:p w14:paraId="1D18F82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F491BC"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E87C18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17FE8F" w14:textId="77777777" w:rsidR="00000000" w:rsidRDefault="00632532">
            <w:pPr>
              <w:pStyle w:val="a3"/>
              <w:spacing w:before="0" w:beforeAutospacing="0" w:after="0" w:afterAutospacing="0"/>
              <w:jc w:val="right"/>
              <w:rPr>
                <w:sz w:val="20"/>
                <w:szCs w:val="20"/>
              </w:rPr>
            </w:pPr>
            <w:r>
              <w:rPr>
                <w:sz w:val="20"/>
                <w:szCs w:val="20"/>
              </w:rPr>
              <w:t>62,28</w:t>
            </w:r>
            <w:r>
              <w:rPr>
                <w:sz w:val="20"/>
                <w:szCs w:val="20"/>
              </w:rPr>
              <w:t>7</w:t>
            </w:r>
          </w:p>
        </w:tc>
        <w:tc>
          <w:tcPr>
            <w:tcW w:w="0" w:type="auto"/>
            <w:noWrap/>
            <w:vAlign w:val="bottom"/>
            <w:hideMark/>
          </w:tcPr>
          <w:p w14:paraId="688D7582" w14:textId="77777777" w:rsidR="00000000" w:rsidRDefault="00632532">
            <w:pPr>
              <w:pStyle w:val="a3"/>
              <w:spacing w:before="0" w:beforeAutospacing="0" w:after="0" w:afterAutospacing="0"/>
              <w:rPr>
                <w:sz w:val="20"/>
                <w:szCs w:val="20"/>
              </w:rPr>
            </w:pPr>
            <w:r>
              <w:rPr>
                <w:sz w:val="20"/>
                <w:szCs w:val="20"/>
              </w:rPr>
              <w:t> </w:t>
            </w:r>
          </w:p>
        </w:tc>
      </w:tr>
      <w:tr w:rsidR="00000000" w14:paraId="153C8AB3" w14:textId="77777777">
        <w:trPr>
          <w:trHeight w:val="200"/>
          <w:tblCellSpacing w:w="15" w:type="dxa"/>
        </w:trPr>
        <w:tc>
          <w:tcPr>
            <w:tcW w:w="0" w:type="auto"/>
            <w:hideMark/>
          </w:tcPr>
          <w:p w14:paraId="193EFDE7" w14:textId="77777777" w:rsidR="00000000" w:rsidRDefault="00632532">
            <w:pPr>
              <w:pStyle w:val="a3"/>
              <w:spacing w:before="0" w:beforeAutospacing="0" w:after="0" w:afterAutospacing="0"/>
              <w:rPr>
                <w:sz w:val="20"/>
                <w:szCs w:val="20"/>
              </w:rPr>
            </w:pPr>
            <w:r>
              <w:rPr>
                <w:sz w:val="20"/>
                <w:szCs w:val="20"/>
              </w:rPr>
              <w:t>Intangible assets, ne</w:t>
            </w:r>
            <w:r>
              <w:rPr>
                <w:sz w:val="20"/>
                <w:szCs w:val="20"/>
              </w:rPr>
              <w:t>t</w:t>
            </w:r>
          </w:p>
        </w:tc>
        <w:tc>
          <w:tcPr>
            <w:tcW w:w="0" w:type="auto"/>
            <w:noWrap/>
            <w:vAlign w:val="bottom"/>
            <w:hideMark/>
          </w:tcPr>
          <w:p w14:paraId="209F4ED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A0C30F" w14:textId="77777777" w:rsidR="00000000" w:rsidRDefault="00632532">
            <w:pPr>
              <w:pStyle w:val="a3"/>
              <w:spacing w:before="0" w:beforeAutospacing="0" w:after="0" w:afterAutospacing="0"/>
              <w:jc w:val="right"/>
              <w:rPr>
                <w:sz w:val="20"/>
                <w:szCs w:val="20"/>
              </w:rPr>
            </w:pPr>
            <w:r>
              <w:rPr>
                <w:sz w:val="20"/>
                <w:szCs w:val="20"/>
              </w:rPr>
              <w:t>89,69</w:t>
            </w:r>
            <w:r>
              <w:rPr>
                <w:sz w:val="20"/>
                <w:szCs w:val="20"/>
              </w:rPr>
              <w:t>5</w:t>
            </w:r>
          </w:p>
        </w:tc>
        <w:tc>
          <w:tcPr>
            <w:tcW w:w="0" w:type="auto"/>
            <w:noWrap/>
            <w:vAlign w:val="bottom"/>
            <w:hideMark/>
          </w:tcPr>
          <w:p w14:paraId="2467E35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088CEEE"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B7749E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5A89F8" w14:textId="77777777" w:rsidR="00000000" w:rsidRDefault="00632532">
            <w:pPr>
              <w:pStyle w:val="a3"/>
              <w:spacing w:before="0" w:beforeAutospacing="0" w:after="0" w:afterAutospacing="0"/>
              <w:jc w:val="right"/>
              <w:rPr>
                <w:sz w:val="20"/>
                <w:szCs w:val="20"/>
              </w:rPr>
            </w:pPr>
            <w:r>
              <w:rPr>
                <w:sz w:val="20"/>
                <w:szCs w:val="20"/>
              </w:rPr>
              <w:t>35,91</w:t>
            </w:r>
            <w:r>
              <w:rPr>
                <w:sz w:val="20"/>
                <w:szCs w:val="20"/>
              </w:rPr>
              <w:t>4</w:t>
            </w:r>
          </w:p>
        </w:tc>
        <w:tc>
          <w:tcPr>
            <w:tcW w:w="0" w:type="auto"/>
            <w:noWrap/>
            <w:vAlign w:val="bottom"/>
            <w:hideMark/>
          </w:tcPr>
          <w:p w14:paraId="4E6BB646" w14:textId="77777777" w:rsidR="00000000" w:rsidRDefault="00632532">
            <w:pPr>
              <w:pStyle w:val="a3"/>
              <w:spacing w:before="0" w:beforeAutospacing="0" w:after="0" w:afterAutospacing="0"/>
              <w:rPr>
                <w:sz w:val="20"/>
                <w:szCs w:val="20"/>
              </w:rPr>
            </w:pPr>
            <w:r>
              <w:rPr>
                <w:sz w:val="20"/>
                <w:szCs w:val="20"/>
              </w:rPr>
              <w:t> </w:t>
            </w:r>
          </w:p>
        </w:tc>
      </w:tr>
      <w:tr w:rsidR="00000000" w14:paraId="5C89FF55" w14:textId="77777777">
        <w:trPr>
          <w:trHeight w:val="200"/>
          <w:tblCellSpacing w:w="15" w:type="dxa"/>
        </w:trPr>
        <w:tc>
          <w:tcPr>
            <w:tcW w:w="0" w:type="auto"/>
            <w:hideMark/>
          </w:tcPr>
          <w:p w14:paraId="4EA1C4C0" w14:textId="77777777" w:rsidR="00000000" w:rsidRDefault="00632532">
            <w:pPr>
              <w:pStyle w:val="a3"/>
              <w:spacing w:before="0" w:beforeAutospacing="0" w:after="0" w:afterAutospacing="0"/>
              <w:rPr>
                <w:sz w:val="20"/>
                <w:szCs w:val="20"/>
              </w:rPr>
            </w:pPr>
            <w:r>
              <w:rPr>
                <w:sz w:val="20"/>
                <w:szCs w:val="20"/>
              </w:rPr>
              <w:t>Goodwil</w:t>
            </w:r>
            <w:r>
              <w:rPr>
                <w:sz w:val="20"/>
                <w:szCs w:val="20"/>
              </w:rPr>
              <w:t>l</w:t>
            </w:r>
          </w:p>
        </w:tc>
        <w:tc>
          <w:tcPr>
            <w:tcW w:w="0" w:type="auto"/>
            <w:noWrap/>
            <w:vAlign w:val="bottom"/>
            <w:hideMark/>
          </w:tcPr>
          <w:p w14:paraId="2F05DDC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1A07F1" w14:textId="77777777" w:rsidR="00000000" w:rsidRDefault="00632532">
            <w:pPr>
              <w:pStyle w:val="a3"/>
              <w:spacing w:before="0" w:beforeAutospacing="0" w:after="0" w:afterAutospacing="0"/>
              <w:jc w:val="right"/>
              <w:rPr>
                <w:sz w:val="20"/>
                <w:szCs w:val="20"/>
              </w:rPr>
            </w:pPr>
            <w:r>
              <w:rPr>
                <w:sz w:val="20"/>
                <w:szCs w:val="20"/>
              </w:rPr>
              <w:t>121,35</w:t>
            </w:r>
            <w:r>
              <w:rPr>
                <w:sz w:val="20"/>
                <w:szCs w:val="20"/>
              </w:rPr>
              <w:t>4</w:t>
            </w:r>
          </w:p>
        </w:tc>
        <w:tc>
          <w:tcPr>
            <w:tcW w:w="0" w:type="auto"/>
            <w:noWrap/>
            <w:vAlign w:val="bottom"/>
            <w:hideMark/>
          </w:tcPr>
          <w:p w14:paraId="74AF6A8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97F121"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80A382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194713" w14:textId="77777777" w:rsidR="00000000" w:rsidRDefault="00632532">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14:paraId="23C87700" w14:textId="77777777" w:rsidR="00000000" w:rsidRDefault="00632532">
            <w:pPr>
              <w:pStyle w:val="a3"/>
              <w:spacing w:before="0" w:beforeAutospacing="0" w:after="0" w:afterAutospacing="0"/>
              <w:rPr>
                <w:sz w:val="20"/>
                <w:szCs w:val="20"/>
              </w:rPr>
            </w:pPr>
            <w:r>
              <w:rPr>
                <w:sz w:val="20"/>
                <w:szCs w:val="20"/>
              </w:rPr>
              <w:t> </w:t>
            </w:r>
          </w:p>
        </w:tc>
      </w:tr>
      <w:tr w:rsidR="00000000" w14:paraId="0F493D6B" w14:textId="77777777">
        <w:trPr>
          <w:trHeight w:val="200"/>
          <w:tblCellSpacing w:w="15" w:type="dxa"/>
        </w:trPr>
        <w:tc>
          <w:tcPr>
            <w:tcW w:w="0" w:type="auto"/>
            <w:hideMark/>
          </w:tcPr>
          <w:p w14:paraId="351552E5" w14:textId="77777777" w:rsidR="00000000" w:rsidRDefault="00632532">
            <w:pPr>
              <w:pStyle w:val="a3"/>
              <w:spacing w:before="0" w:beforeAutospacing="0" w:after="0" w:afterAutospacing="0"/>
              <w:rPr>
                <w:sz w:val="20"/>
                <w:szCs w:val="20"/>
              </w:rPr>
            </w:pPr>
            <w:r>
              <w:rPr>
                <w:sz w:val="20"/>
                <w:szCs w:val="20"/>
              </w:rPr>
              <w:t>Other long-term asset</w:t>
            </w:r>
            <w:r>
              <w:rPr>
                <w:sz w:val="20"/>
                <w:szCs w:val="20"/>
              </w:rPr>
              <w:t>s</w:t>
            </w:r>
          </w:p>
        </w:tc>
        <w:tc>
          <w:tcPr>
            <w:tcW w:w="0" w:type="auto"/>
            <w:noWrap/>
            <w:vAlign w:val="bottom"/>
            <w:hideMark/>
          </w:tcPr>
          <w:p w14:paraId="0E19EE1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3CEB19C" w14:textId="77777777" w:rsidR="00000000" w:rsidRDefault="00632532">
            <w:pPr>
              <w:pStyle w:val="a3"/>
              <w:spacing w:before="0" w:beforeAutospacing="0" w:after="0" w:afterAutospacing="0"/>
              <w:jc w:val="right"/>
              <w:rPr>
                <w:sz w:val="20"/>
                <w:szCs w:val="20"/>
              </w:rPr>
            </w:pPr>
            <w:r>
              <w:rPr>
                <w:sz w:val="20"/>
                <w:szCs w:val="20"/>
              </w:rPr>
              <w:t>61,77</w:t>
            </w:r>
            <w:r>
              <w:rPr>
                <w:sz w:val="20"/>
                <w:szCs w:val="20"/>
              </w:rPr>
              <w:t>7</w:t>
            </w:r>
          </w:p>
        </w:tc>
        <w:tc>
          <w:tcPr>
            <w:tcW w:w="0" w:type="auto"/>
            <w:noWrap/>
            <w:vAlign w:val="bottom"/>
            <w:hideMark/>
          </w:tcPr>
          <w:p w14:paraId="7B80605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FC21E7"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1AD54F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1A23EFC" w14:textId="77777777" w:rsidR="00000000" w:rsidRDefault="00632532">
            <w:pPr>
              <w:pStyle w:val="a3"/>
              <w:spacing w:before="0" w:beforeAutospacing="0" w:after="0" w:afterAutospacing="0"/>
              <w:jc w:val="right"/>
              <w:rPr>
                <w:sz w:val="20"/>
                <w:szCs w:val="20"/>
              </w:rPr>
            </w:pPr>
            <w:r>
              <w:rPr>
                <w:sz w:val="20"/>
                <w:szCs w:val="20"/>
              </w:rPr>
              <w:t>10,65</w:t>
            </w:r>
            <w:r>
              <w:rPr>
                <w:sz w:val="20"/>
                <w:szCs w:val="20"/>
              </w:rPr>
              <w:t>0</w:t>
            </w:r>
          </w:p>
        </w:tc>
        <w:tc>
          <w:tcPr>
            <w:tcW w:w="0" w:type="auto"/>
            <w:noWrap/>
            <w:vAlign w:val="bottom"/>
            <w:hideMark/>
          </w:tcPr>
          <w:p w14:paraId="0857118F" w14:textId="77777777" w:rsidR="00000000" w:rsidRDefault="00632532">
            <w:pPr>
              <w:pStyle w:val="a3"/>
              <w:spacing w:before="0" w:beforeAutospacing="0" w:after="0" w:afterAutospacing="0"/>
              <w:rPr>
                <w:sz w:val="20"/>
                <w:szCs w:val="20"/>
              </w:rPr>
            </w:pPr>
            <w:r>
              <w:rPr>
                <w:sz w:val="20"/>
                <w:szCs w:val="20"/>
              </w:rPr>
              <w:t> </w:t>
            </w:r>
          </w:p>
        </w:tc>
      </w:tr>
      <w:tr w:rsidR="00000000" w14:paraId="584F582F" w14:textId="77777777">
        <w:trPr>
          <w:trHeight w:val="200"/>
          <w:tblCellSpacing w:w="15" w:type="dxa"/>
        </w:trPr>
        <w:tc>
          <w:tcPr>
            <w:tcW w:w="0" w:type="auto"/>
            <w:hideMark/>
          </w:tcPr>
          <w:p w14:paraId="07C5FAA1" w14:textId="77777777" w:rsidR="00000000" w:rsidRDefault="00632532">
            <w:pPr>
              <w:pStyle w:val="a3"/>
              <w:spacing w:before="0" w:beforeAutospacing="0" w:after="0" w:afterAutospacing="0"/>
              <w:rPr>
                <w:sz w:val="20"/>
                <w:szCs w:val="20"/>
              </w:rPr>
            </w:pPr>
            <w:r>
              <w:rPr>
                <w:sz w:val="20"/>
                <w:szCs w:val="20"/>
              </w:rPr>
              <w:t>Total asset</w:t>
            </w:r>
            <w:r>
              <w:rPr>
                <w:sz w:val="20"/>
                <w:szCs w:val="20"/>
              </w:rPr>
              <w:t>s</w:t>
            </w:r>
          </w:p>
        </w:tc>
        <w:tc>
          <w:tcPr>
            <w:tcW w:w="0" w:type="auto"/>
            <w:noWrap/>
            <w:vAlign w:val="bottom"/>
            <w:hideMark/>
          </w:tcPr>
          <w:p w14:paraId="512CB44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B0CCDB4" w14:textId="77777777" w:rsidR="00000000" w:rsidRDefault="00632532">
            <w:pPr>
              <w:pStyle w:val="a3"/>
              <w:spacing w:before="0" w:beforeAutospacing="0" w:after="0" w:afterAutospacing="0"/>
              <w:jc w:val="right"/>
              <w:rPr>
                <w:sz w:val="20"/>
                <w:szCs w:val="20"/>
              </w:rPr>
            </w:pPr>
            <w:r>
              <w:rPr>
                <w:sz w:val="20"/>
                <w:szCs w:val="20"/>
              </w:rPr>
              <w:t>1,461,66</w:t>
            </w:r>
            <w:r>
              <w:rPr>
                <w:sz w:val="20"/>
                <w:szCs w:val="20"/>
              </w:rPr>
              <w:t>2</w:t>
            </w:r>
          </w:p>
        </w:tc>
        <w:tc>
          <w:tcPr>
            <w:tcW w:w="0" w:type="auto"/>
            <w:noWrap/>
            <w:vAlign w:val="bottom"/>
            <w:hideMark/>
          </w:tcPr>
          <w:p w14:paraId="753C37E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23A4828"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0EEDDE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6C3C9AC" w14:textId="77777777" w:rsidR="00000000" w:rsidRDefault="00632532">
            <w:pPr>
              <w:pStyle w:val="a3"/>
              <w:spacing w:before="0" w:beforeAutospacing="0" w:after="0" w:afterAutospacing="0"/>
              <w:jc w:val="right"/>
              <w:rPr>
                <w:sz w:val="20"/>
                <w:szCs w:val="20"/>
              </w:rPr>
            </w:pPr>
            <w:r>
              <w:rPr>
                <w:sz w:val="20"/>
                <w:szCs w:val="20"/>
              </w:rPr>
              <w:t>1,278,72</w:t>
            </w:r>
            <w:r>
              <w:rPr>
                <w:sz w:val="20"/>
                <w:szCs w:val="20"/>
              </w:rPr>
              <w:t>0</w:t>
            </w:r>
          </w:p>
        </w:tc>
        <w:tc>
          <w:tcPr>
            <w:tcW w:w="0" w:type="auto"/>
            <w:noWrap/>
            <w:vAlign w:val="bottom"/>
            <w:hideMark/>
          </w:tcPr>
          <w:p w14:paraId="301CB4C3" w14:textId="77777777" w:rsidR="00000000" w:rsidRDefault="00632532">
            <w:pPr>
              <w:pStyle w:val="a3"/>
              <w:spacing w:before="0" w:beforeAutospacing="0" w:after="0" w:afterAutospacing="0"/>
              <w:rPr>
                <w:sz w:val="20"/>
                <w:szCs w:val="20"/>
              </w:rPr>
            </w:pPr>
            <w:r>
              <w:rPr>
                <w:sz w:val="20"/>
                <w:szCs w:val="20"/>
              </w:rPr>
              <w:t> </w:t>
            </w:r>
          </w:p>
        </w:tc>
      </w:tr>
      <w:tr w:rsidR="00000000" w14:paraId="0DB6AEEC" w14:textId="77777777">
        <w:trPr>
          <w:trHeight w:val="200"/>
          <w:tblCellSpacing w:w="15" w:type="dxa"/>
        </w:trPr>
        <w:tc>
          <w:tcPr>
            <w:tcW w:w="0" w:type="auto"/>
            <w:hideMark/>
          </w:tcPr>
          <w:p w14:paraId="76F6D784" w14:textId="77777777" w:rsidR="00000000" w:rsidRDefault="00632532">
            <w:pPr>
              <w:pStyle w:val="a3"/>
              <w:spacing w:before="0" w:beforeAutospacing="0" w:after="0" w:afterAutospacing="0"/>
              <w:rPr>
                <w:sz w:val="20"/>
                <w:szCs w:val="20"/>
              </w:rPr>
            </w:pPr>
            <w:r>
              <w:rPr>
                <w:b/>
                <w:bCs/>
                <w:sz w:val="20"/>
                <w:szCs w:val="20"/>
              </w:rPr>
              <w:t>Liabilities and Stockholders’ Equit</w:t>
            </w:r>
            <w:r>
              <w:rPr>
                <w:b/>
                <w:bCs/>
                <w:sz w:val="20"/>
                <w:szCs w:val="20"/>
              </w:rPr>
              <w:t>y</w:t>
            </w:r>
          </w:p>
        </w:tc>
        <w:tc>
          <w:tcPr>
            <w:tcW w:w="0" w:type="auto"/>
            <w:gridSpan w:val="2"/>
            <w:vAlign w:val="bottom"/>
            <w:hideMark/>
          </w:tcPr>
          <w:p w14:paraId="76B6D7F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F88FA9F"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5038D64"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453F0D3"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34A8AAB" w14:textId="77777777" w:rsidR="00000000" w:rsidRDefault="00632532">
            <w:pPr>
              <w:pStyle w:val="a3"/>
              <w:spacing w:before="0" w:beforeAutospacing="0" w:after="0" w:afterAutospacing="0"/>
              <w:jc w:val="right"/>
              <w:rPr>
                <w:sz w:val="20"/>
                <w:szCs w:val="20"/>
              </w:rPr>
            </w:pPr>
            <w:r>
              <w:rPr>
                <w:sz w:val="20"/>
                <w:szCs w:val="20"/>
              </w:rPr>
              <w:t> </w:t>
            </w:r>
          </w:p>
        </w:tc>
      </w:tr>
      <w:tr w:rsidR="00000000" w14:paraId="6389C821" w14:textId="77777777">
        <w:trPr>
          <w:trHeight w:val="200"/>
          <w:tblCellSpacing w:w="15" w:type="dxa"/>
        </w:trPr>
        <w:tc>
          <w:tcPr>
            <w:tcW w:w="0" w:type="auto"/>
            <w:hideMark/>
          </w:tcPr>
          <w:p w14:paraId="34613D52" w14:textId="77777777" w:rsidR="00000000" w:rsidRDefault="00632532">
            <w:pPr>
              <w:pStyle w:val="a3"/>
              <w:spacing w:before="0" w:beforeAutospacing="0" w:after="0" w:afterAutospacing="0"/>
              <w:rPr>
                <w:sz w:val="20"/>
                <w:szCs w:val="20"/>
              </w:rPr>
            </w:pPr>
            <w:r>
              <w:rPr>
                <w:sz w:val="20"/>
                <w:szCs w:val="20"/>
              </w:rPr>
              <w:t>Current liabilitie</w:t>
            </w:r>
            <w:r>
              <w:rPr>
                <w:sz w:val="20"/>
                <w:szCs w:val="20"/>
              </w:rPr>
              <w:t>s</w:t>
            </w:r>
          </w:p>
        </w:tc>
        <w:tc>
          <w:tcPr>
            <w:tcW w:w="0" w:type="auto"/>
            <w:gridSpan w:val="2"/>
            <w:vAlign w:val="bottom"/>
            <w:hideMark/>
          </w:tcPr>
          <w:p w14:paraId="117A455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AC3BAB5"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61DE74E3"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E371F14"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3B00A5A" w14:textId="77777777" w:rsidR="00000000" w:rsidRDefault="00632532">
            <w:pPr>
              <w:pStyle w:val="a3"/>
              <w:spacing w:before="0" w:beforeAutospacing="0" w:after="0" w:afterAutospacing="0"/>
              <w:jc w:val="right"/>
              <w:rPr>
                <w:sz w:val="20"/>
                <w:szCs w:val="20"/>
              </w:rPr>
            </w:pPr>
            <w:r>
              <w:rPr>
                <w:sz w:val="20"/>
                <w:szCs w:val="20"/>
              </w:rPr>
              <w:t> </w:t>
            </w:r>
          </w:p>
        </w:tc>
      </w:tr>
      <w:tr w:rsidR="00000000" w14:paraId="4D0B0C74" w14:textId="77777777">
        <w:trPr>
          <w:trHeight w:val="200"/>
          <w:tblCellSpacing w:w="15" w:type="dxa"/>
        </w:trPr>
        <w:tc>
          <w:tcPr>
            <w:tcW w:w="0" w:type="auto"/>
            <w:hideMark/>
          </w:tcPr>
          <w:p w14:paraId="37CF84FD" w14:textId="77777777" w:rsidR="00000000" w:rsidRDefault="00632532">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noWrap/>
            <w:vAlign w:val="bottom"/>
            <w:hideMark/>
          </w:tcPr>
          <w:p w14:paraId="2F2DA01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462BB4B" w14:textId="77777777" w:rsidR="00000000" w:rsidRDefault="00632532">
            <w:pPr>
              <w:pStyle w:val="a3"/>
              <w:spacing w:before="0" w:beforeAutospacing="0" w:after="0" w:afterAutospacing="0"/>
              <w:jc w:val="right"/>
              <w:rPr>
                <w:sz w:val="20"/>
                <w:szCs w:val="20"/>
              </w:rPr>
            </w:pPr>
            <w:r>
              <w:rPr>
                <w:sz w:val="20"/>
                <w:szCs w:val="20"/>
              </w:rPr>
              <w:t>37,10</w:t>
            </w:r>
            <w:r>
              <w:rPr>
                <w:sz w:val="20"/>
                <w:szCs w:val="20"/>
              </w:rPr>
              <w:t>9</w:t>
            </w:r>
          </w:p>
        </w:tc>
        <w:tc>
          <w:tcPr>
            <w:tcW w:w="0" w:type="auto"/>
            <w:noWrap/>
            <w:vAlign w:val="bottom"/>
            <w:hideMark/>
          </w:tcPr>
          <w:p w14:paraId="5AB7DD2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AACD24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30BB9D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3E57B51" w14:textId="77777777" w:rsidR="00000000" w:rsidRDefault="00632532">
            <w:pPr>
              <w:pStyle w:val="a3"/>
              <w:spacing w:before="0" w:beforeAutospacing="0" w:after="0" w:afterAutospacing="0"/>
              <w:jc w:val="right"/>
              <w:rPr>
                <w:sz w:val="20"/>
                <w:szCs w:val="20"/>
              </w:rPr>
            </w:pPr>
            <w:r>
              <w:rPr>
                <w:sz w:val="20"/>
                <w:szCs w:val="20"/>
              </w:rPr>
              <w:t>20,49</w:t>
            </w:r>
            <w:r>
              <w:rPr>
                <w:sz w:val="20"/>
                <w:szCs w:val="20"/>
              </w:rPr>
              <w:t>4</w:t>
            </w:r>
          </w:p>
        </w:tc>
        <w:tc>
          <w:tcPr>
            <w:tcW w:w="0" w:type="auto"/>
            <w:noWrap/>
            <w:vAlign w:val="bottom"/>
            <w:hideMark/>
          </w:tcPr>
          <w:p w14:paraId="75B8C92F" w14:textId="77777777" w:rsidR="00000000" w:rsidRDefault="00632532">
            <w:pPr>
              <w:pStyle w:val="a3"/>
              <w:spacing w:before="0" w:beforeAutospacing="0" w:after="0" w:afterAutospacing="0"/>
              <w:rPr>
                <w:sz w:val="20"/>
                <w:szCs w:val="20"/>
              </w:rPr>
            </w:pPr>
            <w:r>
              <w:rPr>
                <w:sz w:val="20"/>
                <w:szCs w:val="20"/>
              </w:rPr>
              <w:t> </w:t>
            </w:r>
          </w:p>
        </w:tc>
      </w:tr>
      <w:tr w:rsidR="00000000" w14:paraId="62456D31" w14:textId="77777777">
        <w:trPr>
          <w:trHeight w:val="200"/>
          <w:tblCellSpacing w:w="15" w:type="dxa"/>
        </w:trPr>
        <w:tc>
          <w:tcPr>
            <w:tcW w:w="0" w:type="auto"/>
            <w:hideMark/>
          </w:tcPr>
          <w:p w14:paraId="3BE9AC10" w14:textId="77777777" w:rsidR="00000000" w:rsidRDefault="00632532">
            <w:pPr>
              <w:pStyle w:val="a3"/>
              <w:spacing w:before="0" w:beforeAutospacing="0" w:after="0" w:afterAutospacing="0"/>
              <w:ind w:left="200"/>
              <w:rPr>
                <w:sz w:val="20"/>
                <w:szCs w:val="20"/>
              </w:rPr>
            </w:pPr>
            <w:r>
              <w:rPr>
                <w:sz w:val="20"/>
                <w:szCs w:val="20"/>
              </w:rPr>
              <w:t>Accrued liabilitie</w:t>
            </w:r>
            <w:r>
              <w:rPr>
                <w:sz w:val="20"/>
                <w:szCs w:val="20"/>
              </w:rPr>
              <w:t>s</w:t>
            </w:r>
          </w:p>
        </w:tc>
        <w:tc>
          <w:tcPr>
            <w:tcW w:w="0" w:type="auto"/>
            <w:noWrap/>
            <w:vAlign w:val="bottom"/>
            <w:hideMark/>
          </w:tcPr>
          <w:p w14:paraId="0E7AA73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26D0AA6" w14:textId="77777777" w:rsidR="00000000" w:rsidRDefault="00632532">
            <w:pPr>
              <w:pStyle w:val="a3"/>
              <w:spacing w:before="0" w:beforeAutospacing="0" w:after="0" w:afterAutospacing="0"/>
              <w:jc w:val="right"/>
              <w:rPr>
                <w:sz w:val="20"/>
                <w:szCs w:val="20"/>
              </w:rPr>
            </w:pPr>
            <w:r>
              <w:rPr>
                <w:sz w:val="20"/>
                <w:szCs w:val="20"/>
              </w:rPr>
              <w:t>27,10</w:t>
            </w:r>
            <w:r>
              <w:rPr>
                <w:sz w:val="20"/>
                <w:szCs w:val="20"/>
              </w:rPr>
              <w:t>0</w:t>
            </w:r>
          </w:p>
        </w:tc>
        <w:tc>
          <w:tcPr>
            <w:tcW w:w="0" w:type="auto"/>
            <w:noWrap/>
            <w:vAlign w:val="bottom"/>
            <w:hideMark/>
          </w:tcPr>
          <w:p w14:paraId="7C3E41D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70D681"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2E2076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41D919" w14:textId="77777777" w:rsidR="00000000" w:rsidRDefault="00632532">
            <w:pPr>
              <w:pStyle w:val="a3"/>
              <w:spacing w:before="0" w:beforeAutospacing="0" w:after="0" w:afterAutospacing="0"/>
              <w:jc w:val="right"/>
              <w:rPr>
                <w:sz w:val="20"/>
                <w:szCs w:val="20"/>
              </w:rPr>
            </w:pPr>
            <w:r>
              <w:rPr>
                <w:sz w:val="20"/>
                <w:szCs w:val="20"/>
              </w:rPr>
              <w:t>17,68</w:t>
            </w:r>
            <w:r>
              <w:rPr>
                <w:sz w:val="20"/>
                <w:szCs w:val="20"/>
              </w:rPr>
              <w:t>9</w:t>
            </w:r>
          </w:p>
        </w:tc>
        <w:tc>
          <w:tcPr>
            <w:tcW w:w="0" w:type="auto"/>
            <w:noWrap/>
            <w:vAlign w:val="bottom"/>
            <w:hideMark/>
          </w:tcPr>
          <w:p w14:paraId="0D326B27" w14:textId="77777777" w:rsidR="00000000" w:rsidRDefault="00632532">
            <w:pPr>
              <w:pStyle w:val="a3"/>
              <w:spacing w:before="0" w:beforeAutospacing="0" w:after="0" w:afterAutospacing="0"/>
              <w:rPr>
                <w:sz w:val="20"/>
                <w:szCs w:val="20"/>
              </w:rPr>
            </w:pPr>
            <w:r>
              <w:rPr>
                <w:sz w:val="20"/>
                <w:szCs w:val="20"/>
              </w:rPr>
              <w:t> </w:t>
            </w:r>
          </w:p>
        </w:tc>
      </w:tr>
      <w:tr w:rsidR="00000000" w14:paraId="725D8767" w14:textId="77777777">
        <w:trPr>
          <w:trHeight w:val="200"/>
          <w:tblCellSpacing w:w="15" w:type="dxa"/>
        </w:trPr>
        <w:tc>
          <w:tcPr>
            <w:tcW w:w="0" w:type="auto"/>
            <w:hideMark/>
          </w:tcPr>
          <w:p w14:paraId="1C7AC938" w14:textId="77777777" w:rsidR="00000000" w:rsidRDefault="00632532">
            <w:pPr>
              <w:pStyle w:val="a3"/>
              <w:spacing w:before="0" w:beforeAutospacing="0" w:after="0" w:afterAutospacing="0"/>
              <w:ind w:left="200"/>
              <w:rPr>
                <w:sz w:val="20"/>
                <w:szCs w:val="20"/>
              </w:rPr>
            </w:pPr>
            <w:r>
              <w:rPr>
                <w:sz w:val="20"/>
                <w:szCs w:val="20"/>
              </w:rPr>
              <w:t>Income tax payabl</w:t>
            </w:r>
            <w:r>
              <w:rPr>
                <w:sz w:val="20"/>
                <w:szCs w:val="20"/>
              </w:rPr>
              <w:t>e</w:t>
            </w:r>
          </w:p>
        </w:tc>
        <w:tc>
          <w:tcPr>
            <w:tcW w:w="0" w:type="auto"/>
            <w:noWrap/>
            <w:vAlign w:val="bottom"/>
            <w:hideMark/>
          </w:tcPr>
          <w:p w14:paraId="2D8629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FADFB8" w14:textId="77777777" w:rsidR="00000000" w:rsidRDefault="00632532">
            <w:pPr>
              <w:pStyle w:val="a3"/>
              <w:spacing w:before="0" w:beforeAutospacing="0" w:after="0" w:afterAutospacing="0"/>
              <w:jc w:val="right"/>
              <w:rPr>
                <w:sz w:val="20"/>
                <w:szCs w:val="20"/>
              </w:rPr>
            </w:pPr>
            <w:r>
              <w:rPr>
                <w:sz w:val="20"/>
                <w:szCs w:val="20"/>
              </w:rPr>
              <w:t>2,80</w:t>
            </w:r>
            <w:r>
              <w:rPr>
                <w:sz w:val="20"/>
                <w:szCs w:val="20"/>
              </w:rPr>
              <w:t>4</w:t>
            </w:r>
          </w:p>
        </w:tc>
        <w:tc>
          <w:tcPr>
            <w:tcW w:w="0" w:type="auto"/>
            <w:noWrap/>
            <w:vAlign w:val="bottom"/>
            <w:hideMark/>
          </w:tcPr>
          <w:p w14:paraId="49655CF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0ABBE94"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7BB079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1FCF54" w14:textId="77777777" w:rsidR="00000000" w:rsidRDefault="00632532">
            <w:pPr>
              <w:pStyle w:val="a3"/>
              <w:spacing w:before="0" w:beforeAutospacing="0" w:after="0" w:afterAutospacing="0"/>
              <w:jc w:val="right"/>
              <w:rPr>
                <w:sz w:val="20"/>
                <w:szCs w:val="20"/>
              </w:rPr>
            </w:pPr>
            <w:r>
              <w:rPr>
                <w:sz w:val="20"/>
                <w:szCs w:val="20"/>
              </w:rPr>
              <w:t>78</w:t>
            </w:r>
            <w:r>
              <w:rPr>
                <w:sz w:val="20"/>
                <w:szCs w:val="20"/>
              </w:rPr>
              <w:t>7</w:t>
            </w:r>
          </w:p>
        </w:tc>
        <w:tc>
          <w:tcPr>
            <w:tcW w:w="0" w:type="auto"/>
            <w:noWrap/>
            <w:vAlign w:val="bottom"/>
            <w:hideMark/>
          </w:tcPr>
          <w:p w14:paraId="18619353" w14:textId="77777777" w:rsidR="00000000" w:rsidRDefault="00632532">
            <w:pPr>
              <w:pStyle w:val="a3"/>
              <w:spacing w:before="0" w:beforeAutospacing="0" w:after="0" w:afterAutospacing="0"/>
              <w:rPr>
                <w:sz w:val="20"/>
                <w:szCs w:val="20"/>
              </w:rPr>
            </w:pPr>
            <w:r>
              <w:rPr>
                <w:sz w:val="20"/>
                <w:szCs w:val="20"/>
              </w:rPr>
              <w:t> </w:t>
            </w:r>
          </w:p>
        </w:tc>
      </w:tr>
      <w:tr w:rsidR="00000000" w14:paraId="1BE9F1C6" w14:textId="77777777">
        <w:trPr>
          <w:trHeight w:val="200"/>
          <w:tblCellSpacing w:w="15" w:type="dxa"/>
        </w:trPr>
        <w:tc>
          <w:tcPr>
            <w:tcW w:w="0" w:type="auto"/>
            <w:hideMark/>
          </w:tcPr>
          <w:p w14:paraId="092079BA" w14:textId="77777777" w:rsidR="00000000" w:rsidRDefault="00632532">
            <w:pPr>
              <w:pStyle w:val="a3"/>
              <w:spacing w:before="0" w:beforeAutospacing="0" w:after="0" w:afterAutospacing="0"/>
              <w:ind w:left="200"/>
              <w:rPr>
                <w:sz w:val="20"/>
                <w:szCs w:val="20"/>
              </w:rPr>
            </w:pPr>
            <w:r>
              <w:rPr>
                <w:sz w:val="20"/>
                <w:szCs w:val="20"/>
              </w:rPr>
              <w:t>Contract liabilitie</w:t>
            </w:r>
            <w:r>
              <w:rPr>
                <w:sz w:val="20"/>
                <w:szCs w:val="20"/>
              </w:rPr>
              <w:t>s</w:t>
            </w:r>
          </w:p>
        </w:tc>
        <w:tc>
          <w:tcPr>
            <w:tcW w:w="0" w:type="auto"/>
            <w:noWrap/>
            <w:vAlign w:val="bottom"/>
            <w:hideMark/>
          </w:tcPr>
          <w:p w14:paraId="3DEA791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7331FE5" w14:textId="77777777" w:rsidR="00000000" w:rsidRDefault="00632532">
            <w:pPr>
              <w:pStyle w:val="a3"/>
              <w:spacing w:before="0" w:beforeAutospacing="0" w:after="0" w:afterAutospacing="0"/>
              <w:jc w:val="right"/>
              <w:rPr>
                <w:sz w:val="20"/>
                <w:szCs w:val="20"/>
              </w:rPr>
            </w:pPr>
            <w:r>
              <w:rPr>
                <w:sz w:val="20"/>
                <w:szCs w:val="20"/>
              </w:rPr>
              <w:t>10,10</w:t>
            </w:r>
            <w:r>
              <w:rPr>
                <w:sz w:val="20"/>
                <w:szCs w:val="20"/>
              </w:rPr>
              <w:t>2</w:t>
            </w:r>
          </w:p>
        </w:tc>
        <w:tc>
          <w:tcPr>
            <w:tcW w:w="0" w:type="auto"/>
            <w:noWrap/>
            <w:vAlign w:val="bottom"/>
            <w:hideMark/>
          </w:tcPr>
          <w:p w14:paraId="2F5B802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509B48"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361F2B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A872D3" w14:textId="77777777" w:rsidR="00000000" w:rsidRDefault="00632532">
            <w:pPr>
              <w:pStyle w:val="a3"/>
              <w:spacing w:before="0" w:beforeAutospacing="0" w:after="0" w:afterAutospacing="0"/>
              <w:jc w:val="right"/>
              <w:rPr>
                <w:sz w:val="20"/>
                <w:szCs w:val="20"/>
              </w:rPr>
            </w:pPr>
            <w:r>
              <w:rPr>
                <w:sz w:val="20"/>
                <w:szCs w:val="20"/>
              </w:rPr>
              <w:t>14,57</w:t>
            </w:r>
            <w:r>
              <w:rPr>
                <w:sz w:val="20"/>
                <w:szCs w:val="20"/>
              </w:rPr>
              <w:t>0</w:t>
            </w:r>
          </w:p>
        </w:tc>
        <w:tc>
          <w:tcPr>
            <w:tcW w:w="0" w:type="auto"/>
            <w:noWrap/>
            <w:vAlign w:val="bottom"/>
            <w:hideMark/>
          </w:tcPr>
          <w:p w14:paraId="5C49F286" w14:textId="77777777" w:rsidR="00000000" w:rsidRDefault="00632532">
            <w:pPr>
              <w:pStyle w:val="a3"/>
              <w:spacing w:before="0" w:beforeAutospacing="0" w:after="0" w:afterAutospacing="0"/>
              <w:rPr>
                <w:sz w:val="20"/>
                <w:szCs w:val="20"/>
              </w:rPr>
            </w:pPr>
            <w:r>
              <w:rPr>
                <w:sz w:val="20"/>
                <w:szCs w:val="20"/>
              </w:rPr>
              <w:t> </w:t>
            </w:r>
          </w:p>
        </w:tc>
      </w:tr>
      <w:tr w:rsidR="00000000" w14:paraId="20D79203" w14:textId="77777777">
        <w:trPr>
          <w:trHeight w:val="200"/>
          <w:tblCellSpacing w:w="15" w:type="dxa"/>
        </w:trPr>
        <w:tc>
          <w:tcPr>
            <w:tcW w:w="0" w:type="auto"/>
            <w:hideMark/>
          </w:tcPr>
          <w:p w14:paraId="78ECEC67" w14:textId="77777777" w:rsidR="00000000" w:rsidRDefault="00632532">
            <w:pPr>
              <w:pStyle w:val="a3"/>
              <w:spacing w:before="0" w:beforeAutospacing="0" w:after="0" w:afterAutospacing="0"/>
              <w:ind w:left="200"/>
              <w:rPr>
                <w:sz w:val="20"/>
                <w:szCs w:val="20"/>
              </w:rPr>
            </w:pPr>
            <w:r>
              <w:rPr>
                <w:sz w:val="20"/>
                <w:szCs w:val="20"/>
              </w:rPr>
              <w:t>Customer deposi</w:t>
            </w:r>
            <w:r>
              <w:rPr>
                <w:sz w:val="20"/>
                <w:szCs w:val="20"/>
              </w:rPr>
              <w:t>t</w:t>
            </w:r>
          </w:p>
        </w:tc>
        <w:tc>
          <w:tcPr>
            <w:tcW w:w="0" w:type="auto"/>
            <w:noWrap/>
            <w:vAlign w:val="bottom"/>
            <w:hideMark/>
          </w:tcPr>
          <w:p w14:paraId="3436237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BFAF2AF" w14:textId="77777777" w:rsidR="00000000" w:rsidRDefault="00632532">
            <w:pPr>
              <w:pStyle w:val="a3"/>
              <w:spacing w:before="0" w:beforeAutospacing="0" w:after="0" w:afterAutospacing="0"/>
              <w:jc w:val="right"/>
              <w:rPr>
                <w:sz w:val="20"/>
                <w:szCs w:val="20"/>
              </w:rPr>
            </w:pPr>
            <w:r>
              <w:rPr>
                <w:sz w:val="20"/>
                <w:szCs w:val="20"/>
              </w:rPr>
              <w:t>28,95</w:t>
            </w:r>
            <w:r>
              <w:rPr>
                <w:sz w:val="20"/>
                <w:szCs w:val="20"/>
              </w:rPr>
              <w:t>9</w:t>
            </w:r>
          </w:p>
        </w:tc>
        <w:tc>
          <w:tcPr>
            <w:tcW w:w="0" w:type="auto"/>
            <w:noWrap/>
            <w:vAlign w:val="bottom"/>
            <w:hideMark/>
          </w:tcPr>
          <w:p w14:paraId="053CD96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6BFB64"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B97D1B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A544D24" w14:textId="77777777" w:rsidR="00000000" w:rsidRDefault="00632532">
            <w:pPr>
              <w:pStyle w:val="a3"/>
              <w:spacing w:before="0" w:beforeAutospacing="0" w:after="0" w:afterAutospacing="0"/>
              <w:jc w:val="right"/>
              <w:rPr>
                <w:sz w:val="20"/>
                <w:szCs w:val="20"/>
              </w:rPr>
            </w:pPr>
            <w:r>
              <w:rPr>
                <w:sz w:val="20"/>
                <w:szCs w:val="20"/>
              </w:rPr>
              <w:t>19,80</w:t>
            </w:r>
            <w:r>
              <w:rPr>
                <w:sz w:val="20"/>
                <w:szCs w:val="20"/>
              </w:rPr>
              <w:t>6</w:t>
            </w:r>
          </w:p>
        </w:tc>
        <w:tc>
          <w:tcPr>
            <w:tcW w:w="0" w:type="auto"/>
            <w:noWrap/>
            <w:vAlign w:val="bottom"/>
            <w:hideMark/>
          </w:tcPr>
          <w:p w14:paraId="4F202FD3" w14:textId="77777777" w:rsidR="00000000" w:rsidRDefault="00632532">
            <w:pPr>
              <w:pStyle w:val="a3"/>
              <w:spacing w:before="0" w:beforeAutospacing="0" w:after="0" w:afterAutospacing="0"/>
              <w:rPr>
                <w:sz w:val="20"/>
                <w:szCs w:val="20"/>
              </w:rPr>
            </w:pPr>
            <w:r>
              <w:rPr>
                <w:sz w:val="20"/>
                <w:szCs w:val="20"/>
              </w:rPr>
              <w:t> </w:t>
            </w:r>
          </w:p>
        </w:tc>
      </w:tr>
      <w:tr w:rsidR="00000000" w14:paraId="0CCCBEB7" w14:textId="77777777">
        <w:trPr>
          <w:trHeight w:val="200"/>
          <w:tblCellSpacing w:w="15" w:type="dxa"/>
        </w:trPr>
        <w:tc>
          <w:tcPr>
            <w:tcW w:w="0" w:type="auto"/>
            <w:hideMark/>
          </w:tcPr>
          <w:p w14:paraId="09094733" w14:textId="77777777" w:rsidR="00000000" w:rsidRDefault="00632532">
            <w:pPr>
              <w:pStyle w:val="a3"/>
              <w:spacing w:before="0" w:beforeAutospacing="0" w:after="0" w:afterAutospacing="0"/>
              <w:ind w:left="200"/>
              <w:rPr>
                <w:sz w:val="20"/>
                <w:szCs w:val="20"/>
              </w:rPr>
            </w:pPr>
            <w:r>
              <w:rPr>
                <w:sz w:val="20"/>
                <w:szCs w:val="20"/>
              </w:rPr>
              <w:t>Investment margin loa</w:t>
            </w:r>
            <w:r>
              <w:rPr>
                <w:sz w:val="20"/>
                <w:szCs w:val="20"/>
              </w:rPr>
              <w:t>n</w:t>
            </w:r>
          </w:p>
        </w:tc>
        <w:tc>
          <w:tcPr>
            <w:tcW w:w="0" w:type="auto"/>
            <w:noWrap/>
            <w:vAlign w:val="bottom"/>
            <w:hideMark/>
          </w:tcPr>
          <w:p w14:paraId="43FD154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26A6B3" w14:textId="77777777" w:rsidR="00000000" w:rsidRDefault="00632532">
            <w:pPr>
              <w:pStyle w:val="a3"/>
              <w:spacing w:before="0" w:beforeAutospacing="0" w:after="0" w:afterAutospacing="0"/>
              <w:jc w:val="right"/>
              <w:rPr>
                <w:sz w:val="20"/>
                <w:szCs w:val="20"/>
              </w:rPr>
            </w:pPr>
            <w:r>
              <w:rPr>
                <w:sz w:val="20"/>
                <w:szCs w:val="20"/>
              </w:rPr>
              <w:t>14,99</w:t>
            </w:r>
            <w:r>
              <w:rPr>
                <w:sz w:val="20"/>
                <w:szCs w:val="20"/>
              </w:rPr>
              <w:t>9</w:t>
            </w:r>
          </w:p>
        </w:tc>
        <w:tc>
          <w:tcPr>
            <w:tcW w:w="0" w:type="auto"/>
            <w:noWrap/>
            <w:vAlign w:val="bottom"/>
            <w:hideMark/>
          </w:tcPr>
          <w:p w14:paraId="68D613A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7BD5D8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6B954F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FE450C" w14:textId="77777777" w:rsidR="00000000" w:rsidRDefault="00632532">
            <w:pPr>
              <w:pStyle w:val="a3"/>
              <w:spacing w:before="0" w:beforeAutospacing="0" w:after="0" w:afterAutospacing="0"/>
              <w:jc w:val="right"/>
              <w:rPr>
                <w:sz w:val="20"/>
                <w:szCs w:val="20"/>
              </w:rPr>
            </w:pPr>
            <w:r>
              <w:rPr>
                <w:sz w:val="20"/>
                <w:szCs w:val="20"/>
              </w:rPr>
              <w:t>15,13</w:t>
            </w:r>
            <w:r>
              <w:rPr>
                <w:sz w:val="20"/>
                <w:szCs w:val="20"/>
              </w:rPr>
              <w:t>7</w:t>
            </w:r>
          </w:p>
        </w:tc>
        <w:tc>
          <w:tcPr>
            <w:tcW w:w="0" w:type="auto"/>
            <w:noWrap/>
            <w:vAlign w:val="bottom"/>
            <w:hideMark/>
          </w:tcPr>
          <w:p w14:paraId="7BABE713" w14:textId="77777777" w:rsidR="00000000" w:rsidRDefault="00632532">
            <w:pPr>
              <w:pStyle w:val="a3"/>
              <w:spacing w:before="0" w:beforeAutospacing="0" w:after="0" w:afterAutospacing="0"/>
              <w:rPr>
                <w:sz w:val="20"/>
                <w:szCs w:val="20"/>
              </w:rPr>
            </w:pPr>
            <w:r>
              <w:rPr>
                <w:sz w:val="20"/>
                <w:szCs w:val="20"/>
              </w:rPr>
              <w:t> </w:t>
            </w:r>
          </w:p>
        </w:tc>
      </w:tr>
      <w:tr w:rsidR="00000000" w14:paraId="097E816E" w14:textId="77777777">
        <w:trPr>
          <w:trHeight w:val="200"/>
          <w:tblCellSpacing w:w="15" w:type="dxa"/>
        </w:trPr>
        <w:tc>
          <w:tcPr>
            <w:tcW w:w="0" w:type="auto"/>
            <w:hideMark/>
          </w:tcPr>
          <w:p w14:paraId="25BD1ADE" w14:textId="77777777" w:rsidR="00000000" w:rsidRDefault="00632532">
            <w:pPr>
              <w:pStyle w:val="a3"/>
              <w:spacing w:before="0" w:beforeAutospacing="0" w:after="0" w:afterAutospacing="0"/>
              <w:ind w:left="200"/>
              <w:rPr>
                <w:sz w:val="20"/>
                <w:szCs w:val="20"/>
              </w:rPr>
            </w:pPr>
            <w:r>
              <w:rPr>
                <w:sz w:val="20"/>
                <w:szCs w:val="20"/>
              </w:rPr>
              <w:t>Contingent consideratio</w:t>
            </w:r>
            <w:r>
              <w:rPr>
                <w:sz w:val="20"/>
                <w:szCs w:val="20"/>
              </w:rPr>
              <w:t>n</w:t>
            </w:r>
          </w:p>
        </w:tc>
        <w:tc>
          <w:tcPr>
            <w:tcW w:w="0" w:type="auto"/>
            <w:noWrap/>
            <w:vAlign w:val="bottom"/>
            <w:hideMark/>
          </w:tcPr>
          <w:p w14:paraId="62BC8CD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73036A"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557036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6295C1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BBF56A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66CB650" w14:textId="77777777" w:rsidR="00000000" w:rsidRDefault="00632532">
            <w:pPr>
              <w:pStyle w:val="a3"/>
              <w:spacing w:before="0" w:beforeAutospacing="0" w:after="0" w:afterAutospacing="0"/>
              <w:jc w:val="right"/>
              <w:rPr>
                <w:sz w:val="20"/>
                <w:szCs w:val="20"/>
              </w:rPr>
            </w:pPr>
            <w:r>
              <w:rPr>
                <w:sz w:val="20"/>
                <w:szCs w:val="20"/>
              </w:rPr>
              <w:t>10,00</w:t>
            </w:r>
            <w:r>
              <w:rPr>
                <w:sz w:val="20"/>
                <w:szCs w:val="20"/>
              </w:rPr>
              <w:t>0</w:t>
            </w:r>
          </w:p>
        </w:tc>
        <w:tc>
          <w:tcPr>
            <w:tcW w:w="0" w:type="auto"/>
            <w:noWrap/>
            <w:vAlign w:val="bottom"/>
            <w:hideMark/>
          </w:tcPr>
          <w:p w14:paraId="239AECE3" w14:textId="77777777" w:rsidR="00000000" w:rsidRDefault="00632532">
            <w:pPr>
              <w:pStyle w:val="a3"/>
              <w:spacing w:before="0" w:beforeAutospacing="0" w:after="0" w:afterAutospacing="0"/>
              <w:rPr>
                <w:sz w:val="20"/>
                <w:szCs w:val="20"/>
              </w:rPr>
            </w:pPr>
            <w:r>
              <w:rPr>
                <w:sz w:val="20"/>
                <w:szCs w:val="20"/>
              </w:rPr>
              <w:t> </w:t>
            </w:r>
          </w:p>
        </w:tc>
      </w:tr>
      <w:tr w:rsidR="00000000" w14:paraId="2D8E608A" w14:textId="77777777">
        <w:trPr>
          <w:trHeight w:val="200"/>
          <w:tblCellSpacing w:w="15" w:type="dxa"/>
        </w:trPr>
        <w:tc>
          <w:tcPr>
            <w:tcW w:w="0" w:type="auto"/>
            <w:hideMark/>
          </w:tcPr>
          <w:p w14:paraId="55381EF1" w14:textId="77777777" w:rsidR="00000000" w:rsidRDefault="00632532">
            <w:pPr>
              <w:pStyle w:val="a3"/>
              <w:spacing w:before="0" w:beforeAutospacing="0" w:after="0" w:afterAutospacing="0"/>
              <w:ind w:left="200"/>
              <w:rPr>
                <w:sz w:val="20"/>
                <w:szCs w:val="20"/>
              </w:rPr>
            </w:pPr>
            <w:r>
              <w:rPr>
                <w:sz w:val="20"/>
                <w:szCs w:val="20"/>
              </w:rPr>
              <w:t>Notes payable, current portio</w:t>
            </w:r>
            <w:r>
              <w:rPr>
                <w:sz w:val="20"/>
                <w:szCs w:val="20"/>
              </w:rPr>
              <w:t>n</w:t>
            </w:r>
          </w:p>
        </w:tc>
        <w:tc>
          <w:tcPr>
            <w:tcW w:w="0" w:type="auto"/>
            <w:noWrap/>
            <w:vAlign w:val="bottom"/>
            <w:hideMark/>
          </w:tcPr>
          <w:p w14:paraId="6507F66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D852BCD" w14:textId="77777777" w:rsidR="00000000" w:rsidRDefault="00632532">
            <w:pPr>
              <w:pStyle w:val="a3"/>
              <w:spacing w:before="0" w:beforeAutospacing="0" w:after="0" w:afterAutospacing="0"/>
              <w:jc w:val="right"/>
              <w:rPr>
                <w:sz w:val="20"/>
                <w:szCs w:val="20"/>
              </w:rPr>
            </w:pPr>
            <w:r>
              <w:rPr>
                <w:sz w:val="20"/>
                <w:szCs w:val="20"/>
              </w:rPr>
              <w:t>5,79</w:t>
            </w:r>
            <w:r>
              <w:rPr>
                <w:sz w:val="20"/>
                <w:szCs w:val="20"/>
              </w:rPr>
              <w:t>3</w:t>
            </w:r>
          </w:p>
        </w:tc>
        <w:tc>
          <w:tcPr>
            <w:tcW w:w="0" w:type="auto"/>
            <w:noWrap/>
            <w:vAlign w:val="bottom"/>
            <w:hideMark/>
          </w:tcPr>
          <w:p w14:paraId="78EE5BD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47525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A2F268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E5EF2B" w14:textId="77777777" w:rsidR="00000000" w:rsidRDefault="00632532">
            <w:pPr>
              <w:pStyle w:val="a3"/>
              <w:spacing w:before="0" w:beforeAutospacing="0" w:after="0" w:afterAutospacing="0"/>
              <w:jc w:val="right"/>
              <w:rPr>
                <w:sz w:val="20"/>
                <w:szCs w:val="20"/>
              </w:rPr>
            </w:pPr>
            <w:r>
              <w:rPr>
                <w:sz w:val="20"/>
                <w:szCs w:val="20"/>
              </w:rPr>
              <w:t>6,14</w:t>
            </w:r>
            <w:r>
              <w:rPr>
                <w:sz w:val="20"/>
                <w:szCs w:val="20"/>
              </w:rPr>
              <w:t>7</w:t>
            </w:r>
          </w:p>
        </w:tc>
        <w:tc>
          <w:tcPr>
            <w:tcW w:w="0" w:type="auto"/>
            <w:noWrap/>
            <w:vAlign w:val="bottom"/>
            <w:hideMark/>
          </w:tcPr>
          <w:p w14:paraId="29153491" w14:textId="77777777" w:rsidR="00000000" w:rsidRDefault="00632532">
            <w:pPr>
              <w:pStyle w:val="a3"/>
              <w:spacing w:before="0" w:beforeAutospacing="0" w:after="0" w:afterAutospacing="0"/>
              <w:rPr>
                <w:sz w:val="20"/>
                <w:szCs w:val="20"/>
              </w:rPr>
            </w:pPr>
            <w:r>
              <w:rPr>
                <w:sz w:val="20"/>
                <w:szCs w:val="20"/>
              </w:rPr>
              <w:t> </w:t>
            </w:r>
          </w:p>
        </w:tc>
      </w:tr>
      <w:tr w:rsidR="00000000" w14:paraId="2CCACC5E" w14:textId="77777777">
        <w:trPr>
          <w:trHeight w:val="200"/>
          <w:tblCellSpacing w:w="15" w:type="dxa"/>
        </w:trPr>
        <w:tc>
          <w:tcPr>
            <w:tcW w:w="0" w:type="auto"/>
            <w:hideMark/>
          </w:tcPr>
          <w:p w14:paraId="4A1A5B02" w14:textId="77777777" w:rsidR="00000000" w:rsidRDefault="00632532">
            <w:pPr>
              <w:pStyle w:val="a3"/>
              <w:spacing w:before="0" w:beforeAutospacing="0" w:after="0" w:afterAutospacing="0"/>
              <w:ind w:left="200"/>
              <w:rPr>
                <w:sz w:val="20"/>
                <w:szCs w:val="20"/>
              </w:rPr>
            </w:pPr>
            <w:r>
              <w:rPr>
                <w:sz w:val="20"/>
                <w:szCs w:val="20"/>
              </w:rPr>
              <w:t>Other current liabilitie</w:t>
            </w:r>
            <w:r>
              <w:rPr>
                <w:sz w:val="20"/>
                <w:szCs w:val="20"/>
              </w:rPr>
              <w:t>s</w:t>
            </w:r>
          </w:p>
        </w:tc>
        <w:tc>
          <w:tcPr>
            <w:tcW w:w="0" w:type="auto"/>
            <w:noWrap/>
            <w:vAlign w:val="bottom"/>
            <w:hideMark/>
          </w:tcPr>
          <w:p w14:paraId="7022438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84754A" w14:textId="77777777" w:rsidR="00000000" w:rsidRDefault="00632532">
            <w:pPr>
              <w:pStyle w:val="a3"/>
              <w:spacing w:before="0" w:beforeAutospacing="0" w:after="0" w:afterAutospacing="0"/>
              <w:jc w:val="right"/>
              <w:rPr>
                <w:sz w:val="20"/>
                <w:szCs w:val="20"/>
              </w:rPr>
            </w:pPr>
            <w:r>
              <w:rPr>
                <w:sz w:val="20"/>
                <w:szCs w:val="20"/>
              </w:rPr>
              <w:t>66</w:t>
            </w:r>
            <w:r>
              <w:rPr>
                <w:sz w:val="20"/>
                <w:szCs w:val="20"/>
              </w:rPr>
              <w:t>1</w:t>
            </w:r>
          </w:p>
        </w:tc>
        <w:tc>
          <w:tcPr>
            <w:tcW w:w="0" w:type="auto"/>
            <w:noWrap/>
            <w:vAlign w:val="bottom"/>
            <w:hideMark/>
          </w:tcPr>
          <w:p w14:paraId="0D94986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8A6D53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34EBB9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7F0EBC" w14:textId="77777777" w:rsidR="00000000" w:rsidRDefault="00632532">
            <w:pPr>
              <w:pStyle w:val="a3"/>
              <w:spacing w:before="0" w:beforeAutospacing="0" w:after="0" w:afterAutospacing="0"/>
              <w:jc w:val="right"/>
              <w:rPr>
                <w:sz w:val="20"/>
                <w:szCs w:val="20"/>
              </w:rPr>
            </w:pPr>
            <w:r>
              <w:rPr>
                <w:sz w:val="20"/>
                <w:szCs w:val="20"/>
              </w:rPr>
              <w:t>68</w:t>
            </w:r>
            <w:r>
              <w:rPr>
                <w:sz w:val="20"/>
                <w:szCs w:val="20"/>
              </w:rPr>
              <w:t>0</w:t>
            </w:r>
          </w:p>
        </w:tc>
        <w:tc>
          <w:tcPr>
            <w:tcW w:w="0" w:type="auto"/>
            <w:noWrap/>
            <w:vAlign w:val="bottom"/>
            <w:hideMark/>
          </w:tcPr>
          <w:p w14:paraId="3B650057" w14:textId="77777777" w:rsidR="00000000" w:rsidRDefault="00632532">
            <w:pPr>
              <w:pStyle w:val="a3"/>
              <w:spacing w:before="0" w:beforeAutospacing="0" w:after="0" w:afterAutospacing="0"/>
              <w:rPr>
                <w:sz w:val="20"/>
                <w:szCs w:val="20"/>
              </w:rPr>
            </w:pPr>
            <w:r>
              <w:rPr>
                <w:sz w:val="20"/>
                <w:szCs w:val="20"/>
              </w:rPr>
              <w:t> </w:t>
            </w:r>
          </w:p>
        </w:tc>
      </w:tr>
      <w:tr w:rsidR="00000000" w14:paraId="1843D112" w14:textId="77777777">
        <w:trPr>
          <w:trHeight w:val="200"/>
          <w:tblCellSpacing w:w="15" w:type="dxa"/>
        </w:trPr>
        <w:tc>
          <w:tcPr>
            <w:tcW w:w="0" w:type="auto"/>
            <w:hideMark/>
          </w:tcPr>
          <w:p w14:paraId="7B0F05EA" w14:textId="77777777" w:rsidR="00000000" w:rsidRDefault="00632532">
            <w:pPr>
              <w:pStyle w:val="a3"/>
              <w:spacing w:before="0" w:beforeAutospacing="0" w:after="0" w:afterAutospacing="0"/>
              <w:ind w:left="300"/>
              <w:rPr>
                <w:sz w:val="20"/>
                <w:szCs w:val="20"/>
              </w:rPr>
            </w:pPr>
            <w:r>
              <w:rPr>
                <w:sz w:val="20"/>
                <w:szCs w:val="20"/>
              </w:rPr>
              <w:t>Total current liabilitie</w:t>
            </w:r>
            <w:r>
              <w:rPr>
                <w:sz w:val="20"/>
                <w:szCs w:val="20"/>
              </w:rPr>
              <w:t>s</w:t>
            </w:r>
          </w:p>
        </w:tc>
        <w:tc>
          <w:tcPr>
            <w:tcW w:w="0" w:type="auto"/>
            <w:noWrap/>
            <w:vAlign w:val="bottom"/>
            <w:hideMark/>
          </w:tcPr>
          <w:p w14:paraId="0A62E51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FA3E74" w14:textId="77777777" w:rsidR="00000000" w:rsidRDefault="00632532">
            <w:pPr>
              <w:pStyle w:val="a3"/>
              <w:spacing w:before="0" w:beforeAutospacing="0" w:after="0" w:afterAutospacing="0"/>
              <w:jc w:val="right"/>
              <w:rPr>
                <w:sz w:val="20"/>
                <w:szCs w:val="20"/>
              </w:rPr>
            </w:pPr>
            <w:r>
              <w:rPr>
                <w:sz w:val="20"/>
                <w:szCs w:val="20"/>
              </w:rPr>
              <w:t>127,52</w:t>
            </w:r>
            <w:r>
              <w:rPr>
                <w:sz w:val="20"/>
                <w:szCs w:val="20"/>
              </w:rPr>
              <w:t>7</w:t>
            </w:r>
          </w:p>
        </w:tc>
        <w:tc>
          <w:tcPr>
            <w:tcW w:w="0" w:type="auto"/>
            <w:noWrap/>
            <w:vAlign w:val="bottom"/>
            <w:hideMark/>
          </w:tcPr>
          <w:p w14:paraId="313A9EF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F22840"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4FEFF0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589CECF" w14:textId="77777777" w:rsidR="00000000" w:rsidRDefault="00632532">
            <w:pPr>
              <w:pStyle w:val="a3"/>
              <w:spacing w:before="0" w:beforeAutospacing="0" w:after="0" w:afterAutospacing="0"/>
              <w:jc w:val="right"/>
              <w:rPr>
                <w:sz w:val="20"/>
                <w:szCs w:val="20"/>
              </w:rPr>
            </w:pPr>
            <w:r>
              <w:rPr>
                <w:sz w:val="20"/>
                <w:szCs w:val="20"/>
              </w:rPr>
              <w:t>105,31</w:t>
            </w:r>
            <w:r>
              <w:rPr>
                <w:sz w:val="20"/>
                <w:szCs w:val="20"/>
              </w:rPr>
              <w:t>0</w:t>
            </w:r>
          </w:p>
        </w:tc>
        <w:tc>
          <w:tcPr>
            <w:tcW w:w="0" w:type="auto"/>
            <w:noWrap/>
            <w:vAlign w:val="bottom"/>
            <w:hideMark/>
          </w:tcPr>
          <w:p w14:paraId="22CFC84C" w14:textId="77777777" w:rsidR="00000000" w:rsidRDefault="00632532">
            <w:pPr>
              <w:pStyle w:val="a3"/>
              <w:spacing w:before="0" w:beforeAutospacing="0" w:after="0" w:afterAutospacing="0"/>
              <w:rPr>
                <w:sz w:val="20"/>
                <w:szCs w:val="20"/>
              </w:rPr>
            </w:pPr>
            <w:r>
              <w:rPr>
                <w:sz w:val="20"/>
                <w:szCs w:val="20"/>
              </w:rPr>
              <w:t> </w:t>
            </w:r>
          </w:p>
        </w:tc>
      </w:tr>
      <w:tr w:rsidR="00000000" w14:paraId="463E24AC" w14:textId="77777777">
        <w:trPr>
          <w:trHeight w:val="200"/>
          <w:tblCellSpacing w:w="15" w:type="dxa"/>
        </w:trPr>
        <w:tc>
          <w:tcPr>
            <w:tcW w:w="0" w:type="auto"/>
            <w:hideMark/>
          </w:tcPr>
          <w:p w14:paraId="7CB8619F" w14:textId="77777777" w:rsidR="00000000" w:rsidRDefault="00632532">
            <w:pPr>
              <w:pStyle w:val="a3"/>
              <w:spacing w:before="0" w:beforeAutospacing="0" w:after="0" w:afterAutospacing="0"/>
              <w:rPr>
                <w:sz w:val="20"/>
                <w:szCs w:val="20"/>
              </w:rPr>
            </w:pPr>
            <w:r>
              <w:rPr>
                <w:sz w:val="20"/>
                <w:szCs w:val="20"/>
              </w:rPr>
              <w:t>Unrecognized tax benefit</w:t>
            </w:r>
            <w:r>
              <w:rPr>
                <w:sz w:val="20"/>
                <w:szCs w:val="20"/>
              </w:rPr>
              <w:t>s</w:t>
            </w:r>
          </w:p>
        </w:tc>
        <w:tc>
          <w:tcPr>
            <w:tcW w:w="0" w:type="auto"/>
            <w:noWrap/>
            <w:vAlign w:val="bottom"/>
            <w:hideMark/>
          </w:tcPr>
          <w:p w14:paraId="488618E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7657C4" w14:textId="77777777" w:rsidR="00000000" w:rsidRDefault="00632532">
            <w:pPr>
              <w:pStyle w:val="a3"/>
              <w:spacing w:before="0" w:beforeAutospacing="0" w:after="0" w:afterAutospacing="0"/>
              <w:jc w:val="right"/>
              <w:rPr>
                <w:sz w:val="20"/>
                <w:szCs w:val="20"/>
              </w:rPr>
            </w:pPr>
            <w:r>
              <w:rPr>
                <w:sz w:val="20"/>
                <w:szCs w:val="20"/>
              </w:rPr>
              <w:t>1,73</w:t>
            </w:r>
            <w:r>
              <w:rPr>
                <w:sz w:val="20"/>
                <w:szCs w:val="20"/>
              </w:rPr>
              <w:t>0</w:t>
            </w:r>
          </w:p>
        </w:tc>
        <w:tc>
          <w:tcPr>
            <w:tcW w:w="0" w:type="auto"/>
            <w:noWrap/>
            <w:vAlign w:val="bottom"/>
            <w:hideMark/>
          </w:tcPr>
          <w:p w14:paraId="6611F21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98127CF"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AE106A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C99920" w14:textId="77777777" w:rsidR="00000000" w:rsidRDefault="00632532">
            <w:pPr>
              <w:pStyle w:val="a3"/>
              <w:spacing w:before="0" w:beforeAutospacing="0" w:after="0" w:afterAutospacing="0"/>
              <w:jc w:val="right"/>
              <w:rPr>
                <w:sz w:val="20"/>
                <w:szCs w:val="20"/>
              </w:rPr>
            </w:pPr>
            <w:r>
              <w:rPr>
                <w:sz w:val="20"/>
                <w:szCs w:val="20"/>
              </w:rPr>
              <w:t>72</w:t>
            </w:r>
            <w:r>
              <w:rPr>
                <w:sz w:val="20"/>
                <w:szCs w:val="20"/>
              </w:rPr>
              <w:t>5</w:t>
            </w:r>
          </w:p>
        </w:tc>
        <w:tc>
          <w:tcPr>
            <w:tcW w:w="0" w:type="auto"/>
            <w:noWrap/>
            <w:vAlign w:val="bottom"/>
            <w:hideMark/>
          </w:tcPr>
          <w:p w14:paraId="120433A6" w14:textId="77777777" w:rsidR="00000000" w:rsidRDefault="00632532">
            <w:pPr>
              <w:pStyle w:val="a3"/>
              <w:spacing w:before="0" w:beforeAutospacing="0" w:after="0" w:afterAutospacing="0"/>
              <w:rPr>
                <w:sz w:val="20"/>
                <w:szCs w:val="20"/>
              </w:rPr>
            </w:pPr>
            <w:r>
              <w:rPr>
                <w:sz w:val="20"/>
                <w:szCs w:val="20"/>
              </w:rPr>
              <w:t> </w:t>
            </w:r>
          </w:p>
        </w:tc>
      </w:tr>
      <w:tr w:rsidR="00000000" w14:paraId="1C459717" w14:textId="77777777">
        <w:trPr>
          <w:trHeight w:val="200"/>
          <w:tblCellSpacing w:w="15" w:type="dxa"/>
        </w:trPr>
        <w:tc>
          <w:tcPr>
            <w:tcW w:w="0" w:type="auto"/>
            <w:hideMark/>
          </w:tcPr>
          <w:p w14:paraId="5911AB42" w14:textId="77777777" w:rsidR="00000000" w:rsidRDefault="00632532">
            <w:pPr>
              <w:pStyle w:val="a3"/>
              <w:spacing w:before="0" w:beforeAutospacing="0" w:after="0" w:afterAutospacing="0"/>
              <w:rPr>
                <w:sz w:val="20"/>
                <w:szCs w:val="20"/>
              </w:rPr>
            </w:pPr>
            <w:r>
              <w:rPr>
                <w:sz w:val="20"/>
                <w:szCs w:val="20"/>
              </w:rPr>
              <w:t>Other long-term liabilitie</w:t>
            </w:r>
            <w:r>
              <w:rPr>
                <w:sz w:val="20"/>
                <w:szCs w:val="20"/>
              </w:rPr>
              <w:t>s</w:t>
            </w:r>
          </w:p>
        </w:tc>
        <w:tc>
          <w:tcPr>
            <w:tcW w:w="0" w:type="auto"/>
            <w:noWrap/>
            <w:vAlign w:val="bottom"/>
            <w:hideMark/>
          </w:tcPr>
          <w:p w14:paraId="15E3D57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815C45" w14:textId="77777777" w:rsidR="00000000" w:rsidRDefault="00632532">
            <w:pPr>
              <w:pStyle w:val="a3"/>
              <w:spacing w:before="0" w:beforeAutospacing="0" w:after="0" w:afterAutospacing="0"/>
              <w:jc w:val="right"/>
              <w:rPr>
                <w:sz w:val="20"/>
                <w:szCs w:val="20"/>
              </w:rPr>
            </w:pPr>
            <w:r>
              <w:rPr>
                <w:sz w:val="20"/>
                <w:szCs w:val="20"/>
              </w:rPr>
              <w:t>21,67</w:t>
            </w:r>
            <w:r>
              <w:rPr>
                <w:sz w:val="20"/>
                <w:szCs w:val="20"/>
              </w:rPr>
              <w:t>2</w:t>
            </w:r>
          </w:p>
        </w:tc>
        <w:tc>
          <w:tcPr>
            <w:tcW w:w="0" w:type="auto"/>
            <w:noWrap/>
            <w:vAlign w:val="bottom"/>
            <w:hideMark/>
          </w:tcPr>
          <w:p w14:paraId="5DBDB0A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301FCF"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E413A2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76141A9" w14:textId="77777777" w:rsidR="00000000" w:rsidRDefault="00632532">
            <w:pPr>
              <w:pStyle w:val="a3"/>
              <w:spacing w:before="0" w:beforeAutospacing="0" w:after="0" w:afterAutospacing="0"/>
              <w:jc w:val="right"/>
              <w:rPr>
                <w:sz w:val="20"/>
                <w:szCs w:val="20"/>
              </w:rPr>
            </w:pPr>
            <w:r>
              <w:rPr>
                <w:sz w:val="20"/>
                <w:szCs w:val="20"/>
              </w:rPr>
              <w:t>6,80</w:t>
            </w:r>
            <w:r>
              <w:rPr>
                <w:sz w:val="20"/>
                <w:szCs w:val="20"/>
              </w:rPr>
              <w:t>5</w:t>
            </w:r>
          </w:p>
        </w:tc>
        <w:tc>
          <w:tcPr>
            <w:tcW w:w="0" w:type="auto"/>
            <w:noWrap/>
            <w:vAlign w:val="bottom"/>
            <w:hideMark/>
          </w:tcPr>
          <w:p w14:paraId="1920D986" w14:textId="77777777" w:rsidR="00000000" w:rsidRDefault="00632532">
            <w:pPr>
              <w:pStyle w:val="a3"/>
              <w:spacing w:before="0" w:beforeAutospacing="0" w:after="0" w:afterAutospacing="0"/>
              <w:rPr>
                <w:sz w:val="20"/>
                <w:szCs w:val="20"/>
              </w:rPr>
            </w:pPr>
            <w:r>
              <w:rPr>
                <w:sz w:val="20"/>
                <w:szCs w:val="20"/>
              </w:rPr>
              <w:t> </w:t>
            </w:r>
          </w:p>
        </w:tc>
      </w:tr>
      <w:tr w:rsidR="00000000" w14:paraId="7F981EB2" w14:textId="77777777">
        <w:trPr>
          <w:trHeight w:val="200"/>
          <w:tblCellSpacing w:w="15" w:type="dxa"/>
        </w:trPr>
        <w:tc>
          <w:tcPr>
            <w:tcW w:w="0" w:type="auto"/>
            <w:hideMark/>
          </w:tcPr>
          <w:p w14:paraId="34C203AE" w14:textId="77777777" w:rsidR="00000000" w:rsidRDefault="00632532">
            <w:pPr>
              <w:pStyle w:val="a3"/>
              <w:spacing w:before="0" w:beforeAutospacing="0" w:after="0" w:afterAutospacing="0"/>
              <w:rPr>
                <w:sz w:val="20"/>
                <w:szCs w:val="20"/>
              </w:rPr>
            </w:pPr>
            <w:r>
              <w:rPr>
                <w:sz w:val="20"/>
                <w:szCs w:val="20"/>
              </w:rPr>
              <w:t>Total liabilitie</w:t>
            </w:r>
            <w:r>
              <w:rPr>
                <w:sz w:val="20"/>
                <w:szCs w:val="20"/>
              </w:rPr>
              <w:t>s</w:t>
            </w:r>
          </w:p>
        </w:tc>
        <w:tc>
          <w:tcPr>
            <w:tcW w:w="0" w:type="auto"/>
            <w:noWrap/>
            <w:vAlign w:val="bottom"/>
            <w:hideMark/>
          </w:tcPr>
          <w:p w14:paraId="1213F82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232CF6" w14:textId="77777777" w:rsidR="00000000" w:rsidRDefault="00632532">
            <w:pPr>
              <w:pStyle w:val="a3"/>
              <w:spacing w:before="0" w:beforeAutospacing="0" w:after="0" w:afterAutospacing="0"/>
              <w:jc w:val="right"/>
              <w:rPr>
                <w:sz w:val="20"/>
                <w:szCs w:val="20"/>
              </w:rPr>
            </w:pPr>
            <w:r>
              <w:rPr>
                <w:sz w:val="20"/>
                <w:szCs w:val="20"/>
              </w:rPr>
              <w:t>150,92</w:t>
            </w:r>
            <w:r>
              <w:rPr>
                <w:sz w:val="20"/>
                <w:szCs w:val="20"/>
              </w:rPr>
              <w:t>9</w:t>
            </w:r>
          </w:p>
        </w:tc>
        <w:tc>
          <w:tcPr>
            <w:tcW w:w="0" w:type="auto"/>
            <w:noWrap/>
            <w:vAlign w:val="bottom"/>
            <w:hideMark/>
          </w:tcPr>
          <w:p w14:paraId="17808F7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A0CA79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28714A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32FB2EA" w14:textId="77777777" w:rsidR="00000000" w:rsidRDefault="00632532">
            <w:pPr>
              <w:pStyle w:val="a3"/>
              <w:spacing w:before="0" w:beforeAutospacing="0" w:after="0" w:afterAutospacing="0"/>
              <w:jc w:val="right"/>
              <w:rPr>
                <w:sz w:val="20"/>
                <w:szCs w:val="20"/>
              </w:rPr>
            </w:pPr>
            <w:r>
              <w:rPr>
                <w:sz w:val="20"/>
                <w:szCs w:val="20"/>
              </w:rPr>
              <w:t>112,84</w:t>
            </w:r>
            <w:r>
              <w:rPr>
                <w:sz w:val="20"/>
                <w:szCs w:val="20"/>
              </w:rPr>
              <w:t>0</w:t>
            </w:r>
          </w:p>
        </w:tc>
        <w:tc>
          <w:tcPr>
            <w:tcW w:w="0" w:type="auto"/>
            <w:noWrap/>
            <w:vAlign w:val="bottom"/>
            <w:hideMark/>
          </w:tcPr>
          <w:p w14:paraId="37EFA4F5" w14:textId="77777777" w:rsidR="00000000" w:rsidRDefault="00632532">
            <w:pPr>
              <w:pStyle w:val="a3"/>
              <w:spacing w:before="0" w:beforeAutospacing="0" w:after="0" w:afterAutospacing="0"/>
              <w:rPr>
                <w:sz w:val="20"/>
                <w:szCs w:val="20"/>
              </w:rPr>
            </w:pPr>
            <w:r>
              <w:rPr>
                <w:sz w:val="20"/>
                <w:szCs w:val="20"/>
              </w:rPr>
              <w:t> </w:t>
            </w:r>
          </w:p>
        </w:tc>
      </w:tr>
      <w:tr w:rsidR="00000000" w14:paraId="3DC4776E" w14:textId="77777777">
        <w:trPr>
          <w:trHeight w:val="200"/>
          <w:tblCellSpacing w:w="15" w:type="dxa"/>
        </w:trPr>
        <w:tc>
          <w:tcPr>
            <w:tcW w:w="0" w:type="auto"/>
            <w:hideMark/>
          </w:tcPr>
          <w:p w14:paraId="09DE8EC0" w14:textId="77777777" w:rsidR="00000000" w:rsidRDefault="00632532">
            <w:pPr>
              <w:pStyle w:val="a3"/>
              <w:spacing w:before="0" w:beforeAutospacing="0" w:after="0" w:afterAutospacing="0"/>
              <w:rPr>
                <w:sz w:val="20"/>
                <w:szCs w:val="20"/>
              </w:rPr>
            </w:pPr>
            <w:r>
              <w:rPr>
                <w:sz w:val="20"/>
                <w:szCs w:val="20"/>
              </w:rPr>
              <w:t>Commitments and contingencies (Note 8</w:t>
            </w:r>
            <w:r>
              <w:rPr>
                <w:sz w:val="20"/>
                <w:szCs w:val="20"/>
              </w:rPr>
              <w:t>)</w:t>
            </w:r>
          </w:p>
        </w:tc>
        <w:tc>
          <w:tcPr>
            <w:tcW w:w="0" w:type="auto"/>
            <w:gridSpan w:val="2"/>
            <w:vAlign w:val="bottom"/>
            <w:hideMark/>
          </w:tcPr>
          <w:p w14:paraId="3A17076F"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0850332"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9D84EC9"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A5342A5"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73094AD" w14:textId="77777777" w:rsidR="00000000" w:rsidRDefault="00632532">
            <w:pPr>
              <w:pStyle w:val="a3"/>
              <w:spacing w:before="0" w:beforeAutospacing="0" w:after="0" w:afterAutospacing="0"/>
              <w:jc w:val="right"/>
              <w:rPr>
                <w:sz w:val="20"/>
                <w:szCs w:val="20"/>
              </w:rPr>
            </w:pPr>
            <w:r>
              <w:rPr>
                <w:sz w:val="20"/>
                <w:szCs w:val="20"/>
              </w:rPr>
              <w:t> </w:t>
            </w:r>
          </w:p>
        </w:tc>
      </w:tr>
      <w:tr w:rsidR="00000000" w14:paraId="3F1F449B" w14:textId="77777777">
        <w:trPr>
          <w:trHeight w:val="200"/>
          <w:tblCellSpacing w:w="15" w:type="dxa"/>
        </w:trPr>
        <w:tc>
          <w:tcPr>
            <w:tcW w:w="0" w:type="auto"/>
            <w:hideMark/>
          </w:tcPr>
          <w:p w14:paraId="352694D9" w14:textId="77777777" w:rsidR="00000000" w:rsidRDefault="00632532">
            <w:pPr>
              <w:pStyle w:val="a3"/>
              <w:spacing w:before="0" w:beforeAutospacing="0" w:after="0" w:afterAutospacing="0"/>
              <w:rPr>
                <w:sz w:val="20"/>
                <w:szCs w:val="20"/>
              </w:rPr>
            </w:pPr>
            <w:r>
              <w:rPr>
                <w:sz w:val="20"/>
                <w:szCs w:val="20"/>
              </w:rPr>
              <w:t>Stockholders’ equit</w:t>
            </w:r>
            <w:r>
              <w:rPr>
                <w:sz w:val="20"/>
                <w:szCs w:val="20"/>
              </w:rPr>
              <w:t>y</w:t>
            </w:r>
          </w:p>
        </w:tc>
        <w:tc>
          <w:tcPr>
            <w:tcW w:w="0" w:type="auto"/>
            <w:gridSpan w:val="2"/>
            <w:vAlign w:val="bottom"/>
            <w:hideMark/>
          </w:tcPr>
          <w:p w14:paraId="2429132A"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6D0ECE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81E228E"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7206EF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24EABBD" w14:textId="77777777" w:rsidR="00000000" w:rsidRDefault="00632532">
            <w:pPr>
              <w:pStyle w:val="a3"/>
              <w:spacing w:before="0" w:beforeAutospacing="0" w:after="0" w:afterAutospacing="0"/>
              <w:jc w:val="right"/>
              <w:rPr>
                <w:sz w:val="20"/>
                <w:szCs w:val="20"/>
              </w:rPr>
            </w:pPr>
            <w:r>
              <w:rPr>
                <w:sz w:val="20"/>
                <w:szCs w:val="20"/>
              </w:rPr>
              <w:t> </w:t>
            </w:r>
          </w:p>
        </w:tc>
      </w:tr>
      <w:tr w:rsidR="00000000" w14:paraId="10BCB684" w14:textId="77777777">
        <w:trPr>
          <w:trHeight w:val="200"/>
          <w:tblCellSpacing w:w="15" w:type="dxa"/>
        </w:trPr>
        <w:tc>
          <w:tcPr>
            <w:tcW w:w="0" w:type="auto"/>
            <w:hideMark/>
          </w:tcPr>
          <w:p w14:paraId="2D97CB12" w14:textId="77777777" w:rsidR="00000000" w:rsidRDefault="00632532">
            <w:pPr>
              <w:pStyle w:val="a3"/>
              <w:spacing w:before="0" w:beforeAutospacing="0" w:after="0" w:afterAutospacing="0"/>
              <w:ind w:left="200"/>
              <w:rPr>
                <w:sz w:val="20"/>
                <w:szCs w:val="20"/>
              </w:rPr>
            </w:pPr>
            <w:r>
              <w:rPr>
                <w:sz w:val="20"/>
                <w:szCs w:val="20"/>
              </w:rPr>
              <w:t xml:space="preserve">Common stock, </w:t>
            </w:r>
            <w:r>
              <w:rPr>
                <w:sz w:val="20"/>
                <w:szCs w:val="20"/>
              </w:rPr>
              <w:t>$</w:t>
            </w:r>
            <w:r>
              <w:rPr>
                <w:sz w:val="20"/>
                <w:szCs w:val="20"/>
              </w:rPr>
              <w:t>0.000</w:t>
            </w:r>
            <w:r>
              <w:rPr>
                <w:sz w:val="20"/>
                <w:szCs w:val="20"/>
              </w:rPr>
              <w:t>1</w:t>
            </w:r>
            <w:r>
              <w:rPr>
                <w:sz w:val="20"/>
                <w:szCs w:val="20"/>
              </w:rPr>
              <w:t> par value per share,</w:t>
            </w:r>
            <w:r>
              <w:rPr>
                <w:sz w:val="20"/>
                <w:szCs w:val="20"/>
              </w:rPr>
              <w:t xml:space="preserve"> </w:t>
            </w:r>
            <w:r>
              <w:rPr>
                <w:sz w:val="20"/>
                <w:szCs w:val="20"/>
              </w:rPr>
              <w:t>50,00</w:t>
            </w:r>
            <w:r>
              <w:rPr>
                <w:sz w:val="20"/>
                <w:szCs w:val="20"/>
              </w:rPr>
              <w:t>0</w:t>
            </w:r>
            <w:r>
              <w:rPr>
                <w:sz w:val="20"/>
                <w:szCs w:val="20"/>
              </w:rPr>
              <w:t> shares authorized,</w:t>
            </w:r>
            <w:r>
              <w:rPr>
                <w:sz w:val="20"/>
                <w:szCs w:val="20"/>
              </w:rPr>
              <w:t xml:space="preserve"> </w:t>
            </w:r>
            <w:r>
              <w:rPr>
                <w:sz w:val="20"/>
                <w:szCs w:val="20"/>
              </w:rPr>
              <w:t>30,48</w:t>
            </w:r>
            <w:r>
              <w:rPr>
                <w:sz w:val="20"/>
                <w:szCs w:val="20"/>
              </w:rPr>
              <w:t>1</w:t>
            </w:r>
            <w:r>
              <w:rPr>
                <w:sz w:val="20"/>
                <w:szCs w:val="20"/>
              </w:rPr>
              <w:t> shares issued and</w:t>
            </w:r>
            <w:r>
              <w:rPr>
                <w:sz w:val="20"/>
                <w:szCs w:val="20"/>
              </w:rPr>
              <w:t xml:space="preserve"> </w:t>
            </w:r>
            <w:r>
              <w:rPr>
                <w:sz w:val="20"/>
                <w:szCs w:val="20"/>
              </w:rPr>
              <w:t>30,26</w:t>
            </w:r>
            <w:r>
              <w:rPr>
                <w:sz w:val="20"/>
                <w:szCs w:val="20"/>
              </w:rPr>
              <w:t>6</w:t>
            </w:r>
            <w:r>
              <w:rPr>
                <w:sz w:val="20"/>
                <w:szCs w:val="20"/>
              </w:rPr>
              <w:t> </w:t>
            </w:r>
            <w:r>
              <w:rPr>
                <w:sz w:val="20"/>
                <w:szCs w:val="20"/>
              </w:rPr>
              <w:t>shares outstanding and</w:t>
            </w:r>
            <w:r>
              <w:rPr>
                <w:sz w:val="20"/>
                <w:szCs w:val="20"/>
              </w:rPr>
              <w:t xml:space="preserve"> </w:t>
            </w:r>
            <w:r>
              <w:rPr>
                <w:sz w:val="20"/>
                <w:szCs w:val="20"/>
              </w:rPr>
              <w:t>30,16</w:t>
            </w:r>
            <w:r>
              <w:rPr>
                <w:sz w:val="20"/>
                <w:szCs w:val="20"/>
              </w:rPr>
              <w:t>0</w:t>
            </w:r>
            <w:r>
              <w:rPr>
                <w:sz w:val="20"/>
                <w:szCs w:val="20"/>
              </w:rPr>
              <w:t> shares issued and outstandin</w:t>
            </w:r>
            <w:r>
              <w:rPr>
                <w:sz w:val="20"/>
                <w:szCs w:val="20"/>
              </w:rPr>
              <w:t>g</w:t>
            </w:r>
          </w:p>
        </w:tc>
        <w:tc>
          <w:tcPr>
            <w:tcW w:w="0" w:type="auto"/>
            <w:noWrap/>
            <w:vAlign w:val="bottom"/>
            <w:hideMark/>
          </w:tcPr>
          <w:p w14:paraId="3356466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D8E273" w14:textId="77777777" w:rsidR="00000000" w:rsidRDefault="00632532">
            <w:pPr>
              <w:pStyle w:val="a3"/>
              <w:spacing w:before="0" w:beforeAutospacing="0" w:after="0" w:afterAutospacing="0"/>
              <w:jc w:val="right"/>
              <w:rPr>
                <w:sz w:val="20"/>
                <w:szCs w:val="20"/>
              </w:rPr>
            </w:pPr>
            <w:r>
              <w:rPr>
                <w:sz w:val="20"/>
                <w:szCs w:val="20"/>
              </w:rPr>
              <w:t>3</w:t>
            </w:r>
          </w:p>
        </w:tc>
        <w:tc>
          <w:tcPr>
            <w:tcW w:w="0" w:type="auto"/>
            <w:noWrap/>
            <w:vAlign w:val="bottom"/>
            <w:hideMark/>
          </w:tcPr>
          <w:p w14:paraId="0E740C4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506CF1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144598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2BB9FA" w14:textId="77777777" w:rsidR="00000000" w:rsidRDefault="00632532">
            <w:pPr>
              <w:pStyle w:val="a3"/>
              <w:spacing w:before="0" w:beforeAutospacing="0" w:after="0" w:afterAutospacing="0"/>
              <w:jc w:val="right"/>
              <w:rPr>
                <w:sz w:val="20"/>
                <w:szCs w:val="20"/>
              </w:rPr>
            </w:pPr>
            <w:r>
              <w:rPr>
                <w:sz w:val="20"/>
                <w:szCs w:val="20"/>
              </w:rPr>
              <w:t>3</w:t>
            </w:r>
          </w:p>
        </w:tc>
        <w:tc>
          <w:tcPr>
            <w:tcW w:w="0" w:type="auto"/>
            <w:noWrap/>
            <w:vAlign w:val="bottom"/>
            <w:hideMark/>
          </w:tcPr>
          <w:p w14:paraId="068AAA87" w14:textId="77777777" w:rsidR="00000000" w:rsidRDefault="00632532">
            <w:pPr>
              <w:pStyle w:val="a3"/>
              <w:spacing w:before="0" w:beforeAutospacing="0" w:after="0" w:afterAutospacing="0"/>
              <w:rPr>
                <w:sz w:val="20"/>
                <w:szCs w:val="20"/>
              </w:rPr>
            </w:pPr>
            <w:r>
              <w:rPr>
                <w:sz w:val="20"/>
                <w:szCs w:val="20"/>
              </w:rPr>
              <w:t> </w:t>
            </w:r>
          </w:p>
        </w:tc>
      </w:tr>
      <w:tr w:rsidR="00000000" w14:paraId="2E3663BA" w14:textId="77777777">
        <w:trPr>
          <w:trHeight w:val="200"/>
          <w:tblCellSpacing w:w="15" w:type="dxa"/>
        </w:trPr>
        <w:tc>
          <w:tcPr>
            <w:tcW w:w="0" w:type="auto"/>
            <w:hideMark/>
          </w:tcPr>
          <w:p w14:paraId="32B2A5A5" w14:textId="77777777" w:rsidR="00000000" w:rsidRDefault="00632532">
            <w:pPr>
              <w:pStyle w:val="a3"/>
              <w:spacing w:before="0" w:beforeAutospacing="0" w:after="0" w:afterAutospacing="0"/>
              <w:ind w:left="200"/>
              <w:rPr>
                <w:sz w:val="20"/>
                <w:szCs w:val="20"/>
              </w:rPr>
            </w:pPr>
            <w:r>
              <w:rPr>
                <w:sz w:val="20"/>
                <w:szCs w:val="20"/>
              </w:rPr>
              <w:t xml:space="preserve">Preferred stock, </w:t>
            </w:r>
            <w:r>
              <w:rPr>
                <w:sz w:val="20"/>
                <w:szCs w:val="20"/>
              </w:rPr>
              <w:t>$</w:t>
            </w:r>
            <w:r>
              <w:rPr>
                <w:sz w:val="20"/>
                <w:szCs w:val="20"/>
              </w:rPr>
              <w:t>0.000</w:t>
            </w:r>
            <w:r>
              <w:rPr>
                <w:sz w:val="20"/>
                <w:szCs w:val="20"/>
              </w:rPr>
              <w:t>1</w:t>
            </w:r>
            <w:r>
              <w:rPr>
                <w:sz w:val="20"/>
                <w:szCs w:val="20"/>
              </w:rPr>
              <w:t> par value per share,</w:t>
            </w:r>
            <w:r>
              <w:rPr>
                <w:sz w:val="20"/>
                <w:szCs w:val="20"/>
              </w:rPr>
              <w:t xml:space="preserve"> </w:t>
            </w:r>
            <w:r>
              <w:rPr>
                <w:sz w:val="20"/>
                <w:szCs w:val="20"/>
              </w:rPr>
              <w:t>1,00</w:t>
            </w:r>
            <w:r>
              <w:rPr>
                <w:sz w:val="20"/>
                <w:szCs w:val="20"/>
              </w:rPr>
              <w:t>0</w:t>
            </w:r>
            <w:r>
              <w:rPr>
                <w:sz w:val="20"/>
                <w:szCs w:val="20"/>
              </w:rPr>
              <w:t> shares authorized,</w:t>
            </w:r>
            <w:r>
              <w:rPr>
                <w:sz w:val="20"/>
                <w:szCs w:val="20"/>
              </w:rPr>
              <w:t xml:space="preserve"> </w:t>
            </w:r>
            <w:r>
              <w:rPr>
                <w:sz w:val="20"/>
                <w:szCs w:val="20"/>
              </w:rPr>
              <w:t>n</w:t>
            </w:r>
            <w:r>
              <w:rPr>
                <w:sz w:val="20"/>
                <w:szCs w:val="20"/>
              </w:rPr>
              <w:t>o</w:t>
            </w:r>
            <w:r>
              <w:rPr>
                <w:sz w:val="20"/>
                <w:szCs w:val="20"/>
              </w:rPr>
              <w:t> shares issued or outstandin</w:t>
            </w:r>
            <w:r>
              <w:rPr>
                <w:sz w:val="20"/>
                <w:szCs w:val="20"/>
              </w:rPr>
              <w:t>g</w:t>
            </w:r>
          </w:p>
        </w:tc>
        <w:tc>
          <w:tcPr>
            <w:tcW w:w="0" w:type="auto"/>
            <w:noWrap/>
            <w:vAlign w:val="bottom"/>
            <w:hideMark/>
          </w:tcPr>
          <w:p w14:paraId="0A896D8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53CA66B"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12C93BC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D07F4A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541619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49BD29"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FEACFE5" w14:textId="77777777" w:rsidR="00000000" w:rsidRDefault="00632532">
            <w:pPr>
              <w:pStyle w:val="a3"/>
              <w:spacing w:before="0" w:beforeAutospacing="0" w:after="0" w:afterAutospacing="0"/>
              <w:rPr>
                <w:sz w:val="20"/>
                <w:szCs w:val="20"/>
              </w:rPr>
            </w:pPr>
            <w:r>
              <w:rPr>
                <w:sz w:val="20"/>
                <w:szCs w:val="20"/>
              </w:rPr>
              <w:t> </w:t>
            </w:r>
          </w:p>
        </w:tc>
      </w:tr>
      <w:tr w:rsidR="00000000" w14:paraId="5BB946A6" w14:textId="77777777">
        <w:trPr>
          <w:trHeight w:val="200"/>
          <w:tblCellSpacing w:w="15" w:type="dxa"/>
        </w:trPr>
        <w:tc>
          <w:tcPr>
            <w:tcW w:w="0" w:type="auto"/>
            <w:hideMark/>
          </w:tcPr>
          <w:p w14:paraId="779CA0BF" w14:textId="77777777" w:rsidR="00000000" w:rsidRDefault="00632532">
            <w:pPr>
              <w:pStyle w:val="a3"/>
              <w:spacing w:before="0" w:beforeAutospacing="0" w:after="0" w:afterAutospacing="0"/>
              <w:ind w:left="200"/>
              <w:rPr>
                <w:sz w:val="20"/>
                <w:szCs w:val="20"/>
              </w:rPr>
            </w:pPr>
            <w:r>
              <w:rPr>
                <w:sz w:val="20"/>
                <w:szCs w:val="20"/>
              </w:rPr>
              <w:lastRenderedPageBreak/>
              <w:t>Additional paid-in capita</w:t>
            </w:r>
            <w:r>
              <w:rPr>
                <w:sz w:val="20"/>
                <w:szCs w:val="20"/>
              </w:rPr>
              <w:t>l</w:t>
            </w:r>
          </w:p>
        </w:tc>
        <w:tc>
          <w:tcPr>
            <w:tcW w:w="0" w:type="auto"/>
            <w:noWrap/>
            <w:vAlign w:val="bottom"/>
            <w:hideMark/>
          </w:tcPr>
          <w:p w14:paraId="4ECFB8D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1F3213F" w14:textId="77777777" w:rsidR="00000000" w:rsidRDefault="00632532">
            <w:pPr>
              <w:pStyle w:val="a3"/>
              <w:spacing w:before="0" w:beforeAutospacing="0" w:after="0" w:afterAutospacing="0"/>
              <w:jc w:val="right"/>
              <w:rPr>
                <w:sz w:val="20"/>
                <w:szCs w:val="20"/>
              </w:rPr>
            </w:pPr>
            <w:r>
              <w:rPr>
                <w:sz w:val="20"/>
                <w:szCs w:val="20"/>
              </w:rPr>
              <w:t>504,06</w:t>
            </w:r>
            <w:r>
              <w:rPr>
                <w:sz w:val="20"/>
                <w:szCs w:val="20"/>
              </w:rPr>
              <w:t>6</w:t>
            </w:r>
          </w:p>
        </w:tc>
        <w:tc>
          <w:tcPr>
            <w:tcW w:w="0" w:type="auto"/>
            <w:noWrap/>
            <w:vAlign w:val="bottom"/>
            <w:hideMark/>
          </w:tcPr>
          <w:p w14:paraId="374F1B2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0D12930"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32612F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B289BE" w14:textId="77777777" w:rsidR="00000000" w:rsidRDefault="00632532">
            <w:pPr>
              <w:pStyle w:val="a3"/>
              <w:spacing w:before="0" w:beforeAutospacing="0" w:after="0" w:afterAutospacing="0"/>
              <w:jc w:val="right"/>
              <w:rPr>
                <w:sz w:val="20"/>
                <w:szCs w:val="20"/>
              </w:rPr>
            </w:pPr>
            <w:r>
              <w:rPr>
                <w:sz w:val="20"/>
                <w:szCs w:val="20"/>
              </w:rPr>
              <w:t>501,90</w:t>
            </w:r>
            <w:r>
              <w:rPr>
                <w:sz w:val="20"/>
                <w:szCs w:val="20"/>
              </w:rPr>
              <w:t>8</w:t>
            </w:r>
          </w:p>
        </w:tc>
        <w:tc>
          <w:tcPr>
            <w:tcW w:w="0" w:type="auto"/>
            <w:noWrap/>
            <w:vAlign w:val="bottom"/>
            <w:hideMark/>
          </w:tcPr>
          <w:p w14:paraId="0A5AE2BE" w14:textId="77777777" w:rsidR="00000000" w:rsidRDefault="00632532">
            <w:pPr>
              <w:pStyle w:val="a3"/>
              <w:spacing w:before="0" w:beforeAutospacing="0" w:after="0" w:afterAutospacing="0"/>
              <w:rPr>
                <w:sz w:val="20"/>
                <w:szCs w:val="20"/>
              </w:rPr>
            </w:pPr>
            <w:r>
              <w:rPr>
                <w:sz w:val="20"/>
                <w:szCs w:val="20"/>
              </w:rPr>
              <w:t> </w:t>
            </w:r>
          </w:p>
        </w:tc>
      </w:tr>
      <w:tr w:rsidR="00000000" w14:paraId="1842489C" w14:textId="77777777">
        <w:trPr>
          <w:trHeight w:val="200"/>
          <w:tblCellSpacing w:w="15" w:type="dxa"/>
        </w:trPr>
        <w:tc>
          <w:tcPr>
            <w:tcW w:w="0" w:type="auto"/>
            <w:hideMark/>
          </w:tcPr>
          <w:p w14:paraId="6DD82DE9" w14:textId="77777777" w:rsidR="00000000" w:rsidRDefault="00632532">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noWrap/>
            <w:vAlign w:val="bottom"/>
            <w:hideMark/>
          </w:tcPr>
          <w:p w14:paraId="19663B2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1F83C96" w14:textId="77777777" w:rsidR="00000000" w:rsidRDefault="00632532">
            <w:pPr>
              <w:pStyle w:val="a3"/>
              <w:spacing w:before="0" w:beforeAutospacing="0" w:after="0" w:afterAutospacing="0"/>
              <w:jc w:val="right"/>
              <w:rPr>
                <w:sz w:val="20"/>
                <w:szCs w:val="20"/>
              </w:rPr>
            </w:pPr>
            <w:r>
              <w:rPr>
                <w:sz w:val="20"/>
                <w:szCs w:val="20"/>
              </w:rPr>
              <w:t>(</w:t>
            </w:r>
            <w:r>
              <w:rPr>
                <w:sz w:val="20"/>
                <w:szCs w:val="20"/>
              </w:rPr>
              <w:t>22,41</w:t>
            </w:r>
            <w:r>
              <w:rPr>
                <w:sz w:val="20"/>
                <w:szCs w:val="20"/>
              </w:rPr>
              <w:t>7</w:t>
            </w:r>
          </w:p>
        </w:tc>
        <w:tc>
          <w:tcPr>
            <w:tcW w:w="0" w:type="auto"/>
            <w:noWrap/>
            <w:vAlign w:val="bottom"/>
            <w:hideMark/>
          </w:tcPr>
          <w:p w14:paraId="2B38EBC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1BB293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428D24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171F6A" w14:textId="77777777" w:rsidR="00000000" w:rsidRDefault="00632532">
            <w:pPr>
              <w:pStyle w:val="a3"/>
              <w:spacing w:before="0" w:beforeAutospacing="0" w:after="0" w:afterAutospacing="0"/>
              <w:jc w:val="right"/>
              <w:rPr>
                <w:sz w:val="20"/>
                <w:szCs w:val="20"/>
              </w:rPr>
            </w:pPr>
            <w:r>
              <w:rPr>
                <w:sz w:val="20"/>
                <w:szCs w:val="20"/>
              </w:rPr>
              <w:t>(</w:t>
            </w:r>
            <w:r>
              <w:rPr>
                <w:sz w:val="20"/>
                <w:szCs w:val="20"/>
              </w:rPr>
              <w:t>75</w:t>
            </w:r>
            <w:r>
              <w:rPr>
                <w:sz w:val="20"/>
                <w:szCs w:val="20"/>
              </w:rPr>
              <w:t>9</w:t>
            </w:r>
          </w:p>
        </w:tc>
        <w:tc>
          <w:tcPr>
            <w:tcW w:w="0" w:type="auto"/>
            <w:noWrap/>
            <w:vAlign w:val="bottom"/>
            <w:hideMark/>
          </w:tcPr>
          <w:p w14:paraId="2B1D25DD" w14:textId="77777777" w:rsidR="00000000" w:rsidRDefault="00632532">
            <w:pPr>
              <w:pStyle w:val="a3"/>
              <w:spacing w:before="0" w:beforeAutospacing="0" w:after="0" w:afterAutospacing="0"/>
              <w:rPr>
                <w:sz w:val="20"/>
                <w:szCs w:val="20"/>
              </w:rPr>
            </w:pPr>
            <w:r>
              <w:rPr>
                <w:sz w:val="20"/>
                <w:szCs w:val="20"/>
              </w:rPr>
              <w:t>)</w:t>
            </w:r>
          </w:p>
        </w:tc>
      </w:tr>
      <w:tr w:rsidR="00000000" w14:paraId="14FF4CBD" w14:textId="77777777">
        <w:trPr>
          <w:trHeight w:val="200"/>
          <w:tblCellSpacing w:w="15" w:type="dxa"/>
        </w:trPr>
        <w:tc>
          <w:tcPr>
            <w:tcW w:w="0" w:type="auto"/>
            <w:hideMark/>
          </w:tcPr>
          <w:p w14:paraId="41E83A6D" w14:textId="77777777" w:rsidR="00000000" w:rsidRDefault="00632532">
            <w:pPr>
              <w:pStyle w:val="a3"/>
              <w:spacing w:before="0" w:beforeAutospacing="0" w:after="0" w:afterAutospacing="0"/>
              <w:ind w:left="200"/>
              <w:rPr>
                <w:sz w:val="20"/>
                <w:szCs w:val="20"/>
              </w:rPr>
            </w:pPr>
            <w:r>
              <w:rPr>
                <w:sz w:val="20"/>
                <w:szCs w:val="20"/>
              </w:rPr>
              <w:t>Retained earning</w:t>
            </w:r>
            <w:r>
              <w:rPr>
                <w:sz w:val="20"/>
                <w:szCs w:val="20"/>
              </w:rPr>
              <w:t>s</w:t>
            </w:r>
          </w:p>
        </w:tc>
        <w:tc>
          <w:tcPr>
            <w:tcW w:w="0" w:type="auto"/>
            <w:noWrap/>
            <w:vAlign w:val="bottom"/>
            <w:hideMark/>
          </w:tcPr>
          <w:p w14:paraId="0516327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F9A513A" w14:textId="77777777" w:rsidR="00000000" w:rsidRDefault="00632532">
            <w:pPr>
              <w:pStyle w:val="a3"/>
              <w:spacing w:before="0" w:beforeAutospacing="0" w:after="0" w:afterAutospacing="0"/>
              <w:jc w:val="right"/>
              <w:rPr>
                <w:sz w:val="20"/>
                <w:szCs w:val="20"/>
              </w:rPr>
            </w:pPr>
            <w:r>
              <w:rPr>
                <w:sz w:val="20"/>
                <w:szCs w:val="20"/>
              </w:rPr>
              <w:t>823,11</w:t>
            </w:r>
            <w:r>
              <w:rPr>
                <w:sz w:val="20"/>
                <w:szCs w:val="20"/>
              </w:rPr>
              <w:t>3</w:t>
            </w:r>
          </w:p>
        </w:tc>
        <w:tc>
          <w:tcPr>
            <w:tcW w:w="0" w:type="auto"/>
            <w:noWrap/>
            <w:vAlign w:val="bottom"/>
            <w:hideMark/>
          </w:tcPr>
          <w:p w14:paraId="1E2AE3A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E6D5A3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42B895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40847B" w14:textId="77777777" w:rsidR="00000000" w:rsidRDefault="00632532">
            <w:pPr>
              <w:pStyle w:val="a3"/>
              <w:spacing w:before="0" w:beforeAutospacing="0" w:after="0" w:afterAutospacing="0"/>
              <w:jc w:val="right"/>
              <w:rPr>
                <w:sz w:val="20"/>
                <w:szCs w:val="20"/>
              </w:rPr>
            </w:pPr>
            <w:r>
              <w:rPr>
                <w:sz w:val="20"/>
                <w:szCs w:val="20"/>
              </w:rPr>
              <w:t>657,59</w:t>
            </w:r>
            <w:r>
              <w:rPr>
                <w:sz w:val="20"/>
                <w:szCs w:val="20"/>
              </w:rPr>
              <w:t>7</w:t>
            </w:r>
          </w:p>
        </w:tc>
        <w:tc>
          <w:tcPr>
            <w:tcW w:w="0" w:type="auto"/>
            <w:noWrap/>
            <w:vAlign w:val="bottom"/>
            <w:hideMark/>
          </w:tcPr>
          <w:p w14:paraId="57272D3C" w14:textId="77777777" w:rsidR="00000000" w:rsidRDefault="00632532">
            <w:pPr>
              <w:pStyle w:val="a3"/>
              <w:spacing w:before="0" w:beforeAutospacing="0" w:after="0" w:afterAutospacing="0"/>
              <w:rPr>
                <w:sz w:val="20"/>
                <w:szCs w:val="20"/>
              </w:rPr>
            </w:pPr>
            <w:r>
              <w:rPr>
                <w:sz w:val="20"/>
                <w:szCs w:val="20"/>
              </w:rPr>
              <w:t> </w:t>
            </w:r>
          </w:p>
        </w:tc>
      </w:tr>
      <w:tr w:rsidR="00000000" w14:paraId="56D3628B" w14:textId="77777777">
        <w:trPr>
          <w:trHeight w:val="200"/>
          <w:tblCellSpacing w:w="15" w:type="dxa"/>
        </w:trPr>
        <w:tc>
          <w:tcPr>
            <w:tcW w:w="0" w:type="auto"/>
            <w:hideMark/>
          </w:tcPr>
          <w:p w14:paraId="212F9E64" w14:textId="77777777" w:rsidR="00000000" w:rsidRDefault="00632532">
            <w:pPr>
              <w:pStyle w:val="a3"/>
              <w:spacing w:before="0" w:beforeAutospacing="0" w:after="0" w:afterAutospacing="0"/>
              <w:ind w:left="300"/>
              <w:rPr>
                <w:sz w:val="20"/>
                <w:szCs w:val="20"/>
              </w:rPr>
            </w:pPr>
            <w:r>
              <w:rPr>
                <w:sz w:val="20"/>
                <w:szCs w:val="20"/>
              </w:rPr>
              <w:t>Total Fulgent stockholders' equit</w:t>
            </w:r>
            <w:r>
              <w:rPr>
                <w:sz w:val="20"/>
                <w:szCs w:val="20"/>
              </w:rPr>
              <w:t>y</w:t>
            </w:r>
          </w:p>
        </w:tc>
        <w:tc>
          <w:tcPr>
            <w:tcW w:w="0" w:type="auto"/>
            <w:noWrap/>
            <w:vAlign w:val="bottom"/>
            <w:hideMark/>
          </w:tcPr>
          <w:p w14:paraId="3ADC30D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4B02D3" w14:textId="77777777" w:rsidR="00000000" w:rsidRDefault="00632532">
            <w:pPr>
              <w:pStyle w:val="a3"/>
              <w:spacing w:before="0" w:beforeAutospacing="0" w:after="0" w:afterAutospacing="0"/>
              <w:jc w:val="right"/>
              <w:rPr>
                <w:sz w:val="20"/>
                <w:szCs w:val="20"/>
              </w:rPr>
            </w:pPr>
            <w:r>
              <w:rPr>
                <w:sz w:val="20"/>
                <w:szCs w:val="20"/>
              </w:rPr>
              <w:t>1,304,76</w:t>
            </w:r>
            <w:r>
              <w:rPr>
                <w:sz w:val="20"/>
                <w:szCs w:val="20"/>
              </w:rPr>
              <w:t>5</w:t>
            </w:r>
          </w:p>
        </w:tc>
        <w:tc>
          <w:tcPr>
            <w:tcW w:w="0" w:type="auto"/>
            <w:noWrap/>
            <w:vAlign w:val="bottom"/>
            <w:hideMark/>
          </w:tcPr>
          <w:p w14:paraId="54B8142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E9B1D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457B21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57C5F1" w14:textId="77777777" w:rsidR="00000000" w:rsidRDefault="00632532">
            <w:pPr>
              <w:pStyle w:val="a3"/>
              <w:spacing w:before="0" w:beforeAutospacing="0" w:after="0" w:afterAutospacing="0"/>
              <w:jc w:val="right"/>
              <w:rPr>
                <w:sz w:val="20"/>
                <w:szCs w:val="20"/>
              </w:rPr>
            </w:pPr>
            <w:r>
              <w:rPr>
                <w:sz w:val="20"/>
                <w:szCs w:val="20"/>
              </w:rPr>
              <w:t>1,158,74</w:t>
            </w:r>
            <w:r>
              <w:rPr>
                <w:sz w:val="20"/>
                <w:szCs w:val="20"/>
              </w:rPr>
              <w:t>9</w:t>
            </w:r>
          </w:p>
        </w:tc>
        <w:tc>
          <w:tcPr>
            <w:tcW w:w="0" w:type="auto"/>
            <w:noWrap/>
            <w:vAlign w:val="bottom"/>
            <w:hideMark/>
          </w:tcPr>
          <w:p w14:paraId="4951811F" w14:textId="77777777" w:rsidR="00000000" w:rsidRDefault="00632532">
            <w:pPr>
              <w:pStyle w:val="a3"/>
              <w:spacing w:before="0" w:beforeAutospacing="0" w:after="0" w:afterAutospacing="0"/>
              <w:rPr>
                <w:sz w:val="20"/>
                <w:szCs w:val="20"/>
              </w:rPr>
            </w:pPr>
            <w:r>
              <w:rPr>
                <w:sz w:val="20"/>
                <w:szCs w:val="20"/>
              </w:rPr>
              <w:t> </w:t>
            </w:r>
          </w:p>
        </w:tc>
      </w:tr>
      <w:tr w:rsidR="00000000" w14:paraId="5EBCD825" w14:textId="77777777">
        <w:trPr>
          <w:trHeight w:val="200"/>
          <w:tblCellSpacing w:w="15" w:type="dxa"/>
        </w:trPr>
        <w:tc>
          <w:tcPr>
            <w:tcW w:w="0" w:type="auto"/>
            <w:hideMark/>
          </w:tcPr>
          <w:p w14:paraId="06785800" w14:textId="77777777" w:rsidR="00000000" w:rsidRDefault="00632532">
            <w:pPr>
              <w:pStyle w:val="a3"/>
              <w:spacing w:before="0" w:beforeAutospacing="0" w:after="0" w:afterAutospacing="0"/>
              <w:ind w:left="200"/>
              <w:rPr>
                <w:sz w:val="20"/>
                <w:szCs w:val="20"/>
              </w:rPr>
            </w:pPr>
            <w:r>
              <w:rPr>
                <w:sz w:val="20"/>
                <w:szCs w:val="20"/>
              </w:rPr>
              <w:t>Noncontrolling interes</w:t>
            </w:r>
            <w:r>
              <w:rPr>
                <w:sz w:val="20"/>
                <w:szCs w:val="20"/>
              </w:rPr>
              <w:t>t</w:t>
            </w:r>
          </w:p>
        </w:tc>
        <w:tc>
          <w:tcPr>
            <w:tcW w:w="0" w:type="auto"/>
            <w:noWrap/>
            <w:vAlign w:val="bottom"/>
            <w:hideMark/>
          </w:tcPr>
          <w:p w14:paraId="51D4A1E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553498B" w14:textId="77777777" w:rsidR="00000000" w:rsidRDefault="00632532">
            <w:pPr>
              <w:pStyle w:val="a3"/>
              <w:spacing w:before="0" w:beforeAutospacing="0" w:after="0" w:afterAutospacing="0"/>
              <w:jc w:val="right"/>
              <w:rPr>
                <w:sz w:val="20"/>
                <w:szCs w:val="20"/>
              </w:rPr>
            </w:pPr>
            <w:r>
              <w:rPr>
                <w:sz w:val="20"/>
                <w:szCs w:val="20"/>
              </w:rPr>
              <w:t>5,96</w:t>
            </w:r>
            <w:r>
              <w:rPr>
                <w:sz w:val="20"/>
                <w:szCs w:val="20"/>
              </w:rPr>
              <w:t>8</w:t>
            </w:r>
          </w:p>
        </w:tc>
        <w:tc>
          <w:tcPr>
            <w:tcW w:w="0" w:type="auto"/>
            <w:noWrap/>
            <w:vAlign w:val="bottom"/>
            <w:hideMark/>
          </w:tcPr>
          <w:p w14:paraId="47394FA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CB1CB07"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BC6B41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0F6D901" w14:textId="77777777" w:rsidR="00000000" w:rsidRDefault="00632532">
            <w:pPr>
              <w:pStyle w:val="a3"/>
              <w:spacing w:before="0" w:beforeAutospacing="0" w:after="0" w:afterAutospacing="0"/>
              <w:jc w:val="right"/>
              <w:rPr>
                <w:sz w:val="20"/>
                <w:szCs w:val="20"/>
              </w:rPr>
            </w:pPr>
            <w:r>
              <w:rPr>
                <w:sz w:val="20"/>
                <w:szCs w:val="20"/>
              </w:rPr>
              <w:t>7,13</w:t>
            </w:r>
            <w:r>
              <w:rPr>
                <w:sz w:val="20"/>
                <w:szCs w:val="20"/>
              </w:rPr>
              <w:t>1</w:t>
            </w:r>
          </w:p>
        </w:tc>
        <w:tc>
          <w:tcPr>
            <w:tcW w:w="0" w:type="auto"/>
            <w:noWrap/>
            <w:vAlign w:val="bottom"/>
            <w:hideMark/>
          </w:tcPr>
          <w:p w14:paraId="38EFB343" w14:textId="77777777" w:rsidR="00000000" w:rsidRDefault="00632532">
            <w:pPr>
              <w:pStyle w:val="a3"/>
              <w:spacing w:before="0" w:beforeAutospacing="0" w:after="0" w:afterAutospacing="0"/>
              <w:rPr>
                <w:sz w:val="20"/>
                <w:szCs w:val="20"/>
              </w:rPr>
            </w:pPr>
            <w:r>
              <w:rPr>
                <w:sz w:val="20"/>
                <w:szCs w:val="20"/>
              </w:rPr>
              <w:t> </w:t>
            </w:r>
          </w:p>
        </w:tc>
      </w:tr>
      <w:tr w:rsidR="00000000" w14:paraId="7F60ECA7" w14:textId="77777777">
        <w:trPr>
          <w:trHeight w:val="200"/>
          <w:tblCellSpacing w:w="15" w:type="dxa"/>
        </w:trPr>
        <w:tc>
          <w:tcPr>
            <w:tcW w:w="0" w:type="auto"/>
            <w:hideMark/>
          </w:tcPr>
          <w:p w14:paraId="0DBCF63C" w14:textId="77777777" w:rsidR="00000000" w:rsidRDefault="00632532">
            <w:pPr>
              <w:pStyle w:val="a3"/>
              <w:spacing w:before="0" w:beforeAutospacing="0" w:after="0" w:afterAutospacing="0"/>
              <w:rPr>
                <w:sz w:val="20"/>
                <w:szCs w:val="20"/>
              </w:rPr>
            </w:pPr>
            <w:r>
              <w:rPr>
                <w:sz w:val="20"/>
                <w:szCs w:val="20"/>
              </w:rPr>
              <w:t>Total stockholders’ equit</w:t>
            </w:r>
            <w:r>
              <w:rPr>
                <w:sz w:val="20"/>
                <w:szCs w:val="20"/>
              </w:rPr>
              <w:t>y</w:t>
            </w:r>
          </w:p>
        </w:tc>
        <w:tc>
          <w:tcPr>
            <w:tcW w:w="0" w:type="auto"/>
            <w:noWrap/>
            <w:vAlign w:val="bottom"/>
            <w:hideMark/>
          </w:tcPr>
          <w:p w14:paraId="253F19C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CC3000" w14:textId="77777777" w:rsidR="00000000" w:rsidRDefault="00632532">
            <w:pPr>
              <w:pStyle w:val="a3"/>
              <w:spacing w:before="0" w:beforeAutospacing="0" w:after="0" w:afterAutospacing="0"/>
              <w:jc w:val="right"/>
              <w:rPr>
                <w:sz w:val="20"/>
                <w:szCs w:val="20"/>
              </w:rPr>
            </w:pPr>
            <w:r>
              <w:rPr>
                <w:sz w:val="20"/>
                <w:szCs w:val="20"/>
              </w:rPr>
              <w:t>1,310,73</w:t>
            </w:r>
            <w:r>
              <w:rPr>
                <w:sz w:val="20"/>
                <w:szCs w:val="20"/>
              </w:rPr>
              <w:t>3</w:t>
            </w:r>
          </w:p>
        </w:tc>
        <w:tc>
          <w:tcPr>
            <w:tcW w:w="0" w:type="auto"/>
            <w:noWrap/>
            <w:vAlign w:val="bottom"/>
            <w:hideMark/>
          </w:tcPr>
          <w:p w14:paraId="345A218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C5145C"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3AAC40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92E53DC" w14:textId="77777777" w:rsidR="00000000" w:rsidRDefault="00632532">
            <w:pPr>
              <w:pStyle w:val="a3"/>
              <w:spacing w:before="0" w:beforeAutospacing="0" w:after="0" w:afterAutospacing="0"/>
              <w:jc w:val="right"/>
              <w:rPr>
                <w:sz w:val="20"/>
                <w:szCs w:val="20"/>
              </w:rPr>
            </w:pPr>
            <w:r>
              <w:rPr>
                <w:sz w:val="20"/>
                <w:szCs w:val="20"/>
              </w:rPr>
              <w:t>1,165,88</w:t>
            </w:r>
            <w:r>
              <w:rPr>
                <w:sz w:val="20"/>
                <w:szCs w:val="20"/>
              </w:rPr>
              <w:t>0</w:t>
            </w:r>
          </w:p>
        </w:tc>
        <w:tc>
          <w:tcPr>
            <w:tcW w:w="0" w:type="auto"/>
            <w:noWrap/>
            <w:vAlign w:val="bottom"/>
            <w:hideMark/>
          </w:tcPr>
          <w:p w14:paraId="3154056D" w14:textId="77777777" w:rsidR="00000000" w:rsidRDefault="00632532">
            <w:pPr>
              <w:pStyle w:val="a3"/>
              <w:spacing w:before="0" w:beforeAutospacing="0" w:after="0" w:afterAutospacing="0"/>
              <w:rPr>
                <w:sz w:val="20"/>
                <w:szCs w:val="20"/>
              </w:rPr>
            </w:pPr>
            <w:r>
              <w:rPr>
                <w:sz w:val="20"/>
                <w:szCs w:val="20"/>
              </w:rPr>
              <w:t> </w:t>
            </w:r>
          </w:p>
        </w:tc>
      </w:tr>
      <w:tr w:rsidR="00000000" w14:paraId="5D0287B3" w14:textId="77777777">
        <w:trPr>
          <w:trHeight w:val="200"/>
          <w:tblCellSpacing w:w="15" w:type="dxa"/>
        </w:trPr>
        <w:tc>
          <w:tcPr>
            <w:tcW w:w="0" w:type="auto"/>
            <w:hideMark/>
          </w:tcPr>
          <w:p w14:paraId="4463BC80" w14:textId="77777777" w:rsidR="00000000" w:rsidRDefault="00632532">
            <w:pPr>
              <w:pStyle w:val="a3"/>
              <w:spacing w:before="0" w:beforeAutospacing="0" w:after="0" w:afterAutospacing="0"/>
              <w:rPr>
                <w:sz w:val="20"/>
                <w:szCs w:val="20"/>
              </w:rPr>
            </w:pPr>
            <w:r>
              <w:rPr>
                <w:sz w:val="20"/>
                <w:szCs w:val="20"/>
              </w:rPr>
              <w:t>Total liabilities and stockholders’ equit</w:t>
            </w:r>
            <w:r>
              <w:rPr>
                <w:sz w:val="20"/>
                <w:szCs w:val="20"/>
              </w:rPr>
              <w:t>y</w:t>
            </w:r>
          </w:p>
        </w:tc>
        <w:tc>
          <w:tcPr>
            <w:tcW w:w="0" w:type="auto"/>
            <w:noWrap/>
            <w:vAlign w:val="bottom"/>
            <w:hideMark/>
          </w:tcPr>
          <w:p w14:paraId="414361D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10CC7FF" w14:textId="77777777" w:rsidR="00000000" w:rsidRDefault="00632532">
            <w:pPr>
              <w:pStyle w:val="a3"/>
              <w:spacing w:before="0" w:beforeAutospacing="0" w:after="0" w:afterAutospacing="0"/>
              <w:jc w:val="right"/>
              <w:rPr>
                <w:sz w:val="20"/>
                <w:szCs w:val="20"/>
              </w:rPr>
            </w:pPr>
            <w:r>
              <w:rPr>
                <w:sz w:val="20"/>
                <w:szCs w:val="20"/>
              </w:rPr>
              <w:t>1,461,66</w:t>
            </w:r>
            <w:r>
              <w:rPr>
                <w:sz w:val="20"/>
                <w:szCs w:val="20"/>
              </w:rPr>
              <w:t>2</w:t>
            </w:r>
          </w:p>
        </w:tc>
        <w:tc>
          <w:tcPr>
            <w:tcW w:w="0" w:type="auto"/>
            <w:noWrap/>
            <w:vAlign w:val="bottom"/>
            <w:hideMark/>
          </w:tcPr>
          <w:p w14:paraId="7261748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FBF3DC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6B2992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CA9F8B6" w14:textId="77777777" w:rsidR="00000000" w:rsidRDefault="00632532">
            <w:pPr>
              <w:pStyle w:val="a3"/>
              <w:spacing w:before="0" w:beforeAutospacing="0" w:after="0" w:afterAutospacing="0"/>
              <w:jc w:val="right"/>
              <w:rPr>
                <w:sz w:val="20"/>
                <w:szCs w:val="20"/>
              </w:rPr>
            </w:pPr>
            <w:r>
              <w:rPr>
                <w:sz w:val="20"/>
                <w:szCs w:val="20"/>
              </w:rPr>
              <w:t>1,278,72</w:t>
            </w:r>
            <w:r>
              <w:rPr>
                <w:sz w:val="20"/>
                <w:szCs w:val="20"/>
              </w:rPr>
              <w:t>0</w:t>
            </w:r>
          </w:p>
        </w:tc>
        <w:tc>
          <w:tcPr>
            <w:tcW w:w="0" w:type="auto"/>
            <w:noWrap/>
            <w:vAlign w:val="bottom"/>
            <w:hideMark/>
          </w:tcPr>
          <w:p w14:paraId="6FB7108B" w14:textId="77777777" w:rsidR="00000000" w:rsidRDefault="00632532">
            <w:pPr>
              <w:pStyle w:val="a3"/>
              <w:spacing w:before="0" w:beforeAutospacing="0" w:after="0" w:afterAutospacing="0"/>
              <w:rPr>
                <w:sz w:val="20"/>
                <w:szCs w:val="20"/>
              </w:rPr>
            </w:pPr>
            <w:r>
              <w:rPr>
                <w:sz w:val="20"/>
                <w:szCs w:val="20"/>
              </w:rPr>
              <w:t> </w:t>
            </w:r>
          </w:p>
        </w:tc>
      </w:tr>
    </w:tbl>
    <w:p w14:paraId="451CCAC0" w14:textId="77777777" w:rsidR="00000000" w:rsidRDefault="00632532">
      <w:pPr>
        <w:pStyle w:val="a3"/>
        <w:spacing w:before="0" w:beforeAutospacing="0" w:after="0" w:afterAutospacing="0"/>
        <w:rPr>
          <w:sz w:val="20"/>
          <w:szCs w:val="20"/>
        </w:rPr>
      </w:pPr>
      <w:r>
        <w:rPr>
          <w:sz w:val="20"/>
          <w:szCs w:val="20"/>
        </w:rPr>
        <w:t> </w:t>
      </w:r>
    </w:p>
    <w:p w14:paraId="7C9AF0BA" w14:textId="77777777" w:rsidR="00000000" w:rsidRDefault="00632532">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r>
        <w:rPr>
          <w:sz w:val="20"/>
          <w:szCs w:val="20"/>
        </w:rPr>
        <w:t>.</w:t>
      </w:r>
    </w:p>
    <w:p w14:paraId="5F120CA0" w14:textId="77777777" w:rsidR="00000000" w:rsidRDefault="00632532">
      <w:pPr>
        <w:pStyle w:val="a3"/>
        <w:spacing w:before="240" w:beforeAutospacing="0" w:after="0" w:afterAutospacing="0"/>
        <w:jc w:val="center"/>
        <w:rPr>
          <w:sz w:val="20"/>
          <w:szCs w:val="20"/>
        </w:rPr>
      </w:pPr>
      <w:r>
        <w:rPr>
          <w:sz w:val="20"/>
          <w:szCs w:val="20"/>
        </w:rPr>
        <w:t>1</w:t>
      </w:r>
    </w:p>
    <w:p w14:paraId="527B361B" w14:textId="77777777" w:rsidR="00000000" w:rsidRDefault="00632532">
      <w:pPr>
        <w:rPr>
          <w:rFonts w:eastAsia="Times New Roman"/>
        </w:rPr>
      </w:pPr>
      <w:r>
        <w:rPr>
          <w:rFonts w:eastAsia="Times New Roman"/>
        </w:rPr>
        <w:pict w14:anchorId="56509FAD">
          <v:rect id="_x0000_i1027" style="width:0;height:1.5pt" o:hralign="center" o:hrstd="t" o:hr="t" fillcolor="#a0a0a0" stroked="f"/>
        </w:pict>
      </w:r>
    </w:p>
    <w:p w14:paraId="5BD79DCC" w14:textId="77777777" w:rsidR="00000000" w:rsidRDefault="00632532">
      <w:pPr>
        <w:pStyle w:val="a3"/>
        <w:spacing w:before="0" w:beforeAutospacing="0" w:after="0" w:afterAutospacing="0"/>
        <w:jc w:val="center"/>
        <w:rPr>
          <w:sz w:val="20"/>
          <w:szCs w:val="20"/>
        </w:rPr>
      </w:pPr>
      <w:r>
        <w:rPr>
          <w:b/>
          <w:bCs/>
          <w:sz w:val="20"/>
          <w:szCs w:val="20"/>
        </w:rPr>
        <w:t>FULGENT GENETICS, INC</w:t>
      </w:r>
      <w:r>
        <w:rPr>
          <w:b/>
          <w:bCs/>
          <w:sz w:val="20"/>
          <w:szCs w:val="20"/>
        </w:rPr>
        <w:t>.</w:t>
      </w:r>
    </w:p>
    <w:p w14:paraId="79CD7BD7" w14:textId="77777777" w:rsidR="00000000" w:rsidRDefault="00632532">
      <w:pPr>
        <w:pStyle w:val="a3"/>
        <w:spacing w:before="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Incom</w:t>
      </w:r>
      <w:r>
        <w:rPr>
          <w:b/>
          <w:bCs/>
          <w:sz w:val="20"/>
          <w:szCs w:val="20"/>
        </w:rPr>
        <w:t>e</w:t>
      </w:r>
    </w:p>
    <w:p w14:paraId="5B14D40D" w14:textId="77777777" w:rsidR="00000000" w:rsidRDefault="00632532">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14:paraId="4917D4C2" w14:textId="77777777" w:rsidR="00000000" w:rsidRDefault="00632532">
      <w:pPr>
        <w:pStyle w:val="a3"/>
        <w:spacing w:before="0" w:beforeAutospacing="0" w:after="0" w:afterAutospacing="0"/>
        <w:jc w:val="center"/>
        <w:rPr>
          <w:sz w:val="20"/>
          <w:szCs w:val="20"/>
        </w:rPr>
      </w:pPr>
      <w:r>
        <w:rPr>
          <w:b/>
          <w:bCs/>
          <w:sz w:val="20"/>
          <w:szCs w:val="20"/>
        </w:rPr>
        <w:t>(unaudited</w:t>
      </w:r>
      <w:r>
        <w:rPr>
          <w:b/>
          <w:bCs/>
          <w:sz w:val="20"/>
          <w:szCs w:val="20"/>
        </w:rPr>
        <w:t>)</w:t>
      </w:r>
    </w:p>
    <w:p w14:paraId="3249EEBE" w14:textId="77777777" w:rsidR="00000000" w:rsidRDefault="00632532">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9"/>
        <w:gridCol w:w="160"/>
        <w:gridCol w:w="710"/>
        <w:gridCol w:w="110"/>
        <w:gridCol w:w="110"/>
        <w:gridCol w:w="160"/>
        <w:gridCol w:w="710"/>
        <w:gridCol w:w="110"/>
        <w:gridCol w:w="310"/>
        <w:gridCol w:w="160"/>
        <w:gridCol w:w="710"/>
        <w:gridCol w:w="110"/>
        <w:gridCol w:w="110"/>
        <w:gridCol w:w="160"/>
        <w:gridCol w:w="792"/>
        <w:gridCol w:w="125"/>
      </w:tblGrid>
      <w:tr w:rsidR="00000000" w14:paraId="656F9FD1" w14:textId="77777777">
        <w:trPr>
          <w:tblCellSpacing w:w="15" w:type="dxa"/>
        </w:trPr>
        <w:tc>
          <w:tcPr>
            <w:tcW w:w="2429" w:type="pct"/>
            <w:vAlign w:val="center"/>
            <w:hideMark/>
          </w:tcPr>
          <w:p w14:paraId="5958C7D0" w14:textId="77777777" w:rsidR="00000000" w:rsidRDefault="00632532">
            <w:pPr>
              <w:rPr>
                <w:sz w:val="20"/>
                <w:szCs w:val="20"/>
              </w:rPr>
            </w:pPr>
          </w:p>
        </w:tc>
        <w:tc>
          <w:tcPr>
            <w:tcW w:w="50" w:type="pct"/>
            <w:vAlign w:val="center"/>
            <w:hideMark/>
          </w:tcPr>
          <w:p w14:paraId="3DF659C5" w14:textId="77777777" w:rsidR="00000000" w:rsidRDefault="00632532">
            <w:pPr>
              <w:rPr>
                <w:rFonts w:eastAsia="Times New Roman"/>
                <w:sz w:val="20"/>
                <w:szCs w:val="20"/>
              </w:rPr>
            </w:pPr>
          </w:p>
        </w:tc>
        <w:tc>
          <w:tcPr>
            <w:tcW w:w="482" w:type="pct"/>
            <w:vAlign w:val="center"/>
            <w:hideMark/>
          </w:tcPr>
          <w:p w14:paraId="2EDEA0ED" w14:textId="77777777" w:rsidR="00000000" w:rsidRDefault="00632532">
            <w:pPr>
              <w:rPr>
                <w:rFonts w:eastAsia="Times New Roman"/>
                <w:sz w:val="20"/>
                <w:szCs w:val="20"/>
              </w:rPr>
            </w:pPr>
          </w:p>
        </w:tc>
        <w:tc>
          <w:tcPr>
            <w:tcW w:w="50" w:type="pct"/>
            <w:vAlign w:val="center"/>
            <w:hideMark/>
          </w:tcPr>
          <w:p w14:paraId="2DD06D14" w14:textId="77777777" w:rsidR="00000000" w:rsidRDefault="00632532">
            <w:pPr>
              <w:rPr>
                <w:rFonts w:eastAsia="Times New Roman"/>
                <w:sz w:val="20"/>
                <w:szCs w:val="20"/>
              </w:rPr>
            </w:pPr>
          </w:p>
        </w:tc>
        <w:tc>
          <w:tcPr>
            <w:tcW w:w="63" w:type="pct"/>
            <w:vAlign w:val="center"/>
            <w:hideMark/>
          </w:tcPr>
          <w:p w14:paraId="2FF56EF5" w14:textId="77777777" w:rsidR="00000000" w:rsidRDefault="00632532">
            <w:pPr>
              <w:rPr>
                <w:rFonts w:eastAsia="Times New Roman"/>
                <w:sz w:val="20"/>
                <w:szCs w:val="20"/>
              </w:rPr>
            </w:pPr>
          </w:p>
        </w:tc>
        <w:tc>
          <w:tcPr>
            <w:tcW w:w="50" w:type="pct"/>
            <w:vAlign w:val="center"/>
            <w:hideMark/>
          </w:tcPr>
          <w:p w14:paraId="75AE8CE9" w14:textId="77777777" w:rsidR="00000000" w:rsidRDefault="00632532">
            <w:pPr>
              <w:rPr>
                <w:rFonts w:eastAsia="Times New Roman"/>
                <w:sz w:val="20"/>
                <w:szCs w:val="20"/>
              </w:rPr>
            </w:pPr>
          </w:p>
        </w:tc>
        <w:tc>
          <w:tcPr>
            <w:tcW w:w="502" w:type="pct"/>
            <w:vAlign w:val="center"/>
            <w:hideMark/>
          </w:tcPr>
          <w:p w14:paraId="4460B3AA" w14:textId="77777777" w:rsidR="00000000" w:rsidRDefault="00632532">
            <w:pPr>
              <w:rPr>
                <w:rFonts w:eastAsia="Times New Roman"/>
                <w:sz w:val="20"/>
                <w:szCs w:val="20"/>
              </w:rPr>
            </w:pPr>
          </w:p>
        </w:tc>
        <w:tc>
          <w:tcPr>
            <w:tcW w:w="50" w:type="pct"/>
            <w:vAlign w:val="center"/>
            <w:hideMark/>
          </w:tcPr>
          <w:p w14:paraId="4CD965B0" w14:textId="77777777" w:rsidR="00000000" w:rsidRDefault="00632532">
            <w:pPr>
              <w:rPr>
                <w:rFonts w:eastAsia="Times New Roman"/>
                <w:sz w:val="20"/>
                <w:szCs w:val="20"/>
              </w:rPr>
            </w:pPr>
          </w:p>
        </w:tc>
        <w:tc>
          <w:tcPr>
            <w:tcW w:w="92" w:type="pct"/>
            <w:vAlign w:val="center"/>
            <w:hideMark/>
          </w:tcPr>
          <w:p w14:paraId="4B1EDE1D" w14:textId="77777777" w:rsidR="00000000" w:rsidRDefault="00632532">
            <w:pPr>
              <w:rPr>
                <w:rFonts w:eastAsia="Times New Roman"/>
                <w:sz w:val="20"/>
                <w:szCs w:val="20"/>
              </w:rPr>
            </w:pPr>
          </w:p>
        </w:tc>
        <w:tc>
          <w:tcPr>
            <w:tcW w:w="50" w:type="pct"/>
            <w:vAlign w:val="center"/>
            <w:hideMark/>
          </w:tcPr>
          <w:p w14:paraId="7A3BDBD1" w14:textId="77777777" w:rsidR="00000000" w:rsidRDefault="00632532">
            <w:pPr>
              <w:rPr>
                <w:rFonts w:eastAsia="Times New Roman"/>
                <w:sz w:val="20"/>
                <w:szCs w:val="20"/>
              </w:rPr>
            </w:pPr>
          </w:p>
        </w:tc>
        <w:tc>
          <w:tcPr>
            <w:tcW w:w="419" w:type="pct"/>
            <w:vAlign w:val="center"/>
            <w:hideMark/>
          </w:tcPr>
          <w:p w14:paraId="656CE699" w14:textId="77777777" w:rsidR="00000000" w:rsidRDefault="00632532">
            <w:pPr>
              <w:rPr>
                <w:rFonts w:eastAsia="Times New Roman"/>
                <w:sz w:val="20"/>
                <w:szCs w:val="20"/>
              </w:rPr>
            </w:pPr>
          </w:p>
        </w:tc>
        <w:tc>
          <w:tcPr>
            <w:tcW w:w="50" w:type="pct"/>
            <w:vAlign w:val="center"/>
            <w:hideMark/>
          </w:tcPr>
          <w:p w14:paraId="1DD75739" w14:textId="77777777" w:rsidR="00000000" w:rsidRDefault="00632532">
            <w:pPr>
              <w:rPr>
                <w:rFonts w:eastAsia="Times New Roman"/>
                <w:sz w:val="20"/>
                <w:szCs w:val="20"/>
              </w:rPr>
            </w:pPr>
          </w:p>
        </w:tc>
        <w:tc>
          <w:tcPr>
            <w:tcW w:w="49" w:type="pct"/>
            <w:vAlign w:val="center"/>
            <w:hideMark/>
          </w:tcPr>
          <w:p w14:paraId="6939DECD" w14:textId="77777777" w:rsidR="00000000" w:rsidRDefault="00632532">
            <w:pPr>
              <w:rPr>
                <w:rFonts w:eastAsia="Times New Roman"/>
                <w:sz w:val="20"/>
                <w:szCs w:val="20"/>
              </w:rPr>
            </w:pPr>
          </w:p>
        </w:tc>
        <w:tc>
          <w:tcPr>
            <w:tcW w:w="50" w:type="pct"/>
            <w:vAlign w:val="center"/>
            <w:hideMark/>
          </w:tcPr>
          <w:p w14:paraId="6C25480B" w14:textId="77777777" w:rsidR="00000000" w:rsidRDefault="00632532">
            <w:pPr>
              <w:rPr>
                <w:rFonts w:eastAsia="Times New Roman"/>
                <w:sz w:val="20"/>
                <w:szCs w:val="20"/>
              </w:rPr>
            </w:pPr>
          </w:p>
        </w:tc>
        <w:tc>
          <w:tcPr>
            <w:tcW w:w="560" w:type="pct"/>
            <w:vAlign w:val="center"/>
            <w:hideMark/>
          </w:tcPr>
          <w:p w14:paraId="6D49CB93" w14:textId="77777777" w:rsidR="00000000" w:rsidRDefault="00632532">
            <w:pPr>
              <w:rPr>
                <w:rFonts w:eastAsia="Times New Roman"/>
                <w:sz w:val="20"/>
                <w:szCs w:val="20"/>
              </w:rPr>
            </w:pPr>
          </w:p>
        </w:tc>
        <w:tc>
          <w:tcPr>
            <w:tcW w:w="50" w:type="pct"/>
            <w:vAlign w:val="center"/>
            <w:hideMark/>
          </w:tcPr>
          <w:p w14:paraId="4313B0BA" w14:textId="77777777" w:rsidR="00000000" w:rsidRDefault="00632532">
            <w:pPr>
              <w:rPr>
                <w:rFonts w:eastAsia="Times New Roman"/>
                <w:sz w:val="20"/>
                <w:szCs w:val="20"/>
              </w:rPr>
            </w:pPr>
          </w:p>
        </w:tc>
      </w:tr>
      <w:tr w:rsidR="00000000" w14:paraId="0D506DC2" w14:textId="77777777">
        <w:trPr>
          <w:trHeight w:val="160"/>
          <w:tblCellSpacing w:w="15" w:type="dxa"/>
        </w:trPr>
        <w:tc>
          <w:tcPr>
            <w:tcW w:w="0" w:type="auto"/>
            <w:vAlign w:val="bottom"/>
            <w:hideMark/>
          </w:tcPr>
          <w:p w14:paraId="06530360"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39B52350" w14:textId="77777777" w:rsidR="00000000" w:rsidRDefault="00632532">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751878B2"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6DB2D30"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61617343"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728FAF99"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0119C7DC" w14:textId="77777777">
        <w:trPr>
          <w:trHeight w:val="160"/>
          <w:tblCellSpacing w:w="15" w:type="dxa"/>
        </w:trPr>
        <w:tc>
          <w:tcPr>
            <w:tcW w:w="0" w:type="auto"/>
            <w:vAlign w:val="bottom"/>
            <w:hideMark/>
          </w:tcPr>
          <w:p w14:paraId="618F519D"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23ADF55"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7969DEA"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834F246"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23F4039"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F8F878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04FF294"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61A071B"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F8F93D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2286545"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2C1D5B2"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12FC808"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75A67B5D" w14:textId="77777777">
        <w:trPr>
          <w:trHeight w:val="200"/>
          <w:tblCellSpacing w:w="15" w:type="dxa"/>
        </w:trPr>
        <w:tc>
          <w:tcPr>
            <w:tcW w:w="0" w:type="auto"/>
            <w:hideMark/>
          </w:tcPr>
          <w:p w14:paraId="5514EB15" w14:textId="77777777" w:rsidR="00000000" w:rsidRDefault="00632532">
            <w:pPr>
              <w:pStyle w:val="a3"/>
              <w:spacing w:before="0" w:beforeAutospacing="0" w:after="0" w:afterAutospacing="0"/>
              <w:rPr>
                <w:sz w:val="20"/>
                <w:szCs w:val="20"/>
              </w:rPr>
            </w:pPr>
            <w:r>
              <w:rPr>
                <w:sz w:val="20"/>
                <w:szCs w:val="20"/>
              </w:rPr>
              <w:t>Revenu</w:t>
            </w:r>
            <w:r>
              <w:rPr>
                <w:sz w:val="20"/>
                <w:szCs w:val="20"/>
              </w:rPr>
              <w:t>e</w:t>
            </w:r>
          </w:p>
        </w:tc>
        <w:tc>
          <w:tcPr>
            <w:tcW w:w="0" w:type="auto"/>
            <w:noWrap/>
            <w:vAlign w:val="bottom"/>
            <w:hideMark/>
          </w:tcPr>
          <w:p w14:paraId="1E8B6C4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5C4E6EF" w14:textId="77777777" w:rsidR="00000000" w:rsidRDefault="00632532">
            <w:pPr>
              <w:pStyle w:val="a3"/>
              <w:spacing w:before="0" w:beforeAutospacing="0" w:after="0" w:afterAutospacing="0"/>
              <w:jc w:val="right"/>
              <w:rPr>
                <w:sz w:val="20"/>
                <w:szCs w:val="20"/>
              </w:rPr>
            </w:pPr>
            <w:r>
              <w:rPr>
                <w:sz w:val="20"/>
                <w:szCs w:val="20"/>
              </w:rPr>
              <w:t>125,34</w:t>
            </w:r>
            <w:r>
              <w:rPr>
                <w:sz w:val="20"/>
                <w:szCs w:val="20"/>
              </w:rPr>
              <w:t>1</w:t>
            </w:r>
          </w:p>
        </w:tc>
        <w:tc>
          <w:tcPr>
            <w:tcW w:w="0" w:type="auto"/>
            <w:noWrap/>
            <w:vAlign w:val="bottom"/>
            <w:hideMark/>
          </w:tcPr>
          <w:p w14:paraId="4DDC393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48AC287"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A55719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AF35857" w14:textId="77777777" w:rsidR="00000000" w:rsidRDefault="00632532">
            <w:pPr>
              <w:pStyle w:val="a3"/>
              <w:spacing w:before="0" w:beforeAutospacing="0" w:after="0" w:afterAutospacing="0"/>
              <w:jc w:val="right"/>
              <w:rPr>
                <w:sz w:val="20"/>
                <w:szCs w:val="20"/>
              </w:rPr>
            </w:pPr>
            <w:r>
              <w:rPr>
                <w:sz w:val="20"/>
                <w:szCs w:val="20"/>
              </w:rPr>
              <w:t>153,61</w:t>
            </w:r>
            <w:r>
              <w:rPr>
                <w:sz w:val="20"/>
                <w:szCs w:val="20"/>
              </w:rPr>
              <w:t>6</w:t>
            </w:r>
          </w:p>
        </w:tc>
        <w:tc>
          <w:tcPr>
            <w:tcW w:w="0" w:type="auto"/>
            <w:noWrap/>
            <w:vAlign w:val="bottom"/>
            <w:hideMark/>
          </w:tcPr>
          <w:p w14:paraId="5490DB12"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543116B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A41F1E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EEB03D0" w14:textId="77777777" w:rsidR="00000000" w:rsidRDefault="00632532">
            <w:pPr>
              <w:pStyle w:val="a3"/>
              <w:spacing w:before="0" w:beforeAutospacing="0" w:after="0" w:afterAutospacing="0"/>
              <w:jc w:val="right"/>
              <w:rPr>
                <w:sz w:val="20"/>
                <w:szCs w:val="20"/>
              </w:rPr>
            </w:pPr>
            <w:r>
              <w:rPr>
                <w:sz w:val="20"/>
                <w:szCs w:val="20"/>
              </w:rPr>
              <w:t>445,60</w:t>
            </w:r>
            <w:r>
              <w:rPr>
                <w:sz w:val="20"/>
                <w:szCs w:val="20"/>
              </w:rPr>
              <w:t>9</w:t>
            </w:r>
          </w:p>
        </w:tc>
        <w:tc>
          <w:tcPr>
            <w:tcW w:w="0" w:type="auto"/>
            <w:noWrap/>
            <w:vAlign w:val="bottom"/>
            <w:hideMark/>
          </w:tcPr>
          <w:p w14:paraId="28FE200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1E66E2"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15DBF8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4884B59" w14:textId="77777777" w:rsidR="00000000" w:rsidRDefault="00632532">
            <w:pPr>
              <w:pStyle w:val="a3"/>
              <w:spacing w:before="0" w:beforeAutospacing="0" w:after="0" w:afterAutospacing="0"/>
              <w:jc w:val="right"/>
              <w:rPr>
                <w:sz w:val="20"/>
                <w:szCs w:val="20"/>
              </w:rPr>
            </w:pPr>
            <w:r>
              <w:rPr>
                <w:sz w:val="20"/>
                <w:szCs w:val="20"/>
              </w:rPr>
              <w:t>513,04</w:t>
            </w:r>
            <w:r>
              <w:rPr>
                <w:sz w:val="20"/>
                <w:szCs w:val="20"/>
              </w:rPr>
              <w:t>5</w:t>
            </w:r>
          </w:p>
        </w:tc>
        <w:tc>
          <w:tcPr>
            <w:tcW w:w="0" w:type="auto"/>
            <w:noWrap/>
            <w:vAlign w:val="bottom"/>
            <w:hideMark/>
          </w:tcPr>
          <w:p w14:paraId="7BBF517F" w14:textId="77777777" w:rsidR="00000000" w:rsidRDefault="00632532">
            <w:pPr>
              <w:pStyle w:val="a3"/>
              <w:spacing w:before="0" w:beforeAutospacing="0" w:after="0" w:afterAutospacing="0"/>
              <w:rPr>
                <w:sz w:val="20"/>
                <w:szCs w:val="20"/>
              </w:rPr>
            </w:pPr>
            <w:r>
              <w:rPr>
                <w:sz w:val="20"/>
                <w:szCs w:val="20"/>
              </w:rPr>
              <w:t> </w:t>
            </w:r>
          </w:p>
        </w:tc>
      </w:tr>
      <w:tr w:rsidR="00000000" w14:paraId="63549D49" w14:textId="77777777">
        <w:trPr>
          <w:trHeight w:val="200"/>
          <w:tblCellSpacing w:w="15" w:type="dxa"/>
        </w:trPr>
        <w:tc>
          <w:tcPr>
            <w:tcW w:w="0" w:type="auto"/>
            <w:hideMark/>
          </w:tcPr>
          <w:p w14:paraId="0ED793E7" w14:textId="77777777" w:rsidR="00000000" w:rsidRDefault="00632532">
            <w:pPr>
              <w:pStyle w:val="a3"/>
              <w:spacing w:before="0" w:beforeAutospacing="0" w:after="0" w:afterAutospacing="0"/>
              <w:rPr>
                <w:sz w:val="20"/>
                <w:szCs w:val="20"/>
              </w:rPr>
            </w:pPr>
            <w:r>
              <w:rPr>
                <w:sz w:val="20"/>
                <w:szCs w:val="20"/>
              </w:rPr>
              <w:t>Cost of revenu</w:t>
            </w:r>
            <w:r>
              <w:rPr>
                <w:sz w:val="20"/>
                <w:szCs w:val="20"/>
              </w:rPr>
              <w:t>e</w:t>
            </w:r>
          </w:p>
        </w:tc>
        <w:tc>
          <w:tcPr>
            <w:tcW w:w="0" w:type="auto"/>
            <w:noWrap/>
            <w:vAlign w:val="bottom"/>
            <w:hideMark/>
          </w:tcPr>
          <w:p w14:paraId="7F51B4C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C91D291" w14:textId="77777777" w:rsidR="00000000" w:rsidRDefault="00632532">
            <w:pPr>
              <w:pStyle w:val="a3"/>
              <w:spacing w:before="0" w:beforeAutospacing="0" w:after="0" w:afterAutospacing="0"/>
              <w:jc w:val="right"/>
              <w:rPr>
                <w:sz w:val="20"/>
                <w:szCs w:val="20"/>
              </w:rPr>
            </w:pPr>
            <w:r>
              <w:rPr>
                <w:sz w:val="20"/>
                <w:szCs w:val="20"/>
              </w:rPr>
              <w:t>60,06</w:t>
            </w:r>
            <w:r>
              <w:rPr>
                <w:sz w:val="20"/>
                <w:szCs w:val="20"/>
              </w:rPr>
              <w:t>5</w:t>
            </w:r>
          </w:p>
        </w:tc>
        <w:tc>
          <w:tcPr>
            <w:tcW w:w="0" w:type="auto"/>
            <w:noWrap/>
            <w:vAlign w:val="bottom"/>
            <w:hideMark/>
          </w:tcPr>
          <w:p w14:paraId="01480A9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3CA73A8"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8C3CE1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C660C3" w14:textId="77777777" w:rsidR="00000000" w:rsidRDefault="00632532">
            <w:pPr>
              <w:pStyle w:val="a3"/>
              <w:spacing w:before="0" w:beforeAutospacing="0" w:after="0" w:afterAutospacing="0"/>
              <w:jc w:val="right"/>
              <w:rPr>
                <w:sz w:val="20"/>
                <w:szCs w:val="20"/>
              </w:rPr>
            </w:pPr>
            <w:r>
              <w:rPr>
                <w:sz w:val="20"/>
                <w:szCs w:val="20"/>
              </w:rPr>
              <w:t>35,85</w:t>
            </w:r>
            <w:r>
              <w:rPr>
                <w:sz w:val="20"/>
                <w:szCs w:val="20"/>
              </w:rPr>
              <w:t>8</w:t>
            </w:r>
          </w:p>
        </w:tc>
        <w:tc>
          <w:tcPr>
            <w:tcW w:w="0" w:type="auto"/>
            <w:noWrap/>
            <w:vAlign w:val="bottom"/>
            <w:hideMark/>
          </w:tcPr>
          <w:p w14:paraId="477ADDD9"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4F9DB2D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FE28FE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B6D0A1" w14:textId="77777777" w:rsidR="00000000" w:rsidRDefault="00632532">
            <w:pPr>
              <w:pStyle w:val="a3"/>
              <w:spacing w:before="0" w:beforeAutospacing="0" w:after="0" w:afterAutospacing="0"/>
              <w:jc w:val="right"/>
              <w:rPr>
                <w:sz w:val="20"/>
                <w:szCs w:val="20"/>
              </w:rPr>
            </w:pPr>
            <w:r>
              <w:rPr>
                <w:sz w:val="20"/>
                <w:szCs w:val="20"/>
              </w:rPr>
              <w:t>137,79</w:t>
            </w:r>
            <w:r>
              <w:rPr>
                <w:sz w:val="20"/>
                <w:szCs w:val="20"/>
              </w:rPr>
              <w:t>0</w:t>
            </w:r>
          </w:p>
        </w:tc>
        <w:tc>
          <w:tcPr>
            <w:tcW w:w="0" w:type="auto"/>
            <w:noWrap/>
            <w:vAlign w:val="bottom"/>
            <w:hideMark/>
          </w:tcPr>
          <w:p w14:paraId="3D6E905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5A37FD7"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C6C441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7C9F76" w14:textId="77777777" w:rsidR="00000000" w:rsidRDefault="00632532">
            <w:pPr>
              <w:pStyle w:val="a3"/>
              <w:spacing w:before="0" w:beforeAutospacing="0" w:after="0" w:afterAutospacing="0"/>
              <w:jc w:val="right"/>
              <w:rPr>
                <w:sz w:val="20"/>
                <w:szCs w:val="20"/>
              </w:rPr>
            </w:pPr>
            <w:r>
              <w:rPr>
                <w:sz w:val="20"/>
                <w:szCs w:val="20"/>
              </w:rPr>
              <w:t>109,93</w:t>
            </w:r>
            <w:r>
              <w:rPr>
                <w:sz w:val="20"/>
                <w:szCs w:val="20"/>
              </w:rPr>
              <w:t>3</w:t>
            </w:r>
          </w:p>
        </w:tc>
        <w:tc>
          <w:tcPr>
            <w:tcW w:w="0" w:type="auto"/>
            <w:noWrap/>
            <w:vAlign w:val="bottom"/>
            <w:hideMark/>
          </w:tcPr>
          <w:p w14:paraId="27FE56CC" w14:textId="77777777" w:rsidR="00000000" w:rsidRDefault="00632532">
            <w:pPr>
              <w:pStyle w:val="a3"/>
              <w:spacing w:before="0" w:beforeAutospacing="0" w:after="0" w:afterAutospacing="0"/>
              <w:rPr>
                <w:sz w:val="20"/>
                <w:szCs w:val="20"/>
              </w:rPr>
            </w:pPr>
            <w:r>
              <w:rPr>
                <w:sz w:val="20"/>
                <w:szCs w:val="20"/>
              </w:rPr>
              <w:t> </w:t>
            </w:r>
          </w:p>
        </w:tc>
      </w:tr>
      <w:tr w:rsidR="00000000" w14:paraId="0AE65B4C" w14:textId="77777777">
        <w:trPr>
          <w:trHeight w:val="200"/>
          <w:tblCellSpacing w:w="15" w:type="dxa"/>
        </w:trPr>
        <w:tc>
          <w:tcPr>
            <w:tcW w:w="0" w:type="auto"/>
            <w:hideMark/>
          </w:tcPr>
          <w:p w14:paraId="4022D6CE" w14:textId="77777777" w:rsidR="00000000" w:rsidRDefault="00632532">
            <w:pPr>
              <w:pStyle w:val="a3"/>
              <w:spacing w:before="0" w:beforeAutospacing="0" w:after="0" w:afterAutospacing="0"/>
              <w:ind w:left="200"/>
              <w:rPr>
                <w:sz w:val="20"/>
                <w:szCs w:val="20"/>
              </w:rPr>
            </w:pPr>
            <w:r>
              <w:rPr>
                <w:sz w:val="20"/>
                <w:szCs w:val="20"/>
              </w:rPr>
              <w:t>Gross profi</w:t>
            </w:r>
            <w:r>
              <w:rPr>
                <w:sz w:val="20"/>
                <w:szCs w:val="20"/>
              </w:rPr>
              <w:t>t</w:t>
            </w:r>
          </w:p>
        </w:tc>
        <w:tc>
          <w:tcPr>
            <w:tcW w:w="0" w:type="auto"/>
            <w:noWrap/>
            <w:vAlign w:val="bottom"/>
            <w:hideMark/>
          </w:tcPr>
          <w:p w14:paraId="13977C2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827314" w14:textId="77777777" w:rsidR="00000000" w:rsidRDefault="00632532">
            <w:pPr>
              <w:pStyle w:val="a3"/>
              <w:spacing w:before="0" w:beforeAutospacing="0" w:after="0" w:afterAutospacing="0"/>
              <w:jc w:val="right"/>
              <w:rPr>
                <w:sz w:val="20"/>
                <w:szCs w:val="20"/>
              </w:rPr>
            </w:pPr>
            <w:r>
              <w:rPr>
                <w:sz w:val="20"/>
                <w:szCs w:val="20"/>
              </w:rPr>
              <w:t>65,27</w:t>
            </w:r>
            <w:r>
              <w:rPr>
                <w:sz w:val="20"/>
                <w:szCs w:val="20"/>
              </w:rPr>
              <w:t>6</w:t>
            </w:r>
          </w:p>
        </w:tc>
        <w:tc>
          <w:tcPr>
            <w:tcW w:w="0" w:type="auto"/>
            <w:noWrap/>
            <w:vAlign w:val="bottom"/>
            <w:hideMark/>
          </w:tcPr>
          <w:p w14:paraId="6885A5B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3393C7"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7B936D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77AF355" w14:textId="77777777" w:rsidR="00000000" w:rsidRDefault="00632532">
            <w:pPr>
              <w:pStyle w:val="a3"/>
              <w:spacing w:before="0" w:beforeAutospacing="0" w:after="0" w:afterAutospacing="0"/>
              <w:jc w:val="right"/>
              <w:rPr>
                <w:sz w:val="20"/>
                <w:szCs w:val="20"/>
              </w:rPr>
            </w:pPr>
            <w:r>
              <w:rPr>
                <w:sz w:val="20"/>
                <w:szCs w:val="20"/>
              </w:rPr>
              <w:t>117,75</w:t>
            </w:r>
            <w:r>
              <w:rPr>
                <w:sz w:val="20"/>
                <w:szCs w:val="20"/>
              </w:rPr>
              <w:t>8</w:t>
            </w:r>
          </w:p>
        </w:tc>
        <w:tc>
          <w:tcPr>
            <w:tcW w:w="0" w:type="auto"/>
            <w:noWrap/>
            <w:vAlign w:val="bottom"/>
            <w:hideMark/>
          </w:tcPr>
          <w:p w14:paraId="42D5FA6A"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25F49C23"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3416A63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3F321A2" w14:textId="77777777" w:rsidR="00000000" w:rsidRDefault="00632532">
            <w:pPr>
              <w:pStyle w:val="a3"/>
              <w:spacing w:before="0" w:beforeAutospacing="0" w:after="0" w:afterAutospacing="0"/>
              <w:jc w:val="right"/>
              <w:rPr>
                <w:sz w:val="20"/>
                <w:szCs w:val="20"/>
              </w:rPr>
            </w:pPr>
            <w:r>
              <w:rPr>
                <w:sz w:val="20"/>
                <w:szCs w:val="20"/>
              </w:rPr>
              <w:t>307,81</w:t>
            </w:r>
            <w:r>
              <w:rPr>
                <w:sz w:val="20"/>
                <w:szCs w:val="20"/>
              </w:rPr>
              <w:t>9</w:t>
            </w:r>
          </w:p>
        </w:tc>
        <w:tc>
          <w:tcPr>
            <w:tcW w:w="0" w:type="auto"/>
            <w:noWrap/>
            <w:vAlign w:val="bottom"/>
            <w:hideMark/>
          </w:tcPr>
          <w:p w14:paraId="015E30A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57D2042"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C4B302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8466DB" w14:textId="77777777" w:rsidR="00000000" w:rsidRDefault="00632532">
            <w:pPr>
              <w:pStyle w:val="a3"/>
              <w:spacing w:before="0" w:beforeAutospacing="0" w:after="0" w:afterAutospacing="0"/>
              <w:jc w:val="right"/>
              <w:rPr>
                <w:sz w:val="20"/>
                <w:szCs w:val="20"/>
              </w:rPr>
            </w:pPr>
            <w:r>
              <w:rPr>
                <w:sz w:val="20"/>
                <w:szCs w:val="20"/>
              </w:rPr>
              <w:t>403,11</w:t>
            </w:r>
            <w:r>
              <w:rPr>
                <w:sz w:val="20"/>
                <w:szCs w:val="20"/>
              </w:rPr>
              <w:t>2</w:t>
            </w:r>
          </w:p>
        </w:tc>
        <w:tc>
          <w:tcPr>
            <w:tcW w:w="0" w:type="auto"/>
            <w:noWrap/>
            <w:vAlign w:val="bottom"/>
            <w:hideMark/>
          </w:tcPr>
          <w:p w14:paraId="516AD7D1" w14:textId="77777777" w:rsidR="00000000" w:rsidRDefault="00632532">
            <w:pPr>
              <w:pStyle w:val="a3"/>
              <w:spacing w:before="0" w:beforeAutospacing="0" w:after="0" w:afterAutospacing="0"/>
              <w:rPr>
                <w:sz w:val="20"/>
                <w:szCs w:val="20"/>
              </w:rPr>
            </w:pPr>
            <w:r>
              <w:rPr>
                <w:sz w:val="20"/>
                <w:szCs w:val="20"/>
              </w:rPr>
              <w:t> </w:t>
            </w:r>
          </w:p>
        </w:tc>
      </w:tr>
      <w:tr w:rsidR="00000000" w14:paraId="0571561D" w14:textId="77777777">
        <w:trPr>
          <w:trHeight w:val="200"/>
          <w:tblCellSpacing w:w="15" w:type="dxa"/>
        </w:trPr>
        <w:tc>
          <w:tcPr>
            <w:tcW w:w="0" w:type="auto"/>
            <w:hideMark/>
          </w:tcPr>
          <w:p w14:paraId="42493B71" w14:textId="77777777" w:rsidR="00000000" w:rsidRDefault="00632532">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14:paraId="0E7A26CF"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F2F94FC"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F7373D1"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B2F04E5"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5DBBB95" w14:textId="77777777" w:rsidR="00000000" w:rsidRDefault="00632532">
            <w:pPr>
              <w:pStyle w:val="a3"/>
              <w:spacing w:before="0" w:beforeAutospacing="0" w:after="0" w:afterAutospacing="0"/>
              <w:jc w:val="right"/>
              <w:rPr>
                <w:sz w:val="20"/>
                <w:szCs w:val="20"/>
              </w:rPr>
            </w:pPr>
            <w:r>
              <w:rPr>
                <w:sz w:val="20"/>
                <w:szCs w:val="20"/>
              </w:rPr>
              <w:t> </w:t>
            </w:r>
          </w:p>
        </w:tc>
        <w:tc>
          <w:tcPr>
            <w:tcW w:w="0" w:type="auto"/>
            <w:hideMark/>
          </w:tcPr>
          <w:p w14:paraId="59B7F64E"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170EA8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63E0F402"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7FDE3D1"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219AE3A"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E3DD716" w14:textId="77777777" w:rsidR="00000000" w:rsidRDefault="00632532">
            <w:pPr>
              <w:pStyle w:val="a3"/>
              <w:spacing w:before="0" w:beforeAutospacing="0" w:after="0" w:afterAutospacing="0"/>
              <w:jc w:val="right"/>
              <w:rPr>
                <w:sz w:val="20"/>
                <w:szCs w:val="20"/>
              </w:rPr>
            </w:pPr>
            <w:r>
              <w:rPr>
                <w:sz w:val="20"/>
                <w:szCs w:val="20"/>
              </w:rPr>
              <w:t> </w:t>
            </w:r>
          </w:p>
        </w:tc>
      </w:tr>
      <w:tr w:rsidR="00000000" w14:paraId="73B1A30F" w14:textId="77777777">
        <w:trPr>
          <w:trHeight w:val="200"/>
          <w:tblCellSpacing w:w="15" w:type="dxa"/>
        </w:trPr>
        <w:tc>
          <w:tcPr>
            <w:tcW w:w="0" w:type="auto"/>
            <w:hideMark/>
          </w:tcPr>
          <w:p w14:paraId="68015852" w14:textId="77777777" w:rsidR="00000000" w:rsidRDefault="00632532">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noWrap/>
            <w:vAlign w:val="bottom"/>
            <w:hideMark/>
          </w:tcPr>
          <w:p w14:paraId="16A62E1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41E15A" w14:textId="77777777" w:rsidR="00000000" w:rsidRDefault="00632532">
            <w:pPr>
              <w:pStyle w:val="a3"/>
              <w:spacing w:before="0" w:beforeAutospacing="0" w:after="0" w:afterAutospacing="0"/>
              <w:jc w:val="right"/>
              <w:rPr>
                <w:sz w:val="20"/>
                <w:szCs w:val="20"/>
              </w:rPr>
            </w:pPr>
            <w:r>
              <w:rPr>
                <w:sz w:val="20"/>
                <w:szCs w:val="20"/>
              </w:rPr>
              <w:t>6,90</w:t>
            </w:r>
            <w:r>
              <w:rPr>
                <w:sz w:val="20"/>
                <w:szCs w:val="20"/>
              </w:rPr>
              <w:t>5</w:t>
            </w:r>
          </w:p>
        </w:tc>
        <w:tc>
          <w:tcPr>
            <w:tcW w:w="0" w:type="auto"/>
            <w:noWrap/>
            <w:vAlign w:val="bottom"/>
            <w:hideMark/>
          </w:tcPr>
          <w:p w14:paraId="7A6EDC6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099FA1"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E3DA74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47F736" w14:textId="77777777" w:rsidR="00000000" w:rsidRDefault="00632532">
            <w:pPr>
              <w:pStyle w:val="a3"/>
              <w:spacing w:before="0" w:beforeAutospacing="0" w:after="0" w:afterAutospacing="0"/>
              <w:jc w:val="right"/>
              <w:rPr>
                <w:sz w:val="20"/>
                <w:szCs w:val="20"/>
              </w:rPr>
            </w:pPr>
            <w:r>
              <w:rPr>
                <w:sz w:val="20"/>
                <w:szCs w:val="20"/>
              </w:rPr>
              <w:t>5,31</w:t>
            </w:r>
            <w:r>
              <w:rPr>
                <w:sz w:val="20"/>
                <w:szCs w:val="20"/>
              </w:rPr>
              <w:t>2</w:t>
            </w:r>
          </w:p>
        </w:tc>
        <w:tc>
          <w:tcPr>
            <w:tcW w:w="0" w:type="auto"/>
            <w:noWrap/>
            <w:vAlign w:val="bottom"/>
            <w:hideMark/>
          </w:tcPr>
          <w:p w14:paraId="79E39BF8"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2BE372A1"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4FB155F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3AD504" w14:textId="77777777" w:rsidR="00000000" w:rsidRDefault="00632532">
            <w:pPr>
              <w:pStyle w:val="a3"/>
              <w:spacing w:before="0" w:beforeAutospacing="0" w:after="0" w:afterAutospacing="0"/>
              <w:jc w:val="right"/>
              <w:rPr>
                <w:sz w:val="20"/>
                <w:szCs w:val="20"/>
              </w:rPr>
            </w:pPr>
            <w:r>
              <w:rPr>
                <w:sz w:val="20"/>
                <w:szCs w:val="20"/>
              </w:rPr>
              <w:t>12,89</w:t>
            </w:r>
            <w:r>
              <w:rPr>
                <w:sz w:val="20"/>
                <w:szCs w:val="20"/>
              </w:rPr>
              <w:t>4</w:t>
            </w:r>
          </w:p>
        </w:tc>
        <w:tc>
          <w:tcPr>
            <w:tcW w:w="0" w:type="auto"/>
            <w:noWrap/>
            <w:vAlign w:val="bottom"/>
            <w:hideMark/>
          </w:tcPr>
          <w:p w14:paraId="290AEBD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05AA50"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B637C6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2A958BC" w14:textId="77777777" w:rsidR="00000000" w:rsidRDefault="00632532">
            <w:pPr>
              <w:pStyle w:val="a3"/>
              <w:spacing w:before="0" w:beforeAutospacing="0" w:after="0" w:afterAutospacing="0"/>
              <w:jc w:val="right"/>
              <w:rPr>
                <w:sz w:val="20"/>
                <w:szCs w:val="20"/>
              </w:rPr>
            </w:pPr>
            <w:r>
              <w:rPr>
                <w:sz w:val="20"/>
                <w:szCs w:val="20"/>
              </w:rPr>
              <w:t>10,73</w:t>
            </w:r>
            <w:r>
              <w:rPr>
                <w:sz w:val="20"/>
                <w:szCs w:val="20"/>
              </w:rPr>
              <w:t>4</w:t>
            </w:r>
          </w:p>
        </w:tc>
        <w:tc>
          <w:tcPr>
            <w:tcW w:w="0" w:type="auto"/>
            <w:noWrap/>
            <w:vAlign w:val="bottom"/>
            <w:hideMark/>
          </w:tcPr>
          <w:p w14:paraId="55BDF6CB" w14:textId="77777777" w:rsidR="00000000" w:rsidRDefault="00632532">
            <w:pPr>
              <w:pStyle w:val="a3"/>
              <w:spacing w:before="0" w:beforeAutospacing="0" w:after="0" w:afterAutospacing="0"/>
              <w:rPr>
                <w:sz w:val="20"/>
                <w:szCs w:val="20"/>
              </w:rPr>
            </w:pPr>
            <w:r>
              <w:rPr>
                <w:sz w:val="20"/>
                <w:szCs w:val="20"/>
              </w:rPr>
              <w:t> </w:t>
            </w:r>
          </w:p>
        </w:tc>
      </w:tr>
      <w:tr w:rsidR="00000000" w14:paraId="2D5D9B09" w14:textId="77777777">
        <w:trPr>
          <w:trHeight w:val="200"/>
          <w:tblCellSpacing w:w="15" w:type="dxa"/>
        </w:trPr>
        <w:tc>
          <w:tcPr>
            <w:tcW w:w="0" w:type="auto"/>
            <w:hideMark/>
          </w:tcPr>
          <w:p w14:paraId="00C96413" w14:textId="77777777" w:rsidR="00000000" w:rsidRDefault="00632532">
            <w:pPr>
              <w:pStyle w:val="a3"/>
              <w:spacing w:before="0" w:beforeAutospacing="0" w:after="0" w:afterAutospacing="0"/>
              <w:ind w:left="200"/>
              <w:rPr>
                <w:sz w:val="20"/>
                <w:szCs w:val="20"/>
              </w:rPr>
            </w:pPr>
            <w:r>
              <w:rPr>
                <w:sz w:val="20"/>
                <w:szCs w:val="20"/>
              </w:rPr>
              <w:t>Selling and marketin</w:t>
            </w:r>
            <w:r>
              <w:rPr>
                <w:sz w:val="20"/>
                <w:szCs w:val="20"/>
              </w:rPr>
              <w:t>g</w:t>
            </w:r>
          </w:p>
        </w:tc>
        <w:tc>
          <w:tcPr>
            <w:tcW w:w="0" w:type="auto"/>
            <w:noWrap/>
            <w:vAlign w:val="bottom"/>
            <w:hideMark/>
          </w:tcPr>
          <w:p w14:paraId="4910D67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6014BFC" w14:textId="77777777" w:rsidR="00000000" w:rsidRDefault="00632532">
            <w:pPr>
              <w:pStyle w:val="a3"/>
              <w:spacing w:before="0" w:beforeAutospacing="0" w:after="0" w:afterAutospacing="0"/>
              <w:jc w:val="right"/>
              <w:rPr>
                <w:sz w:val="20"/>
                <w:szCs w:val="20"/>
              </w:rPr>
            </w:pPr>
            <w:r>
              <w:rPr>
                <w:sz w:val="20"/>
                <w:szCs w:val="20"/>
              </w:rPr>
              <w:t>10,86</w:t>
            </w:r>
            <w:r>
              <w:rPr>
                <w:sz w:val="20"/>
                <w:szCs w:val="20"/>
              </w:rPr>
              <w:t>6</w:t>
            </w:r>
          </w:p>
        </w:tc>
        <w:tc>
          <w:tcPr>
            <w:tcW w:w="0" w:type="auto"/>
            <w:noWrap/>
            <w:vAlign w:val="bottom"/>
            <w:hideMark/>
          </w:tcPr>
          <w:p w14:paraId="1ACCC7E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D1ED6F1"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328C17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D925A2E" w14:textId="77777777" w:rsidR="00000000" w:rsidRDefault="00632532">
            <w:pPr>
              <w:pStyle w:val="a3"/>
              <w:spacing w:before="0" w:beforeAutospacing="0" w:after="0" w:afterAutospacing="0"/>
              <w:jc w:val="right"/>
              <w:rPr>
                <w:sz w:val="20"/>
                <w:szCs w:val="20"/>
              </w:rPr>
            </w:pPr>
            <w:r>
              <w:rPr>
                <w:sz w:val="20"/>
                <w:szCs w:val="20"/>
              </w:rPr>
              <w:t>5,21</w:t>
            </w:r>
            <w:r>
              <w:rPr>
                <w:sz w:val="20"/>
                <w:szCs w:val="20"/>
              </w:rPr>
              <w:t>9</w:t>
            </w:r>
          </w:p>
        </w:tc>
        <w:tc>
          <w:tcPr>
            <w:tcW w:w="0" w:type="auto"/>
            <w:noWrap/>
            <w:vAlign w:val="bottom"/>
            <w:hideMark/>
          </w:tcPr>
          <w:p w14:paraId="629A64C9"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58195733"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5F3313B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896685" w14:textId="77777777" w:rsidR="00000000" w:rsidRDefault="00632532">
            <w:pPr>
              <w:pStyle w:val="a3"/>
              <w:spacing w:before="0" w:beforeAutospacing="0" w:after="0" w:afterAutospacing="0"/>
              <w:jc w:val="right"/>
              <w:rPr>
                <w:sz w:val="20"/>
                <w:szCs w:val="20"/>
              </w:rPr>
            </w:pPr>
            <w:r>
              <w:rPr>
                <w:sz w:val="20"/>
                <w:szCs w:val="20"/>
              </w:rPr>
              <w:t>18,80</w:t>
            </w:r>
            <w:r>
              <w:rPr>
                <w:sz w:val="20"/>
                <w:szCs w:val="20"/>
              </w:rPr>
              <w:t>6</w:t>
            </w:r>
          </w:p>
        </w:tc>
        <w:tc>
          <w:tcPr>
            <w:tcW w:w="0" w:type="auto"/>
            <w:noWrap/>
            <w:vAlign w:val="bottom"/>
            <w:hideMark/>
          </w:tcPr>
          <w:p w14:paraId="432ED7E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71CAB3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1E1BDC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39DF0B" w14:textId="77777777" w:rsidR="00000000" w:rsidRDefault="00632532">
            <w:pPr>
              <w:pStyle w:val="a3"/>
              <w:spacing w:before="0" w:beforeAutospacing="0" w:after="0" w:afterAutospacing="0"/>
              <w:jc w:val="right"/>
              <w:rPr>
                <w:sz w:val="20"/>
                <w:szCs w:val="20"/>
              </w:rPr>
            </w:pPr>
            <w:r>
              <w:rPr>
                <w:sz w:val="20"/>
                <w:szCs w:val="20"/>
              </w:rPr>
              <w:t>10,22</w:t>
            </w:r>
            <w:r>
              <w:rPr>
                <w:sz w:val="20"/>
                <w:szCs w:val="20"/>
              </w:rPr>
              <w:t>7</w:t>
            </w:r>
          </w:p>
        </w:tc>
        <w:tc>
          <w:tcPr>
            <w:tcW w:w="0" w:type="auto"/>
            <w:noWrap/>
            <w:vAlign w:val="bottom"/>
            <w:hideMark/>
          </w:tcPr>
          <w:p w14:paraId="032E96D8" w14:textId="77777777" w:rsidR="00000000" w:rsidRDefault="00632532">
            <w:pPr>
              <w:pStyle w:val="a3"/>
              <w:spacing w:before="0" w:beforeAutospacing="0" w:after="0" w:afterAutospacing="0"/>
              <w:rPr>
                <w:sz w:val="20"/>
                <w:szCs w:val="20"/>
              </w:rPr>
            </w:pPr>
            <w:r>
              <w:rPr>
                <w:sz w:val="20"/>
                <w:szCs w:val="20"/>
              </w:rPr>
              <w:t> </w:t>
            </w:r>
          </w:p>
        </w:tc>
      </w:tr>
      <w:tr w:rsidR="00000000" w14:paraId="0AC7B7AF" w14:textId="77777777">
        <w:trPr>
          <w:trHeight w:val="200"/>
          <w:tblCellSpacing w:w="15" w:type="dxa"/>
        </w:trPr>
        <w:tc>
          <w:tcPr>
            <w:tcW w:w="0" w:type="auto"/>
            <w:hideMark/>
          </w:tcPr>
          <w:p w14:paraId="7B117572" w14:textId="77777777" w:rsidR="00000000" w:rsidRDefault="00632532">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noWrap/>
            <w:vAlign w:val="bottom"/>
            <w:hideMark/>
          </w:tcPr>
          <w:p w14:paraId="67D38AB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7CF1A2" w14:textId="77777777" w:rsidR="00000000" w:rsidRDefault="00632532">
            <w:pPr>
              <w:pStyle w:val="a3"/>
              <w:spacing w:before="0" w:beforeAutospacing="0" w:after="0" w:afterAutospacing="0"/>
              <w:jc w:val="right"/>
              <w:rPr>
                <w:sz w:val="20"/>
                <w:szCs w:val="20"/>
              </w:rPr>
            </w:pPr>
            <w:r>
              <w:rPr>
                <w:sz w:val="20"/>
                <w:szCs w:val="20"/>
              </w:rPr>
              <w:t>30,24</w:t>
            </w:r>
            <w:r>
              <w:rPr>
                <w:sz w:val="20"/>
                <w:szCs w:val="20"/>
              </w:rPr>
              <w:t>0</w:t>
            </w:r>
          </w:p>
        </w:tc>
        <w:tc>
          <w:tcPr>
            <w:tcW w:w="0" w:type="auto"/>
            <w:noWrap/>
            <w:vAlign w:val="bottom"/>
            <w:hideMark/>
          </w:tcPr>
          <w:p w14:paraId="094EB05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CECC7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A86140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BADF27" w14:textId="77777777" w:rsidR="00000000" w:rsidRDefault="00632532">
            <w:pPr>
              <w:pStyle w:val="a3"/>
              <w:spacing w:before="0" w:beforeAutospacing="0" w:after="0" w:afterAutospacing="0"/>
              <w:jc w:val="right"/>
              <w:rPr>
                <w:sz w:val="20"/>
                <w:szCs w:val="20"/>
              </w:rPr>
            </w:pPr>
            <w:r>
              <w:rPr>
                <w:sz w:val="20"/>
                <w:szCs w:val="20"/>
              </w:rPr>
              <w:t>8,32</w:t>
            </w:r>
            <w:r>
              <w:rPr>
                <w:sz w:val="20"/>
                <w:szCs w:val="20"/>
              </w:rPr>
              <w:t>9</w:t>
            </w:r>
          </w:p>
        </w:tc>
        <w:tc>
          <w:tcPr>
            <w:tcW w:w="0" w:type="auto"/>
            <w:noWrap/>
            <w:vAlign w:val="bottom"/>
            <w:hideMark/>
          </w:tcPr>
          <w:p w14:paraId="700FC51D"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2809E398"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1E6D140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9A5901A" w14:textId="77777777" w:rsidR="00000000" w:rsidRDefault="00632532">
            <w:pPr>
              <w:pStyle w:val="a3"/>
              <w:spacing w:before="0" w:beforeAutospacing="0" w:after="0" w:afterAutospacing="0"/>
              <w:jc w:val="right"/>
              <w:rPr>
                <w:sz w:val="20"/>
                <w:szCs w:val="20"/>
              </w:rPr>
            </w:pPr>
            <w:r>
              <w:rPr>
                <w:sz w:val="20"/>
                <w:szCs w:val="20"/>
              </w:rPr>
              <w:t>56,01</w:t>
            </w:r>
            <w:r>
              <w:rPr>
                <w:sz w:val="20"/>
                <w:szCs w:val="20"/>
              </w:rPr>
              <w:t>5</w:t>
            </w:r>
          </w:p>
        </w:tc>
        <w:tc>
          <w:tcPr>
            <w:tcW w:w="0" w:type="auto"/>
            <w:noWrap/>
            <w:vAlign w:val="bottom"/>
            <w:hideMark/>
          </w:tcPr>
          <w:p w14:paraId="3F962D8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5E80F1"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7858E0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9A62206" w14:textId="77777777" w:rsidR="00000000" w:rsidRDefault="00632532">
            <w:pPr>
              <w:pStyle w:val="a3"/>
              <w:spacing w:before="0" w:beforeAutospacing="0" w:after="0" w:afterAutospacing="0"/>
              <w:jc w:val="right"/>
              <w:rPr>
                <w:sz w:val="20"/>
                <w:szCs w:val="20"/>
              </w:rPr>
            </w:pPr>
            <w:r>
              <w:rPr>
                <w:sz w:val="20"/>
                <w:szCs w:val="20"/>
              </w:rPr>
              <w:t>16,33</w:t>
            </w:r>
            <w:r>
              <w:rPr>
                <w:sz w:val="20"/>
                <w:szCs w:val="20"/>
              </w:rPr>
              <w:t>1</w:t>
            </w:r>
          </w:p>
        </w:tc>
        <w:tc>
          <w:tcPr>
            <w:tcW w:w="0" w:type="auto"/>
            <w:noWrap/>
            <w:vAlign w:val="bottom"/>
            <w:hideMark/>
          </w:tcPr>
          <w:p w14:paraId="4573E93E" w14:textId="77777777" w:rsidR="00000000" w:rsidRDefault="00632532">
            <w:pPr>
              <w:pStyle w:val="a3"/>
              <w:spacing w:before="0" w:beforeAutospacing="0" w:after="0" w:afterAutospacing="0"/>
              <w:rPr>
                <w:sz w:val="20"/>
                <w:szCs w:val="20"/>
              </w:rPr>
            </w:pPr>
            <w:r>
              <w:rPr>
                <w:sz w:val="20"/>
                <w:szCs w:val="20"/>
              </w:rPr>
              <w:t> </w:t>
            </w:r>
          </w:p>
        </w:tc>
      </w:tr>
      <w:tr w:rsidR="00000000" w14:paraId="3BC10A43" w14:textId="77777777">
        <w:trPr>
          <w:trHeight w:val="200"/>
          <w:tblCellSpacing w:w="15" w:type="dxa"/>
        </w:trPr>
        <w:tc>
          <w:tcPr>
            <w:tcW w:w="0" w:type="auto"/>
            <w:hideMark/>
          </w:tcPr>
          <w:p w14:paraId="2ADE64FB" w14:textId="77777777" w:rsidR="00000000" w:rsidRDefault="00632532">
            <w:pPr>
              <w:pStyle w:val="a3"/>
              <w:spacing w:before="0" w:beforeAutospacing="0" w:after="0" w:afterAutospacing="0"/>
              <w:ind w:left="200"/>
              <w:rPr>
                <w:sz w:val="20"/>
                <w:szCs w:val="20"/>
              </w:rPr>
            </w:pPr>
            <w:r>
              <w:rPr>
                <w:sz w:val="20"/>
                <w:szCs w:val="20"/>
              </w:rPr>
              <w:t>Amortization of intangible asset</w:t>
            </w:r>
            <w:r>
              <w:rPr>
                <w:sz w:val="20"/>
                <w:szCs w:val="20"/>
              </w:rPr>
              <w:t>s</w:t>
            </w:r>
          </w:p>
        </w:tc>
        <w:tc>
          <w:tcPr>
            <w:tcW w:w="0" w:type="auto"/>
            <w:noWrap/>
            <w:vAlign w:val="bottom"/>
            <w:hideMark/>
          </w:tcPr>
          <w:p w14:paraId="30D4B1B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B1E290" w14:textId="77777777" w:rsidR="00000000" w:rsidRDefault="00632532">
            <w:pPr>
              <w:pStyle w:val="a3"/>
              <w:spacing w:before="0" w:beforeAutospacing="0" w:after="0" w:afterAutospacing="0"/>
              <w:jc w:val="right"/>
              <w:rPr>
                <w:sz w:val="20"/>
                <w:szCs w:val="20"/>
              </w:rPr>
            </w:pPr>
            <w:r>
              <w:rPr>
                <w:sz w:val="20"/>
                <w:szCs w:val="20"/>
              </w:rPr>
              <w:t>1,57</w:t>
            </w:r>
            <w:r>
              <w:rPr>
                <w:sz w:val="20"/>
                <w:szCs w:val="20"/>
              </w:rPr>
              <w:t>5</w:t>
            </w:r>
          </w:p>
        </w:tc>
        <w:tc>
          <w:tcPr>
            <w:tcW w:w="0" w:type="auto"/>
            <w:noWrap/>
            <w:vAlign w:val="bottom"/>
            <w:hideMark/>
          </w:tcPr>
          <w:p w14:paraId="454D938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C21FE2F"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F211DE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483FB2F"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164807A1"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64595EE3"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539A1B8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A1F0DEA" w14:textId="77777777" w:rsidR="00000000" w:rsidRDefault="00632532">
            <w:pPr>
              <w:pStyle w:val="a3"/>
              <w:spacing w:before="0" w:beforeAutospacing="0" w:after="0" w:afterAutospacing="0"/>
              <w:jc w:val="right"/>
              <w:rPr>
                <w:sz w:val="20"/>
                <w:szCs w:val="20"/>
              </w:rPr>
            </w:pPr>
            <w:r>
              <w:rPr>
                <w:sz w:val="20"/>
                <w:szCs w:val="20"/>
              </w:rPr>
              <w:t>2,48</w:t>
            </w:r>
            <w:r>
              <w:rPr>
                <w:sz w:val="20"/>
                <w:szCs w:val="20"/>
              </w:rPr>
              <w:t>1</w:t>
            </w:r>
          </w:p>
        </w:tc>
        <w:tc>
          <w:tcPr>
            <w:tcW w:w="0" w:type="auto"/>
            <w:noWrap/>
            <w:vAlign w:val="bottom"/>
            <w:hideMark/>
          </w:tcPr>
          <w:p w14:paraId="7465BE3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3F5FF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05200E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4F9FE07"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5933765" w14:textId="77777777" w:rsidR="00000000" w:rsidRDefault="00632532">
            <w:pPr>
              <w:pStyle w:val="a3"/>
              <w:spacing w:before="0" w:beforeAutospacing="0" w:after="0" w:afterAutospacing="0"/>
              <w:rPr>
                <w:sz w:val="20"/>
                <w:szCs w:val="20"/>
              </w:rPr>
            </w:pPr>
            <w:r>
              <w:rPr>
                <w:sz w:val="20"/>
                <w:szCs w:val="20"/>
              </w:rPr>
              <w:t> </w:t>
            </w:r>
          </w:p>
        </w:tc>
      </w:tr>
      <w:tr w:rsidR="00000000" w14:paraId="10AF7E69" w14:textId="77777777">
        <w:trPr>
          <w:trHeight w:val="200"/>
          <w:tblCellSpacing w:w="15" w:type="dxa"/>
        </w:trPr>
        <w:tc>
          <w:tcPr>
            <w:tcW w:w="0" w:type="auto"/>
            <w:hideMark/>
          </w:tcPr>
          <w:p w14:paraId="77B38DBE" w14:textId="77777777" w:rsidR="00000000" w:rsidRDefault="00632532">
            <w:pPr>
              <w:pStyle w:val="a3"/>
              <w:spacing w:before="0" w:beforeAutospacing="0" w:after="0" w:afterAutospacing="0"/>
              <w:ind w:left="200"/>
              <w:rPr>
                <w:sz w:val="20"/>
                <w:szCs w:val="20"/>
              </w:rPr>
            </w:pPr>
            <w:r>
              <w:rPr>
                <w:sz w:val="20"/>
                <w:szCs w:val="20"/>
              </w:rPr>
              <w:t>Restructuring cost</w:t>
            </w:r>
            <w:r>
              <w:rPr>
                <w:sz w:val="20"/>
                <w:szCs w:val="20"/>
              </w:rPr>
              <w:t>s</w:t>
            </w:r>
          </w:p>
        </w:tc>
        <w:tc>
          <w:tcPr>
            <w:tcW w:w="0" w:type="auto"/>
            <w:noWrap/>
            <w:vAlign w:val="bottom"/>
            <w:hideMark/>
          </w:tcPr>
          <w:p w14:paraId="3E51B75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F2A405" w14:textId="77777777" w:rsidR="00000000" w:rsidRDefault="00632532">
            <w:pPr>
              <w:pStyle w:val="a3"/>
              <w:spacing w:before="0" w:beforeAutospacing="0" w:after="0" w:afterAutospacing="0"/>
              <w:jc w:val="right"/>
              <w:rPr>
                <w:sz w:val="20"/>
                <w:szCs w:val="20"/>
              </w:rPr>
            </w:pPr>
            <w:r>
              <w:rPr>
                <w:sz w:val="20"/>
                <w:szCs w:val="20"/>
              </w:rPr>
              <w:t>2,89</w:t>
            </w:r>
            <w:r>
              <w:rPr>
                <w:sz w:val="20"/>
                <w:szCs w:val="20"/>
              </w:rPr>
              <w:t>6</w:t>
            </w:r>
          </w:p>
        </w:tc>
        <w:tc>
          <w:tcPr>
            <w:tcW w:w="0" w:type="auto"/>
            <w:noWrap/>
            <w:vAlign w:val="bottom"/>
            <w:hideMark/>
          </w:tcPr>
          <w:p w14:paraId="7A8B4ED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D5CBE6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A01AB6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D1A0994"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AEE4735"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022EB14C"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5454597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F84408" w14:textId="77777777" w:rsidR="00000000" w:rsidRDefault="00632532">
            <w:pPr>
              <w:pStyle w:val="a3"/>
              <w:spacing w:before="0" w:beforeAutospacing="0" w:after="0" w:afterAutospacing="0"/>
              <w:jc w:val="right"/>
              <w:rPr>
                <w:sz w:val="20"/>
                <w:szCs w:val="20"/>
              </w:rPr>
            </w:pPr>
            <w:r>
              <w:rPr>
                <w:sz w:val="20"/>
                <w:szCs w:val="20"/>
              </w:rPr>
              <w:t>2,89</w:t>
            </w:r>
            <w:r>
              <w:rPr>
                <w:sz w:val="20"/>
                <w:szCs w:val="20"/>
              </w:rPr>
              <w:t>6</w:t>
            </w:r>
          </w:p>
        </w:tc>
        <w:tc>
          <w:tcPr>
            <w:tcW w:w="0" w:type="auto"/>
            <w:noWrap/>
            <w:vAlign w:val="bottom"/>
            <w:hideMark/>
          </w:tcPr>
          <w:p w14:paraId="4956BAA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F445B8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C7864B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BBD6E8"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E305EBF" w14:textId="77777777" w:rsidR="00000000" w:rsidRDefault="00632532">
            <w:pPr>
              <w:pStyle w:val="a3"/>
              <w:spacing w:before="0" w:beforeAutospacing="0" w:after="0" w:afterAutospacing="0"/>
              <w:rPr>
                <w:sz w:val="20"/>
                <w:szCs w:val="20"/>
              </w:rPr>
            </w:pPr>
            <w:r>
              <w:rPr>
                <w:sz w:val="20"/>
                <w:szCs w:val="20"/>
              </w:rPr>
              <w:t> </w:t>
            </w:r>
          </w:p>
        </w:tc>
      </w:tr>
      <w:tr w:rsidR="00000000" w14:paraId="08A2B064" w14:textId="77777777">
        <w:trPr>
          <w:trHeight w:val="200"/>
          <w:tblCellSpacing w:w="15" w:type="dxa"/>
        </w:trPr>
        <w:tc>
          <w:tcPr>
            <w:tcW w:w="0" w:type="auto"/>
            <w:hideMark/>
          </w:tcPr>
          <w:p w14:paraId="37913E63" w14:textId="77777777" w:rsidR="00000000" w:rsidRDefault="00632532">
            <w:pPr>
              <w:pStyle w:val="a3"/>
              <w:spacing w:before="0" w:beforeAutospacing="0" w:after="0" w:afterAutospacing="0"/>
              <w:rPr>
                <w:sz w:val="20"/>
                <w:szCs w:val="20"/>
              </w:rPr>
            </w:pPr>
            <w:r>
              <w:rPr>
                <w:sz w:val="20"/>
                <w:szCs w:val="20"/>
              </w:rPr>
              <w:t>Total operating expense</w:t>
            </w:r>
            <w:r>
              <w:rPr>
                <w:sz w:val="20"/>
                <w:szCs w:val="20"/>
              </w:rPr>
              <w:t>s</w:t>
            </w:r>
          </w:p>
        </w:tc>
        <w:tc>
          <w:tcPr>
            <w:tcW w:w="0" w:type="auto"/>
            <w:noWrap/>
            <w:vAlign w:val="bottom"/>
            <w:hideMark/>
          </w:tcPr>
          <w:p w14:paraId="5A13374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3D6EEC" w14:textId="77777777" w:rsidR="00000000" w:rsidRDefault="00632532">
            <w:pPr>
              <w:pStyle w:val="a3"/>
              <w:spacing w:before="0" w:beforeAutospacing="0" w:after="0" w:afterAutospacing="0"/>
              <w:jc w:val="right"/>
              <w:rPr>
                <w:sz w:val="20"/>
                <w:szCs w:val="20"/>
              </w:rPr>
            </w:pPr>
            <w:r>
              <w:rPr>
                <w:sz w:val="20"/>
                <w:szCs w:val="20"/>
              </w:rPr>
              <w:t>52,48</w:t>
            </w:r>
            <w:r>
              <w:rPr>
                <w:sz w:val="20"/>
                <w:szCs w:val="20"/>
              </w:rPr>
              <w:t>2</w:t>
            </w:r>
          </w:p>
        </w:tc>
        <w:tc>
          <w:tcPr>
            <w:tcW w:w="0" w:type="auto"/>
            <w:noWrap/>
            <w:vAlign w:val="bottom"/>
            <w:hideMark/>
          </w:tcPr>
          <w:p w14:paraId="05D5276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D567CA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9F9F14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A946D8" w14:textId="77777777" w:rsidR="00000000" w:rsidRDefault="00632532">
            <w:pPr>
              <w:pStyle w:val="a3"/>
              <w:spacing w:before="0" w:beforeAutospacing="0" w:after="0" w:afterAutospacing="0"/>
              <w:jc w:val="right"/>
              <w:rPr>
                <w:sz w:val="20"/>
                <w:szCs w:val="20"/>
              </w:rPr>
            </w:pPr>
            <w:r>
              <w:rPr>
                <w:sz w:val="20"/>
                <w:szCs w:val="20"/>
              </w:rPr>
              <w:t>18,86</w:t>
            </w:r>
            <w:r>
              <w:rPr>
                <w:sz w:val="20"/>
                <w:szCs w:val="20"/>
              </w:rPr>
              <w:t>0</w:t>
            </w:r>
          </w:p>
        </w:tc>
        <w:tc>
          <w:tcPr>
            <w:tcW w:w="0" w:type="auto"/>
            <w:noWrap/>
            <w:vAlign w:val="bottom"/>
            <w:hideMark/>
          </w:tcPr>
          <w:p w14:paraId="4D0FAC74"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6D57ABC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7655EE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6F7E3D8" w14:textId="77777777" w:rsidR="00000000" w:rsidRDefault="00632532">
            <w:pPr>
              <w:pStyle w:val="a3"/>
              <w:spacing w:before="0" w:beforeAutospacing="0" w:after="0" w:afterAutospacing="0"/>
              <w:jc w:val="right"/>
              <w:rPr>
                <w:sz w:val="20"/>
                <w:szCs w:val="20"/>
              </w:rPr>
            </w:pPr>
            <w:r>
              <w:rPr>
                <w:sz w:val="20"/>
                <w:szCs w:val="20"/>
              </w:rPr>
              <w:t>93,09</w:t>
            </w:r>
            <w:r>
              <w:rPr>
                <w:sz w:val="20"/>
                <w:szCs w:val="20"/>
              </w:rPr>
              <w:t>2</w:t>
            </w:r>
          </w:p>
        </w:tc>
        <w:tc>
          <w:tcPr>
            <w:tcW w:w="0" w:type="auto"/>
            <w:noWrap/>
            <w:vAlign w:val="bottom"/>
            <w:hideMark/>
          </w:tcPr>
          <w:p w14:paraId="4EECBA5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B4C85C"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47752D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B16DF3" w14:textId="77777777" w:rsidR="00000000" w:rsidRDefault="00632532">
            <w:pPr>
              <w:pStyle w:val="a3"/>
              <w:spacing w:before="0" w:beforeAutospacing="0" w:after="0" w:afterAutospacing="0"/>
              <w:jc w:val="right"/>
              <w:rPr>
                <w:sz w:val="20"/>
                <w:szCs w:val="20"/>
              </w:rPr>
            </w:pPr>
            <w:r>
              <w:rPr>
                <w:sz w:val="20"/>
                <w:szCs w:val="20"/>
              </w:rPr>
              <w:t>37,29</w:t>
            </w:r>
            <w:r>
              <w:rPr>
                <w:sz w:val="20"/>
                <w:szCs w:val="20"/>
              </w:rPr>
              <w:t>2</w:t>
            </w:r>
          </w:p>
        </w:tc>
        <w:tc>
          <w:tcPr>
            <w:tcW w:w="0" w:type="auto"/>
            <w:noWrap/>
            <w:vAlign w:val="bottom"/>
            <w:hideMark/>
          </w:tcPr>
          <w:p w14:paraId="11D3E270" w14:textId="77777777" w:rsidR="00000000" w:rsidRDefault="00632532">
            <w:pPr>
              <w:pStyle w:val="a3"/>
              <w:spacing w:before="0" w:beforeAutospacing="0" w:after="0" w:afterAutospacing="0"/>
              <w:rPr>
                <w:sz w:val="20"/>
                <w:szCs w:val="20"/>
              </w:rPr>
            </w:pPr>
            <w:r>
              <w:rPr>
                <w:sz w:val="20"/>
                <w:szCs w:val="20"/>
              </w:rPr>
              <w:t> </w:t>
            </w:r>
          </w:p>
        </w:tc>
      </w:tr>
      <w:tr w:rsidR="00000000" w14:paraId="2F0998BE" w14:textId="77777777">
        <w:trPr>
          <w:trHeight w:val="200"/>
          <w:tblCellSpacing w:w="15" w:type="dxa"/>
        </w:trPr>
        <w:tc>
          <w:tcPr>
            <w:tcW w:w="0" w:type="auto"/>
            <w:hideMark/>
          </w:tcPr>
          <w:p w14:paraId="6455ADAA" w14:textId="77777777" w:rsidR="00000000" w:rsidRDefault="00632532">
            <w:pPr>
              <w:pStyle w:val="a3"/>
              <w:spacing w:before="0" w:beforeAutospacing="0" w:after="0" w:afterAutospacing="0"/>
              <w:rPr>
                <w:sz w:val="20"/>
                <w:szCs w:val="20"/>
              </w:rPr>
            </w:pPr>
            <w:r>
              <w:rPr>
                <w:sz w:val="20"/>
                <w:szCs w:val="20"/>
              </w:rPr>
              <w:t>Operating incom</w:t>
            </w:r>
            <w:r>
              <w:rPr>
                <w:sz w:val="20"/>
                <w:szCs w:val="20"/>
              </w:rPr>
              <w:t>e</w:t>
            </w:r>
          </w:p>
        </w:tc>
        <w:tc>
          <w:tcPr>
            <w:tcW w:w="0" w:type="auto"/>
            <w:noWrap/>
            <w:vAlign w:val="bottom"/>
            <w:hideMark/>
          </w:tcPr>
          <w:p w14:paraId="45F43B9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9EA164" w14:textId="77777777" w:rsidR="00000000" w:rsidRDefault="00632532">
            <w:pPr>
              <w:pStyle w:val="a3"/>
              <w:spacing w:before="0" w:beforeAutospacing="0" w:after="0" w:afterAutospacing="0"/>
              <w:jc w:val="right"/>
              <w:rPr>
                <w:sz w:val="20"/>
                <w:szCs w:val="20"/>
              </w:rPr>
            </w:pPr>
            <w:r>
              <w:rPr>
                <w:sz w:val="20"/>
                <w:szCs w:val="20"/>
              </w:rPr>
              <w:t>12,79</w:t>
            </w:r>
            <w:r>
              <w:rPr>
                <w:sz w:val="20"/>
                <w:szCs w:val="20"/>
              </w:rPr>
              <w:t>4</w:t>
            </w:r>
          </w:p>
        </w:tc>
        <w:tc>
          <w:tcPr>
            <w:tcW w:w="0" w:type="auto"/>
            <w:noWrap/>
            <w:vAlign w:val="bottom"/>
            <w:hideMark/>
          </w:tcPr>
          <w:p w14:paraId="71A2402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834B2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FE6886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0BE004" w14:textId="77777777" w:rsidR="00000000" w:rsidRDefault="00632532">
            <w:pPr>
              <w:pStyle w:val="a3"/>
              <w:spacing w:before="0" w:beforeAutospacing="0" w:after="0" w:afterAutospacing="0"/>
              <w:jc w:val="right"/>
              <w:rPr>
                <w:sz w:val="20"/>
                <w:szCs w:val="20"/>
              </w:rPr>
            </w:pPr>
            <w:r>
              <w:rPr>
                <w:sz w:val="20"/>
                <w:szCs w:val="20"/>
              </w:rPr>
              <w:t>98,89</w:t>
            </w:r>
            <w:r>
              <w:rPr>
                <w:sz w:val="20"/>
                <w:szCs w:val="20"/>
              </w:rPr>
              <w:t>8</w:t>
            </w:r>
          </w:p>
        </w:tc>
        <w:tc>
          <w:tcPr>
            <w:tcW w:w="0" w:type="auto"/>
            <w:noWrap/>
            <w:vAlign w:val="bottom"/>
            <w:hideMark/>
          </w:tcPr>
          <w:p w14:paraId="249DB1F3"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50C08F7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64CC06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97E89D5" w14:textId="77777777" w:rsidR="00000000" w:rsidRDefault="00632532">
            <w:pPr>
              <w:pStyle w:val="a3"/>
              <w:spacing w:before="0" w:beforeAutospacing="0" w:after="0" w:afterAutospacing="0"/>
              <w:jc w:val="right"/>
              <w:rPr>
                <w:sz w:val="20"/>
                <w:szCs w:val="20"/>
              </w:rPr>
            </w:pPr>
            <w:r>
              <w:rPr>
                <w:sz w:val="20"/>
                <w:szCs w:val="20"/>
              </w:rPr>
              <w:t>214,72</w:t>
            </w:r>
            <w:r>
              <w:rPr>
                <w:sz w:val="20"/>
                <w:szCs w:val="20"/>
              </w:rPr>
              <w:t>7</w:t>
            </w:r>
          </w:p>
        </w:tc>
        <w:tc>
          <w:tcPr>
            <w:tcW w:w="0" w:type="auto"/>
            <w:noWrap/>
            <w:vAlign w:val="bottom"/>
            <w:hideMark/>
          </w:tcPr>
          <w:p w14:paraId="167A9CB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DB5812"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1CE95D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D5710C7" w14:textId="77777777" w:rsidR="00000000" w:rsidRDefault="00632532">
            <w:pPr>
              <w:pStyle w:val="a3"/>
              <w:spacing w:before="0" w:beforeAutospacing="0" w:after="0" w:afterAutospacing="0"/>
              <w:jc w:val="right"/>
              <w:rPr>
                <w:sz w:val="20"/>
                <w:szCs w:val="20"/>
              </w:rPr>
            </w:pPr>
            <w:r>
              <w:rPr>
                <w:sz w:val="20"/>
                <w:szCs w:val="20"/>
              </w:rPr>
              <w:t>365,82</w:t>
            </w:r>
            <w:r>
              <w:rPr>
                <w:sz w:val="20"/>
                <w:szCs w:val="20"/>
              </w:rPr>
              <w:t>0</w:t>
            </w:r>
          </w:p>
        </w:tc>
        <w:tc>
          <w:tcPr>
            <w:tcW w:w="0" w:type="auto"/>
            <w:noWrap/>
            <w:vAlign w:val="bottom"/>
            <w:hideMark/>
          </w:tcPr>
          <w:p w14:paraId="502B7A8F" w14:textId="77777777" w:rsidR="00000000" w:rsidRDefault="00632532">
            <w:pPr>
              <w:pStyle w:val="a3"/>
              <w:spacing w:before="0" w:beforeAutospacing="0" w:after="0" w:afterAutospacing="0"/>
              <w:rPr>
                <w:sz w:val="20"/>
                <w:szCs w:val="20"/>
              </w:rPr>
            </w:pPr>
            <w:r>
              <w:rPr>
                <w:sz w:val="20"/>
                <w:szCs w:val="20"/>
              </w:rPr>
              <w:t> </w:t>
            </w:r>
          </w:p>
        </w:tc>
      </w:tr>
      <w:tr w:rsidR="00000000" w14:paraId="46C9BF8B" w14:textId="77777777">
        <w:trPr>
          <w:trHeight w:val="200"/>
          <w:tblCellSpacing w:w="15" w:type="dxa"/>
        </w:trPr>
        <w:tc>
          <w:tcPr>
            <w:tcW w:w="0" w:type="auto"/>
            <w:hideMark/>
          </w:tcPr>
          <w:p w14:paraId="1E356DDE" w14:textId="77777777" w:rsidR="00000000" w:rsidRDefault="00632532">
            <w:pPr>
              <w:pStyle w:val="a3"/>
              <w:spacing w:before="0" w:beforeAutospacing="0" w:after="0" w:afterAutospacing="0"/>
              <w:rPr>
                <w:sz w:val="20"/>
                <w:szCs w:val="20"/>
              </w:rPr>
            </w:pPr>
            <w:r>
              <w:rPr>
                <w:sz w:val="20"/>
                <w:szCs w:val="20"/>
              </w:rPr>
              <w:t>Interest and other income, ne</w:t>
            </w:r>
            <w:r>
              <w:rPr>
                <w:sz w:val="20"/>
                <w:szCs w:val="20"/>
              </w:rPr>
              <w:t>t</w:t>
            </w:r>
          </w:p>
        </w:tc>
        <w:tc>
          <w:tcPr>
            <w:tcW w:w="0" w:type="auto"/>
            <w:noWrap/>
            <w:vAlign w:val="bottom"/>
            <w:hideMark/>
          </w:tcPr>
          <w:p w14:paraId="02C4A40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CD4A9B5" w14:textId="77777777" w:rsidR="00000000" w:rsidRDefault="00632532">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157F5B7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E41B5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6F9231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C4A87D" w14:textId="77777777" w:rsidR="00000000" w:rsidRDefault="00632532">
            <w:pPr>
              <w:pStyle w:val="a3"/>
              <w:spacing w:before="0" w:beforeAutospacing="0" w:after="0" w:afterAutospacing="0"/>
              <w:jc w:val="right"/>
              <w:rPr>
                <w:sz w:val="20"/>
                <w:szCs w:val="20"/>
              </w:rPr>
            </w:pPr>
            <w:r>
              <w:rPr>
                <w:sz w:val="20"/>
                <w:szCs w:val="20"/>
              </w:rPr>
              <w:t>60</w:t>
            </w:r>
            <w:r>
              <w:rPr>
                <w:sz w:val="20"/>
                <w:szCs w:val="20"/>
              </w:rPr>
              <w:t>4</w:t>
            </w:r>
          </w:p>
        </w:tc>
        <w:tc>
          <w:tcPr>
            <w:tcW w:w="0" w:type="auto"/>
            <w:noWrap/>
            <w:vAlign w:val="bottom"/>
            <w:hideMark/>
          </w:tcPr>
          <w:p w14:paraId="2980898B"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432973E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8517AE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E3E885" w14:textId="77777777" w:rsidR="00000000" w:rsidRDefault="00632532">
            <w:pPr>
              <w:pStyle w:val="a3"/>
              <w:spacing w:before="0" w:beforeAutospacing="0" w:after="0" w:afterAutospacing="0"/>
              <w:jc w:val="right"/>
              <w:rPr>
                <w:sz w:val="20"/>
                <w:szCs w:val="20"/>
              </w:rPr>
            </w:pPr>
            <w:r>
              <w:rPr>
                <w:sz w:val="20"/>
                <w:szCs w:val="20"/>
              </w:rPr>
              <w:t>1,00</w:t>
            </w:r>
            <w:r>
              <w:rPr>
                <w:sz w:val="20"/>
                <w:szCs w:val="20"/>
              </w:rPr>
              <w:t>3</w:t>
            </w:r>
          </w:p>
        </w:tc>
        <w:tc>
          <w:tcPr>
            <w:tcW w:w="0" w:type="auto"/>
            <w:noWrap/>
            <w:vAlign w:val="bottom"/>
            <w:hideMark/>
          </w:tcPr>
          <w:p w14:paraId="3A5C2DE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D59CCD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914FAD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E92D08" w14:textId="77777777" w:rsidR="00000000" w:rsidRDefault="00632532">
            <w:pPr>
              <w:pStyle w:val="a3"/>
              <w:spacing w:before="0" w:beforeAutospacing="0" w:after="0" w:afterAutospacing="0"/>
              <w:jc w:val="right"/>
              <w:rPr>
                <w:sz w:val="20"/>
                <w:szCs w:val="20"/>
              </w:rPr>
            </w:pPr>
            <w:r>
              <w:rPr>
                <w:sz w:val="20"/>
                <w:szCs w:val="20"/>
              </w:rPr>
              <w:t>88</w:t>
            </w:r>
            <w:r>
              <w:rPr>
                <w:sz w:val="20"/>
                <w:szCs w:val="20"/>
              </w:rPr>
              <w:t>6</w:t>
            </w:r>
          </w:p>
        </w:tc>
        <w:tc>
          <w:tcPr>
            <w:tcW w:w="0" w:type="auto"/>
            <w:noWrap/>
            <w:vAlign w:val="bottom"/>
            <w:hideMark/>
          </w:tcPr>
          <w:p w14:paraId="707154A9" w14:textId="77777777" w:rsidR="00000000" w:rsidRDefault="00632532">
            <w:pPr>
              <w:pStyle w:val="a3"/>
              <w:spacing w:before="0" w:beforeAutospacing="0" w:after="0" w:afterAutospacing="0"/>
              <w:rPr>
                <w:sz w:val="20"/>
                <w:szCs w:val="20"/>
              </w:rPr>
            </w:pPr>
            <w:r>
              <w:rPr>
                <w:sz w:val="20"/>
                <w:szCs w:val="20"/>
              </w:rPr>
              <w:t> </w:t>
            </w:r>
          </w:p>
        </w:tc>
      </w:tr>
      <w:tr w:rsidR="00000000" w14:paraId="04AE5FA6" w14:textId="77777777">
        <w:trPr>
          <w:trHeight w:val="200"/>
          <w:tblCellSpacing w:w="15" w:type="dxa"/>
        </w:trPr>
        <w:tc>
          <w:tcPr>
            <w:tcW w:w="0" w:type="auto"/>
            <w:hideMark/>
          </w:tcPr>
          <w:p w14:paraId="44C623EB" w14:textId="77777777" w:rsidR="00000000" w:rsidRDefault="00632532">
            <w:pPr>
              <w:pStyle w:val="a3"/>
              <w:spacing w:before="0" w:beforeAutospacing="0" w:after="0" w:afterAutospacing="0"/>
              <w:rPr>
                <w:sz w:val="20"/>
                <w:szCs w:val="20"/>
              </w:rPr>
            </w:pPr>
            <w:r>
              <w:rPr>
                <w:sz w:val="20"/>
                <w:szCs w:val="20"/>
              </w:rPr>
              <w:t>Income before income taxes and gain on equity method investmen</w:t>
            </w:r>
            <w:r>
              <w:rPr>
                <w:sz w:val="20"/>
                <w:szCs w:val="20"/>
              </w:rPr>
              <w:t>t</w:t>
            </w:r>
          </w:p>
        </w:tc>
        <w:tc>
          <w:tcPr>
            <w:tcW w:w="0" w:type="auto"/>
            <w:noWrap/>
            <w:vAlign w:val="bottom"/>
            <w:hideMark/>
          </w:tcPr>
          <w:p w14:paraId="005CC1D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1853C49" w14:textId="77777777" w:rsidR="00000000" w:rsidRDefault="00632532">
            <w:pPr>
              <w:pStyle w:val="a3"/>
              <w:spacing w:before="0" w:beforeAutospacing="0" w:after="0" w:afterAutospacing="0"/>
              <w:jc w:val="right"/>
              <w:rPr>
                <w:sz w:val="20"/>
                <w:szCs w:val="20"/>
              </w:rPr>
            </w:pPr>
            <w:r>
              <w:rPr>
                <w:sz w:val="20"/>
                <w:szCs w:val="20"/>
              </w:rPr>
              <w:t>13,75</w:t>
            </w:r>
            <w:r>
              <w:rPr>
                <w:sz w:val="20"/>
                <w:szCs w:val="20"/>
              </w:rPr>
              <w:t>2</w:t>
            </w:r>
          </w:p>
        </w:tc>
        <w:tc>
          <w:tcPr>
            <w:tcW w:w="0" w:type="auto"/>
            <w:noWrap/>
            <w:vAlign w:val="bottom"/>
            <w:hideMark/>
          </w:tcPr>
          <w:p w14:paraId="6F66749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92C1C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121632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E6E521" w14:textId="77777777" w:rsidR="00000000" w:rsidRDefault="00632532">
            <w:pPr>
              <w:pStyle w:val="a3"/>
              <w:spacing w:before="0" w:beforeAutospacing="0" w:after="0" w:afterAutospacing="0"/>
              <w:jc w:val="right"/>
              <w:rPr>
                <w:sz w:val="20"/>
                <w:szCs w:val="20"/>
              </w:rPr>
            </w:pPr>
            <w:r>
              <w:rPr>
                <w:sz w:val="20"/>
                <w:szCs w:val="20"/>
              </w:rPr>
              <w:t>99,50</w:t>
            </w:r>
            <w:r>
              <w:rPr>
                <w:sz w:val="20"/>
                <w:szCs w:val="20"/>
              </w:rPr>
              <w:t>2</w:t>
            </w:r>
          </w:p>
        </w:tc>
        <w:tc>
          <w:tcPr>
            <w:tcW w:w="0" w:type="auto"/>
            <w:noWrap/>
            <w:vAlign w:val="bottom"/>
            <w:hideMark/>
          </w:tcPr>
          <w:p w14:paraId="0CF101C7"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14DDDA2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E06E01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D07921" w14:textId="77777777" w:rsidR="00000000" w:rsidRDefault="00632532">
            <w:pPr>
              <w:pStyle w:val="a3"/>
              <w:spacing w:before="0" w:beforeAutospacing="0" w:after="0" w:afterAutospacing="0"/>
              <w:jc w:val="right"/>
              <w:rPr>
                <w:sz w:val="20"/>
                <w:szCs w:val="20"/>
              </w:rPr>
            </w:pPr>
            <w:r>
              <w:rPr>
                <w:sz w:val="20"/>
                <w:szCs w:val="20"/>
              </w:rPr>
              <w:t>215,73</w:t>
            </w:r>
            <w:r>
              <w:rPr>
                <w:sz w:val="20"/>
                <w:szCs w:val="20"/>
              </w:rPr>
              <w:t>0</w:t>
            </w:r>
          </w:p>
        </w:tc>
        <w:tc>
          <w:tcPr>
            <w:tcW w:w="0" w:type="auto"/>
            <w:noWrap/>
            <w:vAlign w:val="bottom"/>
            <w:hideMark/>
          </w:tcPr>
          <w:p w14:paraId="40C38A2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96F51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245832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C4EBB8" w14:textId="77777777" w:rsidR="00000000" w:rsidRDefault="00632532">
            <w:pPr>
              <w:pStyle w:val="a3"/>
              <w:spacing w:before="0" w:beforeAutospacing="0" w:after="0" w:afterAutospacing="0"/>
              <w:jc w:val="right"/>
              <w:rPr>
                <w:sz w:val="20"/>
                <w:szCs w:val="20"/>
              </w:rPr>
            </w:pPr>
            <w:r>
              <w:rPr>
                <w:sz w:val="20"/>
                <w:szCs w:val="20"/>
              </w:rPr>
              <w:t>366,70</w:t>
            </w:r>
            <w:r>
              <w:rPr>
                <w:sz w:val="20"/>
                <w:szCs w:val="20"/>
              </w:rPr>
              <w:t>6</w:t>
            </w:r>
          </w:p>
        </w:tc>
        <w:tc>
          <w:tcPr>
            <w:tcW w:w="0" w:type="auto"/>
            <w:noWrap/>
            <w:vAlign w:val="bottom"/>
            <w:hideMark/>
          </w:tcPr>
          <w:p w14:paraId="4093E469" w14:textId="77777777" w:rsidR="00000000" w:rsidRDefault="00632532">
            <w:pPr>
              <w:pStyle w:val="a3"/>
              <w:spacing w:before="0" w:beforeAutospacing="0" w:after="0" w:afterAutospacing="0"/>
              <w:rPr>
                <w:sz w:val="20"/>
                <w:szCs w:val="20"/>
              </w:rPr>
            </w:pPr>
            <w:r>
              <w:rPr>
                <w:sz w:val="20"/>
                <w:szCs w:val="20"/>
              </w:rPr>
              <w:t> </w:t>
            </w:r>
          </w:p>
        </w:tc>
      </w:tr>
      <w:tr w:rsidR="00000000" w14:paraId="6E5BACAC" w14:textId="77777777">
        <w:trPr>
          <w:trHeight w:val="200"/>
          <w:tblCellSpacing w:w="15" w:type="dxa"/>
        </w:trPr>
        <w:tc>
          <w:tcPr>
            <w:tcW w:w="0" w:type="auto"/>
            <w:hideMark/>
          </w:tcPr>
          <w:p w14:paraId="30980C11" w14:textId="77777777" w:rsidR="00000000" w:rsidRDefault="00632532">
            <w:pPr>
              <w:pStyle w:val="a3"/>
              <w:spacing w:before="0" w:beforeAutospacing="0" w:after="0" w:afterAutospacing="0"/>
              <w:rPr>
                <w:sz w:val="20"/>
                <w:szCs w:val="20"/>
              </w:rPr>
            </w:pPr>
            <w:r>
              <w:rPr>
                <w:sz w:val="20"/>
                <w:szCs w:val="20"/>
              </w:rPr>
              <w:t>Provision for income taxe</w:t>
            </w:r>
            <w:r>
              <w:rPr>
                <w:sz w:val="20"/>
                <w:szCs w:val="20"/>
              </w:rPr>
              <w:t>s</w:t>
            </w:r>
          </w:p>
        </w:tc>
        <w:tc>
          <w:tcPr>
            <w:tcW w:w="0" w:type="auto"/>
            <w:noWrap/>
            <w:vAlign w:val="bottom"/>
            <w:hideMark/>
          </w:tcPr>
          <w:p w14:paraId="5413BAD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3F2F18B" w14:textId="77777777" w:rsidR="00000000" w:rsidRDefault="00632532">
            <w:pPr>
              <w:pStyle w:val="a3"/>
              <w:spacing w:before="0" w:beforeAutospacing="0" w:after="0" w:afterAutospacing="0"/>
              <w:jc w:val="right"/>
              <w:rPr>
                <w:sz w:val="20"/>
                <w:szCs w:val="20"/>
              </w:rPr>
            </w:pPr>
            <w:r>
              <w:rPr>
                <w:sz w:val="20"/>
                <w:szCs w:val="20"/>
              </w:rPr>
              <w:t>2,65</w:t>
            </w:r>
            <w:r>
              <w:rPr>
                <w:sz w:val="20"/>
                <w:szCs w:val="20"/>
              </w:rPr>
              <w:t>3</w:t>
            </w:r>
          </w:p>
        </w:tc>
        <w:tc>
          <w:tcPr>
            <w:tcW w:w="0" w:type="auto"/>
            <w:noWrap/>
            <w:vAlign w:val="bottom"/>
            <w:hideMark/>
          </w:tcPr>
          <w:p w14:paraId="6A29208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6D1123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DB48C8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2806BB0" w14:textId="77777777" w:rsidR="00000000" w:rsidRDefault="00632532">
            <w:pPr>
              <w:pStyle w:val="a3"/>
              <w:spacing w:before="0" w:beforeAutospacing="0" w:after="0" w:afterAutospacing="0"/>
              <w:jc w:val="right"/>
              <w:rPr>
                <w:sz w:val="20"/>
                <w:szCs w:val="20"/>
              </w:rPr>
            </w:pPr>
            <w:r>
              <w:rPr>
                <w:sz w:val="20"/>
                <w:szCs w:val="20"/>
              </w:rPr>
              <w:t>23,58</w:t>
            </w:r>
            <w:r>
              <w:rPr>
                <w:sz w:val="20"/>
                <w:szCs w:val="20"/>
              </w:rPr>
              <w:t>9</w:t>
            </w:r>
          </w:p>
        </w:tc>
        <w:tc>
          <w:tcPr>
            <w:tcW w:w="0" w:type="auto"/>
            <w:noWrap/>
            <w:vAlign w:val="bottom"/>
            <w:hideMark/>
          </w:tcPr>
          <w:p w14:paraId="43B02BCF"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588D7B3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6BBDC3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FFC2CE2" w14:textId="77777777" w:rsidR="00000000" w:rsidRDefault="00632532">
            <w:pPr>
              <w:pStyle w:val="a3"/>
              <w:spacing w:before="0" w:beforeAutospacing="0" w:after="0" w:afterAutospacing="0"/>
              <w:jc w:val="right"/>
              <w:rPr>
                <w:sz w:val="20"/>
                <w:szCs w:val="20"/>
              </w:rPr>
            </w:pPr>
            <w:r>
              <w:rPr>
                <w:sz w:val="20"/>
                <w:szCs w:val="20"/>
              </w:rPr>
              <w:t>51,07</w:t>
            </w:r>
            <w:r>
              <w:rPr>
                <w:sz w:val="20"/>
                <w:szCs w:val="20"/>
              </w:rPr>
              <w:t>4</w:t>
            </w:r>
          </w:p>
        </w:tc>
        <w:tc>
          <w:tcPr>
            <w:tcW w:w="0" w:type="auto"/>
            <w:noWrap/>
            <w:vAlign w:val="bottom"/>
            <w:hideMark/>
          </w:tcPr>
          <w:p w14:paraId="78529A1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3EE42D8"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6870DE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2CD138" w14:textId="77777777" w:rsidR="00000000" w:rsidRDefault="00632532">
            <w:pPr>
              <w:pStyle w:val="a3"/>
              <w:spacing w:before="0" w:beforeAutospacing="0" w:after="0" w:afterAutospacing="0"/>
              <w:jc w:val="right"/>
              <w:rPr>
                <w:sz w:val="20"/>
                <w:szCs w:val="20"/>
              </w:rPr>
            </w:pPr>
            <w:r>
              <w:rPr>
                <w:sz w:val="20"/>
                <w:szCs w:val="20"/>
              </w:rPr>
              <w:t>90,10</w:t>
            </w:r>
            <w:r>
              <w:rPr>
                <w:sz w:val="20"/>
                <w:szCs w:val="20"/>
              </w:rPr>
              <w:t>2</w:t>
            </w:r>
          </w:p>
        </w:tc>
        <w:tc>
          <w:tcPr>
            <w:tcW w:w="0" w:type="auto"/>
            <w:noWrap/>
            <w:vAlign w:val="bottom"/>
            <w:hideMark/>
          </w:tcPr>
          <w:p w14:paraId="3063590A" w14:textId="77777777" w:rsidR="00000000" w:rsidRDefault="00632532">
            <w:pPr>
              <w:pStyle w:val="a3"/>
              <w:spacing w:before="0" w:beforeAutospacing="0" w:after="0" w:afterAutospacing="0"/>
              <w:rPr>
                <w:sz w:val="20"/>
                <w:szCs w:val="20"/>
              </w:rPr>
            </w:pPr>
            <w:r>
              <w:rPr>
                <w:sz w:val="20"/>
                <w:szCs w:val="20"/>
              </w:rPr>
              <w:t> </w:t>
            </w:r>
          </w:p>
        </w:tc>
      </w:tr>
      <w:tr w:rsidR="00000000" w14:paraId="343CC7DF" w14:textId="77777777">
        <w:trPr>
          <w:trHeight w:val="200"/>
          <w:tblCellSpacing w:w="15" w:type="dxa"/>
        </w:trPr>
        <w:tc>
          <w:tcPr>
            <w:tcW w:w="0" w:type="auto"/>
            <w:hideMark/>
          </w:tcPr>
          <w:p w14:paraId="4DFC2CBB" w14:textId="77777777" w:rsidR="00000000" w:rsidRDefault="00632532">
            <w:pPr>
              <w:pStyle w:val="a3"/>
              <w:spacing w:before="0" w:beforeAutospacing="0" w:after="0" w:afterAutospacing="0"/>
              <w:rPr>
                <w:sz w:val="20"/>
                <w:szCs w:val="20"/>
              </w:rPr>
            </w:pPr>
            <w:r>
              <w:rPr>
                <w:sz w:val="20"/>
                <w:szCs w:val="20"/>
              </w:rPr>
              <w:t>Income before gain on equity method investmen</w:t>
            </w:r>
            <w:r>
              <w:rPr>
                <w:sz w:val="20"/>
                <w:szCs w:val="20"/>
              </w:rPr>
              <w:t>t</w:t>
            </w:r>
          </w:p>
        </w:tc>
        <w:tc>
          <w:tcPr>
            <w:tcW w:w="0" w:type="auto"/>
            <w:noWrap/>
            <w:vAlign w:val="bottom"/>
            <w:hideMark/>
          </w:tcPr>
          <w:p w14:paraId="5E4CF1A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DF66D7" w14:textId="77777777" w:rsidR="00000000" w:rsidRDefault="00632532">
            <w:pPr>
              <w:pStyle w:val="a3"/>
              <w:spacing w:before="0" w:beforeAutospacing="0" w:after="0" w:afterAutospacing="0"/>
              <w:jc w:val="right"/>
              <w:rPr>
                <w:sz w:val="20"/>
                <w:szCs w:val="20"/>
              </w:rPr>
            </w:pPr>
            <w:r>
              <w:rPr>
                <w:sz w:val="20"/>
                <w:szCs w:val="20"/>
              </w:rPr>
              <w:t>11,09</w:t>
            </w:r>
            <w:r>
              <w:rPr>
                <w:sz w:val="20"/>
                <w:szCs w:val="20"/>
              </w:rPr>
              <w:t>9</w:t>
            </w:r>
          </w:p>
        </w:tc>
        <w:tc>
          <w:tcPr>
            <w:tcW w:w="0" w:type="auto"/>
            <w:noWrap/>
            <w:vAlign w:val="bottom"/>
            <w:hideMark/>
          </w:tcPr>
          <w:p w14:paraId="3D79116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89DB1AC"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4B60D1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72123FD" w14:textId="77777777" w:rsidR="00000000" w:rsidRDefault="00632532">
            <w:pPr>
              <w:pStyle w:val="a3"/>
              <w:spacing w:before="0" w:beforeAutospacing="0" w:after="0" w:afterAutospacing="0"/>
              <w:jc w:val="right"/>
              <w:rPr>
                <w:sz w:val="20"/>
                <w:szCs w:val="20"/>
              </w:rPr>
            </w:pPr>
            <w:r>
              <w:rPr>
                <w:sz w:val="20"/>
                <w:szCs w:val="20"/>
              </w:rPr>
              <w:t>75,91</w:t>
            </w:r>
            <w:r>
              <w:rPr>
                <w:sz w:val="20"/>
                <w:szCs w:val="20"/>
              </w:rPr>
              <w:t>3</w:t>
            </w:r>
          </w:p>
        </w:tc>
        <w:tc>
          <w:tcPr>
            <w:tcW w:w="0" w:type="auto"/>
            <w:noWrap/>
            <w:vAlign w:val="bottom"/>
            <w:hideMark/>
          </w:tcPr>
          <w:p w14:paraId="2D6E8BAF"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04F18C3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19C28E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DA6F2D" w14:textId="77777777" w:rsidR="00000000" w:rsidRDefault="00632532">
            <w:pPr>
              <w:pStyle w:val="a3"/>
              <w:spacing w:before="0" w:beforeAutospacing="0" w:after="0" w:afterAutospacing="0"/>
              <w:jc w:val="right"/>
              <w:rPr>
                <w:sz w:val="20"/>
                <w:szCs w:val="20"/>
              </w:rPr>
            </w:pPr>
            <w:r>
              <w:rPr>
                <w:sz w:val="20"/>
                <w:szCs w:val="20"/>
              </w:rPr>
              <w:t>164,65</w:t>
            </w:r>
            <w:r>
              <w:rPr>
                <w:sz w:val="20"/>
                <w:szCs w:val="20"/>
              </w:rPr>
              <w:t>6</w:t>
            </w:r>
          </w:p>
        </w:tc>
        <w:tc>
          <w:tcPr>
            <w:tcW w:w="0" w:type="auto"/>
            <w:noWrap/>
            <w:vAlign w:val="bottom"/>
            <w:hideMark/>
          </w:tcPr>
          <w:p w14:paraId="3CE7E6D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78FA99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D6AA7E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B827C8" w14:textId="77777777" w:rsidR="00000000" w:rsidRDefault="00632532">
            <w:pPr>
              <w:pStyle w:val="a3"/>
              <w:spacing w:before="0" w:beforeAutospacing="0" w:after="0" w:afterAutospacing="0"/>
              <w:jc w:val="right"/>
              <w:rPr>
                <w:sz w:val="20"/>
                <w:szCs w:val="20"/>
              </w:rPr>
            </w:pPr>
            <w:r>
              <w:rPr>
                <w:sz w:val="20"/>
                <w:szCs w:val="20"/>
              </w:rPr>
              <w:t>276,60</w:t>
            </w:r>
            <w:r>
              <w:rPr>
                <w:sz w:val="20"/>
                <w:szCs w:val="20"/>
              </w:rPr>
              <w:t>4</w:t>
            </w:r>
          </w:p>
        </w:tc>
        <w:tc>
          <w:tcPr>
            <w:tcW w:w="0" w:type="auto"/>
            <w:noWrap/>
            <w:vAlign w:val="bottom"/>
            <w:hideMark/>
          </w:tcPr>
          <w:p w14:paraId="26DAD57C" w14:textId="77777777" w:rsidR="00000000" w:rsidRDefault="00632532">
            <w:pPr>
              <w:pStyle w:val="a3"/>
              <w:spacing w:before="0" w:beforeAutospacing="0" w:after="0" w:afterAutospacing="0"/>
              <w:rPr>
                <w:sz w:val="20"/>
                <w:szCs w:val="20"/>
              </w:rPr>
            </w:pPr>
            <w:r>
              <w:rPr>
                <w:sz w:val="20"/>
                <w:szCs w:val="20"/>
              </w:rPr>
              <w:t> </w:t>
            </w:r>
          </w:p>
        </w:tc>
      </w:tr>
      <w:tr w:rsidR="00000000" w14:paraId="7637489C" w14:textId="77777777">
        <w:trPr>
          <w:trHeight w:val="200"/>
          <w:tblCellSpacing w:w="15" w:type="dxa"/>
        </w:trPr>
        <w:tc>
          <w:tcPr>
            <w:tcW w:w="0" w:type="auto"/>
            <w:hideMark/>
          </w:tcPr>
          <w:p w14:paraId="1ACC76FA" w14:textId="77777777" w:rsidR="00000000" w:rsidRDefault="00632532">
            <w:pPr>
              <w:pStyle w:val="a3"/>
              <w:spacing w:before="0" w:beforeAutospacing="0" w:after="0" w:afterAutospacing="0"/>
              <w:rPr>
                <w:sz w:val="20"/>
                <w:szCs w:val="20"/>
              </w:rPr>
            </w:pPr>
            <w:r>
              <w:rPr>
                <w:sz w:val="20"/>
                <w:szCs w:val="20"/>
              </w:rPr>
              <w:t>Gain on equity method investmen</w:t>
            </w:r>
            <w:r>
              <w:rPr>
                <w:sz w:val="20"/>
                <w:szCs w:val="20"/>
              </w:rPr>
              <w:t>t</w:t>
            </w:r>
          </w:p>
        </w:tc>
        <w:tc>
          <w:tcPr>
            <w:tcW w:w="0" w:type="auto"/>
            <w:noWrap/>
            <w:vAlign w:val="bottom"/>
            <w:hideMark/>
          </w:tcPr>
          <w:p w14:paraId="30FD1AC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FA1D56"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E44578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DF272C"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1EE74E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4070141" w14:textId="77777777" w:rsidR="00000000" w:rsidRDefault="00632532">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14:paraId="2BC7FDD2"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326127A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43AD44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EECB35"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6F6B68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C51FB4"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25DFAE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6E7650" w14:textId="77777777" w:rsidR="00000000" w:rsidRDefault="00632532">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14:paraId="1ABD962F" w14:textId="77777777" w:rsidR="00000000" w:rsidRDefault="00632532">
            <w:pPr>
              <w:pStyle w:val="a3"/>
              <w:spacing w:before="0" w:beforeAutospacing="0" w:after="0" w:afterAutospacing="0"/>
              <w:rPr>
                <w:sz w:val="20"/>
                <w:szCs w:val="20"/>
              </w:rPr>
            </w:pPr>
            <w:r>
              <w:rPr>
                <w:sz w:val="20"/>
                <w:szCs w:val="20"/>
              </w:rPr>
              <w:t> </w:t>
            </w:r>
          </w:p>
        </w:tc>
      </w:tr>
      <w:tr w:rsidR="00000000" w14:paraId="1FE15519" w14:textId="77777777">
        <w:trPr>
          <w:trHeight w:val="200"/>
          <w:tblCellSpacing w:w="15" w:type="dxa"/>
        </w:trPr>
        <w:tc>
          <w:tcPr>
            <w:tcW w:w="0" w:type="auto"/>
            <w:hideMark/>
          </w:tcPr>
          <w:p w14:paraId="41E98A13" w14:textId="77777777" w:rsidR="00000000" w:rsidRDefault="00632532">
            <w:pPr>
              <w:pStyle w:val="a3"/>
              <w:spacing w:before="0" w:beforeAutospacing="0" w:after="0" w:afterAutospacing="0"/>
              <w:rPr>
                <w:sz w:val="20"/>
                <w:szCs w:val="20"/>
              </w:rPr>
            </w:pPr>
            <w:r>
              <w:rPr>
                <w:sz w:val="20"/>
                <w:szCs w:val="20"/>
              </w:rPr>
              <w:t>Net income from consolidated operation</w:t>
            </w:r>
            <w:r>
              <w:rPr>
                <w:sz w:val="20"/>
                <w:szCs w:val="20"/>
              </w:rPr>
              <w:t>s</w:t>
            </w:r>
          </w:p>
        </w:tc>
        <w:tc>
          <w:tcPr>
            <w:tcW w:w="0" w:type="auto"/>
            <w:noWrap/>
            <w:vAlign w:val="bottom"/>
            <w:hideMark/>
          </w:tcPr>
          <w:p w14:paraId="3762C90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3C7E2DE" w14:textId="77777777" w:rsidR="00000000" w:rsidRDefault="00632532">
            <w:pPr>
              <w:pStyle w:val="a3"/>
              <w:spacing w:before="0" w:beforeAutospacing="0" w:after="0" w:afterAutospacing="0"/>
              <w:jc w:val="right"/>
              <w:rPr>
                <w:sz w:val="20"/>
                <w:szCs w:val="20"/>
              </w:rPr>
            </w:pPr>
            <w:r>
              <w:rPr>
                <w:sz w:val="20"/>
                <w:szCs w:val="20"/>
              </w:rPr>
              <w:t>11,09</w:t>
            </w:r>
            <w:r>
              <w:rPr>
                <w:sz w:val="20"/>
                <w:szCs w:val="20"/>
              </w:rPr>
              <w:t>9</w:t>
            </w:r>
          </w:p>
        </w:tc>
        <w:tc>
          <w:tcPr>
            <w:tcW w:w="0" w:type="auto"/>
            <w:noWrap/>
            <w:vAlign w:val="bottom"/>
            <w:hideMark/>
          </w:tcPr>
          <w:p w14:paraId="0657551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68F3AE"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859324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0E9AB7F" w14:textId="77777777" w:rsidR="00000000" w:rsidRDefault="00632532">
            <w:pPr>
              <w:pStyle w:val="a3"/>
              <w:spacing w:before="0" w:beforeAutospacing="0" w:after="0" w:afterAutospacing="0"/>
              <w:jc w:val="right"/>
              <w:rPr>
                <w:sz w:val="20"/>
                <w:szCs w:val="20"/>
              </w:rPr>
            </w:pPr>
            <w:r>
              <w:rPr>
                <w:sz w:val="20"/>
                <w:szCs w:val="20"/>
              </w:rPr>
              <w:t>79,64</w:t>
            </w:r>
            <w:r>
              <w:rPr>
                <w:sz w:val="20"/>
                <w:szCs w:val="20"/>
              </w:rPr>
              <w:t>7</w:t>
            </w:r>
          </w:p>
        </w:tc>
        <w:tc>
          <w:tcPr>
            <w:tcW w:w="0" w:type="auto"/>
            <w:noWrap/>
            <w:vAlign w:val="bottom"/>
            <w:hideMark/>
          </w:tcPr>
          <w:p w14:paraId="4F6516B4"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7424E30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627B75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CB0D52C" w14:textId="77777777" w:rsidR="00000000" w:rsidRDefault="00632532">
            <w:pPr>
              <w:pStyle w:val="a3"/>
              <w:spacing w:before="0" w:beforeAutospacing="0" w:after="0" w:afterAutospacing="0"/>
              <w:jc w:val="right"/>
              <w:rPr>
                <w:sz w:val="20"/>
                <w:szCs w:val="20"/>
              </w:rPr>
            </w:pPr>
            <w:r>
              <w:rPr>
                <w:sz w:val="20"/>
                <w:szCs w:val="20"/>
              </w:rPr>
              <w:t>164,65</w:t>
            </w:r>
            <w:r>
              <w:rPr>
                <w:sz w:val="20"/>
                <w:szCs w:val="20"/>
              </w:rPr>
              <w:t>6</w:t>
            </w:r>
          </w:p>
        </w:tc>
        <w:tc>
          <w:tcPr>
            <w:tcW w:w="0" w:type="auto"/>
            <w:noWrap/>
            <w:vAlign w:val="bottom"/>
            <w:hideMark/>
          </w:tcPr>
          <w:p w14:paraId="26EEFA0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FA16D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D4AF01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EE9DF8C" w14:textId="77777777" w:rsidR="00000000" w:rsidRDefault="00632532">
            <w:pPr>
              <w:pStyle w:val="a3"/>
              <w:spacing w:before="0" w:beforeAutospacing="0" w:after="0" w:afterAutospacing="0"/>
              <w:jc w:val="right"/>
              <w:rPr>
                <w:sz w:val="20"/>
                <w:szCs w:val="20"/>
              </w:rPr>
            </w:pPr>
            <w:r>
              <w:rPr>
                <w:sz w:val="20"/>
                <w:szCs w:val="20"/>
              </w:rPr>
              <w:t>280,33</w:t>
            </w:r>
            <w:r>
              <w:rPr>
                <w:sz w:val="20"/>
                <w:szCs w:val="20"/>
              </w:rPr>
              <w:t>8</w:t>
            </w:r>
          </w:p>
        </w:tc>
        <w:tc>
          <w:tcPr>
            <w:tcW w:w="0" w:type="auto"/>
            <w:noWrap/>
            <w:vAlign w:val="bottom"/>
            <w:hideMark/>
          </w:tcPr>
          <w:p w14:paraId="1D31F06D" w14:textId="77777777" w:rsidR="00000000" w:rsidRDefault="00632532">
            <w:pPr>
              <w:pStyle w:val="a3"/>
              <w:spacing w:before="0" w:beforeAutospacing="0" w:after="0" w:afterAutospacing="0"/>
              <w:rPr>
                <w:sz w:val="20"/>
                <w:szCs w:val="20"/>
              </w:rPr>
            </w:pPr>
            <w:r>
              <w:rPr>
                <w:sz w:val="20"/>
                <w:szCs w:val="20"/>
              </w:rPr>
              <w:t> </w:t>
            </w:r>
          </w:p>
        </w:tc>
      </w:tr>
      <w:tr w:rsidR="00000000" w14:paraId="37741C8D" w14:textId="77777777">
        <w:trPr>
          <w:trHeight w:val="200"/>
          <w:tblCellSpacing w:w="15" w:type="dxa"/>
        </w:trPr>
        <w:tc>
          <w:tcPr>
            <w:tcW w:w="0" w:type="auto"/>
            <w:hideMark/>
          </w:tcPr>
          <w:p w14:paraId="228A6F35" w14:textId="77777777" w:rsidR="00000000" w:rsidRDefault="00632532">
            <w:pPr>
              <w:pStyle w:val="a3"/>
              <w:spacing w:before="0" w:beforeAutospacing="0" w:after="0" w:afterAutospacing="0"/>
              <w:rPr>
                <w:sz w:val="20"/>
                <w:szCs w:val="20"/>
              </w:rPr>
            </w:pPr>
            <w:r>
              <w:rPr>
                <w:sz w:val="20"/>
                <w:szCs w:val="20"/>
              </w:rPr>
              <w:t>Net loss attributable to noncontrolling interest</w:t>
            </w:r>
            <w:r>
              <w:rPr>
                <w:sz w:val="20"/>
                <w:szCs w:val="20"/>
              </w:rPr>
              <w:t>s</w:t>
            </w:r>
          </w:p>
        </w:tc>
        <w:tc>
          <w:tcPr>
            <w:tcW w:w="0" w:type="auto"/>
            <w:noWrap/>
            <w:vAlign w:val="bottom"/>
            <w:hideMark/>
          </w:tcPr>
          <w:p w14:paraId="33D916E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505CCF" w14:textId="77777777" w:rsidR="00000000" w:rsidRDefault="00632532">
            <w:pPr>
              <w:pStyle w:val="a3"/>
              <w:spacing w:before="0" w:beforeAutospacing="0" w:after="0" w:afterAutospacing="0"/>
              <w:jc w:val="right"/>
              <w:rPr>
                <w:sz w:val="20"/>
                <w:szCs w:val="20"/>
              </w:rPr>
            </w:pPr>
            <w:r>
              <w:rPr>
                <w:sz w:val="20"/>
                <w:szCs w:val="20"/>
              </w:rPr>
              <w:t>43</w:t>
            </w:r>
            <w:r>
              <w:rPr>
                <w:sz w:val="20"/>
                <w:szCs w:val="20"/>
              </w:rPr>
              <w:t>8</w:t>
            </w:r>
          </w:p>
        </w:tc>
        <w:tc>
          <w:tcPr>
            <w:tcW w:w="0" w:type="auto"/>
            <w:noWrap/>
            <w:vAlign w:val="bottom"/>
            <w:hideMark/>
          </w:tcPr>
          <w:p w14:paraId="6805303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177E9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260C4D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6D5A35" w14:textId="77777777" w:rsidR="00000000" w:rsidRDefault="00632532">
            <w:pPr>
              <w:pStyle w:val="a3"/>
              <w:spacing w:before="0" w:beforeAutospacing="0" w:after="0" w:afterAutospacing="0"/>
              <w:jc w:val="right"/>
              <w:rPr>
                <w:sz w:val="20"/>
                <w:szCs w:val="20"/>
              </w:rPr>
            </w:pPr>
            <w:r>
              <w:rPr>
                <w:sz w:val="20"/>
                <w:szCs w:val="20"/>
              </w:rPr>
              <w:t>16</w:t>
            </w:r>
            <w:r>
              <w:rPr>
                <w:sz w:val="20"/>
                <w:szCs w:val="20"/>
              </w:rPr>
              <w:t>5</w:t>
            </w:r>
          </w:p>
        </w:tc>
        <w:tc>
          <w:tcPr>
            <w:tcW w:w="0" w:type="auto"/>
            <w:noWrap/>
            <w:vAlign w:val="bottom"/>
            <w:hideMark/>
          </w:tcPr>
          <w:p w14:paraId="3F2A69C3"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592834C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67CC4E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B9B98C2" w14:textId="77777777" w:rsidR="00000000" w:rsidRDefault="00632532">
            <w:pPr>
              <w:pStyle w:val="a3"/>
              <w:spacing w:before="0" w:beforeAutospacing="0" w:after="0" w:afterAutospacing="0"/>
              <w:jc w:val="right"/>
              <w:rPr>
                <w:sz w:val="20"/>
                <w:szCs w:val="20"/>
              </w:rPr>
            </w:pPr>
            <w:r>
              <w:rPr>
                <w:sz w:val="20"/>
                <w:szCs w:val="20"/>
              </w:rPr>
              <w:t>86</w:t>
            </w:r>
            <w:r>
              <w:rPr>
                <w:sz w:val="20"/>
                <w:szCs w:val="20"/>
              </w:rPr>
              <w:t>0</w:t>
            </w:r>
          </w:p>
        </w:tc>
        <w:tc>
          <w:tcPr>
            <w:tcW w:w="0" w:type="auto"/>
            <w:noWrap/>
            <w:vAlign w:val="bottom"/>
            <w:hideMark/>
          </w:tcPr>
          <w:p w14:paraId="0B400A3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D5B61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BB7EB8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9D3329E" w14:textId="77777777" w:rsidR="00000000" w:rsidRDefault="00632532">
            <w:pPr>
              <w:pStyle w:val="a3"/>
              <w:spacing w:before="0" w:beforeAutospacing="0" w:after="0" w:afterAutospacing="0"/>
              <w:jc w:val="right"/>
              <w:rPr>
                <w:sz w:val="20"/>
                <w:szCs w:val="20"/>
              </w:rPr>
            </w:pPr>
            <w:r>
              <w:rPr>
                <w:sz w:val="20"/>
                <w:szCs w:val="20"/>
              </w:rPr>
              <w:t>16</w:t>
            </w:r>
            <w:r>
              <w:rPr>
                <w:sz w:val="20"/>
                <w:szCs w:val="20"/>
              </w:rPr>
              <w:t>5</w:t>
            </w:r>
          </w:p>
        </w:tc>
        <w:tc>
          <w:tcPr>
            <w:tcW w:w="0" w:type="auto"/>
            <w:noWrap/>
            <w:vAlign w:val="bottom"/>
            <w:hideMark/>
          </w:tcPr>
          <w:p w14:paraId="6649C76A" w14:textId="77777777" w:rsidR="00000000" w:rsidRDefault="00632532">
            <w:pPr>
              <w:pStyle w:val="a3"/>
              <w:spacing w:before="0" w:beforeAutospacing="0" w:after="0" w:afterAutospacing="0"/>
              <w:rPr>
                <w:sz w:val="20"/>
                <w:szCs w:val="20"/>
              </w:rPr>
            </w:pPr>
            <w:r>
              <w:rPr>
                <w:sz w:val="20"/>
                <w:szCs w:val="20"/>
              </w:rPr>
              <w:t> </w:t>
            </w:r>
          </w:p>
        </w:tc>
      </w:tr>
      <w:tr w:rsidR="00000000" w14:paraId="44C468FB" w14:textId="77777777">
        <w:trPr>
          <w:trHeight w:val="200"/>
          <w:tblCellSpacing w:w="15" w:type="dxa"/>
        </w:trPr>
        <w:tc>
          <w:tcPr>
            <w:tcW w:w="0" w:type="auto"/>
            <w:hideMark/>
          </w:tcPr>
          <w:p w14:paraId="7C782E67" w14:textId="77777777" w:rsidR="00000000" w:rsidRDefault="00632532">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14:paraId="299915D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0E691B8" w14:textId="77777777" w:rsidR="00000000" w:rsidRDefault="00632532">
            <w:pPr>
              <w:pStyle w:val="a3"/>
              <w:spacing w:before="0" w:beforeAutospacing="0" w:after="0" w:afterAutospacing="0"/>
              <w:jc w:val="right"/>
              <w:rPr>
                <w:sz w:val="20"/>
                <w:szCs w:val="20"/>
              </w:rPr>
            </w:pPr>
            <w:r>
              <w:rPr>
                <w:sz w:val="20"/>
                <w:szCs w:val="20"/>
              </w:rPr>
              <w:t>11,53</w:t>
            </w:r>
            <w:r>
              <w:rPr>
                <w:sz w:val="20"/>
                <w:szCs w:val="20"/>
              </w:rPr>
              <w:t>7</w:t>
            </w:r>
          </w:p>
        </w:tc>
        <w:tc>
          <w:tcPr>
            <w:tcW w:w="0" w:type="auto"/>
            <w:noWrap/>
            <w:vAlign w:val="bottom"/>
            <w:hideMark/>
          </w:tcPr>
          <w:p w14:paraId="587132C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9B6151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9533B6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91A3BB9" w14:textId="77777777" w:rsidR="00000000" w:rsidRDefault="00632532">
            <w:pPr>
              <w:pStyle w:val="a3"/>
              <w:spacing w:before="0" w:beforeAutospacing="0" w:after="0" w:afterAutospacing="0"/>
              <w:jc w:val="right"/>
              <w:rPr>
                <w:sz w:val="20"/>
                <w:szCs w:val="20"/>
              </w:rPr>
            </w:pPr>
            <w:r>
              <w:rPr>
                <w:sz w:val="20"/>
                <w:szCs w:val="20"/>
              </w:rPr>
              <w:t>79,81</w:t>
            </w:r>
            <w:r>
              <w:rPr>
                <w:sz w:val="20"/>
                <w:szCs w:val="20"/>
              </w:rPr>
              <w:t>2</w:t>
            </w:r>
          </w:p>
        </w:tc>
        <w:tc>
          <w:tcPr>
            <w:tcW w:w="0" w:type="auto"/>
            <w:noWrap/>
            <w:vAlign w:val="bottom"/>
            <w:hideMark/>
          </w:tcPr>
          <w:p w14:paraId="7E722496"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7BF27C6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09BB3F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053F342" w14:textId="77777777" w:rsidR="00000000" w:rsidRDefault="00632532">
            <w:pPr>
              <w:pStyle w:val="a3"/>
              <w:spacing w:before="0" w:beforeAutospacing="0" w:after="0" w:afterAutospacing="0"/>
              <w:jc w:val="right"/>
              <w:rPr>
                <w:sz w:val="20"/>
                <w:szCs w:val="20"/>
              </w:rPr>
            </w:pPr>
            <w:r>
              <w:rPr>
                <w:sz w:val="20"/>
                <w:szCs w:val="20"/>
              </w:rPr>
              <w:t>165,51</w:t>
            </w:r>
            <w:r>
              <w:rPr>
                <w:sz w:val="20"/>
                <w:szCs w:val="20"/>
              </w:rPr>
              <w:t>6</w:t>
            </w:r>
          </w:p>
        </w:tc>
        <w:tc>
          <w:tcPr>
            <w:tcW w:w="0" w:type="auto"/>
            <w:noWrap/>
            <w:vAlign w:val="bottom"/>
            <w:hideMark/>
          </w:tcPr>
          <w:p w14:paraId="7FA7ED5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849E01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5262A4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4306C16" w14:textId="77777777" w:rsidR="00000000" w:rsidRDefault="00632532">
            <w:pPr>
              <w:pStyle w:val="a3"/>
              <w:spacing w:before="0" w:beforeAutospacing="0" w:after="0" w:afterAutospacing="0"/>
              <w:jc w:val="right"/>
              <w:rPr>
                <w:sz w:val="20"/>
                <w:szCs w:val="20"/>
              </w:rPr>
            </w:pPr>
            <w:r>
              <w:rPr>
                <w:sz w:val="20"/>
                <w:szCs w:val="20"/>
              </w:rPr>
              <w:t>280,50</w:t>
            </w:r>
            <w:r>
              <w:rPr>
                <w:sz w:val="20"/>
                <w:szCs w:val="20"/>
              </w:rPr>
              <w:t>3</w:t>
            </w:r>
          </w:p>
        </w:tc>
        <w:tc>
          <w:tcPr>
            <w:tcW w:w="0" w:type="auto"/>
            <w:noWrap/>
            <w:vAlign w:val="bottom"/>
            <w:hideMark/>
          </w:tcPr>
          <w:p w14:paraId="60AF6BB8" w14:textId="77777777" w:rsidR="00000000" w:rsidRDefault="00632532">
            <w:pPr>
              <w:pStyle w:val="a3"/>
              <w:spacing w:before="0" w:beforeAutospacing="0" w:after="0" w:afterAutospacing="0"/>
              <w:rPr>
                <w:sz w:val="20"/>
                <w:szCs w:val="20"/>
              </w:rPr>
            </w:pPr>
            <w:r>
              <w:rPr>
                <w:sz w:val="20"/>
                <w:szCs w:val="20"/>
              </w:rPr>
              <w:t> </w:t>
            </w:r>
          </w:p>
        </w:tc>
      </w:tr>
      <w:tr w:rsidR="00000000" w14:paraId="1CFF8B29" w14:textId="77777777">
        <w:trPr>
          <w:tblCellSpacing w:w="15" w:type="dxa"/>
        </w:trPr>
        <w:tc>
          <w:tcPr>
            <w:tcW w:w="0" w:type="auto"/>
            <w:hideMark/>
          </w:tcPr>
          <w:p w14:paraId="3DFC37AE"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FF0E787"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7EEED4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41272D9"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2CCBA7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31918BB" w14:textId="77777777" w:rsidR="00000000" w:rsidRDefault="00632532">
            <w:pPr>
              <w:pStyle w:val="a3"/>
              <w:spacing w:before="0" w:beforeAutospacing="0" w:after="0" w:afterAutospacing="0"/>
              <w:jc w:val="right"/>
              <w:rPr>
                <w:sz w:val="20"/>
                <w:szCs w:val="20"/>
              </w:rPr>
            </w:pPr>
            <w:r>
              <w:rPr>
                <w:sz w:val="20"/>
                <w:szCs w:val="20"/>
              </w:rPr>
              <w:t> </w:t>
            </w:r>
          </w:p>
        </w:tc>
        <w:tc>
          <w:tcPr>
            <w:tcW w:w="0" w:type="auto"/>
            <w:hideMark/>
          </w:tcPr>
          <w:p w14:paraId="14D680B3"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414007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E617F04"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D526404"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CD3C3B1"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3076021" w14:textId="77777777" w:rsidR="00000000" w:rsidRDefault="00632532">
            <w:pPr>
              <w:pStyle w:val="a3"/>
              <w:spacing w:before="0" w:beforeAutospacing="0" w:after="0" w:afterAutospacing="0"/>
              <w:jc w:val="right"/>
              <w:rPr>
                <w:sz w:val="20"/>
                <w:szCs w:val="20"/>
              </w:rPr>
            </w:pPr>
            <w:r>
              <w:rPr>
                <w:sz w:val="20"/>
                <w:szCs w:val="20"/>
              </w:rPr>
              <w:t> </w:t>
            </w:r>
          </w:p>
        </w:tc>
      </w:tr>
      <w:tr w:rsidR="00000000" w14:paraId="52C55A55" w14:textId="77777777">
        <w:trPr>
          <w:trHeight w:val="200"/>
          <w:tblCellSpacing w:w="15" w:type="dxa"/>
        </w:trPr>
        <w:tc>
          <w:tcPr>
            <w:tcW w:w="0" w:type="auto"/>
            <w:hideMark/>
          </w:tcPr>
          <w:p w14:paraId="128A6E14" w14:textId="77777777" w:rsidR="00000000" w:rsidRDefault="00632532">
            <w:pPr>
              <w:pStyle w:val="a3"/>
              <w:spacing w:before="0" w:beforeAutospacing="0" w:after="0" w:afterAutospacing="0"/>
              <w:rPr>
                <w:sz w:val="20"/>
                <w:szCs w:val="20"/>
              </w:rPr>
            </w:pPr>
            <w:r>
              <w:rPr>
                <w:sz w:val="20"/>
                <w:szCs w:val="20"/>
              </w:rPr>
              <w:t>Net income per common share attributable to Fulgent</w:t>
            </w:r>
            <w:r>
              <w:rPr>
                <w:sz w:val="20"/>
                <w:szCs w:val="20"/>
              </w:rPr>
              <w:t>:</w:t>
            </w:r>
          </w:p>
        </w:tc>
        <w:tc>
          <w:tcPr>
            <w:tcW w:w="0" w:type="auto"/>
            <w:gridSpan w:val="2"/>
            <w:vAlign w:val="bottom"/>
            <w:hideMark/>
          </w:tcPr>
          <w:p w14:paraId="63ADA1FF"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72C9E56"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5C315E5"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82BC51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233CC9B" w14:textId="77777777" w:rsidR="00000000" w:rsidRDefault="00632532">
            <w:pPr>
              <w:pStyle w:val="a3"/>
              <w:spacing w:before="0" w:beforeAutospacing="0" w:after="0" w:afterAutospacing="0"/>
              <w:jc w:val="right"/>
              <w:rPr>
                <w:sz w:val="20"/>
                <w:szCs w:val="20"/>
              </w:rPr>
            </w:pPr>
            <w:r>
              <w:rPr>
                <w:sz w:val="20"/>
                <w:szCs w:val="20"/>
              </w:rPr>
              <w:t> </w:t>
            </w:r>
          </w:p>
        </w:tc>
        <w:tc>
          <w:tcPr>
            <w:tcW w:w="0" w:type="auto"/>
            <w:hideMark/>
          </w:tcPr>
          <w:p w14:paraId="283D2F53"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E4D54E6"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7BEDBEB"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0076A1D"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77EA6A9"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0CC9036" w14:textId="77777777" w:rsidR="00000000" w:rsidRDefault="00632532">
            <w:pPr>
              <w:pStyle w:val="a3"/>
              <w:spacing w:before="0" w:beforeAutospacing="0" w:after="0" w:afterAutospacing="0"/>
              <w:jc w:val="right"/>
              <w:rPr>
                <w:sz w:val="20"/>
                <w:szCs w:val="20"/>
              </w:rPr>
            </w:pPr>
            <w:r>
              <w:rPr>
                <w:sz w:val="20"/>
                <w:szCs w:val="20"/>
              </w:rPr>
              <w:t> </w:t>
            </w:r>
          </w:p>
        </w:tc>
      </w:tr>
      <w:tr w:rsidR="00000000" w14:paraId="3B010AE0" w14:textId="77777777">
        <w:trPr>
          <w:trHeight w:val="200"/>
          <w:tblCellSpacing w:w="15" w:type="dxa"/>
        </w:trPr>
        <w:tc>
          <w:tcPr>
            <w:tcW w:w="0" w:type="auto"/>
            <w:hideMark/>
          </w:tcPr>
          <w:p w14:paraId="78274C3D" w14:textId="77777777" w:rsidR="00000000" w:rsidRDefault="00632532">
            <w:pPr>
              <w:pStyle w:val="a3"/>
              <w:spacing w:before="0" w:beforeAutospacing="0" w:after="0" w:afterAutospacing="0"/>
              <w:ind w:left="200"/>
              <w:rPr>
                <w:sz w:val="20"/>
                <w:szCs w:val="20"/>
              </w:rPr>
            </w:pPr>
            <w:r>
              <w:rPr>
                <w:sz w:val="20"/>
                <w:szCs w:val="20"/>
              </w:rPr>
              <w:t>Basi</w:t>
            </w:r>
            <w:r>
              <w:rPr>
                <w:sz w:val="20"/>
                <w:szCs w:val="20"/>
              </w:rPr>
              <w:t>c</w:t>
            </w:r>
          </w:p>
        </w:tc>
        <w:tc>
          <w:tcPr>
            <w:tcW w:w="0" w:type="auto"/>
            <w:noWrap/>
            <w:vAlign w:val="bottom"/>
            <w:hideMark/>
          </w:tcPr>
          <w:p w14:paraId="16A4A67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591EE47" w14:textId="77777777" w:rsidR="00000000" w:rsidRDefault="00632532">
            <w:pPr>
              <w:pStyle w:val="a3"/>
              <w:spacing w:before="0" w:beforeAutospacing="0" w:after="0" w:afterAutospacing="0"/>
              <w:jc w:val="right"/>
              <w:rPr>
                <w:sz w:val="20"/>
                <w:szCs w:val="20"/>
              </w:rPr>
            </w:pPr>
            <w:r>
              <w:rPr>
                <w:sz w:val="20"/>
                <w:szCs w:val="20"/>
              </w:rPr>
              <w:t>0.3</w:t>
            </w:r>
            <w:r>
              <w:rPr>
                <w:sz w:val="20"/>
                <w:szCs w:val="20"/>
              </w:rPr>
              <w:t>8</w:t>
            </w:r>
          </w:p>
        </w:tc>
        <w:tc>
          <w:tcPr>
            <w:tcW w:w="0" w:type="auto"/>
            <w:noWrap/>
            <w:vAlign w:val="bottom"/>
            <w:hideMark/>
          </w:tcPr>
          <w:p w14:paraId="0A6F009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76A92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644002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9C6C0D7" w14:textId="77777777" w:rsidR="00000000" w:rsidRDefault="00632532">
            <w:pPr>
              <w:pStyle w:val="a3"/>
              <w:spacing w:before="0" w:beforeAutospacing="0" w:after="0" w:afterAutospacing="0"/>
              <w:jc w:val="right"/>
              <w:rPr>
                <w:sz w:val="20"/>
                <w:szCs w:val="20"/>
              </w:rPr>
            </w:pPr>
            <w:r>
              <w:rPr>
                <w:sz w:val="20"/>
                <w:szCs w:val="20"/>
              </w:rPr>
              <w:t>2.7</w:t>
            </w:r>
            <w:r>
              <w:rPr>
                <w:sz w:val="20"/>
                <w:szCs w:val="20"/>
              </w:rPr>
              <w:t>4</w:t>
            </w:r>
          </w:p>
        </w:tc>
        <w:tc>
          <w:tcPr>
            <w:tcW w:w="0" w:type="auto"/>
            <w:noWrap/>
            <w:vAlign w:val="bottom"/>
            <w:hideMark/>
          </w:tcPr>
          <w:p w14:paraId="38E0EECB"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2835B0CC"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2ECC4DC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ED10364" w14:textId="77777777" w:rsidR="00000000" w:rsidRDefault="00632532">
            <w:pPr>
              <w:pStyle w:val="a3"/>
              <w:spacing w:before="0" w:beforeAutospacing="0" w:after="0" w:afterAutospacing="0"/>
              <w:jc w:val="right"/>
              <w:rPr>
                <w:sz w:val="20"/>
                <w:szCs w:val="20"/>
              </w:rPr>
            </w:pPr>
            <w:r>
              <w:rPr>
                <w:sz w:val="20"/>
                <w:szCs w:val="20"/>
              </w:rPr>
              <w:t>5.4</w:t>
            </w:r>
            <w:r>
              <w:rPr>
                <w:sz w:val="20"/>
                <w:szCs w:val="20"/>
              </w:rPr>
              <w:t>6</w:t>
            </w:r>
          </w:p>
        </w:tc>
        <w:tc>
          <w:tcPr>
            <w:tcW w:w="0" w:type="auto"/>
            <w:noWrap/>
            <w:vAlign w:val="bottom"/>
            <w:hideMark/>
          </w:tcPr>
          <w:p w14:paraId="637BF85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5F2A90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94B245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2BE23A8" w14:textId="77777777" w:rsidR="00000000" w:rsidRDefault="00632532">
            <w:pPr>
              <w:pStyle w:val="a3"/>
              <w:spacing w:before="0" w:beforeAutospacing="0" w:after="0" w:afterAutospacing="0"/>
              <w:jc w:val="right"/>
              <w:rPr>
                <w:sz w:val="20"/>
                <w:szCs w:val="20"/>
              </w:rPr>
            </w:pPr>
            <w:r>
              <w:rPr>
                <w:sz w:val="20"/>
                <w:szCs w:val="20"/>
              </w:rPr>
              <w:t>9.6</w:t>
            </w:r>
            <w:r>
              <w:rPr>
                <w:sz w:val="20"/>
                <w:szCs w:val="20"/>
              </w:rPr>
              <w:t>8</w:t>
            </w:r>
          </w:p>
        </w:tc>
        <w:tc>
          <w:tcPr>
            <w:tcW w:w="0" w:type="auto"/>
            <w:noWrap/>
            <w:vAlign w:val="bottom"/>
            <w:hideMark/>
          </w:tcPr>
          <w:p w14:paraId="536A95C8" w14:textId="77777777" w:rsidR="00000000" w:rsidRDefault="00632532">
            <w:pPr>
              <w:pStyle w:val="a3"/>
              <w:spacing w:before="0" w:beforeAutospacing="0" w:after="0" w:afterAutospacing="0"/>
              <w:rPr>
                <w:sz w:val="20"/>
                <w:szCs w:val="20"/>
              </w:rPr>
            </w:pPr>
            <w:r>
              <w:rPr>
                <w:sz w:val="20"/>
                <w:szCs w:val="20"/>
              </w:rPr>
              <w:t> </w:t>
            </w:r>
          </w:p>
        </w:tc>
      </w:tr>
      <w:tr w:rsidR="00000000" w14:paraId="30BAFCCF" w14:textId="77777777">
        <w:trPr>
          <w:trHeight w:val="200"/>
          <w:tblCellSpacing w:w="15" w:type="dxa"/>
        </w:trPr>
        <w:tc>
          <w:tcPr>
            <w:tcW w:w="0" w:type="auto"/>
            <w:hideMark/>
          </w:tcPr>
          <w:p w14:paraId="320B0F77" w14:textId="77777777" w:rsidR="00000000" w:rsidRDefault="00632532">
            <w:pPr>
              <w:pStyle w:val="a3"/>
              <w:spacing w:before="0" w:beforeAutospacing="0" w:after="0" w:afterAutospacing="0"/>
              <w:ind w:left="200"/>
              <w:rPr>
                <w:sz w:val="20"/>
                <w:szCs w:val="20"/>
              </w:rPr>
            </w:pPr>
            <w:r>
              <w:rPr>
                <w:sz w:val="20"/>
                <w:szCs w:val="20"/>
              </w:rPr>
              <w:t>Dilute</w:t>
            </w:r>
            <w:r>
              <w:rPr>
                <w:sz w:val="20"/>
                <w:szCs w:val="20"/>
              </w:rPr>
              <w:t>d</w:t>
            </w:r>
          </w:p>
        </w:tc>
        <w:tc>
          <w:tcPr>
            <w:tcW w:w="0" w:type="auto"/>
            <w:noWrap/>
            <w:vAlign w:val="bottom"/>
            <w:hideMark/>
          </w:tcPr>
          <w:p w14:paraId="6D5D04C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48CF0C8" w14:textId="77777777" w:rsidR="00000000" w:rsidRDefault="00632532">
            <w:pPr>
              <w:pStyle w:val="a3"/>
              <w:spacing w:before="0" w:beforeAutospacing="0" w:after="0" w:afterAutospacing="0"/>
              <w:jc w:val="right"/>
              <w:rPr>
                <w:sz w:val="20"/>
                <w:szCs w:val="20"/>
              </w:rPr>
            </w:pPr>
            <w:r>
              <w:rPr>
                <w:sz w:val="20"/>
                <w:szCs w:val="20"/>
              </w:rPr>
              <w:t>0.3</w:t>
            </w:r>
            <w:r>
              <w:rPr>
                <w:sz w:val="20"/>
                <w:szCs w:val="20"/>
              </w:rPr>
              <w:t>7</w:t>
            </w:r>
          </w:p>
        </w:tc>
        <w:tc>
          <w:tcPr>
            <w:tcW w:w="0" w:type="auto"/>
            <w:noWrap/>
            <w:vAlign w:val="bottom"/>
            <w:hideMark/>
          </w:tcPr>
          <w:p w14:paraId="4DFDDBD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E7568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BEFD60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AF1D774" w14:textId="77777777" w:rsidR="00000000" w:rsidRDefault="00632532">
            <w:pPr>
              <w:pStyle w:val="a3"/>
              <w:spacing w:before="0" w:beforeAutospacing="0" w:after="0" w:afterAutospacing="0"/>
              <w:jc w:val="right"/>
              <w:rPr>
                <w:sz w:val="20"/>
                <w:szCs w:val="20"/>
              </w:rPr>
            </w:pPr>
            <w:r>
              <w:rPr>
                <w:sz w:val="20"/>
                <w:szCs w:val="20"/>
              </w:rPr>
              <w:t>2.5</w:t>
            </w:r>
            <w:r>
              <w:rPr>
                <w:sz w:val="20"/>
                <w:szCs w:val="20"/>
              </w:rPr>
              <w:t>9</w:t>
            </w:r>
          </w:p>
        </w:tc>
        <w:tc>
          <w:tcPr>
            <w:tcW w:w="0" w:type="auto"/>
            <w:noWrap/>
            <w:vAlign w:val="bottom"/>
            <w:hideMark/>
          </w:tcPr>
          <w:p w14:paraId="1AE356FB"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1E8CACDC"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15D026F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D730680" w14:textId="77777777" w:rsidR="00000000" w:rsidRDefault="00632532">
            <w:pPr>
              <w:pStyle w:val="a3"/>
              <w:spacing w:before="0" w:beforeAutospacing="0" w:after="0" w:afterAutospacing="0"/>
              <w:jc w:val="right"/>
              <w:rPr>
                <w:sz w:val="20"/>
                <w:szCs w:val="20"/>
              </w:rPr>
            </w:pPr>
            <w:r>
              <w:rPr>
                <w:sz w:val="20"/>
                <w:szCs w:val="20"/>
              </w:rPr>
              <w:t>5.3</w:t>
            </w:r>
            <w:r>
              <w:rPr>
                <w:sz w:val="20"/>
                <w:szCs w:val="20"/>
              </w:rPr>
              <w:t>0</w:t>
            </w:r>
          </w:p>
        </w:tc>
        <w:tc>
          <w:tcPr>
            <w:tcW w:w="0" w:type="auto"/>
            <w:noWrap/>
            <w:vAlign w:val="bottom"/>
            <w:hideMark/>
          </w:tcPr>
          <w:p w14:paraId="70CD4E9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4DCF74"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71C56B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5370EC2" w14:textId="77777777" w:rsidR="00000000" w:rsidRDefault="00632532">
            <w:pPr>
              <w:pStyle w:val="a3"/>
              <w:spacing w:before="0" w:beforeAutospacing="0" w:after="0" w:afterAutospacing="0"/>
              <w:jc w:val="right"/>
              <w:rPr>
                <w:sz w:val="20"/>
                <w:szCs w:val="20"/>
              </w:rPr>
            </w:pPr>
            <w:r>
              <w:rPr>
                <w:sz w:val="20"/>
                <w:szCs w:val="20"/>
              </w:rPr>
              <w:t>9.1</w:t>
            </w:r>
            <w:r>
              <w:rPr>
                <w:sz w:val="20"/>
                <w:szCs w:val="20"/>
              </w:rPr>
              <w:t>0</w:t>
            </w:r>
          </w:p>
        </w:tc>
        <w:tc>
          <w:tcPr>
            <w:tcW w:w="0" w:type="auto"/>
            <w:noWrap/>
            <w:vAlign w:val="bottom"/>
            <w:hideMark/>
          </w:tcPr>
          <w:p w14:paraId="3C3DFA60" w14:textId="77777777" w:rsidR="00000000" w:rsidRDefault="00632532">
            <w:pPr>
              <w:pStyle w:val="a3"/>
              <w:spacing w:before="0" w:beforeAutospacing="0" w:after="0" w:afterAutospacing="0"/>
              <w:rPr>
                <w:sz w:val="20"/>
                <w:szCs w:val="20"/>
              </w:rPr>
            </w:pPr>
            <w:r>
              <w:rPr>
                <w:sz w:val="20"/>
                <w:szCs w:val="20"/>
              </w:rPr>
              <w:t> </w:t>
            </w:r>
          </w:p>
        </w:tc>
      </w:tr>
      <w:tr w:rsidR="00000000" w14:paraId="7D191765" w14:textId="77777777">
        <w:trPr>
          <w:tblCellSpacing w:w="15" w:type="dxa"/>
        </w:trPr>
        <w:tc>
          <w:tcPr>
            <w:tcW w:w="0" w:type="auto"/>
            <w:hideMark/>
          </w:tcPr>
          <w:p w14:paraId="10815310"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C5C59B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DE99CB7"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62DE1E9"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94081C9"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ABFC333" w14:textId="77777777" w:rsidR="00000000" w:rsidRDefault="00632532">
            <w:pPr>
              <w:pStyle w:val="a3"/>
              <w:spacing w:before="0" w:beforeAutospacing="0" w:after="0" w:afterAutospacing="0"/>
              <w:jc w:val="right"/>
              <w:rPr>
                <w:sz w:val="20"/>
                <w:szCs w:val="20"/>
              </w:rPr>
            </w:pPr>
            <w:r>
              <w:rPr>
                <w:sz w:val="20"/>
                <w:szCs w:val="20"/>
              </w:rPr>
              <w:t> </w:t>
            </w:r>
          </w:p>
        </w:tc>
        <w:tc>
          <w:tcPr>
            <w:tcW w:w="0" w:type="auto"/>
            <w:hideMark/>
          </w:tcPr>
          <w:p w14:paraId="29B06ACC"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FFDE3E8"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A1D2647"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B525A51"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15FBE4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1127B83" w14:textId="77777777" w:rsidR="00000000" w:rsidRDefault="00632532">
            <w:pPr>
              <w:pStyle w:val="a3"/>
              <w:spacing w:before="0" w:beforeAutospacing="0" w:after="0" w:afterAutospacing="0"/>
              <w:jc w:val="right"/>
              <w:rPr>
                <w:sz w:val="20"/>
                <w:szCs w:val="20"/>
              </w:rPr>
            </w:pPr>
            <w:r>
              <w:rPr>
                <w:sz w:val="20"/>
                <w:szCs w:val="20"/>
              </w:rPr>
              <w:t> </w:t>
            </w:r>
          </w:p>
        </w:tc>
      </w:tr>
      <w:tr w:rsidR="00000000" w14:paraId="5E3B88E0" w14:textId="77777777">
        <w:trPr>
          <w:trHeight w:val="200"/>
          <w:tblCellSpacing w:w="15" w:type="dxa"/>
        </w:trPr>
        <w:tc>
          <w:tcPr>
            <w:tcW w:w="0" w:type="auto"/>
            <w:hideMark/>
          </w:tcPr>
          <w:p w14:paraId="46A3707B" w14:textId="77777777" w:rsidR="00000000" w:rsidRDefault="00632532">
            <w:pPr>
              <w:pStyle w:val="a3"/>
              <w:spacing w:before="0" w:beforeAutospacing="0" w:after="0" w:afterAutospacing="0"/>
              <w:rPr>
                <w:sz w:val="20"/>
                <w:szCs w:val="20"/>
              </w:rPr>
            </w:pPr>
            <w:r>
              <w:rPr>
                <w:sz w:val="20"/>
                <w:szCs w:val="20"/>
              </w:rPr>
              <w:t>Weighted-average common shares</w:t>
            </w:r>
            <w:r>
              <w:rPr>
                <w:sz w:val="20"/>
                <w:szCs w:val="20"/>
              </w:rPr>
              <w:t>:</w:t>
            </w:r>
          </w:p>
        </w:tc>
        <w:tc>
          <w:tcPr>
            <w:tcW w:w="0" w:type="auto"/>
            <w:gridSpan w:val="2"/>
            <w:vAlign w:val="bottom"/>
            <w:hideMark/>
          </w:tcPr>
          <w:p w14:paraId="071F0304"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BC36C3F"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31C84C8"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81EA29B"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6A50E5C1" w14:textId="77777777" w:rsidR="00000000" w:rsidRDefault="00632532">
            <w:pPr>
              <w:pStyle w:val="a3"/>
              <w:spacing w:before="0" w:beforeAutospacing="0" w:after="0" w:afterAutospacing="0"/>
              <w:jc w:val="right"/>
              <w:rPr>
                <w:sz w:val="20"/>
                <w:szCs w:val="20"/>
              </w:rPr>
            </w:pPr>
            <w:r>
              <w:rPr>
                <w:sz w:val="20"/>
                <w:szCs w:val="20"/>
              </w:rPr>
              <w:t> </w:t>
            </w:r>
          </w:p>
        </w:tc>
        <w:tc>
          <w:tcPr>
            <w:tcW w:w="0" w:type="auto"/>
            <w:hideMark/>
          </w:tcPr>
          <w:p w14:paraId="3C8B07F6"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3CBD42F5"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3BE7BA2"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D99CC64"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04310AB"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7E318CE" w14:textId="77777777" w:rsidR="00000000" w:rsidRDefault="00632532">
            <w:pPr>
              <w:pStyle w:val="a3"/>
              <w:spacing w:before="0" w:beforeAutospacing="0" w:after="0" w:afterAutospacing="0"/>
              <w:jc w:val="right"/>
              <w:rPr>
                <w:sz w:val="20"/>
                <w:szCs w:val="20"/>
              </w:rPr>
            </w:pPr>
            <w:r>
              <w:rPr>
                <w:sz w:val="20"/>
                <w:szCs w:val="20"/>
              </w:rPr>
              <w:t> </w:t>
            </w:r>
          </w:p>
        </w:tc>
      </w:tr>
      <w:tr w:rsidR="00000000" w14:paraId="54999A8C" w14:textId="77777777">
        <w:trPr>
          <w:trHeight w:val="200"/>
          <w:tblCellSpacing w:w="15" w:type="dxa"/>
        </w:trPr>
        <w:tc>
          <w:tcPr>
            <w:tcW w:w="0" w:type="auto"/>
            <w:hideMark/>
          </w:tcPr>
          <w:p w14:paraId="2CFEE4E6" w14:textId="77777777" w:rsidR="00000000" w:rsidRDefault="00632532">
            <w:pPr>
              <w:pStyle w:val="a3"/>
              <w:spacing w:before="0" w:beforeAutospacing="0" w:after="0" w:afterAutospacing="0"/>
              <w:ind w:left="200"/>
              <w:rPr>
                <w:sz w:val="20"/>
                <w:szCs w:val="20"/>
              </w:rPr>
            </w:pPr>
            <w:r>
              <w:rPr>
                <w:sz w:val="20"/>
                <w:szCs w:val="20"/>
              </w:rPr>
              <w:t>Basi</w:t>
            </w:r>
            <w:r>
              <w:rPr>
                <w:sz w:val="20"/>
                <w:szCs w:val="20"/>
              </w:rPr>
              <w:t>c</w:t>
            </w:r>
          </w:p>
        </w:tc>
        <w:tc>
          <w:tcPr>
            <w:tcW w:w="0" w:type="auto"/>
            <w:noWrap/>
            <w:vAlign w:val="bottom"/>
            <w:hideMark/>
          </w:tcPr>
          <w:p w14:paraId="49A0182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DCA9C42" w14:textId="77777777" w:rsidR="00000000" w:rsidRDefault="00632532">
            <w:pPr>
              <w:pStyle w:val="a3"/>
              <w:spacing w:before="0" w:beforeAutospacing="0" w:after="0" w:afterAutospacing="0"/>
              <w:jc w:val="right"/>
              <w:rPr>
                <w:sz w:val="20"/>
                <w:szCs w:val="20"/>
              </w:rPr>
            </w:pPr>
            <w:r>
              <w:rPr>
                <w:sz w:val="20"/>
                <w:szCs w:val="20"/>
              </w:rPr>
              <w:t>30,36</w:t>
            </w:r>
            <w:r>
              <w:rPr>
                <w:sz w:val="20"/>
                <w:szCs w:val="20"/>
              </w:rPr>
              <w:t>2</w:t>
            </w:r>
          </w:p>
        </w:tc>
        <w:tc>
          <w:tcPr>
            <w:tcW w:w="0" w:type="auto"/>
            <w:noWrap/>
            <w:vAlign w:val="bottom"/>
            <w:hideMark/>
          </w:tcPr>
          <w:p w14:paraId="00D9438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006AAF"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D0990D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068892" w14:textId="77777777" w:rsidR="00000000" w:rsidRDefault="00632532">
            <w:pPr>
              <w:pStyle w:val="a3"/>
              <w:spacing w:before="0" w:beforeAutospacing="0" w:after="0" w:afterAutospacing="0"/>
              <w:jc w:val="right"/>
              <w:rPr>
                <w:sz w:val="20"/>
                <w:szCs w:val="20"/>
              </w:rPr>
            </w:pPr>
            <w:r>
              <w:rPr>
                <w:sz w:val="20"/>
                <w:szCs w:val="20"/>
              </w:rPr>
              <w:t>29,15</w:t>
            </w:r>
            <w:r>
              <w:rPr>
                <w:sz w:val="20"/>
                <w:szCs w:val="20"/>
              </w:rPr>
              <w:t>0</w:t>
            </w:r>
          </w:p>
        </w:tc>
        <w:tc>
          <w:tcPr>
            <w:tcW w:w="0" w:type="auto"/>
            <w:noWrap/>
            <w:vAlign w:val="bottom"/>
            <w:hideMark/>
          </w:tcPr>
          <w:p w14:paraId="4CB22008"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6883A853"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1DDD54B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F06CA4A" w14:textId="77777777" w:rsidR="00000000" w:rsidRDefault="00632532">
            <w:pPr>
              <w:pStyle w:val="a3"/>
              <w:spacing w:before="0" w:beforeAutospacing="0" w:after="0" w:afterAutospacing="0"/>
              <w:jc w:val="right"/>
              <w:rPr>
                <w:sz w:val="20"/>
                <w:szCs w:val="20"/>
              </w:rPr>
            </w:pPr>
            <w:r>
              <w:rPr>
                <w:sz w:val="20"/>
                <w:szCs w:val="20"/>
              </w:rPr>
              <w:t>30,29</w:t>
            </w:r>
            <w:r>
              <w:rPr>
                <w:sz w:val="20"/>
                <w:szCs w:val="20"/>
              </w:rPr>
              <w:t>8</w:t>
            </w:r>
          </w:p>
        </w:tc>
        <w:tc>
          <w:tcPr>
            <w:tcW w:w="0" w:type="auto"/>
            <w:noWrap/>
            <w:vAlign w:val="bottom"/>
            <w:hideMark/>
          </w:tcPr>
          <w:p w14:paraId="528B575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6A38CDC"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B5FBA5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27CCDC8" w14:textId="77777777" w:rsidR="00000000" w:rsidRDefault="00632532">
            <w:pPr>
              <w:pStyle w:val="a3"/>
              <w:spacing w:before="0" w:beforeAutospacing="0" w:after="0" w:afterAutospacing="0"/>
              <w:jc w:val="right"/>
              <w:rPr>
                <w:sz w:val="20"/>
                <w:szCs w:val="20"/>
              </w:rPr>
            </w:pPr>
            <w:r>
              <w:rPr>
                <w:sz w:val="20"/>
                <w:szCs w:val="20"/>
              </w:rPr>
              <w:t>28,99</w:t>
            </w:r>
            <w:r>
              <w:rPr>
                <w:sz w:val="20"/>
                <w:szCs w:val="20"/>
              </w:rPr>
              <w:t>1</w:t>
            </w:r>
          </w:p>
        </w:tc>
        <w:tc>
          <w:tcPr>
            <w:tcW w:w="0" w:type="auto"/>
            <w:noWrap/>
            <w:vAlign w:val="bottom"/>
            <w:hideMark/>
          </w:tcPr>
          <w:p w14:paraId="38EF6F9D" w14:textId="77777777" w:rsidR="00000000" w:rsidRDefault="00632532">
            <w:pPr>
              <w:pStyle w:val="a3"/>
              <w:spacing w:before="0" w:beforeAutospacing="0" w:after="0" w:afterAutospacing="0"/>
              <w:rPr>
                <w:sz w:val="20"/>
                <w:szCs w:val="20"/>
              </w:rPr>
            </w:pPr>
            <w:r>
              <w:rPr>
                <w:sz w:val="20"/>
                <w:szCs w:val="20"/>
              </w:rPr>
              <w:t> </w:t>
            </w:r>
          </w:p>
        </w:tc>
      </w:tr>
      <w:tr w:rsidR="00000000" w14:paraId="1F210CE1" w14:textId="77777777">
        <w:trPr>
          <w:trHeight w:val="200"/>
          <w:tblCellSpacing w:w="15" w:type="dxa"/>
        </w:trPr>
        <w:tc>
          <w:tcPr>
            <w:tcW w:w="0" w:type="auto"/>
            <w:hideMark/>
          </w:tcPr>
          <w:p w14:paraId="23CAD5C3" w14:textId="77777777" w:rsidR="00000000" w:rsidRDefault="00632532">
            <w:pPr>
              <w:pStyle w:val="a3"/>
              <w:spacing w:before="0" w:beforeAutospacing="0" w:after="0" w:afterAutospacing="0"/>
              <w:ind w:left="200"/>
              <w:rPr>
                <w:sz w:val="20"/>
                <w:szCs w:val="20"/>
              </w:rPr>
            </w:pPr>
            <w:r>
              <w:rPr>
                <w:sz w:val="20"/>
                <w:szCs w:val="20"/>
              </w:rPr>
              <w:t>Dilute</w:t>
            </w:r>
            <w:r>
              <w:rPr>
                <w:sz w:val="20"/>
                <w:szCs w:val="20"/>
              </w:rPr>
              <w:t>d</w:t>
            </w:r>
          </w:p>
        </w:tc>
        <w:tc>
          <w:tcPr>
            <w:tcW w:w="0" w:type="auto"/>
            <w:noWrap/>
            <w:vAlign w:val="bottom"/>
            <w:hideMark/>
          </w:tcPr>
          <w:p w14:paraId="377758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92DA70" w14:textId="77777777" w:rsidR="00000000" w:rsidRDefault="00632532">
            <w:pPr>
              <w:pStyle w:val="a3"/>
              <w:spacing w:before="0" w:beforeAutospacing="0" w:after="0" w:afterAutospacing="0"/>
              <w:jc w:val="right"/>
              <w:rPr>
                <w:sz w:val="20"/>
                <w:szCs w:val="20"/>
              </w:rPr>
            </w:pPr>
            <w:r>
              <w:rPr>
                <w:sz w:val="20"/>
                <w:szCs w:val="20"/>
              </w:rPr>
              <w:t>31,18</w:t>
            </w:r>
            <w:r>
              <w:rPr>
                <w:sz w:val="20"/>
                <w:szCs w:val="20"/>
              </w:rPr>
              <w:t>9</w:t>
            </w:r>
          </w:p>
        </w:tc>
        <w:tc>
          <w:tcPr>
            <w:tcW w:w="0" w:type="auto"/>
            <w:noWrap/>
            <w:vAlign w:val="bottom"/>
            <w:hideMark/>
          </w:tcPr>
          <w:p w14:paraId="34D2EDD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FBA515"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2F8C4C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CA228A9" w14:textId="77777777" w:rsidR="00000000" w:rsidRDefault="00632532">
            <w:pPr>
              <w:pStyle w:val="a3"/>
              <w:spacing w:before="0" w:beforeAutospacing="0" w:after="0" w:afterAutospacing="0"/>
              <w:jc w:val="right"/>
              <w:rPr>
                <w:sz w:val="20"/>
                <w:szCs w:val="20"/>
              </w:rPr>
            </w:pPr>
            <w:r>
              <w:rPr>
                <w:sz w:val="20"/>
                <w:szCs w:val="20"/>
              </w:rPr>
              <w:t>30,83</w:t>
            </w:r>
            <w:r>
              <w:rPr>
                <w:sz w:val="20"/>
                <w:szCs w:val="20"/>
              </w:rPr>
              <w:t>0</w:t>
            </w:r>
          </w:p>
        </w:tc>
        <w:tc>
          <w:tcPr>
            <w:tcW w:w="0" w:type="auto"/>
            <w:noWrap/>
            <w:vAlign w:val="bottom"/>
            <w:hideMark/>
          </w:tcPr>
          <w:p w14:paraId="53FECCD6"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710507BA"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6906708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71855A5" w14:textId="77777777" w:rsidR="00000000" w:rsidRDefault="00632532">
            <w:pPr>
              <w:pStyle w:val="a3"/>
              <w:spacing w:before="0" w:beforeAutospacing="0" w:after="0" w:afterAutospacing="0"/>
              <w:jc w:val="right"/>
              <w:rPr>
                <w:sz w:val="20"/>
                <w:szCs w:val="20"/>
              </w:rPr>
            </w:pPr>
            <w:r>
              <w:rPr>
                <w:sz w:val="20"/>
                <w:szCs w:val="20"/>
              </w:rPr>
              <w:t>31,22</w:t>
            </w:r>
            <w:r>
              <w:rPr>
                <w:sz w:val="20"/>
                <w:szCs w:val="20"/>
              </w:rPr>
              <w:t>5</w:t>
            </w:r>
          </w:p>
        </w:tc>
        <w:tc>
          <w:tcPr>
            <w:tcW w:w="0" w:type="auto"/>
            <w:noWrap/>
            <w:vAlign w:val="bottom"/>
            <w:hideMark/>
          </w:tcPr>
          <w:p w14:paraId="3B9A69E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DDE2115"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DA7EBC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E0C561A" w14:textId="77777777" w:rsidR="00000000" w:rsidRDefault="00632532">
            <w:pPr>
              <w:pStyle w:val="a3"/>
              <w:spacing w:before="0" w:beforeAutospacing="0" w:after="0" w:afterAutospacing="0"/>
              <w:jc w:val="right"/>
              <w:rPr>
                <w:sz w:val="20"/>
                <w:szCs w:val="20"/>
              </w:rPr>
            </w:pPr>
            <w:r>
              <w:rPr>
                <w:sz w:val="20"/>
                <w:szCs w:val="20"/>
              </w:rPr>
              <w:t>30,80</w:t>
            </w:r>
            <w:r>
              <w:rPr>
                <w:sz w:val="20"/>
                <w:szCs w:val="20"/>
              </w:rPr>
              <w:t>9</w:t>
            </w:r>
          </w:p>
        </w:tc>
        <w:tc>
          <w:tcPr>
            <w:tcW w:w="0" w:type="auto"/>
            <w:noWrap/>
            <w:vAlign w:val="bottom"/>
            <w:hideMark/>
          </w:tcPr>
          <w:p w14:paraId="6A502179" w14:textId="77777777" w:rsidR="00000000" w:rsidRDefault="00632532">
            <w:pPr>
              <w:pStyle w:val="a3"/>
              <w:spacing w:before="0" w:beforeAutospacing="0" w:after="0" w:afterAutospacing="0"/>
              <w:rPr>
                <w:sz w:val="20"/>
                <w:szCs w:val="20"/>
              </w:rPr>
            </w:pPr>
            <w:r>
              <w:rPr>
                <w:sz w:val="20"/>
                <w:szCs w:val="20"/>
              </w:rPr>
              <w:t> </w:t>
            </w:r>
          </w:p>
        </w:tc>
      </w:tr>
    </w:tbl>
    <w:p w14:paraId="51F7D91F" w14:textId="77777777" w:rsidR="00000000" w:rsidRDefault="00632532">
      <w:pPr>
        <w:pStyle w:val="a3"/>
        <w:spacing w:before="0" w:beforeAutospacing="0" w:after="0" w:afterAutospacing="0"/>
        <w:ind w:hanging="581"/>
        <w:jc w:val="center"/>
        <w:rPr>
          <w:sz w:val="20"/>
          <w:szCs w:val="20"/>
        </w:rPr>
      </w:pPr>
      <w:r>
        <w:rPr>
          <w:sz w:val="20"/>
          <w:szCs w:val="20"/>
        </w:rPr>
        <w:lastRenderedPageBreak/>
        <w:t> </w:t>
      </w:r>
    </w:p>
    <w:p w14:paraId="2C515BBF" w14:textId="77777777" w:rsidR="00000000" w:rsidRDefault="00632532">
      <w:pPr>
        <w:pStyle w:val="a3"/>
        <w:spacing w:before="40" w:beforeAutospacing="0" w:after="0" w:afterAutospacing="0"/>
        <w:ind w:hanging="581"/>
        <w:jc w:val="center"/>
        <w:rPr>
          <w:sz w:val="20"/>
          <w:szCs w:val="20"/>
        </w:rPr>
      </w:pPr>
      <w:r>
        <w:rPr>
          <w:sz w:val="20"/>
          <w:szCs w:val="20"/>
        </w:rPr>
        <w:t>The accompanying notes are an integral part of these condensed consolidated financial statements</w:t>
      </w:r>
      <w:r>
        <w:rPr>
          <w:sz w:val="20"/>
          <w:szCs w:val="20"/>
        </w:rPr>
        <w:t>.</w:t>
      </w:r>
    </w:p>
    <w:p w14:paraId="48396DED" w14:textId="77777777" w:rsidR="00000000" w:rsidRDefault="00632532">
      <w:pPr>
        <w:pStyle w:val="a3"/>
        <w:spacing w:before="0" w:beforeAutospacing="0" w:after="0" w:afterAutospacing="0"/>
        <w:rPr>
          <w:sz w:val="20"/>
          <w:szCs w:val="20"/>
        </w:rPr>
      </w:pPr>
      <w:r>
        <w:rPr>
          <w:sz w:val="20"/>
          <w:szCs w:val="20"/>
        </w:rPr>
        <w:t> </w:t>
      </w:r>
    </w:p>
    <w:p w14:paraId="5E3AF822" w14:textId="77777777" w:rsidR="00000000" w:rsidRDefault="00632532">
      <w:pPr>
        <w:pStyle w:val="a3"/>
        <w:spacing w:before="240" w:beforeAutospacing="0" w:after="0" w:afterAutospacing="0"/>
        <w:jc w:val="center"/>
        <w:rPr>
          <w:sz w:val="20"/>
          <w:szCs w:val="20"/>
        </w:rPr>
      </w:pPr>
      <w:r>
        <w:rPr>
          <w:sz w:val="20"/>
          <w:szCs w:val="20"/>
        </w:rPr>
        <w:t>2</w:t>
      </w:r>
    </w:p>
    <w:p w14:paraId="174E24CB" w14:textId="77777777" w:rsidR="00000000" w:rsidRDefault="00632532">
      <w:pPr>
        <w:rPr>
          <w:rFonts w:eastAsia="Times New Roman"/>
        </w:rPr>
      </w:pPr>
      <w:r>
        <w:rPr>
          <w:rFonts w:eastAsia="Times New Roman"/>
        </w:rPr>
        <w:pict w14:anchorId="6E0A9992">
          <v:rect id="_x0000_i1028" style="width:0;height:1.5pt" o:hralign="center" o:hrstd="t" o:hr="t" fillcolor="#a0a0a0" stroked="f"/>
        </w:pict>
      </w:r>
    </w:p>
    <w:p w14:paraId="2BE63D90" w14:textId="77777777" w:rsidR="00000000" w:rsidRDefault="00632532">
      <w:pPr>
        <w:pStyle w:val="a3"/>
        <w:spacing w:before="0" w:beforeAutospacing="0" w:after="0" w:afterAutospacing="0"/>
        <w:jc w:val="center"/>
        <w:rPr>
          <w:sz w:val="20"/>
          <w:szCs w:val="20"/>
        </w:rPr>
      </w:pPr>
      <w:r>
        <w:rPr>
          <w:b/>
          <w:bCs/>
          <w:sz w:val="20"/>
          <w:szCs w:val="20"/>
        </w:rPr>
        <w:t>FULGENT GENETICS, INC</w:t>
      </w:r>
      <w:r>
        <w:rPr>
          <w:b/>
          <w:bCs/>
          <w:sz w:val="20"/>
          <w:szCs w:val="20"/>
        </w:rPr>
        <w:t>.</w:t>
      </w:r>
    </w:p>
    <w:p w14:paraId="3AD49188" w14:textId="77777777" w:rsidR="00000000" w:rsidRDefault="00632532">
      <w:pPr>
        <w:pStyle w:val="a3"/>
        <w:spacing w:before="0" w:beforeAutospacing="0" w:after="0" w:afterAutospacing="0"/>
        <w:jc w:val="center"/>
        <w:rPr>
          <w:sz w:val="20"/>
          <w:szCs w:val="20"/>
        </w:rPr>
      </w:pPr>
      <w:r>
        <w:rPr>
          <w:b/>
          <w:bCs/>
          <w:sz w:val="20"/>
          <w:szCs w:val="20"/>
        </w:rPr>
        <w:t>Condensed Consolidated Statements of Comprehensive Incom</w:t>
      </w:r>
      <w:r>
        <w:rPr>
          <w:b/>
          <w:bCs/>
          <w:sz w:val="20"/>
          <w:szCs w:val="20"/>
        </w:rPr>
        <w:t>e</w:t>
      </w:r>
    </w:p>
    <w:p w14:paraId="07DFEE8B" w14:textId="77777777" w:rsidR="00000000" w:rsidRDefault="00632532">
      <w:pPr>
        <w:pStyle w:val="a3"/>
        <w:spacing w:before="0" w:beforeAutospacing="0" w:after="0" w:afterAutospacing="0"/>
        <w:jc w:val="center"/>
        <w:rPr>
          <w:sz w:val="20"/>
          <w:szCs w:val="20"/>
        </w:rPr>
      </w:pPr>
      <w:r>
        <w:rPr>
          <w:b/>
          <w:bCs/>
          <w:sz w:val="20"/>
          <w:szCs w:val="20"/>
        </w:rPr>
        <w:t>(in thousands</w:t>
      </w:r>
      <w:r>
        <w:rPr>
          <w:b/>
          <w:bCs/>
          <w:sz w:val="20"/>
          <w:szCs w:val="20"/>
        </w:rPr>
        <w:t>)</w:t>
      </w:r>
    </w:p>
    <w:p w14:paraId="34CEFFB2" w14:textId="77777777" w:rsidR="00000000" w:rsidRDefault="00632532">
      <w:pPr>
        <w:pStyle w:val="a3"/>
        <w:spacing w:before="0" w:beforeAutospacing="0" w:after="0" w:afterAutospacing="0"/>
        <w:jc w:val="center"/>
        <w:rPr>
          <w:sz w:val="20"/>
          <w:szCs w:val="20"/>
        </w:rPr>
      </w:pPr>
      <w:r>
        <w:rPr>
          <w:b/>
          <w:bCs/>
          <w:sz w:val="20"/>
          <w:szCs w:val="20"/>
        </w:rPr>
        <w:t>(unaudited</w:t>
      </w:r>
      <w:r>
        <w:rPr>
          <w:b/>
          <w:bCs/>
          <w:sz w:val="20"/>
          <w:szCs w:val="20"/>
        </w:rPr>
        <w:t>)</w:t>
      </w:r>
    </w:p>
    <w:p w14:paraId="04342829"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9"/>
        <w:gridCol w:w="160"/>
        <w:gridCol w:w="726"/>
        <w:gridCol w:w="127"/>
        <w:gridCol w:w="110"/>
        <w:gridCol w:w="160"/>
        <w:gridCol w:w="690"/>
        <w:gridCol w:w="127"/>
        <w:gridCol w:w="310"/>
        <w:gridCol w:w="160"/>
        <w:gridCol w:w="728"/>
        <w:gridCol w:w="127"/>
        <w:gridCol w:w="110"/>
        <w:gridCol w:w="160"/>
        <w:gridCol w:w="710"/>
        <w:gridCol w:w="142"/>
      </w:tblGrid>
      <w:tr w:rsidR="00000000" w14:paraId="12ADF33F" w14:textId="77777777">
        <w:trPr>
          <w:tblCellSpacing w:w="15" w:type="dxa"/>
        </w:trPr>
        <w:tc>
          <w:tcPr>
            <w:tcW w:w="2422" w:type="pct"/>
            <w:vAlign w:val="center"/>
            <w:hideMark/>
          </w:tcPr>
          <w:p w14:paraId="5FF54DDD" w14:textId="77777777" w:rsidR="00000000" w:rsidRDefault="00632532">
            <w:pPr>
              <w:rPr>
                <w:sz w:val="20"/>
                <w:szCs w:val="20"/>
              </w:rPr>
            </w:pPr>
          </w:p>
        </w:tc>
        <w:tc>
          <w:tcPr>
            <w:tcW w:w="50" w:type="pct"/>
            <w:vAlign w:val="center"/>
            <w:hideMark/>
          </w:tcPr>
          <w:p w14:paraId="60B8EE20" w14:textId="77777777" w:rsidR="00000000" w:rsidRDefault="00632532">
            <w:pPr>
              <w:rPr>
                <w:rFonts w:eastAsia="Times New Roman"/>
                <w:sz w:val="20"/>
                <w:szCs w:val="20"/>
              </w:rPr>
            </w:pPr>
          </w:p>
        </w:tc>
        <w:tc>
          <w:tcPr>
            <w:tcW w:w="489" w:type="pct"/>
            <w:vAlign w:val="center"/>
            <w:hideMark/>
          </w:tcPr>
          <w:p w14:paraId="31942F79" w14:textId="77777777" w:rsidR="00000000" w:rsidRDefault="00632532">
            <w:pPr>
              <w:rPr>
                <w:rFonts w:eastAsia="Times New Roman"/>
                <w:sz w:val="20"/>
                <w:szCs w:val="20"/>
              </w:rPr>
            </w:pPr>
          </w:p>
        </w:tc>
        <w:tc>
          <w:tcPr>
            <w:tcW w:w="50" w:type="pct"/>
            <w:vAlign w:val="center"/>
            <w:hideMark/>
          </w:tcPr>
          <w:p w14:paraId="1CEDF360" w14:textId="77777777" w:rsidR="00000000" w:rsidRDefault="00632532">
            <w:pPr>
              <w:rPr>
                <w:rFonts w:eastAsia="Times New Roman"/>
                <w:sz w:val="20"/>
                <w:szCs w:val="20"/>
              </w:rPr>
            </w:pPr>
          </w:p>
        </w:tc>
        <w:tc>
          <w:tcPr>
            <w:tcW w:w="63" w:type="pct"/>
            <w:vAlign w:val="center"/>
            <w:hideMark/>
          </w:tcPr>
          <w:p w14:paraId="6F9E691D" w14:textId="77777777" w:rsidR="00000000" w:rsidRDefault="00632532">
            <w:pPr>
              <w:rPr>
                <w:rFonts w:eastAsia="Times New Roman"/>
                <w:sz w:val="20"/>
                <w:szCs w:val="20"/>
              </w:rPr>
            </w:pPr>
          </w:p>
        </w:tc>
        <w:tc>
          <w:tcPr>
            <w:tcW w:w="50" w:type="pct"/>
            <w:vAlign w:val="center"/>
            <w:hideMark/>
          </w:tcPr>
          <w:p w14:paraId="2B336311" w14:textId="77777777" w:rsidR="00000000" w:rsidRDefault="00632532">
            <w:pPr>
              <w:rPr>
                <w:rFonts w:eastAsia="Times New Roman"/>
                <w:sz w:val="20"/>
                <w:szCs w:val="20"/>
              </w:rPr>
            </w:pPr>
          </w:p>
        </w:tc>
        <w:tc>
          <w:tcPr>
            <w:tcW w:w="492" w:type="pct"/>
            <w:vAlign w:val="center"/>
            <w:hideMark/>
          </w:tcPr>
          <w:p w14:paraId="6D6C3B72" w14:textId="77777777" w:rsidR="00000000" w:rsidRDefault="00632532">
            <w:pPr>
              <w:rPr>
                <w:rFonts w:eastAsia="Times New Roman"/>
                <w:sz w:val="20"/>
                <w:szCs w:val="20"/>
              </w:rPr>
            </w:pPr>
          </w:p>
        </w:tc>
        <w:tc>
          <w:tcPr>
            <w:tcW w:w="50" w:type="pct"/>
            <w:vAlign w:val="center"/>
            <w:hideMark/>
          </w:tcPr>
          <w:p w14:paraId="6C316E10" w14:textId="77777777" w:rsidR="00000000" w:rsidRDefault="00632532">
            <w:pPr>
              <w:rPr>
                <w:rFonts w:eastAsia="Times New Roman"/>
                <w:sz w:val="20"/>
                <w:szCs w:val="20"/>
              </w:rPr>
            </w:pPr>
          </w:p>
        </w:tc>
        <w:tc>
          <w:tcPr>
            <w:tcW w:w="92" w:type="pct"/>
            <w:vAlign w:val="center"/>
            <w:hideMark/>
          </w:tcPr>
          <w:p w14:paraId="3F583A26" w14:textId="77777777" w:rsidR="00000000" w:rsidRDefault="00632532">
            <w:pPr>
              <w:rPr>
                <w:rFonts w:eastAsia="Times New Roman"/>
                <w:sz w:val="20"/>
                <w:szCs w:val="20"/>
              </w:rPr>
            </w:pPr>
          </w:p>
        </w:tc>
        <w:tc>
          <w:tcPr>
            <w:tcW w:w="50" w:type="pct"/>
            <w:vAlign w:val="center"/>
            <w:hideMark/>
          </w:tcPr>
          <w:p w14:paraId="36BB91A8" w14:textId="77777777" w:rsidR="00000000" w:rsidRDefault="00632532">
            <w:pPr>
              <w:rPr>
                <w:rFonts w:eastAsia="Times New Roman"/>
                <w:sz w:val="20"/>
                <w:szCs w:val="20"/>
              </w:rPr>
            </w:pPr>
          </w:p>
        </w:tc>
        <w:tc>
          <w:tcPr>
            <w:tcW w:w="489" w:type="pct"/>
            <w:vAlign w:val="center"/>
            <w:hideMark/>
          </w:tcPr>
          <w:p w14:paraId="54CFA94E" w14:textId="77777777" w:rsidR="00000000" w:rsidRDefault="00632532">
            <w:pPr>
              <w:rPr>
                <w:rFonts w:eastAsia="Times New Roman"/>
                <w:sz w:val="20"/>
                <w:szCs w:val="20"/>
              </w:rPr>
            </w:pPr>
          </w:p>
        </w:tc>
        <w:tc>
          <w:tcPr>
            <w:tcW w:w="50" w:type="pct"/>
            <w:vAlign w:val="center"/>
            <w:hideMark/>
          </w:tcPr>
          <w:p w14:paraId="3D9EF5EB" w14:textId="77777777" w:rsidR="00000000" w:rsidRDefault="00632532">
            <w:pPr>
              <w:rPr>
                <w:rFonts w:eastAsia="Times New Roman"/>
                <w:sz w:val="20"/>
                <w:szCs w:val="20"/>
              </w:rPr>
            </w:pPr>
          </w:p>
        </w:tc>
        <w:tc>
          <w:tcPr>
            <w:tcW w:w="57" w:type="pct"/>
            <w:vAlign w:val="center"/>
            <w:hideMark/>
          </w:tcPr>
          <w:p w14:paraId="164D1762" w14:textId="77777777" w:rsidR="00000000" w:rsidRDefault="00632532">
            <w:pPr>
              <w:rPr>
                <w:rFonts w:eastAsia="Times New Roman"/>
                <w:sz w:val="20"/>
                <w:szCs w:val="20"/>
              </w:rPr>
            </w:pPr>
          </w:p>
        </w:tc>
        <w:tc>
          <w:tcPr>
            <w:tcW w:w="50" w:type="pct"/>
            <w:vAlign w:val="center"/>
            <w:hideMark/>
          </w:tcPr>
          <w:p w14:paraId="2686CA5E" w14:textId="77777777" w:rsidR="00000000" w:rsidRDefault="00632532">
            <w:pPr>
              <w:rPr>
                <w:rFonts w:eastAsia="Times New Roman"/>
                <w:sz w:val="20"/>
                <w:szCs w:val="20"/>
              </w:rPr>
            </w:pPr>
          </w:p>
        </w:tc>
        <w:tc>
          <w:tcPr>
            <w:tcW w:w="492" w:type="pct"/>
            <w:vAlign w:val="center"/>
            <w:hideMark/>
          </w:tcPr>
          <w:p w14:paraId="1C0E41BB" w14:textId="77777777" w:rsidR="00000000" w:rsidRDefault="00632532">
            <w:pPr>
              <w:rPr>
                <w:rFonts w:eastAsia="Times New Roman"/>
                <w:sz w:val="20"/>
                <w:szCs w:val="20"/>
              </w:rPr>
            </w:pPr>
          </w:p>
        </w:tc>
        <w:tc>
          <w:tcPr>
            <w:tcW w:w="50" w:type="pct"/>
            <w:vAlign w:val="center"/>
            <w:hideMark/>
          </w:tcPr>
          <w:p w14:paraId="69FC64A5" w14:textId="77777777" w:rsidR="00000000" w:rsidRDefault="00632532">
            <w:pPr>
              <w:rPr>
                <w:rFonts w:eastAsia="Times New Roman"/>
                <w:sz w:val="20"/>
                <w:szCs w:val="20"/>
              </w:rPr>
            </w:pPr>
          </w:p>
        </w:tc>
      </w:tr>
      <w:tr w:rsidR="00000000" w14:paraId="551C21FE" w14:textId="77777777">
        <w:trPr>
          <w:trHeight w:val="160"/>
          <w:tblCellSpacing w:w="15" w:type="dxa"/>
        </w:trPr>
        <w:tc>
          <w:tcPr>
            <w:tcW w:w="0" w:type="auto"/>
            <w:vAlign w:val="bottom"/>
            <w:hideMark/>
          </w:tcPr>
          <w:p w14:paraId="3659818B"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22CB7A2E" w14:textId="77777777" w:rsidR="00000000" w:rsidRDefault="00632532">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731AF187"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BB0B86F"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75A065D8"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2570027C"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2455D75" w14:textId="77777777">
        <w:trPr>
          <w:trHeight w:val="160"/>
          <w:tblCellSpacing w:w="15" w:type="dxa"/>
        </w:trPr>
        <w:tc>
          <w:tcPr>
            <w:tcW w:w="0" w:type="auto"/>
            <w:vAlign w:val="bottom"/>
            <w:hideMark/>
          </w:tcPr>
          <w:p w14:paraId="3350EA09"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22F302A"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27578D62"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4D79F13"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EFE77C4"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345683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8BB701A"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9C86DCA"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92897C8"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5538C60"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13D2BF9"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2CCB4E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0B6EB036" w14:textId="77777777">
        <w:trPr>
          <w:trHeight w:val="200"/>
          <w:tblCellSpacing w:w="15" w:type="dxa"/>
        </w:trPr>
        <w:tc>
          <w:tcPr>
            <w:tcW w:w="0" w:type="auto"/>
            <w:hideMark/>
          </w:tcPr>
          <w:p w14:paraId="7A1F3348" w14:textId="77777777" w:rsidR="00000000" w:rsidRDefault="00632532">
            <w:pPr>
              <w:pStyle w:val="a3"/>
              <w:spacing w:before="0" w:beforeAutospacing="0" w:after="0" w:afterAutospacing="0"/>
              <w:rPr>
                <w:sz w:val="20"/>
                <w:szCs w:val="20"/>
              </w:rPr>
            </w:pPr>
            <w:r>
              <w:rPr>
                <w:b/>
                <w:bCs/>
                <w:sz w:val="20"/>
                <w:szCs w:val="20"/>
              </w:rPr>
              <w:t>Net income from consolidated operation</w:t>
            </w:r>
            <w:r>
              <w:rPr>
                <w:b/>
                <w:bCs/>
                <w:sz w:val="20"/>
                <w:szCs w:val="20"/>
              </w:rPr>
              <w:t>s</w:t>
            </w:r>
          </w:p>
        </w:tc>
        <w:tc>
          <w:tcPr>
            <w:tcW w:w="0" w:type="auto"/>
            <w:noWrap/>
            <w:vAlign w:val="bottom"/>
            <w:hideMark/>
          </w:tcPr>
          <w:p w14:paraId="19FF52E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31D6560" w14:textId="77777777" w:rsidR="00000000" w:rsidRDefault="00632532">
            <w:pPr>
              <w:pStyle w:val="a3"/>
              <w:spacing w:before="0" w:beforeAutospacing="0" w:after="0" w:afterAutospacing="0"/>
              <w:jc w:val="right"/>
              <w:rPr>
                <w:sz w:val="20"/>
                <w:szCs w:val="20"/>
              </w:rPr>
            </w:pPr>
            <w:r>
              <w:rPr>
                <w:sz w:val="20"/>
                <w:szCs w:val="20"/>
              </w:rPr>
              <w:t>11,09</w:t>
            </w:r>
            <w:r>
              <w:rPr>
                <w:sz w:val="20"/>
                <w:szCs w:val="20"/>
              </w:rPr>
              <w:t>9</w:t>
            </w:r>
          </w:p>
        </w:tc>
        <w:tc>
          <w:tcPr>
            <w:tcW w:w="0" w:type="auto"/>
            <w:noWrap/>
            <w:vAlign w:val="bottom"/>
            <w:hideMark/>
          </w:tcPr>
          <w:p w14:paraId="49C709D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3D046C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839294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3F22824" w14:textId="77777777" w:rsidR="00000000" w:rsidRDefault="00632532">
            <w:pPr>
              <w:pStyle w:val="a3"/>
              <w:spacing w:before="0" w:beforeAutospacing="0" w:after="0" w:afterAutospacing="0"/>
              <w:jc w:val="right"/>
              <w:rPr>
                <w:sz w:val="20"/>
                <w:szCs w:val="20"/>
              </w:rPr>
            </w:pPr>
            <w:r>
              <w:rPr>
                <w:sz w:val="20"/>
                <w:szCs w:val="20"/>
              </w:rPr>
              <w:t>79,64</w:t>
            </w:r>
            <w:r>
              <w:rPr>
                <w:sz w:val="20"/>
                <w:szCs w:val="20"/>
              </w:rPr>
              <w:t>7</w:t>
            </w:r>
          </w:p>
        </w:tc>
        <w:tc>
          <w:tcPr>
            <w:tcW w:w="0" w:type="auto"/>
            <w:noWrap/>
            <w:vAlign w:val="bottom"/>
            <w:hideMark/>
          </w:tcPr>
          <w:p w14:paraId="5BFADD9E"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4214EFD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8428F4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C7EA3A0" w14:textId="77777777" w:rsidR="00000000" w:rsidRDefault="00632532">
            <w:pPr>
              <w:pStyle w:val="a3"/>
              <w:spacing w:before="0" w:beforeAutospacing="0" w:after="0" w:afterAutospacing="0"/>
              <w:jc w:val="right"/>
              <w:rPr>
                <w:sz w:val="20"/>
                <w:szCs w:val="20"/>
              </w:rPr>
            </w:pPr>
            <w:r>
              <w:rPr>
                <w:sz w:val="20"/>
                <w:szCs w:val="20"/>
              </w:rPr>
              <w:t>164,65</w:t>
            </w:r>
            <w:r>
              <w:rPr>
                <w:sz w:val="20"/>
                <w:szCs w:val="20"/>
              </w:rPr>
              <w:t>6</w:t>
            </w:r>
          </w:p>
        </w:tc>
        <w:tc>
          <w:tcPr>
            <w:tcW w:w="0" w:type="auto"/>
            <w:noWrap/>
            <w:vAlign w:val="bottom"/>
            <w:hideMark/>
          </w:tcPr>
          <w:p w14:paraId="51582A5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E5DE15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29B93B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57F832B" w14:textId="77777777" w:rsidR="00000000" w:rsidRDefault="00632532">
            <w:pPr>
              <w:pStyle w:val="a3"/>
              <w:spacing w:before="0" w:beforeAutospacing="0" w:after="0" w:afterAutospacing="0"/>
              <w:jc w:val="right"/>
              <w:rPr>
                <w:sz w:val="20"/>
                <w:szCs w:val="20"/>
              </w:rPr>
            </w:pPr>
            <w:r>
              <w:rPr>
                <w:sz w:val="20"/>
                <w:szCs w:val="20"/>
              </w:rPr>
              <w:t>280,33</w:t>
            </w:r>
            <w:r>
              <w:rPr>
                <w:sz w:val="20"/>
                <w:szCs w:val="20"/>
              </w:rPr>
              <w:t>8</w:t>
            </w:r>
          </w:p>
        </w:tc>
        <w:tc>
          <w:tcPr>
            <w:tcW w:w="0" w:type="auto"/>
            <w:noWrap/>
            <w:vAlign w:val="bottom"/>
            <w:hideMark/>
          </w:tcPr>
          <w:p w14:paraId="57D7C35D" w14:textId="77777777" w:rsidR="00000000" w:rsidRDefault="00632532">
            <w:pPr>
              <w:pStyle w:val="a3"/>
              <w:spacing w:before="0" w:beforeAutospacing="0" w:after="0" w:afterAutospacing="0"/>
              <w:rPr>
                <w:sz w:val="20"/>
                <w:szCs w:val="20"/>
              </w:rPr>
            </w:pPr>
            <w:r>
              <w:rPr>
                <w:sz w:val="20"/>
                <w:szCs w:val="20"/>
              </w:rPr>
              <w:t> </w:t>
            </w:r>
          </w:p>
        </w:tc>
      </w:tr>
      <w:tr w:rsidR="00000000" w14:paraId="6958E69C" w14:textId="77777777">
        <w:trPr>
          <w:trHeight w:val="200"/>
          <w:tblCellSpacing w:w="15" w:type="dxa"/>
        </w:trPr>
        <w:tc>
          <w:tcPr>
            <w:tcW w:w="0" w:type="auto"/>
            <w:hideMark/>
          </w:tcPr>
          <w:p w14:paraId="306AD0E6" w14:textId="77777777" w:rsidR="00000000" w:rsidRDefault="00632532">
            <w:pPr>
              <w:pStyle w:val="a3"/>
              <w:spacing w:before="0" w:beforeAutospacing="0" w:after="0" w:afterAutospacing="0"/>
              <w:rPr>
                <w:sz w:val="20"/>
                <w:szCs w:val="20"/>
              </w:rPr>
            </w:pPr>
            <w:r>
              <w:rPr>
                <w:b/>
                <w:bCs/>
                <w:sz w:val="20"/>
                <w:szCs w:val="20"/>
              </w:rPr>
              <w:t>Other comprehensive income (loss)</w:t>
            </w:r>
            <w:r>
              <w:rPr>
                <w:b/>
                <w:bCs/>
                <w:sz w:val="20"/>
                <w:szCs w:val="20"/>
              </w:rPr>
              <w:t>:</w:t>
            </w:r>
          </w:p>
        </w:tc>
        <w:tc>
          <w:tcPr>
            <w:tcW w:w="0" w:type="auto"/>
            <w:gridSpan w:val="2"/>
            <w:vAlign w:val="bottom"/>
            <w:hideMark/>
          </w:tcPr>
          <w:p w14:paraId="0CDCD3C3"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EB488E7"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3EF4CE13"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09285AB"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01ED800" w14:textId="77777777" w:rsidR="00000000" w:rsidRDefault="00632532">
            <w:pPr>
              <w:pStyle w:val="a3"/>
              <w:spacing w:before="0" w:beforeAutospacing="0" w:after="0" w:afterAutospacing="0"/>
              <w:jc w:val="right"/>
              <w:rPr>
                <w:sz w:val="20"/>
                <w:szCs w:val="20"/>
              </w:rPr>
            </w:pPr>
            <w:r>
              <w:rPr>
                <w:sz w:val="20"/>
                <w:szCs w:val="20"/>
              </w:rPr>
              <w:t> </w:t>
            </w:r>
          </w:p>
        </w:tc>
        <w:tc>
          <w:tcPr>
            <w:tcW w:w="0" w:type="auto"/>
            <w:hideMark/>
          </w:tcPr>
          <w:p w14:paraId="5A513A89"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793F7EFF"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3F7E5B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8335DE4"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5A5BC35"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23228ED" w14:textId="77777777" w:rsidR="00000000" w:rsidRDefault="00632532">
            <w:pPr>
              <w:pStyle w:val="a3"/>
              <w:spacing w:before="0" w:beforeAutospacing="0" w:after="0" w:afterAutospacing="0"/>
              <w:jc w:val="right"/>
              <w:rPr>
                <w:sz w:val="20"/>
                <w:szCs w:val="20"/>
              </w:rPr>
            </w:pPr>
            <w:r>
              <w:rPr>
                <w:sz w:val="20"/>
                <w:szCs w:val="20"/>
              </w:rPr>
              <w:t> </w:t>
            </w:r>
          </w:p>
        </w:tc>
      </w:tr>
      <w:tr w:rsidR="00000000" w14:paraId="31B1D802" w14:textId="77777777">
        <w:trPr>
          <w:trHeight w:val="200"/>
          <w:tblCellSpacing w:w="15" w:type="dxa"/>
        </w:trPr>
        <w:tc>
          <w:tcPr>
            <w:tcW w:w="0" w:type="auto"/>
            <w:hideMark/>
          </w:tcPr>
          <w:p w14:paraId="1293D8B3" w14:textId="77777777" w:rsidR="00000000" w:rsidRDefault="00632532">
            <w:pPr>
              <w:pStyle w:val="a3"/>
              <w:spacing w:before="0" w:beforeAutospacing="0" w:after="0" w:afterAutospacing="0"/>
              <w:ind w:left="200"/>
              <w:rPr>
                <w:sz w:val="20"/>
                <w:szCs w:val="20"/>
              </w:rPr>
            </w:pPr>
            <w:r>
              <w:rPr>
                <w:sz w:val="20"/>
                <w:szCs w:val="20"/>
              </w:rPr>
              <w:t>Foreign currency translation (loss) gai</w:t>
            </w:r>
            <w:r>
              <w:rPr>
                <w:sz w:val="20"/>
                <w:szCs w:val="20"/>
              </w:rPr>
              <w:t>n</w:t>
            </w:r>
          </w:p>
        </w:tc>
        <w:tc>
          <w:tcPr>
            <w:tcW w:w="0" w:type="auto"/>
            <w:noWrap/>
            <w:vAlign w:val="bottom"/>
            <w:hideMark/>
          </w:tcPr>
          <w:p w14:paraId="4CECFF5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0C0B1D" w14:textId="77777777" w:rsidR="00000000" w:rsidRDefault="00632532">
            <w:pPr>
              <w:pStyle w:val="a3"/>
              <w:spacing w:before="0" w:beforeAutospacing="0" w:after="0" w:afterAutospacing="0"/>
              <w:jc w:val="right"/>
              <w:rPr>
                <w:sz w:val="20"/>
                <w:szCs w:val="20"/>
              </w:rPr>
            </w:pPr>
            <w:r>
              <w:rPr>
                <w:sz w:val="20"/>
                <w:szCs w:val="20"/>
              </w:rPr>
              <w:t>(</w:t>
            </w:r>
            <w:r>
              <w:rPr>
                <w:sz w:val="20"/>
                <w:szCs w:val="20"/>
              </w:rPr>
              <w:t>1,87</w:t>
            </w:r>
            <w:r>
              <w:rPr>
                <w:sz w:val="20"/>
                <w:szCs w:val="20"/>
              </w:rPr>
              <w:t>8</w:t>
            </w:r>
          </w:p>
        </w:tc>
        <w:tc>
          <w:tcPr>
            <w:tcW w:w="0" w:type="auto"/>
            <w:noWrap/>
            <w:vAlign w:val="bottom"/>
            <w:hideMark/>
          </w:tcPr>
          <w:p w14:paraId="581329F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23D6E5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9BF3E1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BD2E8C" w14:textId="77777777" w:rsidR="00000000" w:rsidRDefault="00632532">
            <w:pPr>
              <w:pStyle w:val="a3"/>
              <w:spacing w:before="0" w:beforeAutospacing="0" w:after="0" w:afterAutospacing="0"/>
              <w:jc w:val="right"/>
              <w:rPr>
                <w:sz w:val="20"/>
                <w:szCs w:val="20"/>
              </w:rPr>
            </w:pPr>
            <w:r>
              <w:rPr>
                <w:sz w:val="20"/>
                <w:szCs w:val="20"/>
              </w:rPr>
              <w:t>3</w:t>
            </w:r>
            <w:r>
              <w:rPr>
                <w:sz w:val="20"/>
                <w:szCs w:val="20"/>
              </w:rPr>
              <w:t>6</w:t>
            </w:r>
          </w:p>
        </w:tc>
        <w:tc>
          <w:tcPr>
            <w:tcW w:w="0" w:type="auto"/>
            <w:noWrap/>
            <w:vAlign w:val="bottom"/>
            <w:hideMark/>
          </w:tcPr>
          <w:p w14:paraId="0CAFB449"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4BA41F13"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7248EB7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27E7D69" w14:textId="77777777" w:rsidR="00000000" w:rsidRDefault="00632532">
            <w:pPr>
              <w:pStyle w:val="a3"/>
              <w:spacing w:before="0" w:beforeAutospacing="0" w:after="0" w:afterAutospacing="0"/>
              <w:jc w:val="right"/>
              <w:rPr>
                <w:sz w:val="20"/>
                <w:szCs w:val="20"/>
              </w:rPr>
            </w:pPr>
            <w:r>
              <w:rPr>
                <w:sz w:val="20"/>
                <w:szCs w:val="20"/>
              </w:rPr>
              <w:t>(</w:t>
            </w:r>
            <w:r>
              <w:rPr>
                <w:sz w:val="20"/>
                <w:szCs w:val="20"/>
              </w:rPr>
              <w:t>1,75</w:t>
            </w:r>
            <w:r>
              <w:rPr>
                <w:sz w:val="20"/>
                <w:szCs w:val="20"/>
              </w:rPr>
              <w:t>5</w:t>
            </w:r>
          </w:p>
        </w:tc>
        <w:tc>
          <w:tcPr>
            <w:tcW w:w="0" w:type="auto"/>
            <w:noWrap/>
            <w:vAlign w:val="bottom"/>
            <w:hideMark/>
          </w:tcPr>
          <w:p w14:paraId="799E1A1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15C6C7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1BA691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75EC9B0" w14:textId="77777777" w:rsidR="00000000" w:rsidRDefault="00632532">
            <w:pPr>
              <w:pStyle w:val="a3"/>
              <w:spacing w:before="0" w:beforeAutospacing="0" w:after="0" w:afterAutospacing="0"/>
              <w:jc w:val="right"/>
              <w:rPr>
                <w:sz w:val="20"/>
                <w:szCs w:val="20"/>
              </w:rPr>
            </w:pPr>
            <w:r>
              <w:rPr>
                <w:sz w:val="20"/>
                <w:szCs w:val="20"/>
              </w:rPr>
              <w:t>3</w:t>
            </w:r>
            <w:r>
              <w:rPr>
                <w:sz w:val="20"/>
                <w:szCs w:val="20"/>
              </w:rPr>
              <w:t>6</w:t>
            </w:r>
          </w:p>
        </w:tc>
        <w:tc>
          <w:tcPr>
            <w:tcW w:w="0" w:type="auto"/>
            <w:noWrap/>
            <w:vAlign w:val="bottom"/>
            <w:hideMark/>
          </w:tcPr>
          <w:p w14:paraId="4A6C241A" w14:textId="77777777" w:rsidR="00000000" w:rsidRDefault="00632532">
            <w:pPr>
              <w:pStyle w:val="a3"/>
              <w:spacing w:before="0" w:beforeAutospacing="0" w:after="0" w:afterAutospacing="0"/>
              <w:rPr>
                <w:sz w:val="20"/>
                <w:szCs w:val="20"/>
              </w:rPr>
            </w:pPr>
            <w:r>
              <w:rPr>
                <w:sz w:val="20"/>
                <w:szCs w:val="20"/>
              </w:rPr>
              <w:t> </w:t>
            </w:r>
          </w:p>
        </w:tc>
      </w:tr>
      <w:tr w:rsidR="00000000" w14:paraId="7D4A25BF" w14:textId="77777777">
        <w:trPr>
          <w:trHeight w:val="200"/>
          <w:tblCellSpacing w:w="15" w:type="dxa"/>
        </w:trPr>
        <w:tc>
          <w:tcPr>
            <w:tcW w:w="0" w:type="auto"/>
            <w:hideMark/>
          </w:tcPr>
          <w:p w14:paraId="0EB8810C" w14:textId="77777777" w:rsidR="00000000" w:rsidRDefault="00632532">
            <w:pPr>
              <w:pStyle w:val="a3"/>
              <w:spacing w:before="0" w:beforeAutospacing="0" w:after="0" w:afterAutospacing="0"/>
              <w:ind w:left="200"/>
              <w:rPr>
                <w:sz w:val="20"/>
                <w:szCs w:val="20"/>
              </w:rPr>
            </w:pPr>
            <w:r>
              <w:rPr>
                <w:sz w:val="20"/>
                <w:szCs w:val="20"/>
              </w:rPr>
              <w:t>Net loss on available-for-sale debt securities, net of ta</w:t>
            </w:r>
            <w:r>
              <w:rPr>
                <w:sz w:val="20"/>
                <w:szCs w:val="20"/>
              </w:rPr>
              <w:t>x</w:t>
            </w:r>
          </w:p>
        </w:tc>
        <w:tc>
          <w:tcPr>
            <w:tcW w:w="0" w:type="auto"/>
            <w:noWrap/>
            <w:vAlign w:val="bottom"/>
            <w:hideMark/>
          </w:tcPr>
          <w:p w14:paraId="573B654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CAA20CD" w14:textId="77777777" w:rsidR="00000000" w:rsidRDefault="00632532">
            <w:pPr>
              <w:pStyle w:val="a3"/>
              <w:spacing w:before="0" w:beforeAutospacing="0" w:after="0" w:afterAutospacing="0"/>
              <w:jc w:val="right"/>
              <w:rPr>
                <w:sz w:val="20"/>
                <w:szCs w:val="20"/>
              </w:rPr>
            </w:pPr>
            <w:r>
              <w:rPr>
                <w:sz w:val="20"/>
                <w:szCs w:val="20"/>
              </w:rPr>
              <w:t>(</w:t>
            </w:r>
            <w:r>
              <w:rPr>
                <w:sz w:val="20"/>
                <w:szCs w:val="20"/>
              </w:rPr>
              <w:t>8,46</w:t>
            </w:r>
            <w:r>
              <w:rPr>
                <w:sz w:val="20"/>
                <w:szCs w:val="20"/>
              </w:rPr>
              <w:t>8</w:t>
            </w:r>
          </w:p>
        </w:tc>
        <w:tc>
          <w:tcPr>
            <w:tcW w:w="0" w:type="auto"/>
            <w:noWrap/>
            <w:vAlign w:val="bottom"/>
            <w:hideMark/>
          </w:tcPr>
          <w:p w14:paraId="45B92C8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BEEA2B1"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CE4441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C15978D" w14:textId="77777777" w:rsidR="00000000" w:rsidRDefault="00632532">
            <w:pPr>
              <w:pStyle w:val="a3"/>
              <w:spacing w:before="0" w:beforeAutospacing="0" w:after="0" w:afterAutospacing="0"/>
              <w:jc w:val="right"/>
              <w:rPr>
                <w:sz w:val="20"/>
                <w:szCs w:val="20"/>
              </w:rPr>
            </w:pPr>
            <w:r>
              <w:rPr>
                <w:sz w:val="20"/>
                <w:szCs w:val="20"/>
              </w:rPr>
              <w:t>(</w:t>
            </w:r>
            <w:r>
              <w:rPr>
                <w:sz w:val="20"/>
                <w:szCs w:val="20"/>
              </w:rPr>
              <w:t>7</w:t>
            </w:r>
            <w:r>
              <w:rPr>
                <w:sz w:val="20"/>
                <w:szCs w:val="20"/>
              </w:rPr>
              <w:t>5</w:t>
            </w:r>
          </w:p>
        </w:tc>
        <w:tc>
          <w:tcPr>
            <w:tcW w:w="0" w:type="auto"/>
            <w:noWrap/>
            <w:vAlign w:val="bottom"/>
            <w:hideMark/>
          </w:tcPr>
          <w:p w14:paraId="0363CA9A" w14:textId="77777777" w:rsidR="00000000" w:rsidRDefault="00632532">
            <w:pPr>
              <w:pStyle w:val="a3"/>
              <w:spacing w:before="0" w:beforeAutospacing="0" w:after="0" w:afterAutospacing="0"/>
              <w:rPr>
                <w:sz w:val="20"/>
                <w:szCs w:val="20"/>
              </w:rPr>
            </w:pPr>
            <w:r>
              <w:rPr>
                <w:sz w:val="20"/>
                <w:szCs w:val="20"/>
              </w:rPr>
              <w:t>)</w:t>
            </w:r>
          </w:p>
        </w:tc>
        <w:tc>
          <w:tcPr>
            <w:tcW w:w="0" w:type="auto"/>
            <w:hideMark/>
          </w:tcPr>
          <w:p w14:paraId="26602946"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521C262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CF0FAE4" w14:textId="77777777" w:rsidR="00000000" w:rsidRDefault="00632532">
            <w:pPr>
              <w:pStyle w:val="a3"/>
              <w:spacing w:before="0" w:beforeAutospacing="0" w:after="0" w:afterAutospacing="0"/>
              <w:jc w:val="right"/>
              <w:rPr>
                <w:sz w:val="20"/>
                <w:szCs w:val="20"/>
              </w:rPr>
            </w:pPr>
            <w:r>
              <w:rPr>
                <w:sz w:val="20"/>
                <w:szCs w:val="20"/>
              </w:rPr>
              <w:t>(</w:t>
            </w:r>
            <w:r>
              <w:rPr>
                <w:sz w:val="20"/>
                <w:szCs w:val="20"/>
              </w:rPr>
              <w:t>20,20</w:t>
            </w:r>
            <w:r>
              <w:rPr>
                <w:sz w:val="20"/>
                <w:szCs w:val="20"/>
              </w:rPr>
              <w:t>6</w:t>
            </w:r>
          </w:p>
        </w:tc>
        <w:tc>
          <w:tcPr>
            <w:tcW w:w="0" w:type="auto"/>
            <w:noWrap/>
            <w:vAlign w:val="bottom"/>
            <w:hideMark/>
          </w:tcPr>
          <w:p w14:paraId="63D5CA4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BBEE522"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569182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BD1537C" w14:textId="77777777" w:rsidR="00000000" w:rsidRDefault="00632532">
            <w:pPr>
              <w:pStyle w:val="a3"/>
              <w:spacing w:before="0" w:beforeAutospacing="0" w:after="0" w:afterAutospacing="0"/>
              <w:jc w:val="right"/>
              <w:rPr>
                <w:sz w:val="20"/>
                <w:szCs w:val="20"/>
              </w:rPr>
            </w:pPr>
            <w:r>
              <w:rPr>
                <w:sz w:val="20"/>
                <w:szCs w:val="20"/>
              </w:rPr>
              <w:t>(</w:t>
            </w:r>
            <w:r>
              <w:rPr>
                <w:sz w:val="20"/>
                <w:szCs w:val="20"/>
              </w:rPr>
              <w:t>72</w:t>
            </w:r>
            <w:r>
              <w:rPr>
                <w:sz w:val="20"/>
                <w:szCs w:val="20"/>
              </w:rPr>
              <w:t>9</w:t>
            </w:r>
          </w:p>
        </w:tc>
        <w:tc>
          <w:tcPr>
            <w:tcW w:w="0" w:type="auto"/>
            <w:noWrap/>
            <w:vAlign w:val="bottom"/>
            <w:hideMark/>
          </w:tcPr>
          <w:p w14:paraId="187C8D6C" w14:textId="77777777" w:rsidR="00000000" w:rsidRDefault="00632532">
            <w:pPr>
              <w:pStyle w:val="a3"/>
              <w:spacing w:before="0" w:beforeAutospacing="0" w:after="0" w:afterAutospacing="0"/>
              <w:rPr>
                <w:sz w:val="20"/>
                <w:szCs w:val="20"/>
              </w:rPr>
            </w:pPr>
            <w:r>
              <w:rPr>
                <w:sz w:val="20"/>
                <w:szCs w:val="20"/>
              </w:rPr>
              <w:t>)</w:t>
            </w:r>
          </w:p>
        </w:tc>
      </w:tr>
      <w:tr w:rsidR="00000000" w14:paraId="7054468B" w14:textId="77777777">
        <w:trPr>
          <w:trHeight w:val="200"/>
          <w:tblCellSpacing w:w="15" w:type="dxa"/>
        </w:trPr>
        <w:tc>
          <w:tcPr>
            <w:tcW w:w="0" w:type="auto"/>
            <w:hideMark/>
          </w:tcPr>
          <w:p w14:paraId="20971576" w14:textId="77777777" w:rsidR="00000000" w:rsidRDefault="00632532">
            <w:pPr>
              <w:pStyle w:val="a3"/>
              <w:spacing w:before="0" w:beforeAutospacing="0" w:after="0" w:afterAutospacing="0"/>
              <w:rPr>
                <w:sz w:val="20"/>
                <w:szCs w:val="20"/>
              </w:rPr>
            </w:pPr>
            <w:r>
              <w:rPr>
                <w:b/>
                <w:bCs/>
                <w:sz w:val="20"/>
                <w:szCs w:val="20"/>
              </w:rPr>
              <w:t>Comprehensive income from consolidated operation</w:t>
            </w:r>
            <w:r>
              <w:rPr>
                <w:b/>
                <w:bCs/>
                <w:sz w:val="20"/>
                <w:szCs w:val="20"/>
              </w:rPr>
              <w:t>s</w:t>
            </w:r>
          </w:p>
        </w:tc>
        <w:tc>
          <w:tcPr>
            <w:tcW w:w="0" w:type="auto"/>
            <w:noWrap/>
            <w:vAlign w:val="bottom"/>
            <w:hideMark/>
          </w:tcPr>
          <w:p w14:paraId="5F1F1A1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739F153" w14:textId="77777777" w:rsidR="00000000" w:rsidRDefault="00632532">
            <w:pPr>
              <w:pStyle w:val="a3"/>
              <w:spacing w:before="0" w:beforeAutospacing="0" w:after="0" w:afterAutospacing="0"/>
              <w:jc w:val="right"/>
              <w:rPr>
                <w:sz w:val="20"/>
                <w:szCs w:val="20"/>
              </w:rPr>
            </w:pPr>
            <w:r>
              <w:rPr>
                <w:sz w:val="20"/>
                <w:szCs w:val="20"/>
              </w:rPr>
              <w:t>75</w:t>
            </w:r>
            <w:r>
              <w:rPr>
                <w:sz w:val="20"/>
                <w:szCs w:val="20"/>
              </w:rPr>
              <w:t>3</w:t>
            </w:r>
          </w:p>
        </w:tc>
        <w:tc>
          <w:tcPr>
            <w:tcW w:w="0" w:type="auto"/>
            <w:noWrap/>
            <w:vAlign w:val="bottom"/>
            <w:hideMark/>
          </w:tcPr>
          <w:p w14:paraId="14EBE3B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8C49F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8FE31B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C62108" w14:textId="77777777" w:rsidR="00000000" w:rsidRDefault="00632532">
            <w:pPr>
              <w:pStyle w:val="a3"/>
              <w:spacing w:before="0" w:beforeAutospacing="0" w:after="0" w:afterAutospacing="0"/>
              <w:jc w:val="right"/>
              <w:rPr>
                <w:sz w:val="20"/>
                <w:szCs w:val="20"/>
              </w:rPr>
            </w:pPr>
            <w:r>
              <w:rPr>
                <w:sz w:val="20"/>
                <w:szCs w:val="20"/>
              </w:rPr>
              <w:t>79,60</w:t>
            </w:r>
            <w:r>
              <w:rPr>
                <w:sz w:val="20"/>
                <w:szCs w:val="20"/>
              </w:rPr>
              <w:t>8</w:t>
            </w:r>
          </w:p>
        </w:tc>
        <w:tc>
          <w:tcPr>
            <w:tcW w:w="0" w:type="auto"/>
            <w:noWrap/>
            <w:vAlign w:val="bottom"/>
            <w:hideMark/>
          </w:tcPr>
          <w:p w14:paraId="2DEE0AF2"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2026B3FE"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07D3D51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A2A793" w14:textId="77777777" w:rsidR="00000000" w:rsidRDefault="00632532">
            <w:pPr>
              <w:pStyle w:val="a3"/>
              <w:spacing w:before="0" w:beforeAutospacing="0" w:after="0" w:afterAutospacing="0"/>
              <w:jc w:val="right"/>
              <w:rPr>
                <w:sz w:val="20"/>
                <w:szCs w:val="20"/>
              </w:rPr>
            </w:pPr>
            <w:r>
              <w:rPr>
                <w:sz w:val="20"/>
                <w:szCs w:val="20"/>
              </w:rPr>
              <w:t>142,69</w:t>
            </w:r>
            <w:r>
              <w:rPr>
                <w:sz w:val="20"/>
                <w:szCs w:val="20"/>
              </w:rPr>
              <w:t>5</w:t>
            </w:r>
          </w:p>
        </w:tc>
        <w:tc>
          <w:tcPr>
            <w:tcW w:w="0" w:type="auto"/>
            <w:noWrap/>
            <w:vAlign w:val="bottom"/>
            <w:hideMark/>
          </w:tcPr>
          <w:p w14:paraId="4F03928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7196D55"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5842E6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AF3B9D8" w14:textId="77777777" w:rsidR="00000000" w:rsidRDefault="00632532">
            <w:pPr>
              <w:pStyle w:val="a3"/>
              <w:spacing w:before="0" w:beforeAutospacing="0" w:after="0" w:afterAutospacing="0"/>
              <w:jc w:val="right"/>
              <w:rPr>
                <w:sz w:val="20"/>
                <w:szCs w:val="20"/>
              </w:rPr>
            </w:pPr>
            <w:r>
              <w:rPr>
                <w:sz w:val="20"/>
                <w:szCs w:val="20"/>
              </w:rPr>
              <w:t>279,64</w:t>
            </w:r>
            <w:r>
              <w:rPr>
                <w:sz w:val="20"/>
                <w:szCs w:val="20"/>
              </w:rPr>
              <w:t>5</w:t>
            </w:r>
          </w:p>
        </w:tc>
        <w:tc>
          <w:tcPr>
            <w:tcW w:w="0" w:type="auto"/>
            <w:noWrap/>
            <w:vAlign w:val="bottom"/>
            <w:hideMark/>
          </w:tcPr>
          <w:p w14:paraId="332D6A50" w14:textId="77777777" w:rsidR="00000000" w:rsidRDefault="00632532">
            <w:pPr>
              <w:pStyle w:val="a3"/>
              <w:spacing w:before="0" w:beforeAutospacing="0" w:after="0" w:afterAutospacing="0"/>
              <w:rPr>
                <w:sz w:val="20"/>
                <w:szCs w:val="20"/>
              </w:rPr>
            </w:pPr>
            <w:r>
              <w:rPr>
                <w:sz w:val="20"/>
                <w:szCs w:val="20"/>
              </w:rPr>
              <w:t> </w:t>
            </w:r>
          </w:p>
        </w:tc>
      </w:tr>
      <w:tr w:rsidR="00000000" w14:paraId="22538BE0" w14:textId="77777777">
        <w:trPr>
          <w:trHeight w:val="200"/>
          <w:tblCellSpacing w:w="15" w:type="dxa"/>
        </w:trPr>
        <w:tc>
          <w:tcPr>
            <w:tcW w:w="0" w:type="auto"/>
            <w:hideMark/>
          </w:tcPr>
          <w:p w14:paraId="6C232746" w14:textId="77777777" w:rsidR="00000000" w:rsidRDefault="00632532">
            <w:pPr>
              <w:pStyle w:val="a3"/>
              <w:spacing w:before="0" w:beforeAutospacing="0" w:after="0" w:afterAutospacing="0"/>
              <w:ind w:left="200"/>
              <w:rPr>
                <w:sz w:val="20"/>
                <w:szCs w:val="20"/>
              </w:rPr>
            </w:pPr>
            <w:r>
              <w:rPr>
                <w:sz w:val="20"/>
                <w:szCs w:val="20"/>
              </w:rPr>
              <w:t>Net loss attributable to noncontrolling interes</w:t>
            </w:r>
            <w:r>
              <w:rPr>
                <w:sz w:val="20"/>
                <w:szCs w:val="20"/>
              </w:rPr>
              <w:t>t</w:t>
            </w:r>
          </w:p>
        </w:tc>
        <w:tc>
          <w:tcPr>
            <w:tcW w:w="0" w:type="auto"/>
            <w:noWrap/>
            <w:vAlign w:val="bottom"/>
            <w:hideMark/>
          </w:tcPr>
          <w:p w14:paraId="1BA68E1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A68E61" w14:textId="77777777" w:rsidR="00000000" w:rsidRDefault="00632532">
            <w:pPr>
              <w:pStyle w:val="a3"/>
              <w:spacing w:before="0" w:beforeAutospacing="0" w:after="0" w:afterAutospacing="0"/>
              <w:jc w:val="right"/>
              <w:rPr>
                <w:sz w:val="20"/>
                <w:szCs w:val="20"/>
              </w:rPr>
            </w:pPr>
            <w:r>
              <w:rPr>
                <w:sz w:val="20"/>
                <w:szCs w:val="20"/>
              </w:rPr>
              <w:t>43</w:t>
            </w:r>
            <w:r>
              <w:rPr>
                <w:sz w:val="20"/>
                <w:szCs w:val="20"/>
              </w:rPr>
              <w:t>8</w:t>
            </w:r>
          </w:p>
        </w:tc>
        <w:tc>
          <w:tcPr>
            <w:tcW w:w="0" w:type="auto"/>
            <w:noWrap/>
            <w:vAlign w:val="bottom"/>
            <w:hideMark/>
          </w:tcPr>
          <w:p w14:paraId="13B100A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7298E1"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F5FA88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3D15D79" w14:textId="77777777" w:rsidR="00000000" w:rsidRDefault="00632532">
            <w:pPr>
              <w:pStyle w:val="a3"/>
              <w:spacing w:before="0" w:beforeAutospacing="0" w:after="0" w:afterAutospacing="0"/>
              <w:jc w:val="right"/>
              <w:rPr>
                <w:sz w:val="20"/>
                <w:szCs w:val="20"/>
              </w:rPr>
            </w:pPr>
            <w:r>
              <w:rPr>
                <w:sz w:val="20"/>
                <w:szCs w:val="20"/>
              </w:rPr>
              <w:t>16</w:t>
            </w:r>
            <w:r>
              <w:rPr>
                <w:sz w:val="20"/>
                <w:szCs w:val="20"/>
              </w:rPr>
              <w:t>5</w:t>
            </w:r>
          </w:p>
        </w:tc>
        <w:tc>
          <w:tcPr>
            <w:tcW w:w="0" w:type="auto"/>
            <w:noWrap/>
            <w:vAlign w:val="bottom"/>
            <w:hideMark/>
          </w:tcPr>
          <w:p w14:paraId="11FBAC4C"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7F0DA211"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490F6AC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81016D" w14:textId="77777777" w:rsidR="00000000" w:rsidRDefault="00632532">
            <w:pPr>
              <w:pStyle w:val="a3"/>
              <w:spacing w:before="0" w:beforeAutospacing="0" w:after="0" w:afterAutospacing="0"/>
              <w:jc w:val="right"/>
              <w:rPr>
                <w:sz w:val="20"/>
                <w:szCs w:val="20"/>
              </w:rPr>
            </w:pPr>
            <w:r>
              <w:rPr>
                <w:sz w:val="20"/>
                <w:szCs w:val="20"/>
              </w:rPr>
              <w:t>86</w:t>
            </w:r>
            <w:r>
              <w:rPr>
                <w:sz w:val="20"/>
                <w:szCs w:val="20"/>
              </w:rPr>
              <w:t>0</w:t>
            </w:r>
          </w:p>
        </w:tc>
        <w:tc>
          <w:tcPr>
            <w:tcW w:w="0" w:type="auto"/>
            <w:noWrap/>
            <w:vAlign w:val="bottom"/>
            <w:hideMark/>
          </w:tcPr>
          <w:p w14:paraId="4320B35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8C536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A67EDC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01AE6CF" w14:textId="77777777" w:rsidR="00000000" w:rsidRDefault="00632532">
            <w:pPr>
              <w:pStyle w:val="a3"/>
              <w:spacing w:before="0" w:beforeAutospacing="0" w:after="0" w:afterAutospacing="0"/>
              <w:jc w:val="right"/>
              <w:rPr>
                <w:sz w:val="20"/>
                <w:szCs w:val="20"/>
              </w:rPr>
            </w:pPr>
            <w:r>
              <w:rPr>
                <w:sz w:val="20"/>
                <w:szCs w:val="20"/>
              </w:rPr>
              <w:t>16</w:t>
            </w:r>
            <w:r>
              <w:rPr>
                <w:sz w:val="20"/>
                <w:szCs w:val="20"/>
              </w:rPr>
              <w:t>5</w:t>
            </w:r>
          </w:p>
        </w:tc>
        <w:tc>
          <w:tcPr>
            <w:tcW w:w="0" w:type="auto"/>
            <w:noWrap/>
            <w:vAlign w:val="bottom"/>
            <w:hideMark/>
          </w:tcPr>
          <w:p w14:paraId="4315470D" w14:textId="77777777" w:rsidR="00000000" w:rsidRDefault="00632532">
            <w:pPr>
              <w:pStyle w:val="a3"/>
              <w:spacing w:before="0" w:beforeAutospacing="0" w:after="0" w:afterAutospacing="0"/>
              <w:rPr>
                <w:sz w:val="20"/>
                <w:szCs w:val="20"/>
              </w:rPr>
            </w:pPr>
            <w:r>
              <w:rPr>
                <w:sz w:val="20"/>
                <w:szCs w:val="20"/>
              </w:rPr>
              <w:t> </w:t>
            </w:r>
          </w:p>
        </w:tc>
      </w:tr>
      <w:tr w:rsidR="00000000" w14:paraId="365BAD4F" w14:textId="77777777">
        <w:trPr>
          <w:trHeight w:val="200"/>
          <w:tblCellSpacing w:w="15" w:type="dxa"/>
        </w:trPr>
        <w:tc>
          <w:tcPr>
            <w:tcW w:w="0" w:type="auto"/>
            <w:hideMark/>
          </w:tcPr>
          <w:p w14:paraId="7A29D528" w14:textId="77777777" w:rsidR="00000000" w:rsidRDefault="00632532">
            <w:pPr>
              <w:pStyle w:val="a3"/>
              <w:spacing w:before="0" w:beforeAutospacing="0" w:after="0" w:afterAutospacing="0"/>
              <w:ind w:left="200"/>
              <w:rPr>
                <w:sz w:val="20"/>
                <w:szCs w:val="20"/>
              </w:rPr>
            </w:pPr>
            <w:r>
              <w:rPr>
                <w:sz w:val="20"/>
                <w:szCs w:val="20"/>
              </w:rPr>
              <w:t>Foreign currency translation loss (gain) attributable to noncontrolling interes</w:t>
            </w:r>
            <w:r>
              <w:rPr>
                <w:sz w:val="20"/>
                <w:szCs w:val="20"/>
              </w:rPr>
              <w:t>t</w:t>
            </w:r>
          </w:p>
        </w:tc>
        <w:tc>
          <w:tcPr>
            <w:tcW w:w="0" w:type="auto"/>
            <w:noWrap/>
            <w:vAlign w:val="bottom"/>
            <w:hideMark/>
          </w:tcPr>
          <w:p w14:paraId="31E355F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66D1DA" w14:textId="77777777" w:rsidR="00000000" w:rsidRDefault="00632532">
            <w:pPr>
              <w:pStyle w:val="a3"/>
              <w:spacing w:before="0" w:beforeAutospacing="0" w:after="0" w:afterAutospacing="0"/>
              <w:jc w:val="right"/>
              <w:rPr>
                <w:sz w:val="20"/>
                <w:szCs w:val="20"/>
              </w:rPr>
            </w:pPr>
            <w:r>
              <w:rPr>
                <w:sz w:val="20"/>
                <w:szCs w:val="20"/>
              </w:rPr>
              <w:t>42</w:t>
            </w:r>
            <w:r>
              <w:rPr>
                <w:sz w:val="20"/>
                <w:szCs w:val="20"/>
              </w:rPr>
              <w:t>2</w:t>
            </w:r>
          </w:p>
        </w:tc>
        <w:tc>
          <w:tcPr>
            <w:tcW w:w="0" w:type="auto"/>
            <w:noWrap/>
            <w:vAlign w:val="bottom"/>
            <w:hideMark/>
          </w:tcPr>
          <w:p w14:paraId="788D9D9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E2A9C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1990D7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A76388" w14:textId="77777777" w:rsidR="00000000" w:rsidRDefault="00632532">
            <w:pPr>
              <w:pStyle w:val="a3"/>
              <w:spacing w:before="0" w:beforeAutospacing="0" w:after="0" w:afterAutospacing="0"/>
              <w:jc w:val="right"/>
              <w:rPr>
                <w:sz w:val="20"/>
                <w:szCs w:val="20"/>
              </w:rPr>
            </w:pPr>
            <w:r>
              <w:rPr>
                <w:sz w:val="20"/>
                <w:szCs w:val="20"/>
              </w:rPr>
              <w:t>(</w:t>
            </w:r>
            <w:r>
              <w:rPr>
                <w:sz w:val="20"/>
                <w:szCs w:val="20"/>
              </w:rPr>
              <w:t>1</w:t>
            </w:r>
            <w:r>
              <w:rPr>
                <w:sz w:val="20"/>
                <w:szCs w:val="20"/>
              </w:rPr>
              <w:t>0</w:t>
            </w:r>
          </w:p>
        </w:tc>
        <w:tc>
          <w:tcPr>
            <w:tcW w:w="0" w:type="auto"/>
            <w:noWrap/>
            <w:vAlign w:val="bottom"/>
            <w:hideMark/>
          </w:tcPr>
          <w:p w14:paraId="0BA21A46" w14:textId="77777777" w:rsidR="00000000" w:rsidRDefault="00632532">
            <w:pPr>
              <w:pStyle w:val="a3"/>
              <w:spacing w:before="0" w:beforeAutospacing="0" w:after="0" w:afterAutospacing="0"/>
              <w:rPr>
                <w:sz w:val="20"/>
                <w:szCs w:val="20"/>
              </w:rPr>
            </w:pPr>
            <w:r>
              <w:rPr>
                <w:sz w:val="20"/>
                <w:szCs w:val="20"/>
              </w:rPr>
              <w:t>)</w:t>
            </w:r>
          </w:p>
        </w:tc>
        <w:tc>
          <w:tcPr>
            <w:tcW w:w="0" w:type="auto"/>
            <w:hideMark/>
          </w:tcPr>
          <w:p w14:paraId="64D695F1"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1743265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222DF3" w14:textId="77777777" w:rsidR="00000000" w:rsidRDefault="00632532">
            <w:pPr>
              <w:pStyle w:val="a3"/>
              <w:spacing w:before="0" w:beforeAutospacing="0" w:after="0" w:afterAutospacing="0"/>
              <w:jc w:val="right"/>
              <w:rPr>
                <w:sz w:val="20"/>
                <w:szCs w:val="20"/>
              </w:rPr>
            </w:pPr>
            <w:r>
              <w:rPr>
                <w:sz w:val="20"/>
                <w:szCs w:val="20"/>
              </w:rPr>
              <w:t>30</w:t>
            </w:r>
            <w:r>
              <w:rPr>
                <w:sz w:val="20"/>
                <w:szCs w:val="20"/>
              </w:rPr>
              <w:t>3</w:t>
            </w:r>
          </w:p>
        </w:tc>
        <w:tc>
          <w:tcPr>
            <w:tcW w:w="0" w:type="auto"/>
            <w:noWrap/>
            <w:vAlign w:val="bottom"/>
            <w:hideMark/>
          </w:tcPr>
          <w:p w14:paraId="6849770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5691B44"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C47EEF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EA7962E" w14:textId="77777777" w:rsidR="00000000" w:rsidRDefault="00632532">
            <w:pPr>
              <w:pStyle w:val="a3"/>
              <w:spacing w:before="0" w:beforeAutospacing="0" w:after="0" w:afterAutospacing="0"/>
              <w:jc w:val="right"/>
              <w:rPr>
                <w:sz w:val="20"/>
                <w:szCs w:val="20"/>
              </w:rPr>
            </w:pPr>
            <w:r>
              <w:rPr>
                <w:sz w:val="20"/>
                <w:szCs w:val="20"/>
              </w:rPr>
              <w:t>(</w:t>
            </w:r>
            <w:r>
              <w:rPr>
                <w:sz w:val="20"/>
                <w:szCs w:val="20"/>
              </w:rPr>
              <w:t>1</w:t>
            </w:r>
            <w:r>
              <w:rPr>
                <w:sz w:val="20"/>
                <w:szCs w:val="20"/>
              </w:rPr>
              <w:t>0</w:t>
            </w:r>
          </w:p>
        </w:tc>
        <w:tc>
          <w:tcPr>
            <w:tcW w:w="0" w:type="auto"/>
            <w:noWrap/>
            <w:vAlign w:val="bottom"/>
            <w:hideMark/>
          </w:tcPr>
          <w:p w14:paraId="3E3946BE" w14:textId="77777777" w:rsidR="00000000" w:rsidRDefault="00632532">
            <w:pPr>
              <w:pStyle w:val="a3"/>
              <w:spacing w:before="0" w:beforeAutospacing="0" w:after="0" w:afterAutospacing="0"/>
              <w:rPr>
                <w:sz w:val="20"/>
                <w:szCs w:val="20"/>
              </w:rPr>
            </w:pPr>
            <w:r>
              <w:rPr>
                <w:sz w:val="20"/>
                <w:szCs w:val="20"/>
              </w:rPr>
              <w:t>)</w:t>
            </w:r>
          </w:p>
        </w:tc>
      </w:tr>
      <w:tr w:rsidR="00000000" w14:paraId="71F5B701" w14:textId="77777777">
        <w:trPr>
          <w:trHeight w:val="200"/>
          <w:tblCellSpacing w:w="15" w:type="dxa"/>
        </w:trPr>
        <w:tc>
          <w:tcPr>
            <w:tcW w:w="0" w:type="auto"/>
            <w:hideMark/>
          </w:tcPr>
          <w:p w14:paraId="761471B5" w14:textId="77777777" w:rsidR="00000000" w:rsidRDefault="00632532">
            <w:pPr>
              <w:pStyle w:val="a3"/>
              <w:spacing w:before="0" w:beforeAutospacing="0" w:after="0" w:afterAutospacing="0"/>
              <w:rPr>
                <w:sz w:val="20"/>
                <w:szCs w:val="20"/>
              </w:rPr>
            </w:pPr>
            <w:r>
              <w:rPr>
                <w:b/>
                <w:bCs/>
                <w:sz w:val="20"/>
                <w:szCs w:val="20"/>
              </w:rPr>
              <w:t>Comprehensive loss attributable to noncontrolling interes</w:t>
            </w:r>
            <w:r>
              <w:rPr>
                <w:b/>
                <w:bCs/>
                <w:sz w:val="20"/>
                <w:szCs w:val="20"/>
              </w:rPr>
              <w:t>t</w:t>
            </w:r>
          </w:p>
        </w:tc>
        <w:tc>
          <w:tcPr>
            <w:tcW w:w="0" w:type="auto"/>
            <w:noWrap/>
            <w:vAlign w:val="bottom"/>
            <w:hideMark/>
          </w:tcPr>
          <w:p w14:paraId="095B2DE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9FDE300" w14:textId="77777777" w:rsidR="00000000" w:rsidRDefault="00632532">
            <w:pPr>
              <w:pStyle w:val="a3"/>
              <w:spacing w:before="0" w:beforeAutospacing="0" w:after="0" w:afterAutospacing="0"/>
              <w:jc w:val="right"/>
              <w:rPr>
                <w:sz w:val="20"/>
                <w:szCs w:val="20"/>
              </w:rPr>
            </w:pPr>
            <w:r>
              <w:rPr>
                <w:sz w:val="20"/>
                <w:szCs w:val="20"/>
              </w:rPr>
              <w:t>86</w:t>
            </w:r>
            <w:r>
              <w:rPr>
                <w:sz w:val="20"/>
                <w:szCs w:val="20"/>
              </w:rPr>
              <w:t>0</w:t>
            </w:r>
          </w:p>
        </w:tc>
        <w:tc>
          <w:tcPr>
            <w:tcW w:w="0" w:type="auto"/>
            <w:noWrap/>
            <w:vAlign w:val="bottom"/>
            <w:hideMark/>
          </w:tcPr>
          <w:p w14:paraId="6BFA1AD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E39705"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A25859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82C58C" w14:textId="77777777" w:rsidR="00000000" w:rsidRDefault="00632532">
            <w:pPr>
              <w:pStyle w:val="a3"/>
              <w:spacing w:before="0" w:beforeAutospacing="0" w:after="0" w:afterAutospacing="0"/>
              <w:jc w:val="right"/>
              <w:rPr>
                <w:sz w:val="20"/>
                <w:szCs w:val="20"/>
              </w:rPr>
            </w:pPr>
            <w:r>
              <w:rPr>
                <w:sz w:val="20"/>
                <w:szCs w:val="20"/>
              </w:rPr>
              <w:t>15</w:t>
            </w:r>
            <w:r>
              <w:rPr>
                <w:sz w:val="20"/>
                <w:szCs w:val="20"/>
              </w:rPr>
              <w:t>5</w:t>
            </w:r>
          </w:p>
        </w:tc>
        <w:tc>
          <w:tcPr>
            <w:tcW w:w="0" w:type="auto"/>
            <w:noWrap/>
            <w:vAlign w:val="bottom"/>
            <w:hideMark/>
          </w:tcPr>
          <w:p w14:paraId="6FE187F0"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3A28FA99" w14:textId="77777777" w:rsidR="00000000" w:rsidRDefault="00632532">
            <w:pPr>
              <w:pStyle w:val="a3"/>
              <w:spacing w:before="0" w:beforeAutospacing="0" w:after="0" w:afterAutospacing="0"/>
              <w:ind w:left="200"/>
              <w:rPr>
                <w:sz w:val="20"/>
                <w:szCs w:val="20"/>
              </w:rPr>
            </w:pPr>
            <w:r>
              <w:rPr>
                <w:sz w:val="20"/>
                <w:szCs w:val="20"/>
              </w:rPr>
              <w:t> </w:t>
            </w:r>
          </w:p>
        </w:tc>
        <w:tc>
          <w:tcPr>
            <w:tcW w:w="0" w:type="auto"/>
            <w:noWrap/>
            <w:vAlign w:val="bottom"/>
            <w:hideMark/>
          </w:tcPr>
          <w:p w14:paraId="5122958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6CF1CA2" w14:textId="77777777" w:rsidR="00000000" w:rsidRDefault="00632532">
            <w:pPr>
              <w:pStyle w:val="a3"/>
              <w:spacing w:before="0" w:beforeAutospacing="0" w:after="0" w:afterAutospacing="0"/>
              <w:jc w:val="right"/>
              <w:rPr>
                <w:sz w:val="20"/>
                <w:szCs w:val="20"/>
              </w:rPr>
            </w:pPr>
            <w:r>
              <w:rPr>
                <w:sz w:val="20"/>
                <w:szCs w:val="20"/>
              </w:rPr>
              <w:t>1,16</w:t>
            </w:r>
            <w:r>
              <w:rPr>
                <w:sz w:val="20"/>
                <w:szCs w:val="20"/>
              </w:rPr>
              <w:t>3</w:t>
            </w:r>
          </w:p>
        </w:tc>
        <w:tc>
          <w:tcPr>
            <w:tcW w:w="0" w:type="auto"/>
            <w:noWrap/>
            <w:vAlign w:val="bottom"/>
            <w:hideMark/>
          </w:tcPr>
          <w:p w14:paraId="428A3C5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C3A502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42244A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B1B6DA" w14:textId="77777777" w:rsidR="00000000" w:rsidRDefault="00632532">
            <w:pPr>
              <w:pStyle w:val="a3"/>
              <w:spacing w:before="0" w:beforeAutospacing="0" w:after="0" w:afterAutospacing="0"/>
              <w:jc w:val="right"/>
              <w:rPr>
                <w:sz w:val="20"/>
                <w:szCs w:val="20"/>
              </w:rPr>
            </w:pPr>
            <w:r>
              <w:rPr>
                <w:sz w:val="20"/>
                <w:szCs w:val="20"/>
              </w:rPr>
              <w:t>15</w:t>
            </w:r>
            <w:r>
              <w:rPr>
                <w:sz w:val="20"/>
                <w:szCs w:val="20"/>
              </w:rPr>
              <w:t>5</w:t>
            </w:r>
          </w:p>
        </w:tc>
        <w:tc>
          <w:tcPr>
            <w:tcW w:w="0" w:type="auto"/>
            <w:noWrap/>
            <w:vAlign w:val="bottom"/>
            <w:hideMark/>
          </w:tcPr>
          <w:p w14:paraId="79C0BBE8" w14:textId="77777777" w:rsidR="00000000" w:rsidRDefault="00632532">
            <w:pPr>
              <w:pStyle w:val="a3"/>
              <w:spacing w:before="0" w:beforeAutospacing="0" w:after="0" w:afterAutospacing="0"/>
              <w:rPr>
                <w:sz w:val="20"/>
                <w:szCs w:val="20"/>
              </w:rPr>
            </w:pPr>
            <w:r>
              <w:rPr>
                <w:sz w:val="20"/>
                <w:szCs w:val="20"/>
              </w:rPr>
              <w:t> </w:t>
            </w:r>
          </w:p>
        </w:tc>
      </w:tr>
      <w:tr w:rsidR="00000000" w14:paraId="5C36B8D0" w14:textId="77777777">
        <w:trPr>
          <w:trHeight w:val="200"/>
          <w:tblCellSpacing w:w="15" w:type="dxa"/>
        </w:trPr>
        <w:tc>
          <w:tcPr>
            <w:tcW w:w="0" w:type="auto"/>
            <w:hideMark/>
          </w:tcPr>
          <w:p w14:paraId="7A7A87C9" w14:textId="77777777" w:rsidR="00000000" w:rsidRDefault="00632532">
            <w:pPr>
              <w:pStyle w:val="a3"/>
              <w:spacing w:before="0" w:beforeAutospacing="0" w:after="0" w:afterAutospacing="0"/>
              <w:rPr>
                <w:sz w:val="20"/>
                <w:szCs w:val="20"/>
              </w:rPr>
            </w:pPr>
            <w:r>
              <w:rPr>
                <w:b/>
                <w:bCs/>
                <w:sz w:val="20"/>
                <w:szCs w:val="20"/>
              </w:rPr>
              <w:t>Comprehensive income attributable to Fulgen</w:t>
            </w:r>
            <w:r>
              <w:rPr>
                <w:b/>
                <w:bCs/>
                <w:sz w:val="20"/>
                <w:szCs w:val="20"/>
              </w:rPr>
              <w:t>t</w:t>
            </w:r>
          </w:p>
        </w:tc>
        <w:tc>
          <w:tcPr>
            <w:tcW w:w="0" w:type="auto"/>
            <w:noWrap/>
            <w:vAlign w:val="bottom"/>
            <w:hideMark/>
          </w:tcPr>
          <w:p w14:paraId="49B835E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AF90A48" w14:textId="77777777" w:rsidR="00000000" w:rsidRDefault="00632532">
            <w:pPr>
              <w:pStyle w:val="a3"/>
              <w:spacing w:before="0" w:beforeAutospacing="0" w:after="0" w:afterAutospacing="0"/>
              <w:jc w:val="right"/>
              <w:rPr>
                <w:sz w:val="20"/>
                <w:szCs w:val="20"/>
              </w:rPr>
            </w:pPr>
            <w:r>
              <w:rPr>
                <w:sz w:val="20"/>
                <w:szCs w:val="20"/>
              </w:rPr>
              <w:t>1,61</w:t>
            </w:r>
            <w:r>
              <w:rPr>
                <w:sz w:val="20"/>
                <w:szCs w:val="20"/>
              </w:rPr>
              <w:t>3</w:t>
            </w:r>
          </w:p>
        </w:tc>
        <w:tc>
          <w:tcPr>
            <w:tcW w:w="0" w:type="auto"/>
            <w:noWrap/>
            <w:vAlign w:val="bottom"/>
            <w:hideMark/>
          </w:tcPr>
          <w:p w14:paraId="7F0C2F7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184E03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19B441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C8F646C" w14:textId="77777777" w:rsidR="00000000" w:rsidRDefault="00632532">
            <w:pPr>
              <w:pStyle w:val="a3"/>
              <w:spacing w:before="0" w:beforeAutospacing="0" w:after="0" w:afterAutospacing="0"/>
              <w:jc w:val="right"/>
              <w:rPr>
                <w:sz w:val="20"/>
                <w:szCs w:val="20"/>
              </w:rPr>
            </w:pPr>
            <w:r>
              <w:rPr>
                <w:sz w:val="20"/>
                <w:szCs w:val="20"/>
              </w:rPr>
              <w:t>79,76</w:t>
            </w:r>
            <w:r>
              <w:rPr>
                <w:sz w:val="20"/>
                <w:szCs w:val="20"/>
              </w:rPr>
              <w:t>3</w:t>
            </w:r>
          </w:p>
        </w:tc>
        <w:tc>
          <w:tcPr>
            <w:tcW w:w="0" w:type="auto"/>
            <w:noWrap/>
            <w:vAlign w:val="bottom"/>
            <w:hideMark/>
          </w:tcPr>
          <w:p w14:paraId="140C3CB5"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3481AB7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D9AF70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D038D60" w14:textId="77777777" w:rsidR="00000000" w:rsidRDefault="00632532">
            <w:pPr>
              <w:pStyle w:val="a3"/>
              <w:spacing w:before="0" w:beforeAutospacing="0" w:after="0" w:afterAutospacing="0"/>
              <w:jc w:val="right"/>
              <w:rPr>
                <w:sz w:val="20"/>
                <w:szCs w:val="20"/>
              </w:rPr>
            </w:pPr>
            <w:r>
              <w:rPr>
                <w:sz w:val="20"/>
                <w:szCs w:val="20"/>
              </w:rPr>
              <w:t>143,85</w:t>
            </w:r>
            <w:r>
              <w:rPr>
                <w:sz w:val="20"/>
                <w:szCs w:val="20"/>
              </w:rPr>
              <w:t>8</w:t>
            </w:r>
          </w:p>
        </w:tc>
        <w:tc>
          <w:tcPr>
            <w:tcW w:w="0" w:type="auto"/>
            <w:noWrap/>
            <w:vAlign w:val="bottom"/>
            <w:hideMark/>
          </w:tcPr>
          <w:p w14:paraId="3C5380C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812C1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8852C3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7FF4814" w14:textId="77777777" w:rsidR="00000000" w:rsidRDefault="00632532">
            <w:pPr>
              <w:pStyle w:val="a3"/>
              <w:spacing w:before="0" w:beforeAutospacing="0" w:after="0" w:afterAutospacing="0"/>
              <w:jc w:val="right"/>
              <w:rPr>
                <w:sz w:val="20"/>
                <w:szCs w:val="20"/>
              </w:rPr>
            </w:pPr>
            <w:r>
              <w:rPr>
                <w:sz w:val="20"/>
                <w:szCs w:val="20"/>
              </w:rPr>
              <w:t>279,80</w:t>
            </w:r>
            <w:r>
              <w:rPr>
                <w:sz w:val="20"/>
                <w:szCs w:val="20"/>
              </w:rPr>
              <w:t>0</w:t>
            </w:r>
          </w:p>
        </w:tc>
        <w:tc>
          <w:tcPr>
            <w:tcW w:w="0" w:type="auto"/>
            <w:noWrap/>
            <w:vAlign w:val="bottom"/>
            <w:hideMark/>
          </w:tcPr>
          <w:p w14:paraId="077CDCFE" w14:textId="77777777" w:rsidR="00000000" w:rsidRDefault="00632532">
            <w:pPr>
              <w:pStyle w:val="a3"/>
              <w:spacing w:before="0" w:beforeAutospacing="0" w:after="0" w:afterAutospacing="0"/>
              <w:rPr>
                <w:sz w:val="20"/>
                <w:szCs w:val="20"/>
              </w:rPr>
            </w:pPr>
            <w:r>
              <w:rPr>
                <w:sz w:val="20"/>
                <w:szCs w:val="20"/>
              </w:rPr>
              <w:t> </w:t>
            </w:r>
          </w:p>
        </w:tc>
      </w:tr>
    </w:tbl>
    <w:p w14:paraId="3A5CFAC6" w14:textId="77777777" w:rsidR="00000000" w:rsidRDefault="00632532">
      <w:pPr>
        <w:pStyle w:val="a3"/>
        <w:spacing w:before="0" w:beforeAutospacing="0" w:after="0" w:afterAutospacing="0"/>
        <w:rPr>
          <w:sz w:val="20"/>
          <w:szCs w:val="20"/>
        </w:rPr>
      </w:pPr>
      <w:r>
        <w:rPr>
          <w:sz w:val="20"/>
          <w:szCs w:val="20"/>
        </w:rPr>
        <w:t> </w:t>
      </w:r>
    </w:p>
    <w:p w14:paraId="1C0D5766" w14:textId="77777777" w:rsidR="00000000" w:rsidRDefault="00632532">
      <w:pPr>
        <w:pStyle w:val="a3"/>
        <w:spacing w:before="0" w:beforeAutospacing="0" w:after="0" w:afterAutospacing="0"/>
        <w:rPr>
          <w:sz w:val="20"/>
          <w:szCs w:val="20"/>
        </w:rPr>
      </w:pPr>
      <w:r>
        <w:rPr>
          <w:sz w:val="20"/>
          <w:szCs w:val="20"/>
        </w:rPr>
        <w:t> </w:t>
      </w:r>
    </w:p>
    <w:p w14:paraId="46DE92E3" w14:textId="77777777" w:rsidR="00000000" w:rsidRDefault="00632532">
      <w:pPr>
        <w:pStyle w:val="a3"/>
        <w:spacing w:before="0" w:beforeAutospacing="0" w:after="0" w:afterAutospacing="0"/>
        <w:jc w:val="center"/>
        <w:rPr>
          <w:sz w:val="20"/>
          <w:szCs w:val="20"/>
        </w:rPr>
      </w:pPr>
      <w:r>
        <w:rPr>
          <w:sz w:val="20"/>
          <w:szCs w:val="20"/>
        </w:rPr>
        <w:t>The accompanying notes are an integral part of these condensed consolidated financial statement</w:t>
      </w:r>
      <w:r>
        <w:rPr>
          <w:sz w:val="20"/>
          <w:szCs w:val="20"/>
        </w:rPr>
        <w:t>s</w:t>
      </w:r>
      <w:r>
        <w:t>.</w:t>
      </w:r>
    </w:p>
    <w:p w14:paraId="63B5D618" w14:textId="77777777" w:rsidR="00000000" w:rsidRDefault="00632532">
      <w:pPr>
        <w:pStyle w:val="a3"/>
        <w:spacing w:before="240" w:beforeAutospacing="0" w:after="0" w:afterAutospacing="0"/>
        <w:jc w:val="center"/>
        <w:rPr>
          <w:sz w:val="20"/>
          <w:szCs w:val="20"/>
        </w:rPr>
      </w:pPr>
      <w:r>
        <w:rPr>
          <w:sz w:val="20"/>
          <w:szCs w:val="20"/>
        </w:rPr>
        <w:t>3</w:t>
      </w:r>
    </w:p>
    <w:p w14:paraId="51E3496F" w14:textId="77777777" w:rsidR="00000000" w:rsidRDefault="00632532">
      <w:pPr>
        <w:rPr>
          <w:rFonts w:eastAsia="Times New Roman"/>
        </w:rPr>
      </w:pPr>
      <w:r>
        <w:rPr>
          <w:rFonts w:eastAsia="Times New Roman"/>
        </w:rPr>
        <w:pict w14:anchorId="27B25B32">
          <v:rect id="_x0000_i1029" style="width:0;height:1.5pt" o:hralign="center" o:hrstd="t" o:hr="t" fillcolor="#a0a0a0" stroked="f"/>
        </w:pict>
      </w:r>
    </w:p>
    <w:p w14:paraId="178504B0" w14:textId="77777777" w:rsidR="00000000" w:rsidRDefault="00632532">
      <w:pPr>
        <w:pStyle w:val="a3"/>
        <w:spacing w:before="0" w:beforeAutospacing="0" w:after="0" w:afterAutospacing="0"/>
        <w:jc w:val="center"/>
        <w:rPr>
          <w:sz w:val="20"/>
          <w:szCs w:val="20"/>
        </w:rPr>
      </w:pPr>
      <w:r>
        <w:rPr>
          <w:b/>
          <w:bCs/>
          <w:sz w:val="20"/>
          <w:szCs w:val="20"/>
        </w:rPr>
        <w:t>FULGENT GENETICS, INC</w:t>
      </w:r>
      <w:r>
        <w:rPr>
          <w:b/>
          <w:bCs/>
          <w:sz w:val="20"/>
          <w:szCs w:val="20"/>
        </w:rPr>
        <w:t>.</w:t>
      </w:r>
    </w:p>
    <w:p w14:paraId="651193D9" w14:textId="77777777" w:rsidR="00000000" w:rsidRDefault="00632532">
      <w:pPr>
        <w:pStyle w:val="a3"/>
        <w:spacing w:before="0" w:beforeAutospacing="0" w:after="0" w:afterAutospacing="0"/>
        <w:jc w:val="center"/>
        <w:rPr>
          <w:sz w:val="20"/>
          <w:szCs w:val="20"/>
        </w:rPr>
      </w:pPr>
      <w:r>
        <w:rPr>
          <w:b/>
          <w:bCs/>
          <w:sz w:val="20"/>
          <w:szCs w:val="20"/>
        </w:rPr>
        <w:t>Condensed Consolidated Statements of Stockholders’ Equit</w:t>
      </w:r>
      <w:r>
        <w:rPr>
          <w:b/>
          <w:bCs/>
          <w:sz w:val="20"/>
          <w:szCs w:val="20"/>
        </w:rPr>
        <w:t>y</w:t>
      </w:r>
    </w:p>
    <w:p w14:paraId="6E61E9B6" w14:textId="77777777" w:rsidR="00000000" w:rsidRDefault="00632532">
      <w:pPr>
        <w:pStyle w:val="a3"/>
        <w:spacing w:before="0" w:beforeAutospacing="0" w:after="0" w:afterAutospacing="0"/>
        <w:jc w:val="center"/>
        <w:rPr>
          <w:sz w:val="20"/>
          <w:szCs w:val="20"/>
        </w:rPr>
      </w:pPr>
      <w:r>
        <w:rPr>
          <w:b/>
          <w:bCs/>
          <w:sz w:val="20"/>
          <w:szCs w:val="20"/>
        </w:rPr>
        <w:t>(in thousands</w:t>
      </w:r>
      <w:r>
        <w:rPr>
          <w:b/>
          <w:bCs/>
          <w:sz w:val="20"/>
          <w:szCs w:val="20"/>
        </w:rPr>
        <w:t>)</w:t>
      </w:r>
    </w:p>
    <w:p w14:paraId="3D4FCAF3" w14:textId="77777777" w:rsidR="00000000" w:rsidRDefault="00632532">
      <w:pPr>
        <w:pStyle w:val="a3"/>
        <w:spacing w:before="0" w:beforeAutospacing="0" w:after="0" w:afterAutospacing="0"/>
        <w:jc w:val="center"/>
        <w:rPr>
          <w:sz w:val="20"/>
          <w:szCs w:val="20"/>
        </w:rPr>
      </w:pPr>
      <w:r>
        <w:rPr>
          <w:b/>
          <w:bCs/>
          <w:sz w:val="20"/>
          <w:szCs w:val="20"/>
        </w:rPr>
        <w:t>(unaudited</w:t>
      </w:r>
      <w:r>
        <w:rPr>
          <w:b/>
          <w:bCs/>
          <w:sz w:val="20"/>
          <w:szCs w:val="20"/>
        </w:rPr>
        <w:t>)</w:t>
      </w:r>
    </w:p>
    <w:p w14:paraId="3929B268"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5"/>
        <w:gridCol w:w="105"/>
        <w:gridCol w:w="105"/>
        <w:gridCol w:w="555"/>
        <w:gridCol w:w="120"/>
        <w:gridCol w:w="105"/>
        <w:gridCol w:w="151"/>
        <w:gridCol w:w="522"/>
        <w:gridCol w:w="105"/>
        <w:gridCol w:w="105"/>
        <w:gridCol w:w="150"/>
        <w:gridCol w:w="645"/>
        <w:gridCol w:w="120"/>
        <w:gridCol w:w="105"/>
        <w:gridCol w:w="151"/>
        <w:gridCol w:w="988"/>
        <w:gridCol w:w="120"/>
        <w:gridCol w:w="105"/>
        <w:gridCol w:w="150"/>
        <w:gridCol w:w="645"/>
        <w:gridCol w:w="105"/>
        <w:gridCol w:w="105"/>
        <w:gridCol w:w="151"/>
        <w:gridCol w:w="855"/>
        <w:gridCol w:w="120"/>
        <w:gridCol w:w="105"/>
        <w:gridCol w:w="151"/>
        <w:gridCol w:w="953"/>
        <w:gridCol w:w="120"/>
        <w:gridCol w:w="105"/>
        <w:gridCol w:w="150"/>
        <w:gridCol w:w="780"/>
        <w:gridCol w:w="135"/>
      </w:tblGrid>
      <w:tr w:rsidR="00000000" w14:paraId="13B07E72" w14:textId="77777777">
        <w:trPr>
          <w:tblCellSpacing w:w="15" w:type="dxa"/>
        </w:trPr>
        <w:tc>
          <w:tcPr>
            <w:tcW w:w="996" w:type="pct"/>
            <w:vAlign w:val="center"/>
            <w:hideMark/>
          </w:tcPr>
          <w:p w14:paraId="0FAE095D" w14:textId="77777777" w:rsidR="00000000" w:rsidRDefault="00632532">
            <w:pPr>
              <w:rPr>
                <w:sz w:val="20"/>
                <w:szCs w:val="20"/>
              </w:rPr>
            </w:pPr>
          </w:p>
        </w:tc>
        <w:tc>
          <w:tcPr>
            <w:tcW w:w="42" w:type="pct"/>
            <w:vAlign w:val="center"/>
            <w:hideMark/>
          </w:tcPr>
          <w:p w14:paraId="22A9F680" w14:textId="77777777" w:rsidR="00000000" w:rsidRDefault="00632532">
            <w:pPr>
              <w:rPr>
                <w:rFonts w:eastAsia="Times New Roman"/>
                <w:sz w:val="20"/>
                <w:szCs w:val="20"/>
              </w:rPr>
            </w:pPr>
          </w:p>
        </w:tc>
        <w:tc>
          <w:tcPr>
            <w:tcW w:w="50" w:type="pct"/>
            <w:vAlign w:val="center"/>
            <w:hideMark/>
          </w:tcPr>
          <w:p w14:paraId="6D624B70" w14:textId="77777777" w:rsidR="00000000" w:rsidRDefault="00632532">
            <w:pPr>
              <w:rPr>
                <w:rFonts w:eastAsia="Times New Roman"/>
                <w:sz w:val="20"/>
                <w:szCs w:val="20"/>
              </w:rPr>
            </w:pPr>
          </w:p>
        </w:tc>
        <w:tc>
          <w:tcPr>
            <w:tcW w:w="272" w:type="pct"/>
            <w:vAlign w:val="center"/>
            <w:hideMark/>
          </w:tcPr>
          <w:p w14:paraId="6EF4F7B4" w14:textId="77777777" w:rsidR="00000000" w:rsidRDefault="00632532">
            <w:pPr>
              <w:rPr>
                <w:rFonts w:eastAsia="Times New Roman"/>
                <w:sz w:val="20"/>
                <w:szCs w:val="20"/>
              </w:rPr>
            </w:pPr>
          </w:p>
        </w:tc>
        <w:tc>
          <w:tcPr>
            <w:tcW w:w="50" w:type="pct"/>
            <w:vAlign w:val="center"/>
            <w:hideMark/>
          </w:tcPr>
          <w:p w14:paraId="46CFA382" w14:textId="77777777" w:rsidR="00000000" w:rsidRDefault="00632532">
            <w:pPr>
              <w:rPr>
                <w:rFonts w:eastAsia="Times New Roman"/>
                <w:sz w:val="20"/>
                <w:szCs w:val="20"/>
              </w:rPr>
            </w:pPr>
          </w:p>
        </w:tc>
        <w:tc>
          <w:tcPr>
            <w:tcW w:w="42" w:type="pct"/>
            <w:vAlign w:val="center"/>
            <w:hideMark/>
          </w:tcPr>
          <w:p w14:paraId="26C09A74" w14:textId="77777777" w:rsidR="00000000" w:rsidRDefault="00632532">
            <w:pPr>
              <w:rPr>
                <w:rFonts w:eastAsia="Times New Roman"/>
                <w:sz w:val="20"/>
                <w:szCs w:val="20"/>
              </w:rPr>
            </w:pPr>
          </w:p>
        </w:tc>
        <w:tc>
          <w:tcPr>
            <w:tcW w:w="50" w:type="pct"/>
            <w:vAlign w:val="center"/>
            <w:hideMark/>
          </w:tcPr>
          <w:p w14:paraId="45F22104" w14:textId="77777777" w:rsidR="00000000" w:rsidRDefault="00632532">
            <w:pPr>
              <w:rPr>
                <w:rFonts w:eastAsia="Times New Roman"/>
                <w:sz w:val="20"/>
                <w:szCs w:val="20"/>
              </w:rPr>
            </w:pPr>
          </w:p>
        </w:tc>
        <w:tc>
          <w:tcPr>
            <w:tcW w:w="360" w:type="pct"/>
            <w:vAlign w:val="center"/>
            <w:hideMark/>
          </w:tcPr>
          <w:p w14:paraId="74E97E3A" w14:textId="77777777" w:rsidR="00000000" w:rsidRDefault="00632532">
            <w:pPr>
              <w:rPr>
                <w:rFonts w:eastAsia="Times New Roman"/>
                <w:sz w:val="20"/>
                <w:szCs w:val="20"/>
              </w:rPr>
            </w:pPr>
          </w:p>
        </w:tc>
        <w:tc>
          <w:tcPr>
            <w:tcW w:w="50" w:type="pct"/>
            <w:vAlign w:val="center"/>
            <w:hideMark/>
          </w:tcPr>
          <w:p w14:paraId="3C9C66DD" w14:textId="77777777" w:rsidR="00000000" w:rsidRDefault="00632532">
            <w:pPr>
              <w:rPr>
                <w:rFonts w:eastAsia="Times New Roman"/>
                <w:sz w:val="20"/>
                <w:szCs w:val="20"/>
              </w:rPr>
            </w:pPr>
          </w:p>
        </w:tc>
        <w:tc>
          <w:tcPr>
            <w:tcW w:w="42" w:type="pct"/>
            <w:vAlign w:val="center"/>
            <w:hideMark/>
          </w:tcPr>
          <w:p w14:paraId="5723066C" w14:textId="77777777" w:rsidR="00000000" w:rsidRDefault="00632532">
            <w:pPr>
              <w:rPr>
                <w:rFonts w:eastAsia="Times New Roman"/>
                <w:sz w:val="20"/>
                <w:szCs w:val="20"/>
              </w:rPr>
            </w:pPr>
          </w:p>
        </w:tc>
        <w:tc>
          <w:tcPr>
            <w:tcW w:w="50" w:type="pct"/>
            <w:vAlign w:val="center"/>
            <w:hideMark/>
          </w:tcPr>
          <w:p w14:paraId="75BA4AC7" w14:textId="77777777" w:rsidR="00000000" w:rsidRDefault="00632532">
            <w:pPr>
              <w:rPr>
                <w:rFonts w:eastAsia="Times New Roman"/>
                <w:sz w:val="20"/>
                <w:szCs w:val="20"/>
              </w:rPr>
            </w:pPr>
          </w:p>
        </w:tc>
        <w:tc>
          <w:tcPr>
            <w:tcW w:w="330" w:type="pct"/>
            <w:vAlign w:val="center"/>
            <w:hideMark/>
          </w:tcPr>
          <w:p w14:paraId="06D3A391" w14:textId="77777777" w:rsidR="00000000" w:rsidRDefault="00632532">
            <w:pPr>
              <w:rPr>
                <w:rFonts w:eastAsia="Times New Roman"/>
                <w:sz w:val="20"/>
                <w:szCs w:val="20"/>
              </w:rPr>
            </w:pPr>
          </w:p>
        </w:tc>
        <w:tc>
          <w:tcPr>
            <w:tcW w:w="50" w:type="pct"/>
            <w:vAlign w:val="center"/>
            <w:hideMark/>
          </w:tcPr>
          <w:p w14:paraId="00369B1E" w14:textId="77777777" w:rsidR="00000000" w:rsidRDefault="00632532">
            <w:pPr>
              <w:rPr>
                <w:rFonts w:eastAsia="Times New Roman"/>
                <w:sz w:val="20"/>
                <w:szCs w:val="20"/>
              </w:rPr>
            </w:pPr>
          </w:p>
        </w:tc>
        <w:tc>
          <w:tcPr>
            <w:tcW w:w="42" w:type="pct"/>
            <w:vAlign w:val="center"/>
            <w:hideMark/>
          </w:tcPr>
          <w:p w14:paraId="49E96C2B" w14:textId="77777777" w:rsidR="00000000" w:rsidRDefault="00632532">
            <w:pPr>
              <w:rPr>
                <w:rFonts w:eastAsia="Times New Roman"/>
                <w:sz w:val="20"/>
                <w:szCs w:val="20"/>
              </w:rPr>
            </w:pPr>
          </w:p>
        </w:tc>
        <w:tc>
          <w:tcPr>
            <w:tcW w:w="50" w:type="pct"/>
            <w:vAlign w:val="center"/>
            <w:hideMark/>
          </w:tcPr>
          <w:p w14:paraId="1AE79626" w14:textId="77777777" w:rsidR="00000000" w:rsidRDefault="00632532">
            <w:pPr>
              <w:rPr>
                <w:rFonts w:eastAsia="Times New Roman"/>
                <w:sz w:val="20"/>
                <w:szCs w:val="20"/>
              </w:rPr>
            </w:pPr>
          </w:p>
        </w:tc>
        <w:tc>
          <w:tcPr>
            <w:tcW w:w="441" w:type="pct"/>
            <w:vAlign w:val="center"/>
            <w:hideMark/>
          </w:tcPr>
          <w:p w14:paraId="41780094" w14:textId="77777777" w:rsidR="00000000" w:rsidRDefault="00632532">
            <w:pPr>
              <w:rPr>
                <w:rFonts w:eastAsia="Times New Roman"/>
                <w:sz w:val="20"/>
                <w:szCs w:val="20"/>
              </w:rPr>
            </w:pPr>
          </w:p>
        </w:tc>
        <w:tc>
          <w:tcPr>
            <w:tcW w:w="50" w:type="pct"/>
            <w:vAlign w:val="center"/>
            <w:hideMark/>
          </w:tcPr>
          <w:p w14:paraId="33BB0043" w14:textId="77777777" w:rsidR="00000000" w:rsidRDefault="00632532">
            <w:pPr>
              <w:rPr>
                <w:rFonts w:eastAsia="Times New Roman"/>
                <w:sz w:val="20"/>
                <w:szCs w:val="20"/>
              </w:rPr>
            </w:pPr>
          </w:p>
        </w:tc>
        <w:tc>
          <w:tcPr>
            <w:tcW w:w="42" w:type="pct"/>
            <w:vAlign w:val="center"/>
            <w:hideMark/>
          </w:tcPr>
          <w:p w14:paraId="2805E3A8" w14:textId="77777777" w:rsidR="00000000" w:rsidRDefault="00632532">
            <w:pPr>
              <w:rPr>
                <w:rFonts w:eastAsia="Times New Roman"/>
                <w:sz w:val="20"/>
                <w:szCs w:val="20"/>
              </w:rPr>
            </w:pPr>
          </w:p>
        </w:tc>
        <w:tc>
          <w:tcPr>
            <w:tcW w:w="50" w:type="pct"/>
            <w:vAlign w:val="center"/>
            <w:hideMark/>
          </w:tcPr>
          <w:p w14:paraId="04FB6B4B" w14:textId="77777777" w:rsidR="00000000" w:rsidRDefault="00632532">
            <w:pPr>
              <w:rPr>
                <w:rFonts w:eastAsia="Times New Roman"/>
                <w:sz w:val="20"/>
                <w:szCs w:val="20"/>
              </w:rPr>
            </w:pPr>
          </w:p>
        </w:tc>
        <w:tc>
          <w:tcPr>
            <w:tcW w:w="323" w:type="pct"/>
            <w:vAlign w:val="center"/>
            <w:hideMark/>
          </w:tcPr>
          <w:p w14:paraId="3C4FC5C2" w14:textId="77777777" w:rsidR="00000000" w:rsidRDefault="00632532">
            <w:pPr>
              <w:rPr>
                <w:rFonts w:eastAsia="Times New Roman"/>
                <w:sz w:val="20"/>
                <w:szCs w:val="20"/>
              </w:rPr>
            </w:pPr>
          </w:p>
        </w:tc>
        <w:tc>
          <w:tcPr>
            <w:tcW w:w="50" w:type="pct"/>
            <w:vAlign w:val="center"/>
            <w:hideMark/>
          </w:tcPr>
          <w:p w14:paraId="5B626F14" w14:textId="77777777" w:rsidR="00000000" w:rsidRDefault="00632532">
            <w:pPr>
              <w:rPr>
                <w:rFonts w:eastAsia="Times New Roman"/>
                <w:sz w:val="20"/>
                <w:szCs w:val="20"/>
              </w:rPr>
            </w:pPr>
          </w:p>
        </w:tc>
        <w:tc>
          <w:tcPr>
            <w:tcW w:w="42" w:type="pct"/>
            <w:vAlign w:val="center"/>
            <w:hideMark/>
          </w:tcPr>
          <w:p w14:paraId="6A4C36AB" w14:textId="77777777" w:rsidR="00000000" w:rsidRDefault="00632532">
            <w:pPr>
              <w:rPr>
                <w:rFonts w:eastAsia="Times New Roman"/>
                <w:sz w:val="20"/>
                <w:szCs w:val="20"/>
              </w:rPr>
            </w:pPr>
          </w:p>
        </w:tc>
        <w:tc>
          <w:tcPr>
            <w:tcW w:w="50" w:type="pct"/>
            <w:vAlign w:val="center"/>
            <w:hideMark/>
          </w:tcPr>
          <w:p w14:paraId="08DA2740" w14:textId="77777777" w:rsidR="00000000" w:rsidRDefault="00632532">
            <w:pPr>
              <w:rPr>
                <w:rFonts w:eastAsia="Times New Roman"/>
                <w:sz w:val="20"/>
                <w:szCs w:val="20"/>
              </w:rPr>
            </w:pPr>
          </w:p>
        </w:tc>
        <w:tc>
          <w:tcPr>
            <w:tcW w:w="379" w:type="pct"/>
            <w:vAlign w:val="center"/>
            <w:hideMark/>
          </w:tcPr>
          <w:p w14:paraId="34206FA8" w14:textId="77777777" w:rsidR="00000000" w:rsidRDefault="00632532">
            <w:pPr>
              <w:rPr>
                <w:rFonts w:eastAsia="Times New Roman"/>
                <w:sz w:val="20"/>
                <w:szCs w:val="20"/>
              </w:rPr>
            </w:pPr>
          </w:p>
        </w:tc>
        <w:tc>
          <w:tcPr>
            <w:tcW w:w="50" w:type="pct"/>
            <w:vAlign w:val="center"/>
            <w:hideMark/>
          </w:tcPr>
          <w:p w14:paraId="5B685CB7" w14:textId="77777777" w:rsidR="00000000" w:rsidRDefault="00632532">
            <w:pPr>
              <w:rPr>
                <w:rFonts w:eastAsia="Times New Roman"/>
                <w:sz w:val="20"/>
                <w:szCs w:val="20"/>
              </w:rPr>
            </w:pPr>
          </w:p>
        </w:tc>
        <w:tc>
          <w:tcPr>
            <w:tcW w:w="42" w:type="pct"/>
            <w:vAlign w:val="center"/>
            <w:hideMark/>
          </w:tcPr>
          <w:p w14:paraId="4DB9CCC5" w14:textId="77777777" w:rsidR="00000000" w:rsidRDefault="00632532">
            <w:pPr>
              <w:rPr>
                <w:rFonts w:eastAsia="Times New Roman"/>
                <w:sz w:val="20"/>
                <w:szCs w:val="20"/>
              </w:rPr>
            </w:pPr>
          </w:p>
        </w:tc>
        <w:tc>
          <w:tcPr>
            <w:tcW w:w="50" w:type="pct"/>
            <w:vAlign w:val="center"/>
            <w:hideMark/>
          </w:tcPr>
          <w:p w14:paraId="6BF177CE" w14:textId="77777777" w:rsidR="00000000" w:rsidRDefault="00632532">
            <w:pPr>
              <w:rPr>
                <w:rFonts w:eastAsia="Times New Roman"/>
                <w:sz w:val="20"/>
                <w:szCs w:val="20"/>
              </w:rPr>
            </w:pPr>
          </w:p>
        </w:tc>
        <w:tc>
          <w:tcPr>
            <w:tcW w:w="424" w:type="pct"/>
            <w:vAlign w:val="center"/>
            <w:hideMark/>
          </w:tcPr>
          <w:p w14:paraId="298E1CAA" w14:textId="77777777" w:rsidR="00000000" w:rsidRDefault="00632532">
            <w:pPr>
              <w:rPr>
                <w:rFonts w:eastAsia="Times New Roman"/>
                <w:sz w:val="20"/>
                <w:szCs w:val="20"/>
              </w:rPr>
            </w:pPr>
          </w:p>
        </w:tc>
        <w:tc>
          <w:tcPr>
            <w:tcW w:w="50" w:type="pct"/>
            <w:vAlign w:val="center"/>
            <w:hideMark/>
          </w:tcPr>
          <w:p w14:paraId="4BEE5EED" w14:textId="77777777" w:rsidR="00000000" w:rsidRDefault="00632532">
            <w:pPr>
              <w:rPr>
                <w:rFonts w:eastAsia="Times New Roman"/>
                <w:sz w:val="20"/>
                <w:szCs w:val="20"/>
              </w:rPr>
            </w:pPr>
          </w:p>
        </w:tc>
        <w:tc>
          <w:tcPr>
            <w:tcW w:w="42" w:type="pct"/>
            <w:vAlign w:val="center"/>
            <w:hideMark/>
          </w:tcPr>
          <w:p w14:paraId="12BC9AA5" w14:textId="77777777" w:rsidR="00000000" w:rsidRDefault="00632532">
            <w:pPr>
              <w:rPr>
                <w:rFonts w:eastAsia="Times New Roman"/>
                <w:sz w:val="20"/>
                <w:szCs w:val="20"/>
              </w:rPr>
            </w:pPr>
          </w:p>
        </w:tc>
        <w:tc>
          <w:tcPr>
            <w:tcW w:w="50" w:type="pct"/>
            <w:vAlign w:val="center"/>
            <w:hideMark/>
          </w:tcPr>
          <w:p w14:paraId="688558AC" w14:textId="77777777" w:rsidR="00000000" w:rsidRDefault="00632532">
            <w:pPr>
              <w:rPr>
                <w:rFonts w:eastAsia="Times New Roman"/>
                <w:sz w:val="20"/>
                <w:szCs w:val="20"/>
              </w:rPr>
            </w:pPr>
          </w:p>
        </w:tc>
        <w:tc>
          <w:tcPr>
            <w:tcW w:w="330" w:type="pct"/>
            <w:vAlign w:val="center"/>
            <w:hideMark/>
          </w:tcPr>
          <w:p w14:paraId="5EA7A92E" w14:textId="77777777" w:rsidR="00000000" w:rsidRDefault="00632532">
            <w:pPr>
              <w:rPr>
                <w:rFonts w:eastAsia="Times New Roman"/>
                <w:sz w:val="20"/>
                <w:szCs w:val="20"/>
              </w:rPr>
            </w:pPr>
          </w:p>
        </w:tc>
        <w:tc>
          <w:tcPr>
            <w:tcW w:w="50" w:type="pct"/>
            <w:vAlign w:val="center"/>
            <w:hideMark/>
          </w:tcPr>
          <w:p w14:paraId="61123CB9" w14:textId="77777777" w:rsidR="00000000" w:rsidRDefault="00632532">
            <w:pPr>
              <w:rPr>
                <w:rFonts w:eastAsia="Times New Roman"/>
                <w:sz w:val="20"/>
                <w:szCs w:val="20"/>
              </w:rPr>
            </w:pPr>
          </w:p>
        </w:tc>
      </w:tr>
      <w:tr w:rsidR="00000000" w14:paraId="2CB59AE9" w14:textId="77777777">
        <w:trPr>
          <w:trHeight w:val="160"/>
          <w:tblCellSpacing w:w="15" w:type="dxa"/>
        </w:trPr>
        <w:tc>
          <w:tcPr>
            <w:tcW w:w="0" w:type="auto"/>
            <w:vAlign w:val="bottom"/>
            <w:hideMark/>
          </w:tcPr>
          <w:p w14:paraId="74EF8AD7"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24AE597C" w14:textId="77777777" w:rsidR="00000000" w:rsidRDefault="00632532">
            <w:pPr>
              <w:pStyle w:val="a3"/>
              <w:spacing w:before="0" w:beforeAutospacing="0" w:after="0" w:afterAutospacing="0"/>
              <w:rPr>
                <w:sz w:val="16"/>
                <w:szCs w:val="16"/>
              </w:rPr>
            </w:pPr>
            <w:r>
              <w:rPr>
                <w:sz w:val="16"/>
                <w:szCs w:val="16"/>
              </w:rPr>
              <w:t> </w:t>
            </w:r>
          </w:p>
        </w:tc>
        <w:tc>
          <w:tcPr>
            <w:tcW w:w="0" w:type="auto"/>
            <w:gridSpan w:val="6"/>
            <w:vAlign w:val="bottom"/>
            <w:hideMark/>
          </w:tcPr>
          <w:p w14:paraId="4FABBBCB" w14:textId="77777777" w:rsidR="00000000" w:rsidRDefault="00632532">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14:paraId="0A503B1C"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2F844EA"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9789122"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164B42C"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F60C842"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EEF88BC"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65D586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6156BE4"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ED8E910"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271DF7C"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5975544"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9AED48B"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31C8CDF"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9551F93"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1A93F1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4E541E6"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A1DDC6A"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69D8967"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4AD056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49DA1A2" w14:textId="77777777">
        <w:trPr>
          <w:trHeight w:val="160"/>
          <w:tblCellSpacing w:w="15" w:type="dxa"/>
        </w:trPr>
        <w:tc>
          <w:tcPr>
            <w:tcW w:w="0" w:type="auto"/>
            <w:vAlign w:val="bottom"/>
            <w:hideMark/>
          </w:tcPr>
          <w:p w14:paraId="4E04A998"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23EB1AF7"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0D763B0B" w14:textId="77777777" w:rsidR="00000000" w:rsidRDefault="00632532">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14:paraId="0BC3C926"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1087A76"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D4F01E4" w14:textId="77777777" w:rsidR="00000000" w:rsidRDefault="0063253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14:paraId="0B087FF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020FA9E"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C3B76D5" w14:textId="77777777" w:rsidR="00000000" w:rsidRDefault="00632532">
            <w:pPr>
              <w:pStyle w:val="a3"/>
              <w:spacing w:before="0" w:beforeAutospacing="0" w:after="0" w:afterAutospacing="0"/>
              <w:jc w:val="center"/>
              <w:rPr>
                <w:sz w:val="16"/>
                <w:szCs w:val="16"/>
              </w:rPr>
            </w:pPr>
            <w:r>
              <w:rPr>
                <w:b/>
                <w:bCs/>
                <w:sz w:val="16"/>
                <w:szCs w:val="16"/>
              </w:rPr>
              <w:t>Additional</w:t>
            </w:r>
            <w:r>
              <w:rPr>
                <w:b/>
                <w:bCs/>
                <w:sz w:val="16"/>
                <w:szCs w:val="16"/>
              </w:rPr>
              <w:br/>
              <w:t> </w:t>
            </w:r>
            <w:r>
              <w:rPr>
                <w:b/>
                <w:bCs/>
                <w:sz w:val="16"/>
                <w:szCs w:val="16"/>
              </w:rPr>
              <w:t>Paid-In Capita</w:t>
            </w:r>
            <w:r>
              <w:rPr>
                <w:b/>
                <w:bCs/>
                <w:sz w:val="16"/>
                <w:szCs w:val="16"/>
              </w:rPr>
              <w:t>l</w:t>
            </w:r>
          </w:p>
        </w:tc>
        <w:tc>
          <w:tcPr>
            <w:tcW w:w="0" w:type="auto"/>
            <w:vAlign w:val="bottom"/>
            <w:hideMark/>
          </w:tcPr>
          <w:p w14:paraId="404AB7C0"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D7809A9"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11741C1" w14:textId="77777777" w:rsidR="00000000" w:rsidRDefault="00632532">
            <w:pPr>
              <w:pStyle w:val="a3"/>
              <w:spacing w:before="0" w:beforeAutospacing="0" w:after="0" w:afterAutospacing="0"/>
              <w:jc w:val="center"/>
              <w:rPr>
                <w:sz w:val="16"/>
                <w:szCs w:val="16"/>
              </w:rPr>
            </w:pPr>
            <w:r>
              <w:rPr>
                <w:b/>
                <w:bCs/>
                <w:sz w:val="16"/>
                <w:szCs w:val="16"/>
              </w:rPr>
              <w:t xml:space="preserve">Accumulated </w:t>
            </w:r>
            <w:r>
              <w:rPr>
                <w:b/>
                <w:bCs/>
                <w:sz w:val="16"/>
                <w:szCs w:val="16"/>
              </w:rPr>
              <w:br/>
              <w:t>Other Comprehensive</w:t>
            </w:r>
            <w:r>
              <w:rPr>
                <w:b/>
                <w:bCs/>
                <w:sz w:val="16"/>
                <w:szCs w:val="16"/>
              </w:rPr>
              <w:br/>
              <w:t>Los</w:t>
            </w:r>
            <w:r>
              <w:rPr>
                <w:b/>
                <w:bCs/>
                <w:sz w:val="16"/>
                <w:szCs w:val="16"/>
              </w:rPr>
              <w:t>s</w:t>
            </w:r>
          </w:p>
        </w:tc>
        <w:tc>
          <w:tcPr>
            <w:tcW w:w="0" w:type="auto"/>
            <w:vAlign w:val="bottom"/>
            <w:hideMark/>
          </w:tcPr>
          <w:p w14:paraId="04426D26"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361EABA"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E76A395" w14:textId="77777777" w:rsidR="00000000" w:rsidRDefault="00632532">
            <w:pPr>
              <w:pStyle w:val="a3"/>
              <w:spacing w:before="0" w:beforeAutospacing="0" w:after="0" w:afterAutospacing="0"/>
              <w:jc w:val="center"/>
              <w:rPr>
                <w:sz w:val="16"/>
                <w:szCs w:val="16"/>
              </w:rPr>
            </w:pPr>
            <w:r>
              <w:rPr>
                <w:b/>
                <w:bCs/>
                <w:sz w:val="16"/>
                <w:szCs w:val="16"/>
              </w:rPr>
              <w:t>Retained Earning</w:t>
            </w:r>
            <w:r>
              <w:rPr>
                <w:b/>
                <w:bCs/>
                <w:sz w:val="16"/>
                <w:szCs w:val="16"/>
              </w:rPr>
              <w:t>s</w:t>
            </w:r>
          </w:p>
        </w:tc>
        <w:tc>
          <w:tcPr>
            <w:tcW w:w="0" w:type="auto"/>
            <w:vAlign w:val="bottom"/>
            <w:hideMark/>
          </w:tcPr>
          <w:p w14:paraId="086E65F2"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E49AE16"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BA84C2C" w14:textId="77777777" w:rsidR="00000000" w:rsidRDefault="00632532">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14:paraId="427F071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E3F74F7"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376F463" w14:textId="77777777" w:rsidR="00000000" w:rsidRDefault="00632532">
            <w:pPr>
              <w:pStyle w:val="a3"/>
              <w:spacing w:before="0" w:beforeAutospacing="0" w:after="0" w:afterAutospacing="0"/>
              <w:jc w:val="center"/>
              <w:rPr>
                <w:sz w:val="16"/>
                <w:szCs w:val="16"/>
              </w:rPr>
            </w:pPr>
            <w:r>
              <w:rPr>
                <w:b/>
                <w:bCs/>
                <w:sz w:val="16"/>
                <w:szCs w:val="16"/>
              </w:rPr>
              <w:t>Noncontrolling Interes</w:t>
            </w:r>
            <w:r>
              <w:rPr>
                <w:b/>
                <w:bCs/>
                <w:sz w:val="16"/>
                <w:szCs w:val="16"/>
              </w:rPr>
              <w:t>t</w:t>
            </w:r>
          </w:p>
        </w:tc>
        <w:tc>
          <w:tcPr>
            <w:tcW w:w="0" w:type="auto"/>
            <w:vAlign w:val="bottom"/>
            <w:hideMark/>
          </w:tcPr>
          <w:p w14:paraId="058A267A"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FF2C5C1"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F992FC4" w14:textId="77777777" w:rsidR="00000000" w:rsidRDefault="00632532">
            <w:pPr>
              <w:pStyle w:val="a3"/>
              <w:spacing w:before="0" w:beforeAutospacing="0" w:after="0" w:afterAutospacing="0"/>
              <w:jc w:val="center"/>
              <w:rPr>
                <w:sz w:val="16"/>
                <w:szCs w:val="16"/>
              </w:rPr>
            </w:pPr>
            <w:r>
              <w:rPr>
                <w:b/>
                <w:bCs/>
                <w:sz w:val="16"/>
                <w:szCs w:val="16"/>
              </w:rPr>
              <w:t xml:space="preserve">Total </w:t>
            </w:r>
            <w:r>
              <w:rPr>
                <w:b/>
                <w:bCs/>
                <w:sz w:val="16"/>
                <w:szCs w:val="16"/>
              </w:rPr>
              <w:br/>
              <w:t>Equit</w:t>
            </w:r>
            <w:r>
              <w:rPr>
                <w:b/>
                <w:bCs/>
                <w:sz w:val="16"/>
                <w:szCs w:val="16"/>
              </w:rPr>
              <w:t>y</w:t>
            </w:r>
          </w:p>
        </w:tc>
        <w:tc>
          <w:tcPr>
            <w:tcW w:w="0" w:type="auto"/>
            <w:vAlign w:val="bottom"/>
            <w:hideMark/>
          </w:tcPr>
          <w:p w14:paraId="72CA43F2"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1ED73B5A" w14:textId="77777777">
        <w:trPr>
          <w:trHeight w:val="180"/>
          <w:tblCellSpacing w:w="15" w:type="dxa"/>
        </w:trPr>
        <w:tc>
          <w:tcPr>
            <w:tcW w:w="0" w:type="auto"/>
            <w:vAlign w:val="bottom"/>
            <w:hideMark/>
          </w:tcPr>
          <w:p w14:paraId="3E4EB478" w14:textId="77777777" w:rsidR="00000000" w:rsidRDefault="00632532">
            <w:pPr>
              <w:pStyle w:val="a3"/>
              <w:spacing w:before="0" w:beforeAutospacing="0" w:after="0" w:afterAutospacing="0"/>
              <w:rPr>
                <w:sz w:val="18"/>
                <w:szCs w:val="18"/>
              </w:rPr>
            </w:pPr>
            <w:r>
              <w:rPr>
                <w:b/>
                <w:bCs/>
                <w:sz w:val="18"/>
                <w:szCs w:val="18"/>
              </w:rPr>
              <w:t>Balance at December 31, 202</w:t>
            </w:r>
            <w:r>
              <w:rPr>
                <w:b/>
                <w:bCs/>
                <w:sz w:val="18"/>
                <w:szCs w:val="18"/>
              </w:rPr>
              <w:t>1</w:t>
            </w:r>
          </w:p>
        </w:tc>
        <w:tc>
          <w:tcPr>
            <w:tcW w:w="0" w:type="auto"/>
            <w:vAlign w:val="bottom"/>
            <w:hideMark/>
          </w:tcPr>
          <w:p w14:paraId="6C6E39A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BA6C89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86AD5C6" w14:textId="77777777" w:rsidR="00000000" w:rsidRDefault="00632532">
            <w:pPr>
              <w:pStyle w:val="a3"/>
              <w:spacing w:before="0" w:beforeAutospacing="0" w:after="0" w:afterAutospacing="0"/>
              <w:jc w:val="right"/>
              <w:rPr>
                <w:sz w:val="20"/>
                <w:szCs w:val="20"/>
              </w:rPr>
            </w:pPr>
            <w:r>
              <w:rPr>
                <w:b/>
                <w:bCs/>
                <w:sz w:val="18"/>
                <w:szCs w:val="18"/>
              </w:rPr>
              <w:t>30,16</w:t>
            </w:r>
            <w:r>
              <w:rPr>
                <w:b/>
                <w:bCs/>
                <w:sz w:val="18"/>
                <w:szCs w:val="18"/>
              </w:rPr>
              <w:t>0</w:t>
            </w:r>
          </w:p>
        </w:tc>
        <w:tc>
          <w:tcPr>
            <w:tcW w:w="0" w:type="auto"/>
            <w:noWrap/>
            <w:vAlign w:val="bottom"/>
            <w:hideMark/>
          </w:tcPr>
          <w:p w14:paraId="2597E34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EF5CB5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685BDB0"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13CAEBEC" w14:textId="77777777" w:rsidR="00000000" w:rsidRDefault="00632532">
            <w:pPr>
              <w:pStyle w:val="a3"/>
              <w:spacing w:before="0" w:beforeAutospacing="0" w:after="0" w:afterAutospacing="0"/>
              <w:jc w:val="right"/>
              <w:rPr>
                <w:sz w:val="20"/>
                <w:szCs w:val="20"/>
              </w:rPr>
            </w:pPr>
            <w:r>
              <w:rPr>
                <w:b/>
                <w:bCs/>
                <w:sz w:val="18"/>
                <w:szCs w:val="18"/>
              </w:rPr>
              <w:t>3</w:t>
            </w:r>
          </w:p>
        </w:tc>
        <w:tc>
          <w:tcPr>
            <w:tcW w:w="0" w:type="auto"/>
            <w:noWrap/>
            <w:vAlign w:val="bottom"/>
            <w:hideMark/>
          </w:tcPr>
          <w:p w14:paraId="6AC96E2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C94FCC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AB25A4E"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773F070C" w14:textId="77777777" w:rsidR="00000000" w:rsidRDefault="00632532">
            <w:pPr>
              <w:pStyle w:val="a3"/>
              <w:spacing w:before="0" w:beforeAutospacing="0" w:after="0" w:afterAutospacing="0"/>
              <w:jc w:val="right"/>
              <w:rPr>
                <w:sz w:val="20"/>
                <w:szCs w:val="20"/>
              </w:rPr>
            </w:pPr>
            <w:r>
              <w:rPr>
                <w:b/>
                <w:bCs/>
                <w:sz w:val="18"/>
                <w:szCs w:val="18"/>
              </w:rPr>
              <w:t>501,90</w:t>
            </w:r>
            <w:r>
              <w:rPr>
                <w:b/>
                <w:bCs/>
                <w:sz w:val="18"/>
                <w:szCs w:val="18"/>
              </w:rPr>
              <w:t>8</w:t>
            </w:r>
          </w:p>
        </w:tc>
        <w:tc>
          <w:tcPr>
            <w:tcW w:w="0" w:type="auto"/>
            <w:noWrap/>
            <w:vAlign w:val="bottom"/>
            <w:hideMark/>
          </w:tcPr>
          <w:p w14:paraId="47FE57B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377C0C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42C5097"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531C7BB5" w14:textId="77777777" w:rsidR="00000000" w:rsidRDefault="00632532">
            <w:pPr>
              <w:pStyle w:val="a3"/>
              <w:spacing w:before="0" w:beforeAutospacing="0" w:after="0" w:afterAutospacing="0"/>
              <w:jc w:val="right"/>
              <w:rPr>
                <w:sz w:val="20"/>
                <w:szCs w:val="20"/>
              </w:rPr>
            </w:pPr>
            <w:r>
              <w:rPr>
                <w:b/>
                <w:bCs/>
                <w:sz w:val="18"/>
                <w:szCs w:val="18"/>
              </w:rPr>
              <w:t>(</w:t>
            </w:r>
            <w:r>
              <w:rPr>
                <w:b/>
                <w:bCs/>
                <w:sz w:val="18"/>
                <w:szCs w:val="18"/>
              </w:rPr>
              <w:t>75</w:t>
            </w:r>
            <w:r>
              <w:rPr>
                <w:b/>
                <w:bCs/>
                <w:sz w:val="18"/>
                <w:szCs w:val="18"/>
              </w:rPr>
              <w:t>9</w:t>
            </w:r>
          </w:p>
        </w:tc>
        <w:tc>
          <w:tcPr>
            <w:tcW w:w="0" w:type="auto"/>
            <w:noWrap/>
            <w:vAlign w:val="bottom"/>
            <w:hideMark/>
          </w:tcPr>
          <w:p w14:paraId="06C2BA34"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776E227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72E5886"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2806E639" w14:textId="77777777" w:rsidR="00000000" w:rsidRDefault="00632532">
            <w:pPr>
              <w:pStyle w:val="a3"/>
              <w:spacing w:before="0" w:beforeAutospacing="0" w:after="0" w:afterAutospacing="0"/>
              <w:jc w:val="right"/>
              <w:rPr>
                <w:sz w:val="20"/>
                <w:szCs w:val="20"/>
              </w:rPr>
            </w:pPr>
            <w:r>
              <w:rPr>
                <w:b/>
                <w:bCs/>
                <w:sz w:val="18"/>
                <w:szCs w:val="18"/>
              </w:rPr>
              <w:t>657,59</w:t>
            </w:r>
            <w:r>
              <w:rPr>
                <w:b/>
                <w:bCs/>
                <w:sz w:val="18"/>
                <w:szCs w:val="18"/>
              </w:rPr>
              <w:t>7</w:t>
            </w:r>
          </w:p>
        </w:tc>
        <w:tc>
          <w:tcPr>
            <w:tcW w:w="0" w:type="auto"/>
            <w:noWrap/>
            <w:vAlign w:val="bottom"/>
            <w:hideMark/>
          </w:tcPr>
          <w:p w14:paraId="2BBACE8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89114B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0D56363"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0552A6CF" w14:textId="77777777" w:rsidR="00000000" w:rsidRDefault="00632532">
            <w:pPr>
              <w:pStyle w:val="a3"/>
              <w:spacing w:before="0" w:beforeAutospacing="0" w:after="0" w:afterAutospacing="0"/>
              <w:jc w:val="right"/>
              <w:rPr>
                <w:sz w:val="20"/>
                <w:szCs w:val="20"/>
              </w:rPr>
            </w:pPr>
            <w:r>
              <w:rPr>
                <w:b/>
                <w:bCs/>
                <w:sz w:val="18"/>
                <w:szCs w:val="18"/>
              </w:rPr>
              <w:t>1,158,74</w:t>
            </w:r>
            <w:r>
              <w:rPr>
                <w:b/>
                <w:bCs/>
                <w:sz w:val="18"/>
                <w:szCs w:val="18"/>
              </w:rPr>
              <w:t>9</w:t>
            </w:r>
          </w:p>
        </w:tc>
        <w:tc>
          <w:tcPr>
            <w:tcW w:w="0" w:type="auto"/>
            <w:noWrap/>
            <w:vAlign w:val="bottom"/>
            <w:hideMark/>
          </w:tcPr>
          <w:p w14:paraId="4ED5FE8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2919A9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6E56DA0"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4AAB5EE1" w14:textId="77777777" w:rsidR="00000000" w:rsidRDefault="00632532">
            <w:pPr>
              <w:pStyle w:val="a3"/>
              <w:spacing w:before="0" w:beforeAutospacing="0" w:after="0" w:afterAutospacing="0"/>
              <w:jc w:val="right"/>
              <w:rPr>
                <w:sz w:val="20"/>
                <w:szCs w:val="20"/>
              </w:rPr>
            </w:pPr>
            <w:r>
              <w:rPr>
                <w:b/>
                <w:bCs/>
                <w:sz w:val="18"/>
                <w:szCs w:val="18"/>
              </w:rPr>
              <w:t>7,13</w:t>
            </w:r>
            <w:r>
              <w:rPr>
                <w:b/>
                <w:bCs/>
                <w:sz w:val="18"/>
                <w:szCs w:val="18"/>
              </w:rPr>
              <w:t>1</w:t>
            </w:r>
          </w:p>
        </w:tc>
        <w:tc>
          <w:tcPr>
            <w:tcW w:w="0" w:type="auto"/>
            <w:noWrap/>
            <w:vAlign w:val="bottom"/>
            <w:hideMark/>
          </w:tcPr>
          <w:p w14:paraId="2B63C0B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CE52AA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EA26ABC"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67E5AA3A" w14:textId="77777777" w:rsidR="00000000" w:rsidRDefault="00632532">
            <w:pPr>
              <w:pStyle w:val="a3"/>
              <w:spacing w:before="0" w:beforeAutospacing="0" w:after="0" w:afterAutospacing="0"/>
              <w:jc w:val="right"/>
              <w:rPr>
                <w:sz w:val="20"/>
                <w:szCs w:val="20"/>
              </w:rPr>
            </w:pPr>
            <w:r>
              <w:rPr>
                <w:b/>
                <w:bCs/>
                <w:sz w:val="18"/>
                <w:szCs w:val="18"/>
              </w:rPr>
              <w:t>1,165,88</w:t>
            </w:r>
            <w:r>
              <w:rPr>
                <w:b/>
                <w:bCs/>
                <w:sz w:val="18"/>
                <w:szCs w:val="18"/>
              </w:rPr>
              <w:t>0</w:t>
            </w:r>
          </w:p>
        </w:tc>
        <w:tc>
          <w:tcPr>
            <w:tcW w:w="0" w:type="auto"/>
            <w:noWrap/>
            <w:vAlign w:val="bottom"/>
            <w:hideMark/>
          </w:tcPr>
          <w:p w14:paraId="70C05DB1" w14:textId="77777777" w:rsidR="00000000" w:rsidRDefault="00632532">
            <w:pPr>
              <w:pStyle w:val="a3"/>
              <w:spacing w:before="0" w:beforeAutospacing="0" w:after="0" w:afterAutospacing="0"/>
              <w:rPr>
                <w:sz w:val="18"/>
                <w:szCs w:val="18"/>
              </w:rPr>
            </w:pPr>
            <w:r>
              <w:rPr>
                <w:sz w:val="18"/>
                <w:szCs w:val="18"/>
              </w:rPr>
              <w:t> </w:t>
            </w:r>
          </w:p>
        </w:tc>
      </w:tr>
      <w:tr w:rsidR="00000000" w14:paraId="5D0B7C88" w14:textId="77777777">
        <w:trPr>
          <w:trHeight w:val="180"/>
          <w:tblCellSpacing w:w="15" w:type="dxa"/>
        </w:trPr>
        <w:tc>
          <w:tcPr>
            <w:tcW w:w="0" w:type="auto"/>
            <w:vAlign w:val="bottom"/>
            <w:hideMark/>
          </w:tcPr>
          <w:p w14:paraId="420C9C79" w14:textId="77777777" w:rsidR="00000000" w:rsidRDefault="00632532">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14:paraId="78DBB14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F2E1E5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74F703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D918C3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3BCA1F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69F9E2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4845627"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3E9F14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0DA2C3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CDE809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EF7CF15" w14:textId="77777777" w:rsidR="00000000" w:rsidRDefault="00632532">
            <w:pPr>
              <w:pStyle w:val="a3"/>
              <w:spacing w:before="0" w:beforeAutospacing="0" w:after="0" w:afterAutospacing="0"/>
              <w:jc w:val="right"/>
              <w:rPr>
                <w:sz w:val="20"/>
                <w:szCs w:val="20"/>
              </w:rPr>
            </w:pPr>
            <w:r>
              <w:rPr>
                <w:sz w:val="18"/>
                <w:szCs w:val="18"/>
              </w:rPr>
              <w:t>5,61</w:t>
            </w:r>
            <w:r>
              <w:rPr>
                <w:sz w:val="18"/>
                <w:szCs w:val="18"/>
              </w:rPr>
              <w:t>6</w:t>
            </w:r>
          </w:p>
        </w:tc>
        <w:tc>
          <w:tcPr>
            <w:tcW w:w="0" w:type="auto"/>
            <w:noWrap/>
            <w:vAlign w:val="bottom"/>
            <w:hideMark/>
          </w:tcPr>
          <w:p w14:paraId="33D05B9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B57104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617DB1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C3BF743"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389A83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30849B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0018AC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635300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18090E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C43BA4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D4DC66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BC23556" w14:textId="77777777" w:rsidR="00000000" w:rsidRDefault="00632532">
            <w:pPr>
              <w:pStyle w:val="a3"/>
              <w:spacing w:before="0" w:beforeAutospacing="0" w:after="0" w:afterAutospacing="0"/>
              <w:jc w:val="right"/>
              <w:rPr>
                <w:sz w:val="20"/>
                <w:szCs w:val="20"/>
              </w:rPr>
            </w:pPr>
            <w:r>
              <w:rPr>
                <w:sz w:val="18"/>
                <w:szCs w:val="18"/>
              </w:rPr>
              <w:t>5,61</w:t>
            </w:r>
            <w:r>
              <w:rPr>
                <w:sz w:val="18"/>
                <w:szCs w:val="18"/>
              </w:rPr>
              <w:t>6</w:t>
            </w:r>
          </w:p>
        </w:tc>
        <w:tc>
          <w:tcPr>
            <w:tcW w:w="0" w:type="auto"/>
            <w:noWrap/>
            <w:vAlign w:val="bottom"/>
            <w:hideMark/>
          </w:tcPr>
          <w:p w14:paraId="64851A1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1474D0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7621F5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A592FB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A89250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A5F30D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0E0E4F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EBCE186" w14:textId="77777777" w:rsidR="00000000" w:rsidRDefault="00632532">
            <w:pPr>
              <w:pStyle w:val="a3"/>
              <w:spacing w:before="0" w:beforeAutospacing="0" w:after="0" w:afterAutospacing="0"/>
              <w:jc w:val="right"/>
              <w:rPr>
                <w:sz w:val="20"/>
                <w:szCs w:val="20"/>
              </w:rPr>
            </w:pPr>
            <w:r>
              <w:rPr>
                <w:sz w:val="18"/>
                <w:szCs w:val="18"/>
              </w:rPr>
              <w:t>5,61</w:t>
            </w:r>
            <w:r>
              <w:rPr>
                <w:sz w:val="18"/>
                <w:szCs w:val="18"/>
              </w:rPr>
              <w:t>6</w:t>
            </w:r>
          </w:p>
        </w:tc>
        <w:tc>
          <w:tcPr>
            <w:tcW w:w="0" w:type="auto"/>
            <w:noWrap/>
            <w:vAlign w:val="bottom"/>
            <w:hideMark/>
          </w:tcPr>
          <w:p w14:paraId="1F24ACF2" w14:textId="77777777" w:rsidR="00000000" w:rsidRDefault="00632532">
            <w:pPr>
              <w:pStyle w:val="a3"/>
              <w:spacing w:before="0" w:beforeAutospacing="0" w:after="0" w:afterAutospacing="0"/>
              <w:rPr>
                <w:sz w:val="18"/>
                <w:szCs w:val="18"/>
              </w:rPr>
            </w:pPr>
            <w:r>
              <w:rPr>
                <w:sz w:val="18"/>
                <w:szCs w:val="18"/>
              </w:rPr>
              <w:t> </w:t>
            </w:r>
          </w:p>
        </w:tc>
      </w:tr>
      <w:tr w:rsidR="00000000" w14:paraId="7563DE43" w14:textId="77777777">
        <w:trPr>
          <w:trHeight w:val="180"/>
          <w:tblCellSpacing w:w="15" w:type="dxa"/>
        </w:trPr>
        <w:tc>
          <w:tcPr>
            <w:tcW w:w="0" w:type="auto"/>
            <w:vAlign w:val="bottom"/>
            <w:hideMark/>
          </w:tcPr>
          <w:p w14:paraId="1CB5453A" w14:textId="77777777" w:rsidR="00000000" w:rsidRDefault="00632532">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14:paraId="712D710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756D54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9416281" w14:textId="77777777" w:rsidR="00000000" w:rsidRDefault="00632532">
            <w:pPr>
              <w:pStyle w:val="a3"/>
              <w:spacing w:before="0" w:beforeAutospacing="0" w:after="0" w:afterAutospacing="0"/>
              <w:jc w:val="right"/>
              <w:rPr>
                <w:sz w:val="20"/>
                <w:szCs w:val="20"/>
              </w:rPr>
            </w:pPr>
            <w:r>
              <w:rPr>
                <w:sz w:val="18"/>
                <w:szCs w:val="18"/>
              </w:rPr>
              <w:t>3</w:t>
            </w:r>
          </w:p>
        </w:tc>
        <w:tc>
          <w:tcPr>
            <w:tcW w:w="0" w:type="auto"/>
            <w:noWrap/>
            <w:vAlign w:val="bottom"/>
            <w:hideMark/>
          </w:tcPr>
          <w:p w14:paraId="3C6CDAF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19D38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4D3F38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232389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BB1DBA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145B8D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AD01E8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D2F79B5" w14:textId="77777777" w:rsidR="00000000" w:rsidRDefault="00632532">
            <w:pPr>
              <w:pStyle w:val="a3"/>
              <w:spacing w:before="0" w:beforeAutospacing="0" w:after="0" w:afterAutospacing="0"/>
              <w:jc w:val="right"/>
              <w:rPr>
                <w:sz w:val="20"/>
                <w:szCs w:val="20"/>
              </w:rPr>
            </w:pPr>
            <w:r>
              <w:rPr>
                <w:sz w:val="18"/>
                <w:szCs w:val="18"/>
              </w:rPr>
              <w:t>1</w:t>
            </w:r>
            <w:r>
              <w:rPr>
                <w:sz w:val="18"/>
                <w:szCs w:val="18"/>
              </w:rPr>
              <w:t>6</w:t>
            </w:r>
          </w:p>
        </w:tc>
        <w:tc>
          <w:tcPr>
            <w:tcW w:w="0" w:type="auto"/>
            <w:noWrap/>
            <w:vAlign w:val="bottom"/>
            <w:hideMark/>
          </w:tcPr>
          <w:p w14:paraId="415CE0C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32926B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CBDFE5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FD2FF43"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C9774E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96C60F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DCFB8D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4F21DC5"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76CBB0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14EBDD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4D524C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FF12AC1" w14:textId="77777777" w:rsidR="00000000" w:rsidRDefault="00632532">
            <w:pPr>
              <w:pStyle w:val="a3"/>
              <w:spacing w:before="0" w:beforeAutospacing="0" w:after="0" w:afterAutospacing="0"/>
              <w:jc w:val="right"/>
              <w:rPr>
                <w:sz w:val="20"/>
                <w:szCs w:val="20"/>
              </w:rPr>
            </w:pPr>
            <w:r>
              <w:rPr>
                <w:sz w:val="18"/>
                <w:szCs w:val="18"/>
              </w:rPr>
              <w:t>1</w:t>
            </w:r>
            <w:r>
              <w:rPr>
                <w:sz w:val="18"/>
                <w:szCs w:val="18"/>
              </w:rPr>
              <w:t>6</w:t>
            </w:r>
          </w:p>
        </w:tc>
        <w:tc>
          <w:tcPr>
            <w:tcW w:w="0" w:type="auto"/>
            <w:noWrap/>
            <w:vAlign w:val="bottom"/>
            <w:hideMark/>
          </w:tcPr>
          <w:p w14:paraId="720211F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4791BF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5335CC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E7BFE8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5E0B45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873875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31CA3C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CC3A41E" w14:textId="77777777" w:rsidR="00000000" w:rsidRDefault="00632532">
            <w:pPr>
              <w:pStyle w:val="a3"/>
              <w:spacing w:before="0" w:beforeAutospacing="0" w:after="0" w:afterAutospacing="0"/>
              <w:jc w:val="right"/>
              <w:rPr>
                <w:sz w:val="20"/>
                <w:szCs w:val="20"/>
              </w:rPr>
            </w:pPr>
            <w:r>
              <w:rPr>
                <w:sz w:val="18"/>
                <w:szCs w:val="18"/>
              </w:rPr>
              <w:t>1</w:t>
            </w:r>
            <w:r>
              <w:rPr>
                <w:sz w:val="18"/>
                <w:szCs w:val="18"/>
              </w:rPr>
              <w:t>6</w:t>
            </w:r>
          </w:p>
        </w:tc>
        <w:tc>
          <w:tcPr>
            <w:tcW w:w="0" w:type="auto"/>
            <w:noWrap/>
            <w:vAlign w:val="bottom"/>
            <w:hideMark/>
          </w:tcPr>
          <w:p w14:paraId="687BEDEF" w14:textId="77777777" w:rsidR="00000000" w:rsidRDefault="00632532">
            <w:pPr>
              <w:pStyle w:val="a3"/>
              <w:spacing w:before="0" w:beforeAutospacing="0" w:after="0" w:afterAutospacing="0"/>
              <w:rPr>
                <w:sz w:val="18"/>
                <w:szCs w:val="18"/>
              </w:rPr>
            </w:pPr>
            <w:r>
              <w:rPr>
                <w:sz w:val="18"/>
                <w:szCs w:val="18"/>
              </w:rPr>
              <w:t> </w:t>
            </w:r>
          </w:p>
        </w:tc>
      </w:tr>
      <w:tr w:rsidR="00000000" w14:paraId="396C8179" w14:textId="77777777">
        <w:trPr>
          <w:trHeight w:val="180"/>
          <w:tblCellSpacing w:w="15" w:type="dxa"/>
        </w:trPr>
        <w:tc>
          <w:tcPr>
            <w:tcW w:w="0" w:type="auto"/>
            <w:vAlign w:val="bottom"/>
            <w:hideMark/>
          </w:tcPr>
          <w:p w14:paraId="13529486" w14:textId="77777777" w:rsidR="00000000" w:rsidRDefault="00632532">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14:paraId="6218869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1F0F5C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411845E" w14:textId="77777777" w:rsidR="00000000" w:rsidRDefault="00632532">
            <w:pPr>
              <w:pStyle w:val="a3"/>
              <w:spacing w:before="0" w:beforeAutospacing="0" w:after="0" w:afterAutospacing="0"/>
              <w:jc w:val="right"/>
              <w:rPr>
                <w:sz w:val="20"/>
                <w:szCs w:val="20"/>
              </w:rPr>
            </w:pPr>
            <w:r>
              <w:rPr>
                <w:sz w:val="18"/>
                <w:szCs w:val="18"/>
              </w:rPr>
              <w:t>17</w:t>
            </w:r>
            <w:r>
              <w:rPr>
                <w:sz w:val="18"/>
                <w:szCs w:val="18"/>
              </w:rPr>
              <w:t>2</w:t>
            </w:r>
          </w:p>
        </w:tc>
        <w:tc>
          <w:tcPr>
            <w:tcW w:w="0" w:type="auto"/>
            <w:noWrap/>
            <w:vAlign w:val="bottom"/>
            <w:hideMark/>
          </w:tcPr>
          <w:p w14:paraId="5F10096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544923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2A97EB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B6E808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944A8C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A0BEB4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64DEED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6D0851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88EE58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D073C0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9970B9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2A5B140"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98D999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84A690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9AB574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D3F372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D3475A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092DD2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D3A748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694958A"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D39A1B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6FD56A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FF2EE0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5A38CA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E58401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A9F35C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8DFE11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FCB5DF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7DFA291" w14:textId="77777777" w:rsidR="00000000" w:rsidRDefault="00632532">
            <w:pPr>
              <w:pStyle w:val="a3"/>
              <w:spacing w:before="0" w:beforeAutospacing="0" w:after="0" w:afterAutospacing="0"/>
              <w:rPr>
                <w:sz w:val="18"/>
                <w:szCs w:val="18"/>
              </w:rPr>
            </w:pPr>
            <w:r>
              <w:rPr>
                <w:sz w:val="18"/>
                <w:szCs w:val="18"/>
              </w:rPr>
              <w:t> </w:t>
            </w:r>
          </w:p>
        </w:tc>
      </w:tr>
      <w:tr w:rsidR="00000000" w14:paraId="29EBE3D6" w14:textId="77777777">
        <w:trPr>
          <w:trHeight w:val="180"/>
          <w:tblCellSpacing w:w="15" w:type="dxa"/>
        </w:trPr>
        <w:tc>
          <w:tcPr>
            <w:tcW w:w="0" w:type="auto"/>
            <w:vAlign w:val="bottom"/>
            <w:hideMark/>
          </w:tcPr>
          <w:p w14:paraId="12AFCEE9" w14:textId="77777777" w:rsidR="00000000" w:rsidRDefault="00632532">
            <w:pPr>
              <w:pStyle w:val="a3"/>
              <w:spacing w:before="0" w:beforeAutospacing="0" w:after="0" w:afterAutospacing="0"/>
              <w:rPr>
                <w:sz w:val="18"/>
                <w:szCs w:val="18"/>
              </w:rPr>
            </w:pPr>
            <w:r>
              <w:rPr>
                <w:sz w:val="18"/>
                <w:szCs w:val="18"/>
              </w:rPr>
              <w:lastRenderedPageBreak/>
              <w:t>Common stock withholding for employee tax obligation</w:t>
            </w:r>
            <w:r>
              <w:rPr>
                <w:sz w:val="18"/>
                <w:szCs w:val="18"/>
              </w:rPr>
              <w:t>s</w:t>
            </w:r>
          </w:p>
        </w:tc>
        <w:tc>
          <w:tcPr>
            <w:tcW w:w="0" w:type="auto"/>
            <w:vAlign w:val="bottom"/>
            <w:hideMark/>
          </w:tcPr>
          <w:p w14:paraId="7DA16CD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4D9C77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1C67CE5" w14:textId="77777777" w:rsidR="00000000" w:rsidRDefault="00632532">
            <w:pPr>
              <w:pStyle w:val="a3"/>
              <w:spacing w:before="0" w:beforeAutospacing="0" w:after="0" w:afterAutospacing="0"/>
              <w:jc w:val="right"/>
              <w:rPr>
                <w:sz w:val="20"/>
                <w:szCs w:val="20"/>
              </w:rPr>
            </w:pPr>
            <w:r>
              <w:rPr>
                <w:sz w:val="18"/>
                <w:szCs w:val="18"/>
              </w:rPr>
              <w:t>(</w:t>
            </w:r>
            <w:r>
              <w:rPr>
                <w:sz w:val="18"/>
                <w:szCs w:val="18"/>
              </w:rPr>
              <w:t>8</w:t>
            </w:r>
          </w:p>
        </w:tc>
        <w:tc>
          <w:tcPr>
            <w:tcW w:w="0" w:type="auto"/>
            <w:noWrap/>
            <w:vAlign w:val="bottom"/>
            <w:hideMark/>
          </w:tcPr>
          <w:p w14:paraId="56B23468"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0D91641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DBA2FF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ACF97AA"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8FA025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A37A1B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342A2A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E6584C0" w14:textId="77777777" w:rsidR="00000000" w:rsidRDefault="00632532">
            <w:pPr>
              <w:pStyle w:val="a3"/>
              <w:spacing w:before="0" w:beforeAutospacing="0" w:after="0" w:afterAutospacing="0"/>
              <w:jc w:val="right"/>
              <w:rPr>
                <w:sz w:val="20"/>
                <w:szCs w:val="20"/>
              </w:rPr>
            </w:pPr>
            <w:r>
              <w:rPr>
                <w:sz w:val="18"/>
                <w:szCs w:val="18"/>
              </w:rPr>
              <w:t>(</w:t>
            </w:r>
            <w:r>
              <w:rPr>
                <w:sz w:val="18"/>
                <w:szCs w:val="18"/>
              </w:rPr>
              <w:t>49</w:t>
            </w:r>
            <w:r>
              <w:rPr>
                <w:sz w:val="18"/>
                <w:szCs w:val="18"/>
              </w:rPr>
              <w:t>4</w:t>
            </w:r>
          </w:p>
        </w:tc>
        <w:tc>
          <w:tcPr>
            <w:tcW w:w="0" w:type="auto"/>
            <w:noWrap/>
            <w:vAlign w:val="bottom"/>
            <w:hideMark/>
          </w:tcPr>
          <w:p w14:paraId="17A2B589"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581AFEF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EB349E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F270167"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66DA82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7D7E06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FC9280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311BFD4"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AF90AB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F1C30F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78F7FE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2B54CE" w14:textId="77777777" w:rsidR="00000000" w:rsidRDefault="00632532">
            <w:pPr>
              <w:pStyle w:val="a3"/>
              <w:spacing w:before="0" w:beforeAutospacing="0" w:after="0" w:afterAutospacing="0"/>
              <w:jc w:val="right"/>
              <w:rPr>
                <w:sz w:val="20"/>
                <w:szCs w:val="20"/>
              </w:rPr>
            </w:pPr>
            <w:r>
              <w:rPr>
                <w:sz w:val="18"/>
                <w:szCs w:val="18"/>
              </w:rPr>
              <w:t>(</w:t>
            </w:r>
            <w:r>
              <w:rPr>
                <w:sz w:val="18"/>
                <w:szCs w:val="18"/>
              </w:rPr>
              <w:t>49</w:t>
            </w:r>
            <w:r>
              <w:rPr>
                <w:sz w:val="18"/>
                <w:szCs w:val="18"/>
              </w:rPr>
              <w:t>4</w:t>
            </w:r>
          </w:p>
        </w:tc>
        <w:tc>
          <w:tcPr>
            <w:tcW w:w="0" w:type="auto"/>
            <w:noWrap/>
            <w:vAlign w:val="bottom"/>
            <w:hideMark/>
          </w:tcPr>
          <w:p w14:paraId="14613509"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703C57B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5FDB8D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1A99E60"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32D832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40DEE9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587510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33D4806" w14:textId="77777777" w:rsidR="00000000" w:rsidRDefault="00632532">
            <w:pPr>
              <w:pStyle w:val="a3"/>
              <w:spacing w:before="0" w:beforeAutospacing="0" w:after="0" w:afterAutospacing="0"/>
              <w:jc w:val="right"/>
              <w:rPr>
                <w:sz w:val="20"/>
                <w:szCs w:val="20"/>
              </w:rPr>
            </w:pPr>
            <w:r>
              <w:rPr>
                <w:sz w:val="18"/>
                <w:szCs w:val="18"/>
              </w:rPr>
              <w:t>(</w:t>
            </w:r>
            <w:r>
              <w:rPr>
                <w:sz w:val="18"/>
                <w:szCs w:val="18"/>
              </w:rPr>
              <w:t>49</w:t>
            </w:r>
            <w:r>
              <w:rPr>
                <w:sz w:val="18"/>
                <w:szCs w:val="18"/>
              </w:rPr>
              <w:t>4</w:t>
            </w:r>
          </w:p>
        </w:tc>
        <w:tc>
          <w:tcPr>
            <w:tcW w:w="0" w:type="auto"/>
            <w:noWrap/>
            <w:vAlign w:val="bottom"/>
            <w:hideMark/>
          </w:tcPr>
          <w:p w14:paraId="5100E206" w14:textId="77777777" w:rsidR="00000000" w:rsidRDefault="00632532">
            <w:pPr>
              <w:pStyle w:val="a3"/>
              <w:spacing w:before="0" w:beforeAutospacing="0" w:after="0" w:afterAutospacing="0"/>
              <w:rPr>
                <w:sz w:val="18"/>
                <w:szCs w:val="18"/>
              </w:rPr>
            </w:pPr>
            <w:r>
              <w:rPr>
                <w:sz w:val="18"/>
                <w:szCs w:val="18"/>
              </w:rPr>
              <w:t>)</w:t>
            </w:r>
          </w:p>
        </w:tc>
      </w:tr>
      <w:tr w:rsidR="00000000" w14:paraId="66926F8D" w14:textId="77777777">
        <w:trPr>
          <w:trHeight w:val="180"/>
          <w:tblCellSpacing w:w="15" w:type="dxa"/>
        </w:trPr>
        <w:tc>
          <w:tcPr>
            <w:tcW w:w="0" w:type="auto"/>
            <w:vAlign w:val="bottom"/>
            <w:hideMark/>
          </w:tcPr>
          <w:p w14:paraId="5990528C" w14:textId="77777777" w:rsidR="00000000" w:rsidRDefault="00632532">
            <w:pPr>
              <w:pStyle w:val="a3"/>
              <w:spacing w:before="0" w:beforeAutospacing="0" w:after="0" w:afterAutospacing="0"/>
              <w:rPr>
                <w:sz w:val="18"/>
                <w:szCs w:val="18"/>
              </w:rPr>
            </w:pPr>
            <w:r>
              <w:rPr>
                <w:sz w:val="18"/>
                <w:szCs w:val="18"/>
              </w:rPr>
              <w:t>Other comprehensive income (loss</w:t>
            </w:r>
            <w:r>
              <w:rPr>
                <w:sz w:val="18"/>
                <w:szCs w:val="18"/>
              </w:rPr>
              <w:t>)</w:t>
            </w:r>
          </w:p>
        </w:tc>
        <w:tc>
          <w:tcPr>
            <w:tcW w:w="0" w:type="auto"/>
            <w:vAlign w:val="bottom"/>
            <w:hideMark/>
          </w:tcPr>
          <w:p w14:paraId="10BB9B7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848704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E07851E"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18AB46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136B6F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B1617B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999B11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82B636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39101B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CFAC1A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AE357F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EB373B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56B994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BE462E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3B23805" w14:textId="77777777" w:rsidR="00000000" w:rsidRDefault="00632532">
            <w:pPr>
              <w:pStyle w:val="a3"/>
              <w:spacing w:before="0" w:beforeAutospacing="0" w:after="0" w:afterAutospacing="0"/>
              <w:jc w:val="right"/>
              <w:rPr>
                <w:sz w:val="20"/>
                <w:szCs w:val="20"/>
              </w:rPr>
            </w:pPr>
            <w:r>
              <w:rPr>
                <w:sz w:val="18"/>
                <w:szCs w:val="18"/>
              </w:rPr>
              <w:t>(</w:t>
            </w:r>
            <w:r>
              <w:rPr>
                <w:sz w:val="18"/>
                <w:szCs w:val="18"/>
              </w:rPr>
              <w:t>11,73</w:t>
            </w:r>
            <w:r>
              <w:rPr>
                <w:sz w:val="18"/>
                <w:szCs w:val="18"/>
              </w:rPr>
              <w:t>4</w:t>
            </w:r>
          </w:p>
        </w:tc>
        <w:tc>
          <w:tcPr>
            <w:tcW w:w="0" w:type="auto"/>
            <w:noWrap/>
            <w:vAlign w:val="bottom"/>
            <w:hideMark/>
          </w:tcPr>
          <w:p w14:paraId="671BC90B"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FFC91C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772210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06A65F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CD736D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760663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83F4DF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F9DBBF1" w14:textId="77777777" w:rsidR="00000000" w:rsidRDefault="00632532">
            <w:pPr>
              <w:pStyle w:val="a3"/>
              <w:spacing w:before="0" w:beforeAutospacing="0" w:after="0" w:afterAutospacing="0"/>
              <w:jc w:val="right"/>
              <w:rPr>
                <w:sz w:val="20"/>
                <w:szCs w:val="20"/>
              </w:rPr>
            </w:pPr>
            <w:r>
              <w:rPr>
                <w:sz w:val="18"/>
                <w:szCs w:val="18"/>
              </w:rPr>
              <w:t>(</w:t>
            </w:r>
            <w:r>
              <w:rPr>
                <w:sz w:val="18"/>
                <w:szCs w:val="18"/>
              </w:rPr>
              <w:t>11,73</w:t>
            </w:r>
            <w:r>
              <w:rPr>
                <w:sz w:val="18"/>
                <w:szCs w:val="18"/>
              </w:rPr>
              <w:t>4</w:t>
            </w:r>
          </w:p>
        </w:tc>
        <w:tc>
          <w:tcPr>
            <w:tcW w:w="0" w:type="auto"/>
            <w:noWrap/>
            <w:vAlign w:val="bottom"/>
            <w:hideMark/>
          </w:tcPr>
          <w:p w14:paraId="213FD888"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96293E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5D1BF9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AB0E60B" w14:textId="77777777" w:rsidR="00000000" w:rsidRDefault="00632532">
            <w:pPr>
              <w:pStyle w:val="a3"/>
              <w:spacing w:before="0" w:beforeAutospacing="0" w:after="0" w:afterAutospacing="0"/>
              <w:jc w:val="right"/>
              <w:rPr>
                <w:sz w:val="20"/>
                <w:szCs w:val="20"/>
              </w:rPr>
            </w:pPr>
            <w:r>
              <w:rPr>
                <w:sz w:val="18"/>
                <w:szCs w:val="18"/>
              </w:rPr>
              <w:t>11</w:t>
            </w:r>
            <w:r>
              <w:rPr>
                <w:sz w:val="18"/>
                <w:szCs w:val="18"/>
              </w:rPr>
              <w:t>9</w:t>
            </w:r>
          </w:p>
        </w:tc>
        <w:tc>
          <w:tcPr>
            <w:tcW w:w="0" w:type="auto"/>
            <w:noWrap/>
            <w:vAlign w:val="bottom"/>
            <w:hideMark/>
          </w:tcPr>
          <w:p w14:paraId="0F75FF1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CC755E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636EB7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3F2F8D6" w14:textId="77777777" w:rsidR="00000000" w:rsidRDefault="00632532">
            <w:pPr>
              <w:pStyle w:val="a3"/>
              <w:spacing w:before="0" w:beforeAutospacing="0" w:after="0" w:afterAutospacing="0"/>
              <w:jc w:val="right"/>
              <w:rPr>
                <w:sz w:val="20"/>
                <w:szCs w:val="20"/>
              </w:rPr>
            </w:pPr>
            <w:r>
              <w:rPr>
                <w:sz w:val="18"/>
                <w:szCs w:val="18"/>
              </w:rPr>
              <w:t>(</w:t>
            </w:r>
            <w:r>
              <w:rPr>
                <w:sz w:val="18"/>
                <w:szCs w:val="18"/>
              </w:rPr>
              <w:t>11,61</w:t>
            </w:r>
            <w:r>
              <w:rPr>
                <w:sz w:val="18"/>
                <w:szCs w:val="18"/>
              </w:rPr>
              <w:t>5</w:t>
            </w:r>
          </w:p>
        </w:tc>
        <w:tc>
          <w:tcPr>
            <w:tcW w:w="0" w:type="auto"/>
            <w:noWrap/>
            <w:vAlign w:val="bottom"/>
            <w:hideMark/>
          </w:tcPr>
          <w:p w14:paraId="5B40F8B7" w14:textId="77777777" w:rsidR="00000000" w:rsidRDefault="00632532">
            <w:pPr>
              <w:pStyle w:val="a3"/>
              <w:spacing w:before="0" w:beforeAutospacing="0" w:after="0" w:afterAutospacing="0"/>
              <w:rPr>
                <w:sz w:val="18"/>
                <w:szCs w:val="18"/>
              </w:rPr>
            </w:pPr>
            <w:r>
              <w:rPr>
                <w:sz w:val="18"/>
                <w:szCs w:val="18"/>
              </w:rPr>
              <w:t>)</w:t>
            </w:r>
          </w:p>
        </w:tc>
      </w:tr>
      <w:tr w:rsidR="00000000" w14:paraId="285CC955" w14:textId="77777777">
        <w:trPr>
          <w:trHeight w:val="180"/>
          <w:tblCellSpacing w:w="15" w:type="dxa"/>
        </w:trPr>
        <w:tc>
          <w:tcPr>
            <w:tcW w:w="0" w:type="auto"/>
            <w:vAlign w:val="bottom"/>
            <w:hideMark/>
          </w:tcPr>
          <w:p w14:paraId="1ACE63B8" w14:textId="77777777" w:rsidR="00000000" w:rsidRDefault="00632532">
            <w:pPr>
              <w:pStyle w:val="a3"/>
              <w:spacing w:before="0" w:beforeAutospacing="0" w:after="0" w:afterAutospacing="0"/>
              <w:rPr>
                <w:sz w:val="18"/>
                <w:szCs w:val="18"/>
              </w:rPr>
            </w:pPr>
            <w:r>
              <w:rPr>
                <w:sz w:val="18"/>
                <w:szCs w:val="18"/>
              </w:rPr>
              <w:t>Net income (loss</w:t>
            </w:r>
            <w:r>
              <w:rPr>
                <w:sz w:val="18"/>
                <w:szCs w:val="18"/>
              </w:rPr>
              <w:t>)</w:t>
            </w:r>
          </w:p>
        </w:tc>
        <w:tc>
          <w:tcPr>
            <w:tcW w:w="0" w:type="auto"/>
            <w:vAlign w:val="bottom"/>
            <w:hideMark/>
          </w:tcPr>
          <w:p w14:paraId="7AD4481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CDF31D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987CCA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9C35B2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68C558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0BB34D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8E76A3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0E34DE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B2F483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FF1540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8312F73"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1F6390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DF68AE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63B6CB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0C6E6E0"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993E7E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A34828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B80475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33CB2FD" w14:textId="77777777" w:rsidR="00000000" w:rsidRDefault="00632532">
            <w:pPr>
              <w:pStyle w:val="a3"/>
              <w:spacing w:before="0" w:beforeAutospacing="0" w:after="0" w:afterAutospacing="0"/>
              <w:jc w:val="right"/>
              <w:rPr>
                <w:sz w:val="20"/>
                <w:szCs w:val="20"/>
              </w:rPr>
            </w:pPr>
            <w:r>
              <w:rPr>
                <w:sz w:val="18"/>
                <w:szCs w:val="18"/>
              </w:rPr>
              <w:t>153,97</w:t>
            </w:r>
            <w:r>
              <w:rPr>
                <w:sz w:val="18"/>
                <w:szCs w:val="18"/>
              </w:rPr>
              <w:t>9</w:t>
            </w:r>
          </w:p>
        </w:tc>
        <w:tc>
          <w:tcPr>
            <w:tcW w:w="0" w:type="auto"/>
            <w:noWrap/>
            <w:vAlign w:val="bottom"/>
            <w:hideMark/>
          </w:tcPr>
          <w:p w14:paraId="1AAB4F1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906855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A354B5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9983D6A" w14:textId="77777777" w:rsidR="00000000" w:rsidRDefault="00632532">
            <w:pPr>
              <w:pStyle w:val="a3"/>
              <w:spacing w:before="0" w:beforeAutospacing="0" w:after="0" w:afterAutospacing="0"/>
              <w:jc w:val="right"/>
              <w:rPr>
                <w:sz w:val="20"/>
                <w:szCs w:val="20"/>
              </w:rPr>
            </w:pPr>
            <w:r>
              <w:rPr>
                <w:sz w:val="18"/>
                <w:szCs w:val="18"/>
              </w:rPr>
              <w:t>153,97</w:t>
            </w:r>
            <w:r>
              <w:rPr>
                <w:sz w:val="18"/>
                <w:szCs w:val="18"/>
              </w:rPr>
              <w:t>9</w:t>
            </w:r>
          </w:p>
        </w:tc>
        <w:tc>
          <w:tcPr>
            <w:tcW w:w="0" w:type="auto"/>
            <w:noWrap/>
            <w:vAlign w:val="bottom"/>
            <w:hideMark/>
          </w:tcPr>
          <w:p w14:paraId="6079128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FC8AB2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05B809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15FFC64" w14:textId="77777777" w:rsidR="00000000" w:rsidRDefault="00632532">
            <w:pPr>
              <w:pStyle w:val="a3"/>
              <w:spacing w:before="0" w:beforeAutospacing="0" w:after="0" w:afterAutospacing="0"/>
              <w:jc w:val="right"/>
              <w:rPr>
                <w:sz w:val="20"/>
                <w:szCs w:val="20"/>
              </w:rPr>
            </w:pPr>
            <w:r>
              <w:rPr>
                <w:sz w:val="18"/>
                <w:szCs w:val="18"/>
              </w:rPr>
              <w:t>(</w:t>
            </w:r>
            <w:r>
              <w:rPr>
                <w:sz w:val="18"/>
                <w:szCs w:val="18"/>
              </w:rPr>
              <w:t>42</w:t>
            </w:r>
            <w:r>
              <w:rPr>
                <w:sz w:val="18"/>
                <w:szCs w:val="18"/>
              </w:rPr>
              <w:t>2</w:t>
            </w:r>
          </w:p>
        </w:tc>
        <w:tc>
          <w:tcPr>
            <w:tcW w:w="0" w:type="auto"/>
            <w:noWrap/>
            <w:vAlign w:val="bottom"/>
            <w:hideMark/>
          </w:tcPr>
          <w:p w14:paraId="5A624757"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0757CB9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E2A563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93B6210" w14:textId="77777777" w:rsidR="00000000" w:rsidRDefault="00632532">
            <w:pPr>
              <w:pStyle w:val="a3"/>
              <w:spacing w:before="0" w:beforeAutospacing="0" w:after="0" w:afterAutospacing="0"/>
              <w:jc w:val="right"/>
              <w:rPr>
                <w:sz w:val="20"/>
                <w:szCs w:val="20"/>
              </w:rPr>
            </w:pPr>
            <w:r>
              <w:rPr>
                <w:sz w:val="18"/>
                <w:szCs w:val="18"/>
              </w:rPr>
              <w:t>153,55</w:t>
            </w:r>
            <w:r>
              <w:rPr>
                <w:sz w:val="18"/>
                <w:szCs w:val="18"/>
              </w:rPr>
              <w:t>7</w:t>
            </w:r>
          </w:p>
        </w:tc>
        <w:tc>
          <w:tcPr>
            <w:tcW w:w="0" w:type="auto"/>
            <w:noWrap/>
            <w:vAlign w:val="bottom"/>
            <w:hideMark/>
          </w:tcPr>
          <w:p w14:paraId="062DDBFA" w14:textId="77777777" w:rsidR="00000000" w:rsidRDefault="00632532">
            <w:pPr>
              <w:pStyle w:val="a3"/>
              <w:spacing w:before="0" w:beforeAutospacing="0" w:after="0" w:afterAutospacing="0"/>
              <w:rPr>
                <w:sz w:val="18"/>
                <w:szCs w:val="18"/>
              </w:rPr>
            </w:pPr>
            <w:r>
              <w:rPr>
                <w:sz w:val="18"/>
                <w:szCs w:val="18"/>
              </w:rPr>
              <w:t> </w:t>
            </w:r>
          </w:p>
        </w:tc>
      </w:tr>
      <w:tr w:rsidR="00000000" w14:paraId="4A17A601" w14:textId="77777777">
        <w:trPr>
          <w:trHeight w:val="180"/>
          <w:tblCellSpacing w:w="15" w:type="dxa"/>
        </w:trPr>
        <w:tc>
          <w:tcPr>
            <w:tcW w:w="0" w:type="auto"/>
            <w:vAlign w:val="bottom"/>
            <w:hideMark/>
          </w:tcPr>
          <w:p w14:paraId="0AA48E9C" w14:textId="77777777" w:rsidR="00000000" w:rsidRDefault="00632532">
            <w:pPr>
              <w:pStyle w:val="a3"/>
              <w:spacing w:before="0" w:beforeAutospacing="0" w:after="0" w:afterAutospacing="0"/>
              <w:rPr>
                <w:sz w:val="18"/>
                <w:szCs w:val="18"/>
              </w:rPr>
            </w:pPr>
            <w:r>
              <w:rPr>
                <w:b/>
                <w:bCs/>
                <w:sz w:val="18"/>
                <w:szCs w:val="18"/>
              </w:rPr>
              <w:t>Balance at March 31, 202</w:t>
            </w:r>
            <w:r>
              <w:rPr>
                <w:b/>
                <w:bCs/>
                <w:sz w:val="18"/>
                <w:szCs w:val="18"/>
              </w:rPr>
              <w:t>2</w:t>
            </w:r>
          </w:p>
        </w:tc>
        <w:tc>
          <w:tcPr>
            <w:tcW w:w="0" w:type="auto"/>
            <w:vAlign w:val="bottom"/>
            <w:hideMark/>
          </w:tcPr>
          <w:p w14:paraId="65FFAA2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C2F457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C8932B5" w14:textId="77777777" w:rsidR="00000000" w:rsidRDefault="00632532">
            <w:pPr>
              <w:pStyle w:val="a3"/>
              <w:spacing w:before="0" w:beforeAutospacing="0" w:after="0" w:afterAutospacing="0"/>
              <w:jc w:val="right"/>
              <w:rPr>
                <w:sz w:val="20"/>
                <w:szCs w:val="20"/>
              </w:rPr>
            </w:pPr>
            <w:r>
              <w:rPr>
                <w:b/>
                <w:bCs/>
                <w:sz w:val="18"/>
                <w:szCs w:val="18"/>
              </w:rPr>
              <w:t>30,32</w:t>
            </w:r>
            <w:r>
              <w:rPr>
                <w:b/>
                <w:bCs/>
                <w:sz w:val="18"/>
                <w:szCs w:val="18"/>
              </w:rPr>
              <w:t>7</w:t>
            </w:r>
          </w:p>
        </w:tc>
        <w:tc>
          <w:tcPr>
            <w:tcW w:w="0" w:type="auto"/>
            <w:noWrap/>
            <w:vAlign w:val="bottom"/>
            <w:hideMark/>
          </w:tcPr>
          <w:p w14:paraId="166B3E5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B4381B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7D4622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9C785F6" w14:textId="77777777" w:rsidR="00000000" w:rsidRDefault="00632532">
            <w:pPr>
              <w:pStyle w:val="a3"/>
              <w:spacing w:before="0" w:beforeAutospacing="0" w:after="0" w:afterAutospacing="0"/>
              <w:jc w:val="right"/>
              <w:rPr>
                <w:sz w:val="20"/>
                <w:szCs w:val="20"/>
              </w:rPr>
            </w:pPr>
            <w:r>
              <w:rPr>
                <w:b/>
                <w:bCs/>
                <w:sz w:val="18"/>
                <w:szCs w:val="18"/>
              </w:rPr>
              <w:t>3</w:t>
            </w:r>
          </w:p>
        </w:tc>
        <w:tc>
          <w:tcPr>
            <w:tcW w:w="0" w:type="auto"/>
            <w:noWrap/>
            <w:vAlign w:val="bottom"/>
            <w:hideMark/>
          </w:tcPr>
          <w:p w14:paraId="466ADC8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C9AD65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B1CF93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192266D" w14:textId="77777777" w:rsidR="00000000" w:rsidRDefault="00632532">
            <w:pPr>
              <w:pStyle w:val="a3"/>
              <w:spacing w:before="0" w:beforeAutospacing="0" w:after="0" w:afterAutospacing="0"/>
              <w:jc w:val="right"/>
              <w:rPr>
                <w:sz w:val="20"/>
                <w:szCs w:val="20"/>
              </w:rPr>
            </w:pPr>
            <w:r>
              <w:rPr>
                <w:b/>
                <w:bCs/>
                <w:sz w:val="18"/>
                <w:szCs w:val="18"/>
              </w:rPr>
              <w:t>507,04</w:t>
            </w:r>
            <w:r>
              <w:rPr>
                <w:b/>
                <w:bCs/>
                <w:sz w:val="18"/>
                <w:szCs w:val="18"/>
              </w:rPr>
              <w:t>6</w:t>
            </w:r>
          </w:p>
        </w:tc>
        <w:tc>
          <w:tcPr>
            <w:tcW w:w="0" w:type="auto"/>
            <w:noWrap/>
            <w:vAlign w:val="bottom"/>
            <w:hideMark/>
          </w:tcPr>
          <w:p w14:paraId="2ED8DCD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09D1B9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6394B6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F0D6695" w14:textId="77777777" w:rsidR="00000000" w:rsidRDefault="00632532">
            <w:pPr>
              <w:pStyle w:val="a3"/>
              <w:spacing w:before="0" w:beforeAutospacing="0" w:after="0" w:afterAutospacing="0"/>
              <w:jc w:val="right"/>
              <w:rPr>
                <w:sz w:val="20"/>
                <w:szCs w:val="20"/>
              </w:rPr>
            </w:pPr>
            <w:r>
              <w:rPr>
                <w:b/>
                <w:bCs/>
                <w:sz w:val="18"/>
                <w:szCs w:val="18"/>
              </w:rPr>
              <w:t>(</w:t>
            </w:r>
            <w:r>
              <w:rPr>
                <w:b/>
                <w:bCs/>
                <w:sz w:val="18"/>
                <w:szCs w:val="18"/>
              </w:rPr>
              <w:t>12,49</w:t>
            </w:r>
            <w:r>
              <w:rPr>
                <w:b/>
                <w:bCs/>
                <w:sz w:val="18"/>
                <w:szCs w:val="18"/>
              </w:rPr>
              <w:t>3</w:t>
            </w:r>
          </w:p>
        </w:tc>
        <w:tc>
          <w:tcPr>
            <w:tcW w:w="0" w:type="auto"/>
            <w:noWrap/>
            <w:vAlign w:val="bottom"/>
            <w:hideMark/>
          </w:tcPr>
          <w:p w14:paraId="5025519F"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42B9256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3DC44F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44FB20B" w14:textId="77777777" w:rsidR="00000000" w:rsidRDefault="00632532">
            <w:pPr>
              <w:pStyle w:val="a3"/>
              <w:spacing w:before="0" w:beforeAutospacing="0" w:after="0" w:afterAutospacing="0"/>
              <w:jc w:val="right"/>
              <w:rPr>
                <w:sz w:val="20"/>
                <w:szCs w:val="20"/>
              </w:rPr>
            </w:pPr>
            <w:r>
              <w:rPr>
                <w:b/>
                <w:bCs/>
                <w:sz w:val="18"/>
                <w:szCs w:val="18"/>
              </w:rPr>
              <w:t>811,57</w:t>
            </w:r>
            <w:r>
              <w:rPr>
                <w:b/>
                <w:bCs/>
                <w:sz w:val="18"/>
                <w:szCs w:val="18"/>
              </w:rPr>
              <w:t>6</w:t>
            </w:r>
          </w:p>
        </w:tc>
        <w:tc>
          <w:tcPr>
            <w:tcW w:w="0" w:type="auto"/>
            <w:noWrap/>
            <w:vAlign w:val="bottom"/>
            <w:hideMark/>
          </w:tcPr>
          <w:p w14:paraId="406E2DC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DE0218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A74501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B31D786" w14:textId="77777777" w:rsidR="00000000" w:rsidRDefault="00632532">
            <w:pPr>
              <w:pStyle w:val="a3"/>
              <w:spacing w:before="0" w:beforeAutospacing="0" w:after="0" w:afterAutospacing="0"/>
              <w:jc w:val="right"/>
              <w:rPr>
                <w:sz w:val="20"/>
                <w:szCs w:val="20"/>
              </w:rPr>
            </w:pPr>
            <w:r>
              <w:rPr>
                <w:b/>
                <w:bCs/>
                <w:sz w:val="18"/>
                <w:szCs w:val="18"/>
              </w:rPr>
              <w:t>1,306,13</w:t>
            </w:r>
            <w:r>
              <w:rPr>
                <w:b/>
                <w:bCs/>
                <w:sz w:val="18"/>
                <w:szCs w:val="18"/>
              </w:rPr>
              <w:t>2</w:t>
            </w:r>
          </w:p>
        </w:tc>
        <w:tc>
          <w:tcPr>
            <w:tcW w:w="0" w:type="auto"/>
            <w:noWrap/>
            <w:vAlign w:val="bottom"/>
            <w:hideMark/>
          </w:tcPr>
          <w:p w14:paraId="2226270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CB4920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653303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06DC316" w14:textId="77777777" w:rsidR="00000000" w:rsidRDefault="00632532">
            <w:pPr>
              <w:pStyle w:val="a3"/>
              <w:spacing w:before="0" w:beforeAutospacing="0" w:after="0" w:afterAutospacing="0"/>
              <w:jc w:val="right"/>
              <w:rPr>
                <w:sz w:val="20"/>
                <w:szCs w:val="20"/>
              </w:rPr>
            </w:pPr>
            <w:r>
              <w:rPr>
                <w:b/>
                <w:bCs/>
                <w:sz w:val="18"/>
                <w:szCs w:val="18"/>
              </w:rPr>
              <w:t>6,82</w:t>
            </w:r>
            <w:r>
              <w:rPr>
                <w:b/>
                <w:bCs/>
                <w:sz w:val="18"/>
                <w:szCs w:val="18"/>
              </w:rPr>
              <w:t>8</w:t>
            </w:r>
          </w:p>
        </w:tc>
        <w:tc>
          <w:tcPr>
            <w:tcW w:w="0" w:type="auto"/>
            <w:noWrap/>
            <w:vAlign w:val="bottom"/>
            <w:hideMark/>
          </w:tcPr>
          <w:p w14:paraId="6DE20EA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4596A4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54EC31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99F2404" w14:textId="77777777" w:rsidR="00000000" w:rsidRDefault="00632532">
            <w:pPr>
              <w:pStyle w:val="a3"/>
              <w:spacing w:before="0" w:beforeAutospacing="0" w:after="0" w:afterAutospacing="0"/>
              <w:jc w:val="right"/>
              <w:rPr>
                <w:sz w:val="20"/>
                <w:szCs w:val="20"/>
              </w:rPr>
            </w:pPr>
            <w:r>
              <w:rPr>
                <w:b/>
                <w:bCs/>
                <w:sz w:val="18"/>
                <w:szCs w:val="18"/>
              </w:rPr>
              <w:t>1,312,96</w:t>
            </w:r>
            <w:r>
              <w:rPr>
                <w:b/>
                <w:bCs/>
                <w:sz w:val="18"/>
                <w:szCs w:val="18"/>
              </w:rPr>
              <w:t>0</w:t>
            </w:r>
          </w:p>
        </w:tc>
        <w:tc>
          <w:tcPr>
            <w:tcW w:w="0" w:type="auto"/>
            <w:noWrap/>
            <w:vAlign w:val="bottom"/>
            <w:hideMark/>
          </w:tcPr>
          <w:p w14:paraId="6935A569" w14:textId="77777777" w:rsidR="00000000" w:rsidRDefault="00632532">
            <w:pPr>
              <w:pStyle w:val="a3"/>
              <w:spacing w:before="0" w:beforeAutospacing="0" w:after="0" w:afterAutospacing="0"/>
              <w:rPr>
                <w:sz w:val="18"/>
                <w:szCs w:val="18"/>
              </w:rPr>
            </w:pPr>
            <w:r>
              <w:rPr>
                <w:sz w:val="18"/>
                <w:szCs w:val="18"/>
              </w:rPr>
              <w:t> </w:t>
            </w:r>
          </w:p>
        </w:tc>
      </w:tr>
      <w:tr w:rsidR="00000000" w14:paraId="1EBF7523" w14:textId="77777777">
        <w:trPr>
          <w:trHeight w:val="180"/>
          <w:tblCellSpacing w:w="15" w:type="dxa"/>
        </w:trPr>
        <w:tc>
          <w:tcPr>
            <w:tcW w:w="0" w:type="auto"/>
            <w:vAlign w:val="bottom"/>
            <w:hideMark/>
          </w:tcPr>
          <w:p w14:paraId="08484DAE" w14:textId="77777777" w:rsidR="00000000" w:rsidRDefault="00632532">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14:paraId="58D8D37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135727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A753132"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CED2F9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246B6C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DDFAA3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892E93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709A18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787450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B7047B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D7BB1A4" w14:textId="77777777" w:rsidR="00000000" w:rsidRDefault="00632532">
            <w:pPr>
              <w:pStyle w:val="a3"/>
              <w:spacing w:before="0" w:beforeAutospacing="0" w:after="0" w:afterAutospacing="0"/>
              <w:jc w:val="right"/>
              <w:rPr>
                <w:sz w:val="20"/>
                <w:szCs w:val="20"/>
              </w:rPr>
            </w:pPr>
            <w:r>
              <w:rPr>
                <w:sz w:val="18"/>
                <w:szCs w:val="18"/>
              </w:rPr>
              <w:t>8,03</w:t>
            </w:r>
            <w:r>
              <w:rPr>
                <w:sz w:val="18"/>
                <w:szCs w:val="18"/>
              </w:rPr>
              <w:t>0</w:t>
            </w:r>
          </w:p>
        </w:tc>
        <w:tc>
          <w:tcPr>
            <w:tcW w:w="0" w:type="auto"/>
            <w:noWrap/>
            <w:vAlign w:val="bottom"/>
            <w:hideMark/>
          </w:tcPr>
          <w:p w14:paraId="5D5A8D9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5F779E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20B8F4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0841E84"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793564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A613DE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F90AC0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C2330C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D120AC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834EDC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193CC6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E1674A6" w14:textId="77777777" w:rsidR="00000000" w:rsidRDefault="00632532">
            <w:pPr>
              <w:pStyle w:val="a3"/>
              <w:spacing w:before="0" w:beforeAutospacing="0" w:after="0" w:afterAutospacing="0"/>
              <w:jc w:val="right"/>
              <w:rPr>
                <w:sz w:val="20"/>
                <w:szCs w:val="20"/>
              </w:rPr>
            </w:pPr>
            <w:r>
              <w:rPr>
                <w:sz w:val="18"/>
                <w:szCs w:val="18"/>
              </w:rPr>
              <w:t>8,03</w:t>
            </w:r>
            <w:r>
              <w:rPr>
                <w:sz w:val="18"/>
                <w:szCs w:val="18"/>
              </w:rPr>
              <w:t>0</w:t>
            </w:r>
          </w:p>
        </w:tc>
        <w:tc>
          <w:tcPr>
            <w:tcW w:w="0" w:type="auto"/>
            <w:noWrap/>
            <w:vAlign w:val="bottom"/>
            <w:hideMark/>
          </w:tcPr>
          <w:p w14:paraId="7E85D23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EDEF7A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AD0846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C738A0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783141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AA5D51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6ED02C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D8FD525" w14:textId="77777777" w:rsidR="00000000" w:rsidRDefault="00632532">
            <w:pPr>
              <w:pStyle w:val="a3"/>
              <w:spacing w:before="0" w:beforeAutospacing="0" w:after="0" w:afterAutospacing="0"/>
              <w:jc w:val="right"/>
              <w:rPr>
                <w:sz w:val="20"/>
                <w:szCs w:val="20"/>
              </w:rPr>
            </w:pPr>
            <w:r>
              <w:rPr>
                <w:sz w:val="18"/>
                <w:szCs w:val="18"/>
              </w:rPr>
              <w:t>8,03</w:t>
            </w:r>
            <w:r>
              <w:rPr>
                <w:sz w:val="18"/>
                <w:szCs w:val="18"/>
              </w:rPr>
              <w:t>0</w:t>
            </w:r>
          </w:p>
        </w:tc>
        <w:tc>
          <w:tcPr>
            <w:tcW w:w="0" w:type="auto"/>
            <w:noWrap/>
            <w:vAlign w:val="bottom"/>
            <w:hideMark/>
          </w:tcPr>
          <w:p w14:paraId="51F0D245" w14:textId="77777777" w:rsidR="00000000" w:rsidRDefault="00632532">
            <w:pPr>
              <w:pStyle w:val="a3"/>
              <w:spacing w:before="0" w:beforeAutospacing="0" w:after="0" w:afterAutospacing="0"/>
              <w:rPr>
                <w:sz w:val="18"/>
                <w:szCs w:val="18"/>
              </w:rPr>
            </w:pPr>
            <w:r>
              <w:rPr>
                <w:sz w:val="18"/>
                <w:szCs w:val="18"/>
              </w:rPr>
              <w:t> </w:t>
            </w:r>
          </w:p>
        </w:tc>
      </w:tr>
      <w:tr w:rsidR="00000000" w14:paraId="0CD42013" w14:textId="77777777">
        <w:trPr>
          <w:trHeight w:val="180"/>
          <w:tblCellSpacing w:w="15" w:type="dxa"/>
        </w:trPr>
        <w:tc>
          <w:tcPr>
            <w:tcW w:w="0" w:type="auto"/>
            <w:vAlign w:val="bottom"/>
            <w:hideMark/>
          </w:tcPr>
          <w:p w14:paraId="31FD91EA" w14:textId="77777777" w:rsidR="00000000" w:rsidRDefault="00632532">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14:paraId="67D37B7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733C28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7BA36B1" w14:textId="77777777" w:rsidR="00000000" w:rsidRDefault="00632532">
            <w:pPr>
              <w:pStyle w:val="a3"/>
              <w:spacing w:before="0" w:beforeAutospacing="0" w:after="0" w:afterAutospacing="0"/>
              <w:jc w:val="right"/>
              <w:rPr>
                <w:sz w:val="20"/>
                <w:szCs w:val="20"/>
              </w:rPr>
            </w:pPr>
            <w:r>
              <w:rPr>
                <w:sz w:val="18"/>
                <w:szCs w:val="18"/>
              </w:rPr>
              <w:t>1</w:t>
            </w:r>
          </w:p>
        </w:tc>
        <w:tc>
          <w:tcPr>
            <w:tcW w:w="0" w:type="auto"/>
            <w:noWrap/>
            <w:vAlign w:val="bottom"/>
            <w:hideMark/>
          </w:tcPr>
          <w:p w14:paraId="1DD0FDF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5ACBD0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EDBD75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2E1B1F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775774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06E704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7D6538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44FF016" w14:textId="77777777" w:rsidR="00000000" w:rsidRDefault="00632532">
            <w:pPr>
              <w:pStyle w:val="a3"/>
              <w:spacing w:before="0" w:beforeAutospacing="0" w:after="0" w:afterAutospacing="0"/>
              <w:jc w:val="right"/>
              <w:rPr>
                <w:sz w:val="20"/>
                <w:szCs w:val="20"/>
              </w:rPr>
            </w:pPr>
            <w:r>
              <w:rPr>
                <w:sz w:val="18"/>
                <w:szCs w:val="18"/>
              </w:rPr>
              <w:t>3</w:t>
            </w:r>
          </w:p>
        </w:tc>
        <w:tc>
          <w:tcPr>
            <w:tcW w:w="0" w:type="auto"/>
            <w:noWrap/>
            <w:vAlign w:val="bottom"/>
            <w:hideMark/>
          </w:tcPr>
          <w:p w14:paraId="59BA47B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A5F365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1B56EA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8636AA3"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8FEEB3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692B4D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5313CE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CF95F3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5C7059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F2E63A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1B293F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AE2C2A4" w14:textId="77777777" w:rsidR="00000000" w:rsidRDefault="00632532">
            <w:pPr>
              <w:pStyle w:val="a3"/>
              <w:spacing w:before="0" w:beforeAutospacing="0" w:after="0" w:afterAutospacing="0"/>
              <w:jc w:val="right"/>
              <w:rPr>
                <w:sz w:val="20"/>
                <w:szCs w:val="20"/>
              </w:rPr>
            </w:pPr>
            <w:r>
              <w:rPr>
                <w:sz w:val="18"/>
                <w:szCs w:val="18"/>
              </w:rPr>
              <w:t>3</w:t>
            </w:r>
          </w:p>
        </w:tc>
        <w:tc>
          <w:tcPr>
            <w:tcW w:w="0" w:type="auto"/>
            <w:noWrap/>
            <w:vAlign w:val="bottom"/>
            <w:hideMark/>
          </w:tcPr>
          <w:p w14:paraId="685206F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DE1EF1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F9E62D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A433E0F"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0B0786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D07CEA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F9092B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8598ECE" w14:textId="77777777" w:rsidR="00000000" w:rsidRDefault="00632532">
            <w:pPr>
              <w:pStyle w:val="a3"/>
              <w:spacing w:before="0" w:beforeAutospacing="0" w:after="0" w:afterAutospacing="0"/>
              <w:jc w:val="right"/>
              <w:rPr>
                <w:sz w:val="20"/>
                <w:szCs w:val="20"/>
              </w:rPr>
            </w:pPr>
            <w:r>
              <w:rPr>
                <w:sz w:val="18"/>
                <w:szCs w:val="18"/>
              </w:rPr>
              <w:t>3</w:t>
            </w:r>
          </w:p>
        </w:tc>
        <w:tc>
          <w:tcPr>
            <w:tcW w:w="0" w:type="auto"/>
            <w:noWrap/>
            <w:vAlign w:val="bottom"/>
            <w:hideMark/>
          </w:tcPr>
          <w:p w14:paraId="1EC87F9B" w14:textId="77777777" w:rsidR="00000000" w:rsidRDefault="00632532">
            <w:pPr>
              <w:pStyle w:val="a3"/>
              <w:spacing w:before="0" w:beforeAutospacing="0" w:after="0" w:afterAutospacing="0"/>
              <w:rPr>
                <w:sz w:val="18"/>
                <w:szCs w:val="18"/>
              </w:rPr>
            </w:pPr>
            <w:r>
              <w:rPr>
                <w:sz w:val="18"/>
                <w:szCs w:val="18"/>
              </w:rPr>
              <w:t> </w:t>
            </w:r>
          </w:p>
        </w:tc>
      </w:tr>
      <w:tr w:rsidR="00000000" w14:paraId="6542A6FA" w14:textId="77777777">
        <w:trPr>
          <w:trHeight w:val="180"/>
          <w:tblCellSpacing w:w="15" w:type="dxa"/>
        </w:trPr>
        <w:tc>
          <w:tcPr>
            <w:tcW w:w="0" w:type="auto"/>
            <w:vAlign w:val="bottom"/>
            <w:hideMark/>
          </w:tcPr>
          <w:p w14:paraId="40DF264F" w14:textId="77777777" w:rsidR="00000000" w:rsidRDefault="00632532">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14:paraId="4BCD816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5E980E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A028113" w14:textId="77777777" w:rsidR="00000000" w:rsidRDefault="00632532">
            <w:pPr>
              <w:pStyle w:val="a3"/>
              <w:spacing w:before="0" w:beforeAutospacing="0" w:after="0" w:afterAutospacing="0"/>
              <w:jc w:val="right"/>
              <w:rPr>
                <w:sz w:val="20"/>
                <w:szCs w:val="20"/>
              </w:rPr>
            </w:pPr>
            <w:r>
              <w:rPr>
                <w:sz w:val="18"/>
                <w:szCs w:val="18"/>
              </w:rPr>
              <w:t>16</w:t>
            </w:r>
            <w:r>
              <w:rPr>
                <w:sz w:val="18"/>
                <w:szCs w:val="18"/>
              </w:rPr>
              <w:t>1</w:t>
            </w:r>
          </w:p>
        </w:tc>
        <w:tc>
          <w:tcPr>
            <w:tcW w:w="0" w:type="auto"/>
            <w:noWrap/>
            <w:vAlign w:val="bottom"/>
            <w:hideMark/>
          </w:tcPr>
          <w:p w14:paraId="1D1E6C0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3221B6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E81613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47B099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F2BCFC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ECFE58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8A5683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C9B458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BC7B73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7CDA5E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761993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63F526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648420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D1B05C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0BA66E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A0ABF87"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962716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0A6B5E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69CF4B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E653193"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B2BC27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8D06F5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F4CAFE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C051374"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9C7F72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761348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72858E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1E7BBE2"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21FB3D5" w14:textId="77777777" w:rsidR="00000000" w:rsidRDefault="00632532">
            <w:pPr>
              <w:pStyle w:val="a3"/>
              <w:spacing w:before="0" w:beforeAutospacing="0" w:after="0" w:afterAutospacing="0"/>
              <w:rPr>
                <w:sz w:val="18"/>
                <w:szCs w:val="18"/>
              </w:rPr>
            </w:pPr>
            <w:r>
              <w:rPr>
                <w:sz w:val="18"/>
                <w:szCs w:val="18"/>
              </w:rPr>
              <w:t> </w:t>
            </w:r>
          </w:p>
        </w:tc>
      </w:tr>
      <w:tr w:rsidR="00000000" w14:paraId="2EE8F56A" w14:textId="77777777">
        <w:trPr>
          <w:trHeight w:val="180"/>
          <w:tblCellSpacing w:w="15" w:type="dxa"/>
        </w:trPr>
        <w:tc>
          <w:tcPr>
            <w:tcW w:w="0" w:type="auto"/>
            <w:vAlign w:val="bottom"/>
            <w:hideMark/>
          </w:tcPr>
          <w:p w14:paraId="490CB24A" w14:textId="77777777" w:rsidR="00000000" w:rsidRDefault="00632532">
            <w:pPr>
              <w:pStyle w:val="a3"/>
              <w:spacing w:before="0" w:beforeAutospacing="0" w:after="0" w:afterAutospacing="0"/>
              <w:rPr>
                <w:sz w:val="18"/>
                <w:szCs w:val="18"/>
              </w:rPr>
            </w:pPr>
            <w:r>
              <w:rPr>
                <w:sz w:val="18"/>
                <w:szCs w:val="18"/>
              </w:rPr>
              <w:t>Common stock withholding for employee tax obligation</w:t>
            </w:r>
            <w:r>
              <w:rPr>
                <w:sz w:val="18"/>
                <w:szCs w:val="18"/>
              </w:rPr>
              <w:t>s</w:t>
            </w:r>
          </w:p>
        </w:tc>
        <w:tc>
          <w:tcPr>
            <w:tcW w:w="0" w:type="auto"/>
            <w:vAlign w:val="bottom"/>
            <w:hideMark/>
          </w:tcPr>
          <w:p w14:paraId="0720A93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B0743E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0C57207" w14:textId="77777777" w:rsidR="00000000" w:rsidRDefault="00632532">
            <w:pPr>
              <w:pStyle w:val="a3"/>
              <w:spacing w:before="0" w:beforeAutospacing="0" w:after="0" w:afterAutospacing="0"/>
              <w:jc w:val="right"/>
              <w:rPr>
                <w:sz w:val="20"/>
                <w:szCs w:val="20"/>
              </w:rPr>
            </w:pPr>
            <w:r>
              <w:rPr>
                <w:sz w:val="18"/>
                <w:szCs w:val="18"/>
              </w:rPr>
              <w:t>(</w:t>
            </w:r>
            <w:r>
              <w:rPr>
                <w:sz w:val="18"/>
                <w:szCs w:val="18"/>
              </w:rPr>
              <w:t>8</w:t>
            </w:r>
          </w:p>
        </w:tc>
        <w:tc>
          <w:tcPr>
            <w:tcW w:w="0" w:type="auto"/>
            <w:noWrap/>
            <w:vAlign w:val="bottom"/>
            <w:hideMark/>
          </w:tcPr>
          <w:p w14:paraId="21B44059"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B156CF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0017F3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47A521F"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3AD53B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B7269D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F52C0A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4B4DFCA" w14:textId="77777777" w:rsidR="00000000" w:rsidRDefault="00632532">
            <w:pPr>
              <w:pStyle w:val="a3"/>
              <w:spacing w:before="0" w:beforeAutospacing="0" w:after="0" w:afterAutospacing="0"/>
              <w:jc w:val="right"/>
              <w:rPr>
                <w:sz w:val="20"/>
                <w:szCs w:val="20"/>
              </w:rPr>
            </w:pPr>
            <w:r>
              <w:rPr>
                <w:sz w:val="18"/>
                <w:szCs w:val="18"/>
              </w:rPr>
              <w:t>(</w:t>
            </w:r>
            <w:r>
              <w:rPr>
                <w:sz w:val="18"/>
                <w:szCs w:val="18"/>
              </w:rPr>
              <w:t>43</w:t>
            </w:r>
            <w:r>
              <w:rPr>
                <w:sz w:val="18"/>
                <w:szCs w:val="18"/>
              </w:rPr>
              <w:t>6</w:t>
            </w:r>
          </w:p>
        </w:tc>
        <w:tc>
          <w:tcPr>
            <w:tcW w:w="0" w:type="auto"/>
            <w:noWrap/>
            <w:vAlign w:val="bottom"/>
            <w:hideMark/>
          </w:tcPr>
          <w:p w14:paraId="39FA399A"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4F808E0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1D58E8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8C92DFA"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8F5A95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36F0A9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5F5E00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49F531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F43733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9A716D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A23E94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EB94B51" w14:textId="77777777" w:rsidR="00000000" w:rsidRDefault="00632532">
            <w:pPr>
              <w:pStyle w:val="a3"/>
              <w:spacing w:before="0" w:beforeAutospacing="0" w:after="0" w:afterAutospacing="0"/>
              <w:jc w:val="right"/>
              <w:rPr>
                <w:sz w:val="20"/>
                <w:szCs w:val="20"/>
              </w:rPr>
            </w:pPr>
            <w:r>
              <w:rPr>
                <w:sz w:val="18"/>
                <w:szCs w:val="18"/>
              </w:rPr>
              <w:t>(</w:t>
            </w:r>
            <w:r>
              <w:rPr>
                <w:sz w:val="18"/>
                <w:szCs w:val="18"/>
              </w:rPr>
              <w:t>43</w:t>
            </w:r>
            <w:r>
              <w:rPr>
                <w:sz w:val="18"/>
                <w:szCs w:val="18"/>
              </w:rPr>
              <w:t>6</w:t>
            </w:r>
          </w:p>
        </w:tc>
        <w:tc>
          <w:tcPr>
            <w:tcW w:w="0" w:type="auto"/>
            <w:noWrap/>
            <w:vAlign w:val="bottom"/>
            <w:hideMark/>
          </w:tcPr>
          <w:p w14:paraId="258B4C4D"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6BFAF2C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54076B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517FE3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480376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5D9754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2760ED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62468AF" w14:textId="77777777" w:rsidR="00000000" w:rsidRDefault="00632532">
            <w:pPr>
              <w:pStyle w:val="a3"/>
              <w:spacing w:before="0" w:beforeAutospacing="0" w:after="0" w:afterAutospacing="0"/>
              <w:jc w:val="right"/>
              <w:rPr>
                <w:sz w:val="20"/>
                <w:szCs w:val="20"/>
              </w:rPr>
            </w:pPr>
            <w:r>
              <w:rPr>
                <w:sz w:val="18"/>
                <w:szCs w:val="18"/>
              </w:rPr>
              <w:t>(</w:t>
            </w:r>
            <w:r>
              <w:rPr>
                <w:sz w:val="18"/>
                <w:szCs w:val="18"/>
              </w:rPr>
              <w:t>43</w:t>
            </w:r>
            <w:r>
              <w:rPr>
                <w:sz w:val="18"/>
                <w:szCs w:val="18"/>
              </w:rPr>
              <w:t>6</w:t>
            </w:r>
          </w:p>
        </w:tc>
        <w:tc>
          <w:tcPr>
            <w:tcW w:w="0" w:type="auto"/>
            <w:noWrap/>
            <w:vAlign w:val="bottom"/>
            <w:hideMark/>
          </w:tcPr>
          <w:p w14:paraId="5DD0D0D9" w14:textId="77777777" w:rsidR="00000000" w:rsidRDefault="00632532">
            <w:pPr>
              <w:pStyle w:val="a3"/>
              <w:spacing w:before="0" w:beforeAutospacing="0" w:after="0" w:afterAutospacing="0"/>
              <w:rPr>
                <w:sz w:val="18"/>
                <w:szCs w:val="18"/>
              </w:rPr>
            </w:pPr>
            <w:r>
              <w:rPr>
                <w:sz w:val="18"/>
                <w:szCs w:val="18"/>
              </w:rPr>
              <w:t>)</w:t>
            </w:r>
          </w:p>
        </w:tc>
      </w:tr>
      <w:tr w:rsidR="00000000" w14:paraId="7D0785C9" w14:textId="77777777">
        <w:trPr>
          <w:trHeight w:val="180"/>
          <w:tblCellSpacing w:w="15" w:type="dxa"/>
        </w:trPr>
        <w:tc>
          <w:tcPr>
            <w:tcW w:w="0" w:type="auto"/>
            <w:vAlign w:val="bottom"/>
            <w:hideMark/>
          </w:tcPr>
          <w:p w14:paraId="3A1BC284" w14:textId="77777777" w:rsidR="00000000" w:rsidRDefault="00632532">
            <w:pPr>
              <w:pStyle w:val="a3"/>
              <w:spacing w:before="0" w:beforeAutospacing="0" w:after="0" w:afterAutospacing="0"/>
              <w:rPr>
                <w:sz w:val="18"/>
                <w:szCs w:val="18"/>
              </w:rPr>
            </w:pPr>
            <w:r>
              <w:rPr>
                <w:sz w:val="18"/>
                <w:szCs w:val="18"/>
              </w:rPr>
              <w:t>Repurchase of common stoc</w:t>
            </w:r>
            <w:r>
              <w:rPr>
                <w:sz w:val="18"/>
                <w:szCs w:val="18"/>
              </w:rPr>
              <w:t>k</w:t>
            </w:r>
          </w:p>
        </w:tc>
        <w:tc>
          <w:tcPr>
            <w:tcW w:w="0" w:type="auto"/>
            <w:vAlign w:val="bottom"/>
            <w:hideMark/>
          </w:tcPr>
          <w:p w14:paraId="5602281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BC8773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4921454" w14:textId="77777777" w:rsidR="00000000" w:rsidRDefault="00632532">
            <w:pPr>
              <w:pStyle w:val="a3"/>
              <w:spacing w:before="0" w:beforeAutospacing="0" w:after="0" w:afterAutospacing="0"/>
              <w:jc w:val="right"/>
              <w:rPr>
                <w:sz w:val="20"/>
                <w:szCs w:val="20"/>
              </w:rPr>
            </w:pPr>
            <w:r>
              <w:rPr>
                <w:sz w:val="18"/>
                <w:szCs w:val="18"/>
              </w:rPr>
              <w:t>(</w:t>
            </w:r>
            <w:r>
              <w:rPr>
                <w:sz w:val="18"/>
                <w:szCs w:val="18"/>
              </w:rPr>
              <w:t>21</w:t>
            </w:r>
            <w:r>
              <w:rPr>
                <w:sz w:val="18"/>
                <w:szCs w:val="18"/>
              </w:rPr>
              <w:t>5</w:t>
            </w:r>
          </w:p>
        </w:tc>
        <w:tc>
          <w:tcPr>
            <w:tcW w:w="0" w:type="auto"/>
            <w:noWrap/>
            <w:vAlign w:val="bottom"/>
            <w:hideMark/>
          </w:tcPr>
          <w:p w14:paraId="3322BFD2"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5725A4F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A35A09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65EC86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D3AE17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6E7BDF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36E6CC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E4F671B" w14:textId="77777777" w:rsidR="00000000" w:rsidRDefault="00632532">
            <w:pPr>
              <w:pStyle w:val="a3"/>
              <w:spacing w:before="0" w:beforeAutospacing="0" w:after="0" w:afterAutospacing="0"/>
              <w:jc w:val="right"/>
              <w:rPr>
                <w:sz w:val="20"/>
                <w:szCs w:val="20"/>
              </w:rPr>
            </w:pPr>
            <w:r>
              <w:rPr>
                <w:sz w:val="18"/>
                <w:szCs w:val="18"/>
              </w:rPr>
              <w:t>(</w:t>
            </w:r>
            <w:r>
              <w:rPr>
                <w:sz w:val="18"/>
                <w:szCs w:val="18"/>
              </w:rPr>
              <w:t>10,57</w:t>
            </w:r>
            <w:r>
              <w:rPr>
                <w:sz w:val="18"/>
                <w:szCs w:val="18"/>
              </w:rPr>
              <w:t>7</w:t>
            </w:r>
          </w:p>
        </w:tc>
        <w:tc>
          <w:tcPr>
            <w:tcW w:w="0" w:type="auto"/>
            <w:noWrap/>
            <w:vAlign w:val="bottom"/>
            <w:hideMark/>
          </w:tcPr>
          <w:p w14:paraId="273350B9"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76ACA1D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7C9D71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54DCF3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512875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2DE9D8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14DE8C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4E7349F"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4DA589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85150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784C9F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C45F94E" w14:textId="77777777" w:rsidR="00000000" w:rsidRDefault="00632532">
            <w:pPr>
              <w:pStyle w:val="a3"/>
              <w:spacing w:before="0" w:beforeAutospacing="0" w:after="0" w:afterAutospacing="0"/>
              <w:jc w:val="right"/>
              <w:rPr>
                <w:sz w:val="20"/>
                <w:szCs w:val="20"/>
              </w:rPr>
            </w:pPr>
            <w:r>
              <w:rPr>
                <w:sz w:val="18"/>
                <w:szCs w:val="18"/>
              </w:rPr>
              <w:t>(</w:t>
            </w:r>
            <w:r>
              <w:rPr>
                <w:sz w:val="18"/>
                <w:szCs w:val="18"/>
              </w:rPr>
              <w:t>10,57</w:t>
            </w:r>
            <w:r>
              <w:rPr>
                <w:sz w:val="18"/>
                <w:szCs w:val="18"/>
              </w:rPr>
              <w:t>7</w:t>
            </w:r>
          </w:p>
        </w:tc>
        <w:tc>
          <w:tcPr>
            <w:tcW w:w="0" w:type="auto"/>
            <w:noWrap/>
            <w:vAlign w:val="bottom"/>
            <w:hideMark/>
          </w:tcPr>
          <w:p w14:paraId="7379EB9E"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750F4C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7CB2AD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8367A6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D03940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D52575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AEE529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3E25F1D" w14:textId="77777777" w:rsidR="00000000" w:rsidRDefault="00632532">
            <w:pPr>
              <w:pStyle w:val="a3"/>
              <w:spacing w:before="0" w:beforeAutospacing="0" w:after="0" w:afterAutospacing="0"/>
              <w:jc w:val="right"/>
              <w:rPr>
                <w:sz w:val="20"/>
                <w:szCs w:val="20"/>
              </w:rPr>
            </w:pPr>
            <w:r>
              <w:rPr>
                <w:sz w:val="18"/>
                <w:szCs w:val="18"/>
              </w:rPr>
              <w:t>(</w:t>
            </w:r>
            <w:r>
              <w:rPr>
                <w:sz w:val="18"/>
                <w:szCs w:val="18"/>
              </w:rPr>
              <w:t>10,57</w:t>
            </w:r>
            <w:r>
              <w:rPr>
                <w:sz w:val="18"/>
                <w:szCs w:val="18"/>
              </w:rPr>
              <w:t>7</w:t>
            </w:r>
          </w:p>
        </w:tc>
        <w:tc>
          <w:tcPr>
            <w:tcW w:w="0" w:type="auto"/>
            <w:noWrap/>
            <w:vAlign w:val="bottom"/>
            <w:hideMark/>
          </w:tcPr>
          <w:p w14:paraId="4E67BE97" w14:textId="77777777" w:rsidR="00000000" w:rsidRDefault="00632532">
            <w:pPr>
              <w:pStyle w:val="a3"/>
              <w:spacing w:before="0" w:beforeAutospacing="0" w:after="0" w:afterAutospacing="0"/>
              <w:rPr>
                <w:sz w:val="18"/>
                <w:szCs w:val="18"/>
              </w:rPr>
            </w:pPr>
            <w:r>
              <w:rPr>
                <w:sz w:val="18"/>
                <w:szCs w:val="18"/>
              </w:rPr>
              <w:t>)</w:t>
            </w:r>
          </w:p>
        </w:tc>
      </w:tr>
      <w:tr w:rsidR="00000000" w14:paraId="432FF1B7" w14:textId="77777777">
        <w:trPr>
          <w:trHeight w:val="180"/>
          <w:tblCellSpacing w:w="15" w:type="dxa"/>
        </w:trPr>
        <w:tc>
          <w:tcPr>
            <w:tcW w:w="0" w:type="auto"/>
            <w:vAlign w:val="bottom"/>
            <w:hideMark/>
          </w:tcPr>
          <w:p w14:paraId="24A4758B" w14:textId="77777777" w:rsidR="00000000" w:rsidRDefault="00632532">
            <w:pPr>
              <w:pStyle w:val="a3"/>
              <w:spacing w:before="0" w:beforeAutospacing="0" w:after="0" w:afterAutospacing="0"/>
              <w:rPr>
                <w:sz w:val="18"/>
                <w:szCs w:val="18"/>
              </w:rPr>
            </w:pPr>
            <w:r>
              <w:rPr>
                <w:sz w:val="18"/>
                <w:szCs w:val="18"/>
              </w:rPr>
              <w:t>Other comprehensive los</w:t>
            </w:r>
            <w:r>
              <w:rPr>
                <w:sz w:val="18"/>
                <w:szCs w:val="18"/>
              </w:rPr>
              <w:t>s</w:t>
            </w:r>
          </w:p>
        </w:tc>
        <w:tc>
          <w:tcPr>
            <w:tcW w:w="0" w:type="auto"/>
            <w:vAlign w:val="bottom"/>
            <w:hideMark/>
          </w:tcPr>
          <w:p w14:paraId="543E235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EDEDC9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6C206E3"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C8F37E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D60D2D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684685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0A42907"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4C6AD5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4F4942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5E3B8A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C302334"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DC36CB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D2F693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EE586F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6771C39" w14:textId="77777777" w:rsidR="00000000" w:rsidRDefault="00632532">
            <w:pPr>
              <w:pStyle w:val="a3"/>
              <w:spacing w:before="0" w:beforeAutospacing="0" w:after="0" w:afterAutospacing="0"/>
              <w:jc w:val="right"/>
              <w:rPr>
                <w:sz w:val="20"/>
                <w:szCs w:val="20"/>
              </w:rPr>
            </w:pPr>
            <w:r>
              <w:rPr>
                <w:sz w:val="18"/>
                <w:szCs w:val="18"/>
              </w:rPr>
              <w:t>(</w:t>
            </w:r>
            <w:r>
              <w:rPr>
                <w:sz w:val="18"/>
                <w:szCs w:val="18"/>
              </w:rPr>
              <w:t>9,92</w:t>
            </w:r>
            <w:r>
              <w:rPr>
                <w:sz w:val="18"/>
                <w:szCs w:val="18"/>
              </w:rPr>
              <w:t>4</w:t>
            </w:r>
          </w:p>
        </w:tc>
        <w:tc>
          <w:tcPr>
            <w:tcW w:w="0" w:type="auto"/>
            <w:noWrap/>
            <w:vAlign w:val="bottom"/>
            <w:hideMark/>
          </w:tcPr>
          <w:p w14:paraId="0282B1E5"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6AEF42F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7E9782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2B2EFA5"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5A05C7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4072A2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1E9D2F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2504187" w14:textId="77777777" w:rsidR="00000000" w:rsidRDefault="00632532">
            <w:pPr>
              <w:pStyle w:val="a3"/>
              <w:spacing w:before="0" w:beforeAutospacing="0" w:after="0" w:afterAutospacing="0"/>
              <w:jc w:val="right"/>
              <w:rPr>
                <w:sz w:val="20"/>
                <w:szCs w:val="20"/>
              </w:rPr>
            </w:pPr>
            <w:r>
              <w:rPr>
                <w:sz w:val="18"/>
                <w:szCs w:val="18"/>
              </w:rPr>
              <w:t>(</w:t>
            </w:r>
            <w:r>
              <w:rPr>
                <w:sz w:val="18"/>
                <w:szCs w:val="18"/>
              </w:rPr>
              <w:t>9,92</w:t>
            </w:r>
            <w:r>
              <w:rPr>
                <w:sz w:val="18"/>
                <w:szCs w:val="18"/>
              </w:rPr>
              <w:t>4</w:t>
            </w:r>
          </w:p>
        </w:tc>
        <w:tc>
          <w:tcPr>
            <w:tcW w:w="0" w:type="auto"/>
            <w:noWrap/>
            <w:vAlign w:val="bottom"/>
            <w:hideMark/>
          </w:tcPr>
          <w:p w14:paraId="5BEE970F"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6B26021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C2A46C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CE92843" w14:textId="77777777" w:rsidR="00000000" w:rsidRDefault="00632532">
            <w:pPr>
              <w:pStyle w:val="a3"/>
              <w:spacing w:before="0" w:beforeAutospacing="0" w:after="0" w:afterAutospacing="0"/>
              <w:jc w:val="right"/>
              <w:rPr>
                <w:sz w:val="20"/>
                <w:szCs w:val="20"/>
              </w:rPr>
            </w:pPr>
            <w:r>
              <w:rPr>
                <w:sz w:val="18"/>
                <w:szCs w:val="18"/>
              </w:rPr>
              <w:t>(</w:t>
            </w:r>
            <w:r>
              <w:rPr>
                <w:sz w:val="18"/>
                <w:szCs w:val="18"/>
              </w:rPr>
              <w:t>42</w:t>
            </w:r>
            <w:r>
              <w:rPr>
                <w:sz w:val="18"/>
                <w:szCs w:val="18"/>
              </w:rPr>
              <w:t>2</w:t>
            </w:r>
          </w:p>
        </w:tc>
        <w:tc>
          <w:tcPr>
            <w:tcW w:w="0" w:type="auto"/>
            <w:noWrap/>
            <w:vAlign w:val="bottom"/>
            <w:hideMark/>
          </w:tcPr>
          <w:p w14:paraId="47BA7D7D"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586CF4A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6F2BF7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9A87B1F" w14:textId="77777777" w:rsidR="00000000" w:rsidRDefault="00632532">
            <w:pPr>
              <w:pStyle w:val="a3"/>
              <w:spacing w:before="0" w:beforeAutospacing="0" w:after="0" w:afterAutospacing="0"/>
              <w:jc w:val="right"/>
              <w:rPr>
                <w:sz w:val="20"/>
                <w:szCs w:val="20"/>
              </w:rPr>
            </w:pPr>
            <w:r>
              <w:rPr>
                <w:sz w:val="18"/>
                <w:szCs w:val="18"/>
              </w:rPr>
              <w:t>(</w:t>
            </w:r>
            <w:r>
              <w:rPr>
                <w:sz w:val="18"/>
                <w:szCs w:val="18"/>
              </w:rPr>
              <w:t>10,34</w:t>
            </w:r>
            <w:r>
              <w:rPr>
                <w:sz w:val="18"/>
                <w:szCs w:val="18"/>
              </w:rPr>
              <w:t>6</w:t>
            </w:r>
          </w:p>
        </w:tc>
        <w:tc>
          <w:tcPr>
            <w:tcW w:w="0" w:type="auto"/>
            <w:noWrap/>
            <w:vAlign w:val="bottom"/>
            <w:hideMark/>
          </w:tcPr>
          <w:p w14:paraId="1F8818E6" w14:textId="77777777" w:rsidR="00000000" w:rsidRDefault="00632532">
            <w:pPr>
              <w:pStyle w:val="a3"/>
              <w:spacing w:before="0" w:beforeAutospacing="0" w:after="0" w:afterAutospacing="0"/>
              <w:rPr>
                <w:sz w:val="18"/>
                <w:szCs w:val="18"/>
              </w:rPr>
            </w:pPr>
            <w:r>
              <w:rPr>
                <w:sz w:val="18"/>
                <w:szCs w:val="18"/>
              </w:rPr>
              <w:t>)</w:t>
            </w:r>
          </w:p>
        </w:tc>
      </w:tr>
      <w:tr w:rsidR="00000000" w14:paraId="770930AD" w14:textId="77777777">
        <w:trPr>
          <w:trHeight w:val="180"/>
          <w:tblCellSpacing w:w="15" w:type="dxa"/>
        </w:trPr>
        <w:tc>
          <w:tcPr>
            <w:tcW w:w="0" w:type="auto"/>
            <w:vAlign w:val="bottom"/>
            <w:hideMark/>
          </w:tcPr>
          <w:p w14:paraId="2158E23B" w14:textId="77777777" w:rsidR="00000000" w:rsidRDefault="00632532">
            <w:pPr>
              <w:pStyle w:val="a3"/>
              <w:spacing w:before="0" w:beforeAutospacing="0" w:after="0" w:afterAutospacing="0"/>
              <w:rPr>
                <w:sz w:val="18"/>
                <w:szCs w:val="18"/>
              </w:rPr>
            </w:pPr>
            <w:r>
              <w:rPr>
                <w:sz w:val="18"/>
                <w:szCs w:val="18"/>
              </w:rPr>
              <w:t>Net income (loss</w:t>
            </w:r>
            <w:r>
              <w:rPr>
                <w:sz w:val="18"/>
                <w:szCs w:val="18"/>
              </w:rPr>
              <w:t>)</w:t>
            </w:r>
          </w:p>
        </w:tc>
        <w:tc>
          <w:tcPr>
            <w:tcW w:w="0" w:type="auto"/>
            <w:vAlign w:val="bottom"/>
            <w:hideMark/>
          </w:tcPr>
          <w:p w14:paraId="69EBC8B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580528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6E9C48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1263D1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301D27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7F369B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02C1C1E"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73F595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453C33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C74DDF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A73FD0F"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EC0086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81057F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60AE60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B26C7A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9C6EF6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FD9D9D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386EE2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A6A972B" w14:textId="77777777" w:rsidR="00000000" w:rsidRDefault="00632532">
            <w:pPr>
              <w:pStyle w:val="a3"/>
              <w:spacing w:before="0" w:beforeAutospacing="0" w:after="0" w:afterAutospacing="0"/>
              <w:jc w:val="right"/>
              <w:rPr>
                <w:sz w:val="20"/>
                <w:szCs w:val="20"/>
              </w:rPr>
            </w:pPr>
            <w:r>
              <w:rPr>
                <w:sz w:val="18"/>
                <w:szCs w:val="18"/>
              </w:rPr>
              <w:t>11,53</w:t>
            </w:r>
            <w:r>
              <w:rPr>
                <w:sz w:val="18"/>
                <w:szCs w:val="18"/>
              </w:rPr>
              <w:t>7</w:t>
            </w:r>
          </w:p>
        </w:tc>
        <w:tc>
          <w:tcPr>
            <w:tcW w:w="0" w:type="auto"/>
            <w:noWrap/>
            <w:vAlign w:val="bottom"/>
            <w:hideMark/>
          </w:tcPr>
          <w:p w14:paraId="6636406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A50E1D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BF5DB9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1F4FBF4" w14:textId="77777777" w:rsidR="00000000" w:rsidRDefault="00632532">
            <w:pPr>
              <w:pStyle w:val="a3"/>
              <w:spacing w:before="0" w:beforeAutospacing="0" w:after="0" w:afterAutospacing="0"/>
              <w:jc w:val="right"/>
              <w:rPr>
                <w:sz w:val="20"/>
                <w:szCs w:val="20"/>
              </w:rPr>
            </w:pPr>
            <w:r>
              <w:rPr>
                <w:sz w:val="18"/>
                <w:szCs w:val="18"/>
              </w:rPr>
              <w:t>11,53</w:t>
            </w:r>
            <w:r>
              <w:rPr>
                <w:sz w:val="18"/>
                <w:szCs w:val="18"/>
              </w:rPr>
              <w:t>7</w:t>
            </w:r>
          </w:p>
        </w:tc>
        <w:tc>
          <w:tcPr>
            <w:tcW w:w="0" w:type="auto"/>
            <w:noWrap/>
            <w:vAlign w:val="bottom"/>
            <w:hideMark/>
          </w:tcPr>
          <w:p w14:paraId="6E7294E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CC77D3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C1CA23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1871682" w14:textId="77777777" w:rsidR="00000000" w:rsidRDefault="00632532">
            <w:pPr>
              <w:pStyle w:val="a3"/>
              <w:spacing w:before="0" w:beforeAutospacing="0" w:after="0" w:afterAutospacing="0"/>
              <w:jc w:val="right"/>
              <w:rPr>
                <w:sz w:val="20"/>
                <w:szCs w:val="20"/>
              </w:rPr>
            </w:pPr>
            <w:r>
              <w:rPr>
                <w:sz w:val="18"/>
                <w:szCs w:val="18"/>
              </w:rPr>
              <w:t>(</w:t>
            </w:r>
            <w:r>
              <w:rPr>
                <w:sz w:val="18"/>
                <w:szCs w:val="18"/>
              </w:rPr>
              <w:t>43</w:t>
            </w:r>
            <w:r>
              <w:rPr>
                <w:sz w:val="18"/>
                <w:szCs w:val="18"/>
              </w:rPr>
              <w:t>8</w:t>
            </w:r>
          </w:p>
        </w:tc>
        <w:tc>
          <w:tcPr>
            <w:tcW w:w="0" w:type="auto"/>
            <w:noWrap/>
            <w:vAlign w:val="bottom"/>
            <w:hideMark/>
          </w:tcPr>
          <w:p w14:paraId="36773180"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5B2BEC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54E0EA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E95944F" w14:textId="77777777" w:rsidR="00000000" w:rsidRDefault="00632532">
            <w:pPr>
              <w:pStyle w:val="a3"/>
              <w:spacing w:before="0" w:beforeAutospacing="0" w:after="0" w:afterAutospacing="0"/>
              <w:jc w:val="right"/>
              <w:rPr>
                <w:sz w:val="20"/>
                <w:szCs w:val="20"/>
              </w:rPr>
            </w:pPr>
            <w:r>
              <w:rPr>
                <w:sz w:val="18"/>
                <w:szCs w:val="18"/>
              </w:rPr>
              <w:t>11,09</w:t>
            </w:r>
            <w:r>
              <w:rPr>
                <w:sz w:val="18"/>
                <w:szCs w:val="18"/>
              </w:rPr>
              <w:t>9</w:t>
            </w:r>
          </w:p>
        </w:tc>
        <w:tc>
          <w:tcPr>
            <w:tcW w:w="0" w:type="auto"/>
            <w:noWrap/>
            <w:vAlign w:val="bottom"/>
            <w:hideMark/>
          </w:tcPr>
          <w:p w14:paraId="6B675A89" w14:textId="77777777" w:rsidR="00000000" w:rsidRDefault="00632532">
            <w:pPr>
              <w:pStyle w:val="a3"/>
              <w:spacing w:before="0" w:beforeAutospacing="0" w:after="0" w:afterAutospacing="0"/>
              <w:rPr>
                <w:sz w:val="18"/>
                <w:szCs w:val="18"/>
              </w:rPr>
            </w:pPr>
            <w:r>
              <w:rPr>
                <w:sz w:val="18"/>
                <w:szCs w:val="18"/>
              </w:rPr>
              <w:t> </w:t>
            </w:r>
          </w:p>
        </w:tc>
      </w:tr>
      <w:tr w:rsidR="00000000" w14:paraId="7A6E0C11" w14:textId="77777777">
        <w:trPr>
          <w:trHeight w:val="180"/>
          <w:tblCellSpacing w:w="15" w:type="dxa"/>
        </w:trPr>
        <w:tc>
          <w:tcPr>
            <w:tcW w:w="0" w:type="auto"/>
            <w:vAlign w:val="bottom"/>
            <w:hideMark/>
          </w:tcPr>
          <w:p w14:paraId="369D673E" w14:textId="77777777" w:rsidR="00000000" w:rsidRDefault="00632532">
            <w:pPr>
              <w:pStyle w:val="a3"/>
              <w:spacing w:before="0" w:beforeAutospacing="0" w:after="0" w:afterAutospacing="0"/>
              <w:rPr>
                <w:sz w:val="18"/>
                <w:szCs w:val="18"/>
              </w:rPr>
            </w:pPr>
            <w:r>
              <w:rPr>
                <w:b/>
                <w:bCs/>
                <w:sz w:val="18"/>
                <w:szCs w:val="18"/>
              </w:rPr>
              <w:t>Balance at June 30, 202</w:t>
            </w:r>
            <w:r>
              <w:rPr>
                <w:b/>
                <w:bCs/>
                <w:sz w:val="18"/>
                <w:szCs w:val="18"/>
              </w:rPr>
              <w:t>2</w:t>
            </w:r>
          </w:p>
        </w:tc>
        <w:tc>
          <w:tcPr>
            <w:tcW w:w="0" w:type="auto"/>
            <w:vAlign w:val="bottom"/>
            <w:hideMark/>
          </w:tcPr>
          <w:p w14:paraId="4F8E7BE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833561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47A3A52" w14:textId="77777777" w:rsidR="00000000" w:rsidRDefault="00632532">
            <w:pPr>
              <w:pStyle w:val="a3"/>
              <w:spacing w:before="0" w:beforeAutospacing="0" w:after="0" w:afterAutospacing="0"/>
              <w:jc w:val="right"/>
              <w:rPr>
                <w:sz w:val="20"/>
                <w:szCs w:val="20"/>
              </w:rPr>
            </w:pPr>
            <w:r>
              <w:rPr>
                <w:b/>
                <w:bCs/>
                <w:sz w:val="18"/>
                <w:szCs w:val="18"/>
              </w:rPr>
              <w:t>30,26</w:t>
            </w:r>
            <w:r>
              <w:rPr>
                <w:b/>
                <w:bCs/>
                <w:sz w:val="18"/>
                <w:szCs w:val="18"/>
              </w:rPr>
              <w:t>6</w:t>
            </w:r>
          </w:p>
        </w:tc>
        <w:tc>
          <w:tcPr>
            <w:tcW w:w="0" w:type="auto"/>
            <w:noWrap/>
            <w:vAlign w:val="bottom"/>
            <w:hideMark/>
          </w:tcPr>
          <w:p w14:paraId="701C3BB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62B08B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BF90681"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5B7B500A" w14:textId="77777777" w:rsidR="00000000" w:rsidRDefault="00632532">
            <w:pPr>
              <w:pStyle w:val="a3"/>
              <w:spacing w:before="0" w:beforeAutospacing="0" w:after="0" w:afterAutospacing="0"/>
              <w:jc w:val="right"/>
              <w:rPr>
                <w:sz w:val="20"/>
                <w:szCs w:val="20"/>
              </w:rPr>
            </w:pPr>
            <w:r>
              <w:rPr>
                <w:b/>
                <w:bCs/>
                <w:sz w:val="18"/>
                <w:szCs w:val="18"/>
              </w:rPr>
              <w:t>3</w:t>
            </w:r>
          </w:p>
        </w:tc>
        <w:tc>
          <w:tcPr>
            <w:tcW w:w="0" w:type="auto"/>
            <w:noWrap/>
            <w:vAlign w:val="bottom"/>
            <w:hideMark/>
          </w:tcPr>
          <w:p w14:paraId="24BA6CE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EF152A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AFDB8DA"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62A93C4A" w14:textId="77777777" w:rsidR="00000000" w:rsidRDefault="00632532">
            <w:pPr>
              <w:pStyle w:val="a3"/>
              <w:spacing w:before="0" w:beforeAutospacing="0" w:after="0" w:afterAutospacing="0"/>
              <w:jc w:val="right"/>
              <w:rPr>
                <w:sz w:val="20"/>
                <w:szCs w:val="20"/>
              </w:rPr>
            </w:pPr>
            <w:r>
              <w:rPr>
                <w:b/>
                <w:bCs/>
                <w:sz w:val="18"/>
                <w:szCs w:val="18"/>
              </w:rPr>
              <w:t>504,06</w:t>
            </w:r>
            <w:r>
              <w:rPr>
                <w:b/>
                <w:bCs/>
                <w:sz w:val="18"/>
                <w:szCs w:val="18"/>
              </w:rPr>
              <w:t>6</w:t>
            </w:r>
          </w:p>
        </w:tc>
        <w:tc>
          <w:tcPr>
            <w:tcW w:w="0" w:type="auto"/>
            <w:noWrap/>
            <w:vAlign w:val="bottom"/>
            <w:hideMark/>
          </w:tcPr>
          <w:p w14:paraId="117ACC7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F027BB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D512C2C"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7E183DCA" w14:textId="77777777" w:rsidR="00000000" w:rsidRDefault="00632532">
            <w:pPr>
              <w:pStyle w:val="a3"/>
              <w:spacing w:before="0" w:beforeAutospacing="0" w:after="0" w:afterAutospacing="0"/>
              <w:jc w:val="right"/>
              <w:rPr>
                <w:sz w:val="20"/>
                <w:szCs w:val="20"/>
              </w:rPr>
            </w:pPr>
            <w:r>
              <w:rPr>
                <w:b/>
                <w:bCs/>
                <w:sz w:val="18"/>
                <w:szCs w:val="18"/>
              </w:rPr>
              <w:t>(</w:t>
            </w:r>
            <w:r>
              <w:rPr>
                <w:b/>
                <w:bCs/>
                <w:sz w:val="18"/>
                <w:szCs w:val="18"/>
              </w:rPr>
              <w:t>22,41</w:t>
            </w:r>
            <w:r>
              <w:rPr>
                <w:b/>
                <w:bCs/>
                <w:sz w:val="18"/>
                <w:szCs w:val="18"/>
              </w:rPr>
              <w:t>7</w:t>
            </w:r>
          </w:p>
        </w:tc>
        <w:tc>
          <w:tcPr>
            <w:tcW w:w="0" w:type="auto"/>
            <w:noWrap/>
            <w:vAlign w:val="bottom"/>
            <w:hideMark/>
          </w:tcPr>
          <w:p w14:paraId="03077C3A"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51356AB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94B46A0"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27E11A54" w14:textId="77777777" w:rsidR="00000000" w:rsidRDefault="00632532">
            <w:pPr>
              <w:pStyle w:val="a3"/>
              <w:spacing w:before="0" w:beforeAutospacing="0" w:after="0" w:afterAutospacing="0"/>
              <w:jc w:val="right"/>
              <w:rPr>
                <w:sz w:val="20"/>
                <w:szCs w:val="20"/>
              </w:rPr>
            </w:pPr>
            <w:r>
              <w:rPr>
                <w:b/>
                <w:bCs/>
                <w:sz w:val="18"/>
                <w:szCs w:val="18"/>
              </w:rPr>
              <w:t>823,11</w:t>
            </w:r>
            <w:r>
              <w:rPr>
                <w:b/>
                <w:bCs/>
                <w:sz w:val="18"/>
                <w:szCs w:val="18"/>
              </w:rPr>
              <w:t>3</w:t>
            </w:r>
          </w:p>
        </w:tc>
        <w:tc>
          <w:tcPr>
            <w:tcW w:w="0" w:type="auto"/>
            <w:noWrap/>
            <w:vAlign w:val="bottom"/>
            <w:hideMark/>
          </w:tcPr>
          <w:p w14:paraId="01BBD6D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E2CE2A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AFFC22A"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00C89729" w14:textId="77777777" w:rsidR="00000000" w:rsidRDefault="00632532">
            <w:pPr>
              <w:pStyle w:val="a3"/>
              <w:spacing w:before="0" w:beforeAutospacing="0" w:after="0" w:afterAutospacing="0"/>
              <w:jc w:val="right"/>
              <w:rPr>
                <w:sz w:val="20"/>
                <w:szCs w:val="20"/>
              </w:rPr>
            </w:pPr>
            <w:r>
              <w:rPr>
                <w:b/>
                <w:bCs/>
                <w:sz w:val="18"/>
                <w:szCs w:val="18"/>
              </w:rPr>
              <w:t>1,304,76</w:t>
            </w:r>
            <w:r>
              <w:rPr>
                <w:b/>
                <w:bCs/>
                <w:sz w:val="18"/>
                <w:szCs w:val="18"/>
              </w:rPr>
              <w:t>5</w:t>
            </w:r>
          </w:p>
        </w:tc>
        <w:tc>
          <w:tcPr>
            <w:tcW w:w="0" w:type="auto"/>
            <w:noWrap/>
            <w:vAlign w:val="bottom"/>
            <w:hideMark/>
          </w:tcPr>
          <w:p w14:paraId="2A5BA17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84E141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665B51A"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06E15026" w14:textId="77777777" w:rsidR="00000000" w:rsidRDefault="00632532">
            <w:pPr>
              <w:pStyle w:val="a3"/>
              <w:spacing w:before="0" w:beforeAutospacing="0" w:after="0" w:afterAutospacing="0"/>
              <w:jc w:val="right"/>
              <w:rPr>
                <w:sz w:val="20"/>
                <w:szCs w:val="20"/>
              </w:rPr>
            </w:pPr>
            <w:r>
              <w:rPr>
                <w:b/>
                <w:bCs/>
                <w:sz w:val="18"/>
                <w:szCs w:val="18"/>
              </w:rPr>
              <w:t>5,96</w:t>
            </w:r>
            <w:r>
              <w:rPr>
                <w:b/>
                <w:bCs/>
                <w:sz w:val="18"/>
                <w:szCs w:val="18"/>
              </w:rPr>
              <w:t>8</w:t>
            </w:r>
          </w:p>
        </w:tc>
        <w:tc>
          <w:tcPr>
            <w:tcW w:w="0" w:type="auto"/>
            <w:noWrap/>
            <w:vAlign w:val="bottom"/>
            <w:hideMark/>
          </w:tcPr>
          <w:p w14:paraId="0CCC654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856687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5F17AC0"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5BFEE2B7" w14:textId="77777777" w:rsidR="00000000" w:rsidRDefault="00632532">
            <w:pPr>
              <w:pStyle w:val="a3"/>
              <w:spacing w:before="0" w:beforeAutospacing="0" w:after="0" w:afterAutospacing="0"/>
              <w:jc w:val="right"/>
              <w:rPr>
                <w:sz w:val="20"/>
                <w:szCs w:val="20"/>
              </w:rPr>
            </w:pPr>
            <w:r>
              <w:rPr>
                <w:b/>
                <w:bCs/>
                <w:sz w:val="18"/>
                <w:szCs w:val="18"/>
              </w:rPr>
              <w:t>1,310,73</w:t>
            </w:r>
            <w:r>
              <w:rPr>
                <w:b/>
                <w:bCs/>
                <w:sz w:val="18"/>
                <w:szCs w:val="18"/>
              </w:rPr>
              <w:t>3</w:t>
            </w:r>
          </w:p>
        </w:tc>
        <w:tc>
          <w:tcPr>
            <w:tcW w:w="0" w:type="auto"/>
            <w:noWrap/>
            <w:vAlign w:val="bottom"/>
            <w:hideMark/>
          </w:tcPr>
          <w:p w14:paraId="5C4C693C" w14:textId="77777777" w:rsidR="00000000" w:rsidRDefault="00632532">
            <w:pPr>
              <w:pStyle w:val="a3"/>
              <w:spacing w:before="0" w:beforeAutospacing="0" w:after="0" w:afterAutospacing="0"/>
              <w:rPr>
                <w:sz w:val="18"/>
                <w:szCs w:val="18"/>
              </w:rPr>
            </w:pPr>
            <w:r>
              <w:rPr>
                <w:sz w:val="18"/>
                <w:szCs w:val="18"/>
              </w:rPr>
              <w:t> </w:t>
            </w:r>
          </w:p>
        </w:tc>
      </w:tr>
    </w:tbl>
    <w:p w14:paraId="6AD1F03E" w14:textId="77777777" w:rsidR="00000000" w:rsidRDefault="00632532">
      <w:pPr>
        <w:pStyle w:val="a3"/>
        <w:spacing w:before="0" w:beforeAutospacing="0" w:after="0" w:afterAutospacing="0"/>
        <w:rPr>
          <w:sz w:val="20"/>
          <w:szCs w:val="20"/>
        </w:rPr>
      </w:pPr>
      <w:r>
        <w:rPr>
          <w:sz w:val="20"/>
          <w:szCs w:val="20"/>
        </w:rPr>
        <w:t> </w:t>
      </w:r>
    </w:p>
    <w:p w14:paraId="12FA7556" w14:textId="77777777" w:rsidR="00000000" w:rsidRDefault="00632532">
      <w:pPr>
        <w:pStyle w:val="a3"/>
        <w:spacing w:before="0" w:beforeAutospacing="0" w:after="0" w:afterAutospacing="0"/>
        <w:jc w:val="center"/>
        <w:rPr>
          <w:sz w:val="20"/>
          <w:szCs w:val="20"/>
        </w:rPr>
      </w:pPr>
      <w:r>
        <w:rPr>
          <w:sz w:val="20"/>
          <w:szCs w:val="20"/>
        </w:rPr>
        <w:t>The accompanying notes are an integral part of these condensed consolidated financial statement</w:t>
      </w:r>
      <w:r>
        <w:rPr>
          <w:sz w:val="20"/>
          <w:szCs w:val="20"/>
        </w:rPr>
        <w:t>s</w:t>
      </w:r>
      <w:r>
        <w:t>.</w:t>
      </w:r>
    </w:p>
    <w:p w14:paraId="2D740CA1" w14:textId="77777777" w:rsidR="00000000" w:rsidRDefault="00632532">
      <w:pPr>
        <w:pStyle w:val="a3"/>
        <w:spacing w:before="0" w:beforeAutospacing="0" w:after="0" w:afterAutospacing="0"/>
        <w:rPr>
          <w:sz w:val="20"/>
          <w:szCs w:val="20"/>
        </w:rPr>
      </w:pPr>
      <w:r>
        <w:rPr>
          <w:sz w:val="20"/>
          <w:szCs w:val="20"/>
        </w:rPr>
        <w:t> </w:t>
      </w:r>
    </w:p>
    <w:p w14:paraId="581552A8" w14:textId="77777777" w:rsidR="00000000" w:rsidRDefault="00632532">
      <w:pPr>
        <w:pStyle w:val="a3"/>
        <w:spacing w:before="240" w:beforeAutospacing="0" w:after="0" w:afterAutospacing="0"/>
        <w:jc w:val="center"/>
        <w:rPr>
          <w:sz w:val="20"/>
          <w:szCs w:val="20"/>
        </w:rPr>
      </w:pPr>
      <w:r>
        <w:rPr>
          <w:sz w:val="20"/>
          <w:szCs w:val="20"/>
        </w:rPr>
        <w:t>4</w:t>
      </w:r>
    </w:p>
    <w:p w14:paraId="4510CC86" w14:textId="77777777" w:rsidR="00000000" w:rsidRDefault="00632532">
      <w:pPr>
        <w:rPr>
          <w:rFonts w:eastAsia="Times New Roman"/>
        </w:rPr>
      </w:pPr>
      <w:r>
        <w:rPr>
          <w:rFonts w:eastAsia="Times New Roman"/>
        </w:rPr>
        <w:pict w14:anchorId="00614909">
          <v:rect id="_x0000_i1030" style="width:0;height:1.5pt" o:hralign="center" o:hrstd="t" o:hr="t" fillcolor="#a0a0a0" stroked="f"/>
        </w:pict>
      </w:r>
    </w:p>
    <w:p w14:paraId="30831430" w14:textId="77777777" w:rsidR="00000000" w:rsidRDefault="00632532">
      <w:pPr>
        <w:pStyle w:val="a3"/>
        <w:spacing w:before="0" w:beforeAutospacing="0" w:after="0" w:afterAutospacing="0"/>
        <w:jc w:val="center"/>
        <w:rPr>
          <w:sz w:val="20"/>
          <w:szCs w:val="20"/>
        </w:rPr>
      </w:pPr>
      <w:r>
        <w:rPr>
          <w:b/>
          <w:bCs/>
          <w:sz w:val="20"/>
          <w:szCs w:val="20"/>
        </w:rPr>
        <w:t>FULGENT GENETICS, INC</w:t>
      </w:r>
      <w:r>
        <w:rPr>
          <w:b/>
          <w:bCs/>
          <w:sz w:val="20"/>
          <w:szCs w:val="20"/>
        </w:rPr>
        <w:t>.</w:t>
      </w:r>
    </w:p>
    <w:p w14:paraId="2FAA314E" w14:textId="77777777" w:rsidR="00000000" w:rsidRDefault="00632532">
      <w:pPr>
        <w:pStyle w:val="a3"/>
        <w:spacing w:before="0" w:beforeAutospacing="0" w:after="0" w:afterAutospacing="0"/>
        <w:jc w:val="center"/>
        <w:rPr>
          <w:sz w:val="20"/>
          <w:szCs w:val="20"/>
        </w:rPr>
      </w:pPr>
      <w:r>
        <w:rPr>
          <w:b/>
          <w:bCs/>
          <w:sz w:val="20"/>
          <w:szCs w:val="20"/>
        </w:rPr>
        <w:t>Condensed Consolidated Statements of Stockholders’ Equit</w:t>
      </w:r>
      <w:r>
        <w:rPr>
          <w:b/>
          <w:bCs/>
          <w:sz w:val="20"/>
          <w:szCs w:val="20"/>
        </w:rPr>
        <w:t>y</w:t>
      </w:r>
    </w:p>
    <w:p w14:paraId="2F325C32" w14:textId="77777777" w:rsidR="00000000" w:rsidRDefault="00632532">
      <w:pPr>
        <w:pStyle w:val="a3"/>
        <w:spacing w:before="0" w:beforeAutospacing="0" w:after="0" w:afterAutospacing="0"/>
        <w:jc w:val="center"/>
        <w:rPr>
          <w:sz w:val="20"/>
          <w:szCs w:val="20"/>
        </w:rPr>
      </w:pPr>
      <w:r>
        <w:rPr>
          <w:b/>
          <w:bCs/>
          <w:sz w:val="20"/>
          <w:szCs w:val="20"/>
        </w:rPr>
        <w:t>(in thousands</w:t>
      </w:r>
      <w:r>
        <w:rPr>
          <w:b/>
          <w:bCs/>
          <w:sz w:val="20"/>
          <w:szCs w:val="20"/>
        </w:rPr>
        <w:t>)</w:t>
      </w:r>
    </w:p>
    <w:p w14:paraId="3A07C25B" w14:textId="77777777" w:rsidR="00000000" w:rsidRDefault="00632532">
      <w:pPr>
        <w:pStyle w:val="a3"/>
        <w:spacing w:before="0" w:beforeAutospacing="0" w:after="0" w:afterAutospacing="0"/>
        <w:jc w:val="center"/>
        <w:rPr>
          <w:sz w:val="20"/>
          <w:szCs w:val="20"/>
        </w:rPr>
      </w:pPr>
      <w:r>
        <w:rPr>
          <w:b/>
          <w:bCs/>
          <w:sz w:val="20"/>
          <w:szCs w:val="20"/>
        </w:rPr>
        <w:t>(unaudited</w:t>
      </w:r>
      <w:r>
        <w:rPr>
          <w:b/>
          <w:bCs/>
          <w:sz w:val="20"/>
          <w:szCs w:val="20"/>
        </w:rPr>
        <w:t>)</w:t>
      </w:r>
    </w:p>
    <w:p w14:paraId="56B7EEE1" w14:textId="77777777" w:rsidR="00000000" w:rsidRDefault="00632532">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75"/>
        <w:gridCol w:w="105"/>
        <w:gridCol w:w="105"/>
        <w:gridCol w:w="555"/>
        <w:gridCol w:w="120"/>
        <w:gridCol w:w="105"/>
        <w:gridCol w:w="151"/>
        <w:gridCol w:w="522"/>
        <w:gridCol w:w="105"/>
        <w:gridCol w:w="105"/>
        <w:gridCol w:w="150"/>
        <w:gridCol w:w="645"/>
        <w:gridCol w:w="120"/>
        <w:gridCol w:w="105"/>
        <w:gridCol w:w="151"/>
        <w:gridCol w:w="988"/>
        <w:gridCol w:w="120"/>
        <w:gridCol w:w="105"/>
        <w:gridCol w:w="151"/>
        <w:gridCol w:w="707"/>
        <w:gridCol w:w="120"/>
        <w:gridCol w:w="105"/>
        <w:gridCol w:w="151"/>
        <w:gridCol w:w="855"/>
        <w:gridCol w:w="120"/>
        <w:gridCol w:w="105"/>
        <w:gridCol w:w="151"/>
        <w:gridCol w:w="953"/>
        <w:gridCol w:w="120"/>
        <w:gridCol w:w="105"/>
        <w:gridCol w:w="150"/>
        <w:gridCol w:w="645"/>
        <w:gridCol w:w="135"/>
      </w:tblGrid>
      <w:tr w:rsidR="00000000" w14:paraId="5C51C5CB" w14:textId="77777777">
        <w:trPr>
          <w:tblCellSpacing w:w="15" w:type="dxa"/>
        </w:trPr>
        <w:tc>
          <w:tcPr>
            <w:tcW w:w="999" w:type="pct"/>
            <w:vAlign w:val="center"/>
            <w:hideMark/>
          </w:tcPr>
          <w:p w14:paraId="69541510" w14:textId="77777777" w:rsidR="00000000" w:rsidRDefault="00632532">
            <w:pPr>
              <w:rPr>
                <w:sz w:val="20"/>
                <w:szCs w:val="20"/>
              </w:rPr>
            </w:pPr>
          </w:p>
        </w:tc>
        <w:tc>
          <w:tcPr>
            <w:tcW w:w="42" w:type="pct"/>
            <w:vAlign w:val="center"/>
            <w:hideMark/>
          </w:tcPr>
          <w:p w14:paraId="59B8F328" w14:textId="77777777" w:rsidR="00000000" w:rsidRDefault="00632532">
            <w:pPr>
              <w:rPr>
                <w:rFonts w:eastAsia="Times New Roman"/>
                <w:sz w:val="20"/>
                <w:szCs w:val="20"/>
              </w:rPr>
            </w:pPr>
          </w:p>
        </w:tc>
        <w:tc>
          <w:tcPr>
            <w:tcW w:w="50" w:type="pct"/>
            <w:vAlign w:val="center"/>
            <w:hideMark/>
          </w:tcPr>
          <w:p w14:paraId="27553866" w14:textId="77777777" w:rsidR="00000000" w:rsidRDefault="00632532">
            <w:pPr>
              <w:rPr>
                <w:rFonts w:eastAsia="Times New Roman"/>
                <w:sz w:val="20"/>
                <w:szCs w:val="20"/>
              </w:rPr>
            </w:pPr>
          </w:p>
        </w:tc>
        <w:tc>
          <w:tcPr>
            <w:tcW w:w="274" w:type="pct"/>
            <w:vAlign w:val="center"/>
            <w:hideMark/>
          </w:tcPr>
          <w:p w14:paraId="0B6165FE" w14:textId="77777777" w:rsidR="00000000" w:rsidRDefault="00632532">
            <w:pPr>
              <w:rPr>
                <w:rFonts w:eastAsia="Times New Roman"/>
                <w:sz w:val="20"/>
                <w:szCs w:val="20"/>
              </w:rPr>
            </w:pPr>
          </w:p>
        </w:tc>
        <w:tc>
          <w:tcPr>
            <w:tcW w:w="50" w:type="pct"/>
            <w:vAlign w:val="center"/>
            <w:hideMark/>
          </w:tcPr>
          <w:p w14:paraId="329278F2" w14:textId="77777777" w:rsidR="00000000" w:rsidRDefault="00632532">
            <w:pPr>
              <w:rPr>
                <w:rFonts w:eastAsia="Times New Roman"/>
                <w:sz w:val="20"/>
                <w:szCs w:val="20"/>
              </w:rPr>
            </w:pPr>
          </w:p>
        </w:tc>
        <w:tc>
          <w:tcPr>
            <w:tcW w:w="42" w:type="pct"/>
            <w:vAlign w:val="center"/>
            <w:hideMark/>
          </w:tcPr>
          <w:p w14:paraId="3836B42E" w14:textId="77777777" w:rsidR="00000000" w:rsidRDefault="00632532">
            <w:pPr>
              <w:rPr>
                <w:rFonts w:eastAsia="Times New Roman"/>
                <w:sz w:val="20"/>
                <w:szCs w:val="20"/>
              </w:rPr>
            </w:pPr>
          </w:p>
        </w:tc>
        <w:tc>
          <w:tcPr>
            <w:tcW w:w="50" w:type="pct"/>
            <w:vAlign w:val="center"/>
            <w:hideMark/>
          </w:tcPr>
          <w:p w14:paraId="25AB2181" w14:textId="77777777" w:rsidR="00000000" w:rsidRDefault="00632532">
            <w:pPr>
              <w:rPr>
                <w:rFonts w:eastAsia="Times New Roman"/>
                <w:sz w:val="20"/>
                <w:szCs w:val="20"/>
              </w:rPr>
            </w:pPr>
          </w:p>
        </w:tc>
        <w:tc>
          <w:tcPr>
            <w:tcW w:w="358" w:type="pct"/>
            <w:vAlign w:val="center"/>
            <w:hideMark/>
          </w:tcPr>
          <w:p w14:paraId="31310EB5" w14:textId="77777777" w:rsidR="00000000" w:rsidRDefault="00632532">
            <w:pPr>
              <w:rPr>
                <w:rFonts w:eastAsia="Times New Roman"/>
                <w:sz w:val="20"/>
                <w:szCs w:val="20"/>
              </w:rPr>
            </w:pPr>
          </w:p>
        </w:tc>
        <w:tc>
          <w:tcPr>
            <w:tcW w:w="50" w:type="pct"/>
            <w:vAlign w:val="center"/>
            <w:hideMark/>
          </w:tcPr>
          <w:p w14:paraId="420DFC1D" w14:textId="77777777" w:rsidR="00000000" w:rsidRDefault="00632532">
            <w:pPr>
              <w:rPr>
                <w:rFonts w:eastAsia="Times New Roman"/>
                <w:sz w:val="20"/>
                <w:szCs w:val="20"/>
              </w:rPr>
            </w:pPr>
          </w:p>
        </w:tc>
        <w:tc>
          <w:tcPr>
            <w:tcW w:w="42" w:type="pct"/>
            <w:vAlign w:val="center"/>
            <w:hideMark/>
          </w:tcPr>
          <w:p w14:paraId="2D8DAD84" w14:textId="77777777" w:rsidR="00000000" w:rsidRDefault="00632532">
            <w:pPr>
              <w:rPr>
                <w:rFonts w:eastAsia="Times New Roman"/>
                <w:sz w:val="20"/>
                <w:szCs w:val="20"/>
              </w:rPr>
            </w:pPr>
          </w:p>
        </w:tc>
        <w:tc>
          <w:tcPr>
            <w:tcW w:w="50" w:type="pct"/>
            <w:vAlign w:val="center"/>
            <w:hideMark/>
          </w:tcPr>
          <w:p w14:paraId="2F4677A6" w14:textId="77777777" w:rsidR="00000000" w:rsidRDefault="00632532">
            <w:pPr>
              <w:rPr>
                <w:rFonts w:eastAsia="Times New Roman"/>
                <w:sz w:val="20"/>
                <w:szCs w:val="20"/>
              </w:rPr>
            </w:pPr>
          </w:p>
        </w:tc>
        <w:tc>
          <w:tcPr>
            <w:tcW w:w="329" w:type="pct"/>
            <w:vAlign w:val="center"/>
            <w:hideMark/>
          </w:tcPr>
          <w:p w14:paraId="3D68D4DA" w14:textId="77777777" w:rsidR="00000000" w:rsidRDefault="00632532">
            <w:pPr>
              <w:rPr>
                <w:rFonts w:eastAsia="Times New Roman"/>
                <w:sz w:val="20"/>
                <w:szCs w:val="20"/>
              </w:rPr>
            </w:pPr>
          </w:p>
        </w:tc>
        <w:tc>
          <w:tcPr>
            <w:tcW w:w="50" w:type="pct"/>
            <w:vAlign w:val="center"/>
            <w:hideMark/>
          </w:tcPr>
          <w:p w14:paraId="79BA75D9" w14:textId="77777777" w:rsidR="00000000" w:rsidRDefault="00632532">
            <w:pPr>
              <w:rPr>
                <w:rFonts w:eastAsia="Times New Roman"/>
                <w:sz w:val="20"/>
                <w:szCs w:val="20"/>
              </w:rPr>
            </w:pPr>
          </w:p>
        </w:tc>
        <w:tc>
          <w:tcPr>
            <w:tcW w:w="42" w:type="pct"/>
            <w:vAlign w:val="center"/>
            <w:hideMark/>
          </w:tcPr>
          <w:p w14:paraId="0148110E" w14:textId="77777777" w:rsidR="00000000" w:rsidRDefault="00632532">
            <w:pPr>
              <w:rPr>
                <w:rFonts w:eastAsia="Times New Roman"/>
                <w:sz w:val="20"/>
                <w:szCs w:val="20"/>
              </w:rPr>
            </w:pPr>
          </w:p>
        </w:tc>
        <w:tc>
          <w:tcPr>
            <w:tcW w:w="50" w:type="pct"/>
            <w:vAlign w:val="center"/>
            <w:hideMark/>
          </w:tcPr>
          <w:p w14:paraId="44C2E615" w14:textId="77777777" w:rsidR="00000000" w:rsidRDefault="00632532">
            <w:pPr>
              <w:rPr>
                <w:rFonts w:eastAsia="Times New Roman"/>
                <w:sz w:val="20"/>
                <w:szCs w:val="20"/>
              </w:rPr>
            </w:pPr>
          </w:p>
        </w:tc>
        <w:tc>
          <w:tcPr>
            <w:tcW w:w="440" w:type="pct"/>
            <w:vAlign w:val="center"/>
            <w:hideMark/>
          </w:tcPr>
          <w:p w14:paraId="04017C9D" w14:textId="77777777" w:rsidR="00000000" w:rsidRDefault="00632532">
            <w:pPr>
              <w:rPr>
                <w:rFonts w:eastAsia="Times New Roman"/>
                <w:sz w:val="20"/>
                <w:szCs w:val="20"/>
              </w:rPr>
            </w:pPr>
          </w:p>
        </w:tc>
        <w:tc>
          <w:tcPr>
            <w:tcW w:w="50" w:type="pct"/>
            <w:vAlign w:val="center"/>
            <w:hideMark/>
          </w:tcPr>
          <w:p w14:paraId="48164ED4" w14:textId="77777777" w:rsidR="00000000" w:rsidRDefault="00632532">
            <w:pPr>
              <w:rPr>
                <w:rFonts w:eastAsia="Times New Roman"/>
                <w:sz w:val="20"/>
                <w:szCs w:val="20"/>
              </w:rPr>
            </w:pPr>
          </w:p>
        </w:tc>
        <w:tc>
          <w:tcPr>
            <w:tcW w:w="42" w:type="pct"/>
            <w:vAlign w:val="center"/>
            <w:hideMark/>
          </w:tcPr>
          <w:p w14:paraId="1ADAF2E9" w14:textId="77777777" w:rsidR="00000000" w:rsidRDefault="00632532">
            <w:pPr>
              <w:rPr>
                <w:rFonts w:eastAsia="Times New Roman"/>
                <w:sz w:val="20"/>
                <w:szCs w:val="20"/>
              </w:rPr>
            </w:pPr>
          </w:p>
        </w:tc>
        <w:tc>
          <w:tcPr>
            <w:tcW w:w="50" w:type="pct"/>
            <w:vAlign w:val="center"/>
            <w:hideMark/>
          </w:tcPr>
          <w:p w14:paraId="5CA58A97" w14:textId="77777777" w:rsidR="00000000" w:rsidRDefault="00632532">
            <w:pPr>
              <w:rPr>
                <w:rFonts w:eastAsia="Times New Roman"/>
                <w:sz w:val="20"/>
                <w:szCs w:val="20"/>
              </w:rPr>
            </w:pPr>
          </w:p>
        </w:tc>
        <w:tc>
          <w:tcPr>
            <w:tcW w:w="335" w:type="pct"/>
            <w:vAlign w:val="center"/>
            <w:hideMark/>
          </w:tcPr>
          <w:p w14:paraId="55C2BAAA" w14:textId="77777777" w:rsidR="00000000" w:rsidRDefault="00632532">
            <w:pPr>
              <w:rPr>
                <w:rFonts w:eastAsia="Times New Roman"/>
                <w:sz w:val="20"/>
                <w:szCs w:val="20"/>
              </w:rPr>
            </w:pPr>
          </w:p>
        </w:tc>
        <w:tc>
          <w:tcPr>
            <w:tcW w:w="50" w:type="pct"/>
            <w:vAlign w:val="center"/>
            <w:hideMark/>
          </w:tcPr>
          <w:p w14:paraId="2A7FF69B" w14:textId="77777777" w:rsidR="00000000" w:rsidRDefault="00632532">
            <w:pPr>
              <w:rPr>
                <w:rFonts w:eastAsia="Times New Roman"/>
                <w:sz w:val="20"/>
                <w:szCs w:val="20"/>
              </w:rPr>
            </w:pPr>
          </w:p>
        </w:tc>
        <w:tc>
          <w:tcPr>
            <w:tcW w:w="42" w:type="pct"/>
            <w:vAlign w:val="center"/>
            <w:hideMark/>
          </w:tcPr>
          <w:p w14:paraId="0A2472E7" w14:textId="77777777" w:rsidR="00000000" w:rsidRDefault="00632532">
            <w:pPr>
              <w:rPr>
                <w:rFonts w:eastAsia="Times New Roman"/>
                <w:sz w:val="20"/>
                <w:szCs w:val="20"/>
              </w:rPr>
            </w:pPr>
          </w:p>
        </w:tc>
        <w:tc>
          <w:tcPr>
            <w:tcW w:w="50" w:type="pct"/>
            <w:vAlign w:val="center"/>
            <w:hideMark/>
          </w:tcPr>
          <w:p w14:paraId="3358AC2F" w14:textId="77777777" w:rsidR="00000000" w:rsidRDefault="00632532">
            <w:pPr>
              <w:rPr>
                <w:rFonts w:eastAsia="Times New Roman"/>
                <w:sz w:val="20"/>
                <w:szCs w:val="20"/>
              </w:rPr>
            </w:pPr>
          </w:p>
        </w:tc>
        <w:tc>
          <w:tcPr>
            <w:tcW w:w="379" w:type="pct"/>
            <w:vAlign w:val="center"/>
            <w:hideMark/>
          </w:tcPr>
          <w:p w14:paraId="6BD25D9D" w14:textId="77777777" w:rsidR="00000000" w:rsidRDefault="00632532">
            <w:pPr>
              <w:rPr>
                <w:rFonts w:eastAsia="Times New Roman"/>
                <w:sz w:val="20"/>
                <w:szCs w:val="20"/>
              </w:rPr>
            </w:pPr>
          </w:p>
        </w:tc>
        <w:tc>
          <w:tcPr>
            <w:tcW w:w="50" w:type="pct"/>
            <w:vAlign w:val="center"/>
            <w:hideMark/>
          </w:tcPr>
          <w:p w14:paraId="005E4860" w14:textId="77777777" w:rsidR="00000000" w:rsidRDefault="00632532">
            <w:pPr>
              <w:rPr>
                <w:rFonts w:eastAsia="Times New Roman"/>
                <w:sz w:val="20"/>
                <w:szCs w:val="20"/>
              </w:rPr>
            </w:pPr>
          </w:p>
        </w:tc>
        <w:tc>
          <w:tcPr>
            <w:tcW w:w="42" w:type="pct"/>
            <w:vAlign w:val="center"/>
            <w:hideMark/>
          </w:tcPr>
          <w:p w14:paraId="3C0B3390" w14:textId="77777777" w:rsidR="00000000" w:rsidRDefault="00632532">
            <w:pPr>
              <w:rPr>
                <w:rFonts w:eastAsia="Times New Roman"/>
                <w:sz w:val="20"/>
                <w:szCs w:val="20"/>
              </w:rPr>
            </w:pPr>
          </w:p>
        </w:tc>
        <w:tc>
          <w:tcPr>
            <w:tcW w:w="50" w:type="pct"/>
            <w:vAlign w:val="center"/>
            <w:hideMark/>
          </w:tcPr>
          <w:p w14:paraId="14C5E6FF" w14:textId="77777777" w:rsidR="00000000" w:rsidRDefault="00632532">
            <w:pPr>
              <w:rPr>
                <w:rFonts w:eastAsia="Times New Roman"/>
                <w:sz w:val="20"/>
                <w:szCs w:val="20"/>
              </w:rPr>
            </w:pPr>
          </w:p>
        </w:tc>
        <w:tc>
          <w:tcPr>
            <w:tcW w:w="424" w:type="pct"/>
            <w:vAlign w:val="center"/>
            <w:hideMark/>
          </w:tcPr>
          <w:p w14:paraId="073B71AC" w14:textId="77777777" w:rsidR="00000000" w:rsidRDefault="00632532">
            <w:pPr>
              <w:rPr>
                <w:rFonts w:eastAsia="Times New Roman"/>
                <w:sz w:val="20"/>
                <w:szCs w:val="20"/>
              </w:rPr>
            </w:pPr>
          </w:p>
        </w:tc>
        <w:tc>
          <w:tcPr>
            <w:tcW w:w="50" w:type="pct"/>
            <w:vAlign w:val="center"/>
            <w:hideMark/>
          </w:tcPr>
          <w:p w14:paraId="0E848D55" w14:textId="77777777" w:rsidR="00000000" w:rsidRDefault="00632532">
            <w:pPr>
              <w:rPr>
                <w:rFonts w:eastAsia="Times New Roman"/>
                <w:sz w:val="20"/>
                <w:szCs w:val="20"/>
              </w:rPr>
            </w:pPr>
          </w:p>
        </w:tc>
        <w:tc>
          <w:tcPr>
            <w:tcW w:w="42" w:type="pct"/>
            <w:vAlign w:val="center"/>
            <w:hideMark/>
          </w:tcPr>
          <w:p w14:paraId="0E2EB20D" w14:textId="77777777" w:rsidR="00000000" w:rsidRDefault="00632532">
            <w:pPr>
              <w:rPr>
                <w:rFonts w:eastAsia="Times New Roman"/>
                <w:sz w:val="20"/>
                <w:szCs w:val="20"/>
              </w:rPr>
            </w:pPr>
          </w:p>
        </w:tc>
        <w:tc>
          <w:tcPr>
            <w:tcW w:w="50" w:type="pct"/>
            <w:vAlign w:val="center"/>
            <w:hideMark/>
          </w:tcPr>
          <w:p w14:paraId="30714ABB" w14:textId="77777777" w:rsidR="00000000" w:rsidRDefault="00632532">
            <w:pPr>
              <w:rPr>
                <w:rFonts w:eastAsia="Times New Roman"/>
                <w:sz w:val="20"/>
                <w:szCs w:val="20"/>
              </w:rPr>
            </w:pPr>
          </w:p>
        </w:tc>
        <w:tc>
          <w:tcPr>
            <w:tcW w:w="319" w:type="pct"/>
            <w:vAlign w:val="center"/>
            <w:hideMark/>
          </w:tcPr>
          <w:p w14:paraId="054CAFA5" w14:textId="77777777" w:rsidR="00000000" w:rsidRDefault="00632532">
            <w:pPr>
              <w:rPr>
                <w:rFonts w:eastAsia="Times New Roman"/>
                <w:sz w:val="20"/>
                <w:szCs w:val="20"/>
              </w:rPr>
            </w:pPr>
          </w:p>
        </w:tc>
        <w:tc>
          <w:tcPr>
            <w:tcW w:w="50" w:type="pct"/>
            <w:vAlign w:val="center"/>
            <w:hideMark/>
          </w:tcPr>
          <w:p w14:paraId="69FAF9E5" w14:textId="77777777" w:rsidR="00000000" w:rsidRDefault="00632532">
            <w:pPr>
              <w:rPr>
                <w:rFonts w:eastAsia="Times New Roman"/>
                <w:sz w:val="20"/>
                <w:szCs w:val="20"/>
              </w:rPr>
            </w:pPr>
          </w:p>
        </w:tc>
      </w:tr>
      <w:tr w:rsidR="00000000" w14:paraId="5F34C5A4" w14:textId="77777777">
        <w:trPr>
          <w:trHeight w:val="160"/>
          <w:tblCellSpacing w:w="15" w:type="dxa"/>
        </w:trPr>
        <w:tc>
          <w:tcPr>
            <w:tcW w:w="0" w:type="auto"/>
            <w:vAlign w:val="bottom"/>
            <w:hideMark/>
          </w:tcPr>
          <w:p w14:paraId="481DE366"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3DA9940D" w14:textId="77777777" w:rsidR="00000000" w:rsidRDefault="00632532">
            <w:pPr>
              <w:pStyle w:val="a3"/>
              <w:spacing w:before="0" w:beforeAutospacing="0" w:after="0" w:afterAutospacing="0"/>
              <w:rPr>
                <w:sz w:val="16"/>
                <w:szCs w:val="16"/>
              </w:rPr>
            </w:pPr>
            <w:r>
              <w:rPr>
                <w:sz w:val="16"/>
                <w:szCs w:val="16"/>
              </w:rPr>
              <w:t> </w:t>
            </w:r>
          </w:p>
        </w:tc>
        <w:tc>
          <w:tcPr>
            <w:tcW w:w="0" w:type="auto"/>
            <w:gridSpan w:val="6"/>
            <w:vAlign w:val="bottom"/>
            <w:hideMark/>
          </w:tcPr>
          <w:p w14:paraId="2DA181F4" w14:textId="77777777" w:rsidR="00000000" w:rsidRDefault="00632532">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14:paraId="28032F3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D36B542"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6D476DF"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FE1374F"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E13938F"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010C83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EDCC15E"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5F2E428"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2278BB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227429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731AE23"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7F2390C"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2837460"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81459C0"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FC3CA2E"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5301FB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23DF451"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DD2A7DC"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57E7400"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C994384" w14:textId="77777777">
        <w:trPr>
          <w:trHeight w:val="200"/>
          <w:tblCellSpacing w:w="15" w:type="dxa"/>
        </w:trPr>
        <w:tc>
          <w:tcPr>
            <w:tcW w:w="0" w:type="auto"/>
            <w:vAlign w:val="bottom"/>
            <w:hideMark/>
          </w:tcPr>
          <w:p w14:paraId="068F13C7"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39F65BB0"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3B2830BA" w14:textId="77777777" w:rsidR="00000000" w:rsidRDefault="00632532">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14:paraId="0FE2157B"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F5ED537"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4268E67" w14:textId="77777777" w:rsidR="00000000" w:rsidRDefault="00632532">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14:paraId="7631BCC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D247423"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A884C24" w14:textId="77777777" w:rsidR="00000000" w:rsidRDefault="00632532">
            <w:pPr>
              <w:pStyle w:val="a3"/>
              <w:spacing w:before="0" w:beforeAutospacing="0" w:after="0" w:afterAutospacing="0"/>
              <w:jc w:val="center"/>
              <w:rPr>
                <w:sz w:val="16"/>
                <w:szCs w:val="16"/>
              </w:rPr>
            </w:pPr>
            <w:r>
              <w:rPr>
                <w:b/>
                <w:bCs/>
                <w:sz w:val="16"/>
                <w:szCs w:val="16"/>
              </w:rPr>
              <w:t>Additional</w:t>
            </w:r>
            <w:r>
              <w:rPr>
                <w:b/>
                <w:bCs/>
                <w:sz w:val="16"/>
                <w:szCs w:val="16"/>
              </w:rPr>
              <w:br/>
              <w:t> Paid-In Capita</w:t>
            </w:r>
            <w:r>
              <w:rPr>
                <w:b/>
                <w:bCs/>
                <w:sz w:val="16"/>
                <w:szCs w:val="16"/>
              </w:rPr>
              <w:t>l</w:t>
            </w:r>
          </w:p>
        </w:tc>
        <w:tc>
          <w:tcPr>
            <w:tcW w:w="0" w:type="auto"/>
            <w:vAlign w:val="bottom"/>
            <w:hideMark/>
          </w:tcPr>
          <w:p w14:paraId="49DDCA6F"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CABD77E"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776EE71" w14:textId="77777777" w:rsidR="00000000" w:rsidRDefault="00632532">
            <w:pPr>
              <w:pStyle w:val="a3"/>
              <w:spacing w:before="0" w:beforeAutospacing="0" w:after="0" w:afterAutospacing="0"/>
              <w:jc w:val="center"/>
              <w:rPr>
                <w:sz w:val="16"/>
                <w:szCs w:val="16"/>
              </w:rPr>
            </w:pPr>
            <w:r>
              <w:rPr>
                <w:b/>
                <w:bCs/>
                <w:sz w:val="16"/>
                <w:szCs w:val="16"/>
              </w:rPr>
              <w:t xml:space="preserve">Accumulated </w:t>
            </w:r>
            <w:r>
              <w:rPr>
                <w:b/>
                <w:bCs/>
                <w:sz w:val="16"/>
                <w:szCs w:val="16"/>
              </w:rPr>
              <w:br/>
              <w:t>Other Comprehensive</w:t>
            </w:r>
            <w:r>
              <w:rPr>
                <w:b/>
                <w:bCs/>
                <w:sz w:val="16"/>
                <w:szCs w:val="16"/>
              </w:rPr>
              <w:br/>
              <w:t>Income (Loss</w:t>
            </w:r>
            <w:r>
              <w:rPr>
                <w:b/>
                <w:bCs/>
                <w:sz w:val="16"/>
                <w:szCs w:val="16"/>
              </w:rPr>
              <w:t>)</w:t>
            </w:r>
          </w:p>
        </w:tc>
        <w:tc>
          <w:tcPr>
            <w:tcW w:w="0" w:type="auto"/>
            <w:vAlign w:val="bottom"/>
            <w:hideMark/>
          </w:tcPr>
          <w:p w14:paraId="38A62D95"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A2F805F"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B5CB525" w14:textId="77777777" w:rsidR="00000000" w:rsidRDefault="00632532">
            <w:pPr>
              <w:pStyle w:val="a3"/>
              <w:spacing w:before="0" w:beforeAutospacing="0" w:after="0" w:afterAutospacing="0"/>
              <w:jc w:val="center"/>
              <w:rPr>
                <w:sz w:val="20"/>
                <w:szCs w:val="20"/>
              </w:rPr>
            </w:pPr>
            <w:r>
              <w:rPr>
                <w:b/>
                <w:bCs/>
                <w:sz w:val="20"/>
                <w:szCs w:val="20"/>
              </w:rPr>
              <w:t>Retained Earning</w:t>
            </w:r>
            <w:r>
              <w:rPr>
                <w:b/>
                <w:bCs/>
                <w:sz w:val="20"/>
                <w:szCs w:val="20"/>
              </w:rPr>
              <w:t>s</w:t>
            </w:r>
          </w:p>
        </w:tc>
        <w:tc>
          <w:tcPr>
            <w:tcW w:w="0" w:type="auto"/>
            <w:vAlign w:val="bottom"/>
            <w:hideMark/>
          </w:tcPr>
          <w:p w14:paraId="5E9E3736"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76B90CAC"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4281E91" w14:textId="77777777" w:rsidR="00000000" w:rsidRDefault="00632532">
            <w:pPr>
              <w:pStyle w:val="a3"/>
              <w:spacing w:before="0" w:beforeAutospacing="0" w:after="0" w:afterAutospacing="0"/>
              <w:jc w:val="center"/>
              <w:rPr>
                <w:sz w:val="16"/>
                <w:szCs w:val="16"/>
              </w:rPr>
            </w:pPr>
            <w:r>
              <w:rPr>
                <w:b/>
                <w:bCs/>
                <w:sz w:val="16"/>
                <w:szCs w:val="16"/>
              </w:rPr>
              <w:t>Fulgent Stockholders' Equit</w:t>
            </w:r>
            <w:r>
              <w:rPr>
                <w:b/>
                <w:bCs/>
                <w:sz w:val="16"/>
                <w:szCs w:val="16"/>
              </w:rPr>
              <w:t>y</w:t>
            </w:r>
          </w:p>
        </w:tc>
        <w:tc>
          <w:tcPr>
            <w:tcW w:w="0" w:type="auto"/>
            <w:vAlign w:val="bottom"/>
            <w:hideMark/>
          </w:tcPr>
          <w:p w14:paraId="022972BA"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B22F914"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7BA2DE3" w14:textId="77777777" w:rsidR="00000000" w:rsidRDefault="00632532">
            <w:pPr>
              <w:pStyle w:val="a3"/>
              <w:spacing w:before="0" w:beforeAutospacing="0" w:after="0" w:afterAutospacing="0"/>
              <w:jc w:val="center"/>
              <w:rPr>
                <w:sz w:val="16"/>
                <w:szCs w:val="16"/>
              </w:rPr>
            </w:pPr>
            <w:r>
              <w:rPr>
                <w:b/>
                <w:bCs/>
                <w:sz w:val="16"/>
                <w:szCs w:val="16"/>
              </w:rPr>
              <w:t>Noncontrolling Interes</w:t>
            </w:r>
            <w:r>
              <w:rPr>
                <w:b/>
                <w:bCs/>
                <w:sz w:val="16"/>
                <w:szCs w:val="16"/>
              </w:rPr>
              <w:t>t</w:t>
            </w:r>
          </w:p>
        </w:tc>
        <w:tc>
          <w:tcPr>
            <w:tcW w:w="0" w:type="auto"/>
            <w:vAlign w:val="bottom"/>
            <w:hideMark/>
          </w:tcPr>
          <w:p w14:paraId="1C7F4216"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9170E5F"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48F3E2F" w14:textId="77777777" w:rsidR="00000000" w:rsidRDefault="00632532">
            <w:pPr>
              <w:pStyle w:val="a3"/>
              <w:spacing w:before="0" w:beforeAutospacing="0" w:after="0" w:afterAutospacing="0"/>
              <w:jc w:val="center"/>
              <w:rPr>
                <w:sz w:val="16"/>
                <w:szCs w:val="16"/>
              </w:rPr>
            </w:pPr>
            <w:r>
              <w:rPr>
                <w:b/>
                <w:bCs/>
                <w:sz w:val="16"/>
                <w:szCs w:val="16"/>
              </w:rPr>
              <w:t xml:space="preserve">Total </w:t>
            </w:r>
            <w:r>
              <w:rPr>
                <w:b/>
                <w:bCs/>
                <w:sz w:val="16"/>
                <w:szCs w:val="16"/>
              </w:rPr>
              <w:br/>
              <w:t>Equit</w:t>
            </w:r>
            <w:r>
              <w:rPr>
                <w:b/>
                <w:bCs/>
                <w:sz w:val="16"/>
                <w:szCs w:val="16"/>
              </w:rPr>
              <w:t>y</w:t>
            </w:r>
          </w:p>
        </w:tc>
        <w:tc>
          <w:tcPr>
            <w:tcW w:w="0" w:type="auto"/>
            <w:vAlign w:val="bottom"/>
            <w:hideMark/>
          </w:tcPr>
          <w:p w14:paraId="66516B96"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26B9C5BE" w14:textId="77777777">
        <w:trPr>
          <w:trHeight w:val="180"/>
          <w:tblCellSpacing w:w="15" w:type="dxa"/>
        </w:trPr>
        <w:tc>
          <w:tcPr>
            <w:tcW w:w="0" w:type="auto"/>
            <w:vAlign w:val="bottom"/>
            <w:hideMark/>
          </w:tcPr>
          <w:p w14:paraId="7EBFF99D" w14:textId="77777777" w:rsidR="00000000" w:rsidRDefault="00632532">
            <w:pPr>
              <w:pStyle w:val="a3"/>
              <w:spacing w:before="0" w:beforeAutospacing="0" w:after="0" w:afterAutospacing="0"/>
              <w:rPr>
                <w:sz w:val="18"/>
                <w:szCs w:val="18"/>
              </w:rPr>
            </w:pPr>
            <w:r>
              <w:rPr>
                <w:b/>
                <w:bCs/>
                <w:sz w:val="18"/>
                <w:szCs w:val="18"/>
              </w:rPr>
              <w:t>Balance at December 31, 202</w:t>
            </w:r>
            <w:r>
              <w:rPr>
                <w:b/>
                <w:bCs/>
                <w:sz w:val="18"/>
                <w:szCs w:val="18"/>
              </w:rPr>
              <w:t>0</w:t>
            </w:r>
          </w:p>
        </w:tc>
        <w:tc>
          <w:tcPr>
            <w:tcW w:w="0" w:type="auto"/>
            <w:vAlign w:val="bottom"/>
            <w:hideMark/>
          </w:tcPr>
          <w:p w14:paraId="25D7F3F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8B8502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1E701AC" w14:textId="77777777" w:rsidR="00000000" w:rsidRDefault="00632532">
            <w:pPr>
              <w:pStyle w:val="a3"/>
              <w:spacing w:before="0" w:beforeAutospacing="0" w:after="0" w:afterAutospacing="0"/>
              <w:jc w:val="right"/>
              <w:rPr>
                <w:sz w:val="20"/>
                <w:szCs w:val="20"/>
              </w:rPr>
            </w:pPr>
            <w:r>
              <w:rPr>
                <w:b/>
                <w:bCs/>
                <w:sz w:val="18"/>
                <w:szCs w:val="18"/>
              </w:rPr>
              <w:t>28,17</w:t>
            </w:r>
            <w:r>
              <w:rPr>
                <w:b/>
                <w:bCs/>
                <w:sz w:val="18"/>
                <w:szCs w:val="18"/>
              </w:rPr>
              <w:t>8</w:t>
            </w:r>
          </w:p>
        </w:tc>
        <w:tc>
          <w:tcPr>
            <w:tcW w:w="0" w:type="auto"/>
            <w:noWrap/>
            <w:vAlign w:val="bottom"/>
            <w:hideMark/>
          </w:tcPr>
          <w:p w14:paraId="1637C46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4758D1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CB37424"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6B7B646A" w14:textId="77777777" w:rsidR="00000000" w:rsidRDefault="00632532">
            <w:pPr>
              <w:pStyle w:val="a3"/>
              <w:spacing w:before="0" w:beforeAutospacing="0" w:after="0" w:afterAutospacing="0"/>
              <w:jc w:val="right"/>
              <w:rPr>
                <w:sz w:val="20"/>
                <w:szCs w:val="20"/>
              </w:rPr>
            </w:pPr>
            <w:r>
              <w:rPr>
                <w:b/>
                <w:bCs/>
                <w:sz w:val="18"/>
                <w:szCs w:val="18"/>
              </w:rPr>
              <w:t>3</w:t>
            </w:r>
          </w:p>
        </w:tc>
        <w:tc>
          <w:tcPr>
            <w:tcW w:w="0" w:type="auto"/>
            <w:noWrap/>
            <w:vAlign w:val="bottom"/>
            <w:hideMark/>
          </w:tcPr>
          <w:p w14:paraId="77C8207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391FC5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28AC610"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40DD2496" w14:textId="77777777" w:rsidR="00000000" w:rsidRDefault="00632532">
            <w:pPr>
              <w:pStyle w:val="a3"/>
              <w:spacing w:before="0" w:beforeAutospacing="0" w:after="0" w:afterAutospacing="0"/>
              <w:jc w:val="right"/>
              <w:rPr>
                <w:sz w:val="20"/>
                <w:szCs w:val="20"/>
              </w:rPr>
            </w:pPr>
            <w:r>
              <w:rPr>
                <w:b/>
                <w:bCs/>
                <w:sz w:val="18"/>
                <w:szCs w:val="18"/>
              </w:rPr>
              <w:t>418,06</w:t>
            </w:r>
            <w:r>
              <w:rPr>
                <w:b/>
                <w:bCs/>
                <w:sz w:val="18"/>
                <w:szCs w:val="18"/>
              </w:rPr>
              <w:t>5</w:t>
            </w:r>
          </w:p>
        </w:tc>
        <w:tc>
          <w:tcPr>
            <w:tcW w:w="0" w:type="auto"/>
            <w:noWrap/>
            <w:vAlign w:val="bottom"/>
            <w:hideMark/>
          </w:tcPr>
          <w:p w14:paraId="7ED160F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182A33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BBCAF54"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209EF964" w14:textId="77777777" w:rsidR="00000000" w:rsidRDefault="00632532">
            <w:pPr>
              <w:pStyle w:val="a3"/>
              <w:spacing w:before="0" w:beforeAutospacing="0" w:after="0" w:afterAutospacing="0"/>
              <w:jc w:val="right"/>
              <w:rPr>
                <w:sz w:val="20"/>
                <w:szCs w:val="20"/>
              </w:rPr>
            </w:pPr>
            <w:r>
              <w:rPr>
                <w:b/>
                <w:bCs/>
                <w:sz w:val="18"/>
                <w:szCs w:val="18"/>
              </w:rPr>
              <w:t>43</w:t>
            </w:r>
            <w:r>
              <w:rPr>
                <w:b/>
                <w:bCs/>
                <w:sz w:val="18"/>
                <w:szCs w:val="18"/>
              </w:rPr>
              <w:t>8</w:t>
            </w:r>
          </w:p>
        </w:tc>
        <w:tc>
          <w:tcPr>
            <w:tcW w:w="0" w:type="auto"/>
            <w:noWrap/>
            <w:vAlign w:val="bottom"/>
            <w:hideMark/>
          </w:tcPr>
          <w:p w14:paraId="0DD23CE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5785AD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542B96A"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6BCFC4E9" w14:textId="77777777" w:rsidR="00000000" w:rsidRDefault="00632532">
            <w:pPr>
              <w:pStyle w:val="a3"/>
              <w:spacing w:before="0" w:beforeAutospacing="0" w:after="0" w:afterAutospacing="0"/>
              <w:jc w:val="right"/>
              <w:rPr>
                <w:sz w:val="20"/>
                <w:szCs w:val="20"/>
              </w:rPr>
            </w:pPr>
            <w:r>
              <w:rPr>
                <w:b/>
                <w:bCs/>
                <w:sz w:val="18"/>
                <w:szCs w:val="18"/>
              </w:rPr>
              <w:t>150,88</w:t>
            </w:r>
            <w:r>
              <w:rPr>
                <w:b/>
                <w:bCs/>
                <w:sz w:val="18"/>
                <w:szCs w:val="18"/>
              </w:rPr>
              <w:t>1</w:t>
            </w:r>
          </w:p>
        </w:tc>
        <w:tc>
          <w:tcPr>
            <w:tcW w:w="0" w:type="auto"/>
            <w:noWrap/>
            <w:vAlign w:val="bottom"/>
            <w:hideMark/>
          </w:tcPr>
          <w:p w14:paraId="1CC221B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E9377A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A6291F8"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1286AF70" w14:textId="77777777" w:rsidR="00000000" w:rsidRDefault="00632532">
            <w:pPr>
              <w:pStyle w:val="a3"/>
              <w:spacing w:before="0" w:beforeAutospacing="0" w:after="0" w:afterAutospacing="0"/>
              <w:jc w:val="right"/>
              <w:rPr>
                <w:sz w:val="20"/>
                <w:szCs w:val="20"/>
              </w:rPr>
            </w:pPr>
            <w:r>
              <w:rPr>
                <w:b/>
                <w:bCs/>
                <w:sz w:val="18"/>
                <w:szCs w:val="18"/>
              </w:rPr>
              <w:t>569,38</w:t>
            </w:r>
            <w:r>
              <w:rPr>
                <w:b/>
                <w:bCs/>
                <w:sz w:val="18"/>
                <w:szCs w:val="18"/>
              </w:rPr>
              <w:t>7</w:t>
            </w:r>
          </w:p>
        </w:tc>
        <w:tc>
          <w:tcPr>
            <w:tcW w:w="0" w:type="auto"/>
            <w:noWrap/>
            <w:vAlign w:val="bottom"/>
            <w:hideMark/>
          </w:tcPr>
          <w:p w14:paraId="5405151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206A5B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4102437"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6A4A1770"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7720C2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D487C7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0DCEF8C"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46DEBEC7" w14:textId="77777777" w:rsidR="00000000" w:rsidRDefault="00632532">
            <w:pPr>
              <w:pStyle w:val="a3"/>
              <w:spacing w:before="0" w:beforeAutospacing="0" w:after="0" w:afterAutospacing="0"/>
              <w:jc w:val="right"/>
              <w:rPr>
                <w:sz w:val="20"/>
                <w:szCs w:val="20"/>
              </w:rPr>
            </w:pPr>
            <w:r>
              <w:rPr>
                <w:b/>
                <w:bCs/>
                <w:sz w:val="18"/>
                <w:szCs w:val="18"/>
              </w:rPr>
              <w:t>569,38</w:t>
            </w:r>
            <w:r>
              <w:rPr>
                <w:b/>
                <w:bCs/>
                <w:sz w:val="18"/>
                <w:szCs w:val="18"/>
              </w:rPr>
              <w:t>7</w:t>
            </w:r>
          </w:p>
        </w:tc>
        <w:tc>
          <w:tcPr>
            <w:tcW w:w="0" w:type="auto"/>
            <w:noWrap/>
            <w:vAlign w:val="bottom"/>
            <w:hideMark/>
          </w:tcPr>
          <w:p w14:paraId="6A49A7DD" w14:textId="77777777" w:rsidR="00000000" w:rsidRDefault="00632532">
            <w:pPr>
              <w:pStyle w:val="a3"/>
              <w:spacing w:before="0" w:beforeAutospacing="0" w:after="0" w:afterAutospacing="0"/>
              <w:rPr>
                <w:sz w:val="18"/>
                <w:szCs w:val="18"/>
              </w:rPr>
            </w:pPr>
            <w:r>
              <w:rPr>
                <w:sz w:val="18"/>
                <w:szCs w:val="18"/>
              </w:rPr>
              <w:t> </w:t>
            </w:r>
          </w:p>
        </w:tc>
      </w:tr>
      <w:tr w:rsidR="00000000" w14:paraId="774136D5" w14:textId="77777777">
        <w:trPr>
          <w:trHeight w:val="180"/>
          <w:tblCellSpacing w:w="15" w:type="dxa"/>
        </w:trPr>
        <w:tc>
          <w:tcPr>
            <w:tcW w:w="0" w:type="auto"/>
            <w:vAlign w:val="bottom"/>
            <w:hideMark/>
          </w:tcPr>
          <w:p w14:paraId="3FE3D88C" w14:textId="77777777" w:rsidR="00000000" w:rsidRDefault="00632532">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14:paraId="22F75A7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65728E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8C9084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350386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790BDB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6CB818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8341225"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0A8FF0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E4C13B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79E515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FA26805" w14:textId="77777777" w:rsidR="00000000" w:rsidRDefault="00632532">
            <w:pPr>
              <w:pStyle w:val="a3"/>
              <w:spacing w:before="0" w:beforeAutospacing="0" w:after="0" w:afterAutospacing="0"/>
              <w:jc w:val="right"/>
              <w:rPr>
                <w:sz w:val="20"/>
                <w:szCs w:val="20"/>
              </w:rPr>
            </w:pPr>
            <w:r>
              <w:rPr>
                <w:sz w:val="18"/>
                <w:szCs w:val="18"/>
              </w:rPr>
              <w:t>2,96</w:t>
            </w:r>
            <w:r>
              <w:rPr>
                <w:sz w:val="18"/>
                <w:szCs w:val="18"/>
              </w:rPr>
              <w:t>2</w:t>
            </w:r>
          </w:p>
        </w:tc>
        <w:tc>
          <w:tcPr>
            <w:tcW w:w="0" w:type="auto"/>
            <w:noWrap/>
            <w:vAlign w:val="bottom"/>
            <w:hideMark/>
          </w:tcPr>
          <w:p w14:paraId="647D485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54CA76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8BF72B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3A17F5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59F462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A52672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64C5D7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AA9B82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C0B879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15C8AC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644207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E9DABCD" w14:textId="77777777" w:rsidR="00000000" w:rsidRDefault="00632532">
            <w:pPr>
              <w:pStyle w:val="a3"/>
              <w:spacing w:before="0" w:beforeAutospacing="0" w:after="0" w:afterAutospacing="0"/>
              <w:jc w:val="right"/>
              <w:rPr>
                <w:sz w:val="20"/>
                <w:szCs w:val="20"/>
              </w:rPr>
            </w:pPr>
            <w:r>
              <w:rPr>
                <w:sz w:val="18"/>
                <w:szCs w:val="18"/>
              </w:rPr>
              <w:t>2,96</w:t>
            </w:r>
            <w:r>
              <w:rPr>
                <w:sz w:val="18"/>
                <w:szCs w:val="18"/>
              </w:rPr>
              <w:t>2</w:t>
            </w:r>
          </w:p>
        </w:tc>
        <w:tc>
          <w:tcPr>
            <w:tcW w:w="0" w:type="auto"/>
            <w:noWrap/>
            <w:vAlign w:val="bottom"/>
            <w:hideMark/>
          </w:tcPr>
          <w:p w14:paraId="41D4B10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7979C4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E522D2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199F15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9CCE38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441D07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BE6587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EDBB547" w14:textId="77777777" w:rsidR="00000000" w:rsidRDefault="00632532">
            <w:pPr>
              <w:pStyle w:val="a3"/>
              <w:spacing w:before="0" w:beforeAutospacing="0" w:after="0" w:afterAutospacing="0"/>
              <w:jc w:val="right"/>
              <w:rPr>
                <w:sz w:val="20"/>
                <w:szCs w:val="20"/>
              </w:rPr>
            </w:pPr>
            <w:r>
              <w:rPr>
                <w:sz w:val="18"/>
                <w:szCs w:val="18"/>
              </w:rPr>
              <w:t>2,96</w:t>
            </w:r>
            <w:r>
              <w:rPr>
                <w:sz w:val="18"/>
                <w:szCs w:val="18"/>
              </w:rPr>
              <w:t>2</w:t>
            </w:r>
          </w:p>
        </w:tc>
        <w:tc>
          <w:tcPr>
            <w:tcW w:w="0" w:type="auto"/>
            <w:noWrap/>
            <w:vAlign w:val="bottom"/>
            <w:hideMark/>
          </w:tcPr>
          <w:p w14:paraId="3DC6308C" w14:textId="77777777" w:rsidR="00000000" w:rsidRDefault="00632532">
            <w:pPr>
              <w:pStyle w:val="a3"/>
              <w:spacing w:before="0" w:beforeAutospacing="0" w:after="0" w:afterAutospacing="0"/>
              <w:rPr>
                <w:sz w:val="18"/>
                <w:szCs w:val="18"/>
              </w:rPr>
            </w:pPr>
            <w:r>
              <w:rPr>
                <w:sz w:val="18"/>
                <w:szCs w:val="18"/>
              </w:rPr>
              <w:t> </w:t>
            </w:r>
          </w:p>
        </w:tc>
      </w:tr>
      <w:tr w:rsidR="00000000" w14:paraId="6699B257" w14:textId="77777777">
        <w:trPr>
          <w:trHeight w:val="180"/>
          <w:tblCellSpacing w:w="15" w:type="dxa"/>
        </w:trPr>
        <w:tc>
          <w:tcPr>
            <w:tcW w:w="0" w:type="auto"/>
            <w:vAlign w:val="bottom"/>
            <w:hideMark/>
          </w:tcPr>
          <w:p w14:paraId="1BE190A1" w14:textId="77777777" w:rsidR="00000000" w:rsidRDefault="00632532">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14:paraId="37761EB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985557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B2C3077" w14:textId="77777777" w:rsidR="00000000" w:rsidRDefault="00632532">
            <w:pPr>
              <w:pStyle w:val="a3"/>
              <w:spacing w:before="0" w:beforeAutospacing="0" w:after="0" w:afterAutospacing="0"/>
              <w:jc w:val="right"/>
              <w:rPr>
                <w:sz w:val="20"/>
                <w:szCs w:val="20"/>
              </w:rPr>
            </w:pPr>
            <w:r>
              <w:rPr>
                <w:sz w:val="18"/>
                <w:szCs w:val="18"/>
              </w:rPr>
              <w:t>4</w:t>
            </w:r>
            <w:r>
              <w:rPr>
                <w:sz w:val="18"/>
                <w:szCs w:val="18"/>
              </w:rPr>
              <w:t>5</w:t>
            </w:r>
          </w:p>
        </w:tc>
        <w:tc>
          <w:tcPr>
            <w:tcW w:w="0" w:type="auto"/>
            <w:noWrap/>
            <w:vAlign w:val="bottom"/>
            <w:hideMark/>
          </w:tcPr>
          <w:p w14:paraId="094BF93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2A5288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510593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F3BB08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FF1110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E27F51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DF162B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065FD7F" w14:textId="77777777" w:rsidR="00000000" w:rsidRDefault="00632532">
            <w:pPr>
              <w:pStyle w:val="a3"/>
              <w:spacing w:before="0" w:beforeAutospacing="0" w:after="0" w:afterAutospacing="0"/>
              <w:jc w:val="right"/>
              <w:rPr>
                <w:sz w:val="20"/>
                <w:szCs w:val="20"/>
              </w:rPr>
            </w:pPr>
            <w:r>
              <w:rPr>
                <w:sz w:val="18"/>
                <w:szCs w:val="18"/>
              </w:rPr>
              <w:t>4</w:t>
            </w:r>
            <w:r>
              <w:rPr>
                <w:sz w:val="18"/>
                <w:szCs w:val="18"/>
              </w:rPr>
              <w:t>4</w:t>
            </w:r>
          </w:p>
        </w:tc>
        <w:tc>
          <w:tcPr>
            <w:tcW w:w="0" w:type="auto"/>
            <w:noWrap/>
            <w:vAlign w:val="bottom"/>
            <w:hideMark/>
          </w:tcPr>
          <w:p w14:paraId="73BACF3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0AD831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B8C110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7753DE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7D4F8D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05C6C1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4AA6EC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9681D9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A43C8C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57B3AF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392BF9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FCC1EB4" w14:textId="77777777" w:rsidR="00000000" w:rsidRDefault="00632532">
            <w:pPr>
              <w:pStyle w:val="a3"/>
              <w:spacing w:before="0" w:beforeAutospacing="0" w:after="0" w:afterAutospacing="0"/>
              <w:jc w:val="right"/>
              <w:rPr>
                <w:sz w:val="20"/>
                <w:szCs w:val="20"/>
              </w:rPr>
            </w:pPr>
            <w:r>
              <w:rPr>
                <w:sz w:val="18"/>
                <w:szCs w:val="18"/>
              </w:rPr>
              <w:t>4</w:t>
            </w:r>
            <w:r>
              <w:rPr>
                <w:sz w:val="18"/>
                <w:szCs w:val="18"/>
              </w:rPr>
              <w:t>4</w:t>
            </w:r>
          </w:p>
        </w:tc>
        <w:tc>
          <w:tcPr>
            <w:tcW w:w="0" w:type="auto"/>
            <w:noWrap/>
            <w:vAlign w:val="bottom"/>
            <w:hideMark/>
          </w:tcPr>
          <w:p w14:paraId="74C2B0F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C0CAC5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D3C0B3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3877B8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F9A9A2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9186EC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95FCE3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B771E12" w14:textId="77777777" w:rsidR="00000000" w:rsidRDefault="00632532">
            <w:pPr>
              <w:pStyle w:val="a3"/>
              <w:spacing w:before="0" w:beforeAutospacing="0" w:after="0" w:afterAutospacing="0"/>
              <w:jc w:val="right"/>
              <w:rPr>
                <w:sz w:val="20"/>
                <w:szCs w:val="20"/>
              </w:rPr>
            </w:pPr>
            <w:r>
              <w:rPr>
                <w:sz w:val="18"/>
                <w:szCs w:val="18"/>
              </w:rPr>
              <w:t>4</w:t>
            </w:r>
            <w:r>
              <w:rPr>
                <w:sz w:val="18"/>
                <w:szCs w:val="18"/>
              </w:rPr>
              <w:t>4</w:t>
            </w:r>
          </w:p>
        </w:tc>
        <w:tc>
          <w:tcPr>
            <w:tcW w:w="0" w:type="auto"/>
            <w:noWrap/>
            <w:vAlign w:val="bottom"/>
            <w:hideMark/>
          </w:tcPr>
          <w:p w14:paraId="03C98FAE" w14:textId="77777777" w:rsidR="00000000" w:rsidRDefault="00632532">
            <w:pPr>
              <w:pStyle w:val="a3"/>
              <w:spacing w:before="0" w:beforeAutospacing="0" w:after="0" w:afterAutospacing="0"/>
              <w:rPr>
                <w:sz w:val="18"/>
                <w:szCs w:val="18"/>
              </w:rPr>
            </w:pPr>
            <w:r>
              <w:rPr>
                <w:sz w:val="18"/>
                <w:szCs w:val="18"/>
              </w:rPr>
              <w:t> </w:t>
            </w:r>
          </w:p>
        </w:tc>
      </w:tr>
      <w:tr w:rsidR="00000000" w14:paraId="3FAA8F14" w14:textId="77777777">
        <w:trPr>
          <w:trHeight w:val="180"/>
          <w:tblCellSpacing w:w="15" w:type="dxa"/>
        </w:trPr>
        <w:tc>
          <w:tcPr>
            <w:tcW w:w="0" w:type="auto"/>
            <w:vAlign w:val="bottom"/>
            <w:hideMark/>
          </w:tcPr>
          <w:p w14:paraId="315BB349" w14:textId="77777777" w:rsidR="00000000" w:rsidRDefault="00632532">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14:paraId="25F9BEC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918A82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1F84539" w14:textId="77777777" w:rsidR="00000000" w:rsidRDefault="00632532">
            <w:pPr>
              <w:pStyle w:val="a3"/>
              <w:spacing w:before="0" w:beforeAutospacing="0" w:after="0" w:afterAutospacing="0"/>
              <w:jc w:val="right"/>
              <w:rPr>
                <w:sz w:val="20"/>
                <w:szCs w:val="20"/>
              </w:rPr>
            </w:pPr>
            <w:r>
              <w:rPr>
                <w:sz w:val="18"/>
                <w:szCs w:val="18"/>
              </w:rPr>
              <w:t>18</w:t>
            </w:r>
            <w:r>
              <w:rPr>
                <w:sz w:val="18"/>
                <w:szCs w:val="18"/>
              </w:rPr>
              <w:t>7</w:t>
            </w:r>
          </w:p>
        </w:tc>
        <w:tc>
          <w:tcPr>
            <w:tcW w:w="0" w:type="auto"/>
            <w:noWrap/>
            <w:vAlign w:val="bottom"/>
            <w:hideMark/>
          </w:tcPr>
          <w:p w14:paraId="6C84802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2367B2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F1FF04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51642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87B108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436741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80FACA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C5E9160"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2FBF78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752CB6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E53245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6A4D360"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C4DDA3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1B8A59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3B4EA7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E92DC6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31F005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5BD84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983EB4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4E54547"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A9F89C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574D6E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E66412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3DF379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5643FF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1F6FC1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B30CC1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A12D69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FBE3956" w14:textId="77777777" w:rsidR="00000000" w:rsidRDefault="00632532">
            <w:pPr>
              <w:pStyle w:val="a3"/>
              <w:spacing w:before="0" w:beforeAutospacing="0" w:after="0" w:afterAutospacing="0"/>
              <w:rPr>
                <w:sz w:val="18"/>
                <w:szCs w:val="18"/>
              </w:rPr>
            </w:pPr>
            <w:r>
              <w:rPr>
                <w:sz w:val="18"/>
                <w:szCs w:val="18"/>
              </w:rPr>
              <w:t> </w:t>
            </w:r>
          </w:p>
        </w:tc>
      </w:tr>
      <w:tr w:rsidR="00000000" w14:paraId="200492B4" w14:textId="77777777">
        <w:trPr>
          <w:trHeight w:val="180"/>
          <w:tblCellSpacing w:w="15" w:type="dxa"/>
        </w:trPr>
        <w:tc>
          <w:tcPr>
            <w:tcW w:w="0" w:type="auto"/>
            <w:vAlign w:val="bottom"/>
            <w:hideMark/>
          </w:tcPr>
          <w:p w14:paraId="0D3FCF68" w14:textId="77777777" w:rsidR="00000000" w:rsidRDefault="00632532">
            <w:pPr>
              <w:pStyle w:val="a3"/>
              <w:spacing w:before="0" w:beforeAutospacing="0" w:after="0" w:afterAutospacing="0"/>
              <w:rPr>
                <w:sz w:val="18"/>
                <w:szCs w:val="18"/>
              </w:rPr>
            </w:pPr>
            <w:r>
              <w:rPr>
                <w:sz w:val="18"/>
                <w:szCs w:val="18"/>
              </w:rPr>
              <w:t>Common stock withholding for employee tax obligation</w:t>
            </w:r>
            <w:r>
              <w:rPr>
                <w:sz w:val="18"/>
                <w:szCs w:val="18"/>
              </w:rPr>
              <w:t>s</w:t>
            </w:r>
          </w:p>
        </w:tc>
        <w:tc>
          <w:tcPr>
            <w:tcW w:w="0" w:type="auto"/>
            <w:vAlign w:val="bottom"/>
            <w:hideMark/>
          </w:tcPr>
          <w:p w14:paraId="640473C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9DAF04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F40190C" w14:textId="77777777" w:rsidR="00000000" w:rsidRDefault="00632532">
            <w:pPr>
              <w:pStyle w:val="a3"/>
              <w:spacing w:before="0" w:beforeAutospacing="0" w:after="0" w:afterAutospacing="0"/>
              <w:jc w:val="right"/>
              <w:rPr>
                <w:sz w:val="20"/>
                <w:szCs w:val="20"/>
              </w:rPr>
            </w:pPr>
            <w:r>
              <w:rPr>
                <w:sz w:val="18"/>
                <w:szCs w:val="18"/>
              </w:rPr>
              <w:t>(</w:t>
            </w:r>
            <w:r>
              <w:rPr>
                <w:sz w:val="18"/>
                <w:szCs w:val="18"/>
              </w:rPr>
              <w:t>4</w:t>
            </w:r>
          </w:p>
        </w:tc>
        <w:tc>
          <w:tcPr>
            <w:tcW w:w="0" w:type="auto"/>
            <w:noWrap/>
            <w:vAlign w:val="bottom"/>
            <w:hideMark/>
          </w:tcPr>
          <w:p w14:paraId="590DD1FA"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023D3DF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27ECD8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5A0632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507CFB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7B84C7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4593DE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EA993C0" w14:textId="77777777" w:rsidR="00000000" w:rsidRDefault="00632532">
            <w:pPr>
              <w:pStyle w:val="a3"/>
              <w:spacing w:before="0" w:beforeAutospacing="0" w:after="0" w:afterAutospacing="0"/>
              <w:jc w:val="right"/>
              <w:rPr>
                <w:sz w:val="20"/>
                <w:szCs w:val="20"/>
              </w:rPr>
            </w:pPr>
            <w:r>
              <w:rPr>
                <w:sz w:val="18"/>
                <w:szCs w:val="18"/>
              </w:rPr>
              <w:t>(</w:t>
            </w:r>
            <w:r>
              <w:rPr>
                <w:sz w:val="18"/>
                <w:szCs w:val="18"/>
              </w:rPr>
              <w:t>51</w:t>
            </w:r>
            <w:r>
              <w:rPr>
                <w:sz w:val="18"/>
                <w:szCs w:val="18"/>
              </w:rPr>
              <w:t>3</w:t>
            </w:r>
          </w:p>
        </w:tc>
        <w:tc>
          <w:tcPr>
            <w:tcW w:w="0" w:type="auto"/>
            <w:noWrap/>
            <w:vAlign w:val="bottom"/>
            <w:hideMark/>
          </w:tcPr>
          <w:p w14:paraId="0A9600C0"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37A76A9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CB1F0F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175E4B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2D4D23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990901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9F4D0F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000A0C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3254D2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90DE75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570354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CB9456E" w14:textId="77777777" w:rsidR="00000000" w:rsidRDefault="00632532">
            <w:pPr>
              <w:pStyle w:val="a3"/>
              <w:spacing w:before="0" w:beforeAutospacing="0" w:after="0" w:afterAutospacing="0"/>
              <w:jc w:val="right"/>
              <w:rPr>
                <w:sz w:val="20"/>
                <w:szCs w:val="20"/>
              </w:rPr>
            </w:pPr>
            <w:r>
              <w:rPr>
                <w:sz w:val="18"/>
                <w:szCs w:val="18"/>
              </w:rPr>
              <w:t>(</w:t>
            </w:r>
            <w:r>
              <w:rPr>
                <w:sz w:val="18"/>
                <w:szCs w:val="18"/>
              </w:rPr>
              <w:t>51</w:t>
            </w:r>
            <w:r>
              <w:rPr>
                <w:sz w:val="18"/>
                <w:szCs w:val="18"/>
              </w:rPr>
              <w:t>3</w:t>
            </w:r>
          </w:p>
        </w:tc>
        <w:tc>
          <w:tcPr>
            <w:tcW w:w="0" w:type="auto"/>
            <w:noWrap/>
            <w:vAlign w:val="bottom"/>
            <w:hideMark/>
          </w:tcPr>
          <w:p w14:paraId="2AA955DE"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3D4FF55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F85218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16497C7"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B1F95A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5BD9C0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616DF3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67EA07F" w14:textId="77777777" w:rsidR="00000000" w:rsidRDefault="00632532">
            <w:pPr>
              <w:pStyle w:val="a3"/>
              <w:spacing w:before="0" w:beforeAutospacing="0" w:after="0" w:afterAutospacing="0"/>
              <w:jc w:val="right"/>
              <w:rPr>
                <w:sz w:val="20"/>
                <w:szCs w:val="20"/>
              </w:rPr>
            </w:pPr>
            <w:r>
              <w:rPr>
                <w:sz w:val="18"/>
                <w:szCs w:val="18"/>
              </w:rPr>
              <w:t>(</w:t>
            </w:r>
            <w:r>
              <w:rPr>
                <w:sz w:val="18"/>
                <w:szCs w:val="18"/>
              </w:rPr>
              <w:t>51</w:t>
            </w:r>
            <w:r>
              <w:rPr>
                <w:sz w:val="18"/>
                <w:szCs w:val="18"/>
              </w:rPr>
              <w:t>3</w:t>
            </w:r>
          </w:p>
        </w:tc>
        <w:tc>
          <w:tcPr>
            <w:tcW w:w="0" w:type="auto"/>
            <w:noWrap/>
            <w:vAlign w:val="bottom"/>
            <w:hideMark/>
          </w:tcPr>
          <w:p w14:paraId="42DFD53E" w14:textId="77777777" w:rsidR="00000000" w:rsidRDefault="00632532">
            <w:pPr>
              <w:pStyle w:val="a3"/>
              <w:spacing w:before="0" w:beforeAutospacing="0" w:after="0" w:afterAutospacing="0"/>
              <w:rPr>
                <w:sz w:val="18"/>
                <w:szCs w:val="18"/>
              </w:rPr>
            </w:pPr>
            <w:r>
              <w:rPr>
                <w:sz w:val="18"/>
                <w:szCs w:val="18"/>
              </w:rPr>
              <w:t>)</w:t>
            </w:r>
          </w:p>
        </w:tc>
      </w:tr>
      <w:tr w:rsidR="00000000" w14:paraId="52923555" w14:textId="77777777">
        <w:trPr>
          <w:trHeight w:val="180"/>
          <w:tblCellSpacing w:w="15" w:type="dxa"/>
        </w:trPr>
        <w:tc>
          <w:tcPr>
            <w:tcW w:w="0" w:type="auto"/>
            <w:vAlign w:val="bottom"/>
            <w:hideMark/>
          </w:tcPr>
          <w:p w14:paraId="6A7CBB6F" w14:textId="77777777" w:rsidR="00000000" w:rsidRDefault="00632532">
            <w:pPr>
              <w:pStyle w:val="a3"/>
              <w:spacing w:before="0" w:beforeAutospacing="0" w:after="0" w:afterAutospacing="0"/>
              <w:rPr>
                <w:sz w:val="20"/>
                <w:szCs w:val="20"/>
              </w:rPr>
            </w:pPr>
            <w:r>
              <w:rPr>
                <w:sz w:val="18"/>
                <w:szCs w:val="18"/>
              </w:rPr>
              <w:t xml:space="preserve">Issuance of common stock at an average of </w:t>
            </w:r>
            <w:r>
              <w:rPr>
                <w:sz w:val="18"/>
                <w:szCs w:val="18"/>
              </w:rPr>
              <w:t>$</w:t>
            </w:r>
            <w:r>
              <w:rPr>
                <w:sz w:val="18"/>
                <w:szCs w:val="18"/>
              </w:rPr>
              <w:t>52.0</w:t>
            </w:r>
            <w:r>
              <w:rPr>
                <w:sz w:val="18"/>
                <w:szCs w:val="18"/>
              </w:rPr>
              <w:t>0</w:t>
            </w:r>
            <w:r>
              <w:rPr>
                <w:sz w:val="18"/>
                <w:szCs w:val="18"/>
              </w:rPr>
              <w:t> per share, ne</w:t>
            </w:r>
            <w:r>
              <w:rPr>
                <w:sz w:val="18"/>
                <w:szCs w:val="18"/>
              </w:rPr>
              <w:t>t</w:t>
            </w:r>
          </w:p>
        </w:tc>
        <w:tc>
          <w:tcPr>
            <w:tcW w:w="0" w:type="auto"/>
            <w:vAlign w:val="bottom"/>
            <w:hideMark/>
          </w:tcPr>
          <w:p w14:paraId="4E2F8C6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12B428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3A35A4E" w14:textId="77777777" w:rsidR="00000000" w:rsidRDefault="00632532">
            <w:pPr>
              <w:pStyle w:val="a3"/>
              <w:spacing w:before="0" w:beforeAutospacing="0" w:after="0" w:afterAutospacing="0"/>
              <w:jc w:val="right"/>
              <w:rPr>
                <w:sz w:val="20"/>
                <w:szCs w:val="20"/>
              </w:rPr>
            </w:pPr>
            <w:r>
              <w:rPr>
                <w:sz w:val="18"/>
                <w:szCs w:val="18"/>
              </w:rPr>
              <w:t>58</w:t>
            </w:r>
            <w:r>
              <w:rPr>
                <w:sz w:val="18"/>
                <w:szCs w:val="18"/>
              </w:rPr>
              <w:t>3</w:t>
            </w:r>
          </w:p>
        </w:tc>
        <w:tc>
          <w:tcPr>
            <w:tcW w:w="0" w:type="auto"/>
            <w:noWrap/>
            <w:vAlign w:val="bottom"/>
            <w:hideMark/>
          </w:tcPr>
          <w:p w14:paraId="6CCC3D7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25E39D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3DD0D6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258C3DE"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25F217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693E25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25E229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06169D9" w14:textId="77777777" w:rsidR="00000000" w:rsidRDefault="00632532">
            <w:pPr>
              <w:pStyle w:val="a3"/>
              <w:spacing w:before="0" w:beforeAutospacing="0" w:after="0" w:afterAutospacing="0"/>
              <w:jc w:val="right"/>
              <w:rPr>
                <w:sz w:val="20"/>
                <w:szCs w:val="20"/>
              </w:rPr>
            </w:pPr>
            <w:r>
              <w:rPr>
                <w:sz w:val="18"/>
                <w:szCs w:val="18"/>
              </w:rPr>
              <w:t>30,29</w:t>
            </w:r>
            <w:r>
              <w:rPr>
                <w:sz w:val="18"/>
                <w:szCs w:val="18"/>
              </w:rPr>
              <w:t>7</w:t>
            </w:r>
          </w:p>
        </w:tc>
        <w:tc>
          <w:tcPr>
            <w:tcW w:w="0" w:type="auto"/>
            <w:noWrap/>
            <w:vAlign w:val="bottom"/>
            <w:hideMark/>
          </w:tcPr>
          <w:p w14:paraId="74267AC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3401E8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DE0B20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019C5B4"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7C2661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D3D9E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55A257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E5C1DD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EF0E81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B049C4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AEC85D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ED87E79" w14:textId="77777777" w:rsidR="00000000" w:rsidRDefault="00632532">
            <w:pPr>
              <w:pStyle w:val="a3"/>
              <w:spacing w:before="0" w:beforeAutospacing="0" w:after="0" w:afterAutospacing="0"/>
              <w:jc w:val="right"/>
              <w:rPr>
                <w:sz w:val="20"/>
                <w:szCs w:val="20"/>
              </w:rPr>
            </w:pPr>
            <w:r>
              <w:rPr>
                <w:sz w:val="18"/>
                <w:szCs w:val="18"/>
              </w:rPr>
              <w:t>30,29</w:t>
            </w:r>
            <w:r>
              <w:rPr>
                <w:sz w:val="18"/>
                <w:szCs w:val="18"/>
              </w:rPr>
              <w:t>7</w:t>
            </w:r>
          </w:p>
        </w:tc>
        <w:tc>
          <w:tcPr>
            <w:tcW w:w="0" w:type="auto"/>
            <w:noWrap/>
            <w:vAlign w:val="bottom"/>
            <w:hideMark/>
          </w:tcPr>
          <w:p w14:paraId="6278C63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E59192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B26B99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7AAE08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1753D0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9B29A5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3D7FE4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042E19B" w14:textId="77777777" w:rsidR="00000000" w:rsidRDefault="00632532">
            <w:pPr>
              <w:pStyle w:val="a3"/>
              <w:spacing w:before="0" w:beforeAutospacing="0" w:after="0" w:afterAutospacing="0"/>
              <w:jc w:val="right"/>
              <w:rPr>
                <w:sz w:val="20"/>
                <w:szCs w:val="20"/>
              </w:rPr>
            </w:pPr>
            <w:r>
              <w:rPr>
                <w:sz w:val="18"/>
                <w:szCs w:val="18"/>
              </w:rPr>
              <w:t>30,29</w:t>
            </w:r>
            <w:r>
              <w:rPr>
                <w:sz w:val="18"/>
                <w:szCs w:val="18"/>
              </w:rPr>
              <w:t>7</w:t>
            </w:r>
          </w:p>
        </w:tc>
        <w:tc>
          <w:tcPr>
            <w:tcW w:w="0" w:type="auto"/>
            <w:noWrap/>
            <w:vAlign w:val="bottom"/>
            <w:hideMark/>
          </w:tcPr>
          <w:p w14:paraId="70D5BBCA" w14:textId="77777777" w:rsidR="00000000" w:rsidRDefault="00632532">
            <w:pPr>
              <w:pStyle w:val="a3"/>
              <w:spacing w:before="0" w:beforeAutospacing="0" w:after="0" w:afterAutospacing="0"/>
              <w:rPr>
                <w:sz w:val="18"/>
                <w:szCs w:val="18"/>
              </w:rPr>
            </w:pPr>
            <w:r>
              <w:rPr>
                <w:sz w:val="18"/>
                <w:szCs w:val="18"/>
              </w:rPr>
              <w:t> </w:t>
            </w:r>
          </w:p>
        </w:tc>
      </w:tr>
      <w:tr w:rsidR="00000000" w14:paraId="3B71A03F" w14:textId="77777777">
        <w:trPr>
          <w:trHeight w:val="180"/>
          <w:tblCellSpacing w:w="15" w:type="dxa"/>
        </w:trPr>
        <w:tc>
          <w:tcPr>
            <w:tcW w:w="0" w:type="auto"/>
            <w:vAlign w:val="bottom"/>
            <w:hideMark/>
          </w:tcPr>
          <w:p w14:paraId="4E14EEF2" w14:textId="77777777" w:rsidR="00000000" w:rsidRDefault="00632532">
            <w:pPr>
              <w:pStyle w:val="a3"/>
              <w:spacing w:before="0" w:beforeAutospacing="0" w:after="0" w:afterAutospacing="0"/>
              <w:rPr>
                <w:sz w:val="18"/>
                <w:szCs w:val="18"/>
              </w:rPr>
            </w:pPr>
            <w:r>
              <w:rPr>
                <w:sz w:val="18"/>
                <w:szCs w:val="18"/>
              </w:rPr>
              <w:t>Other comprehensive los</w:t>
            </w:r>
            <w:r>
              <w:rPr>
                <w:sz w:val="18"/>
                <w:szCs w:val="18"/>
              </w:rPr>
              <w:t>s</w:t>
            </w:r>
          </w:p>
        </w:tc>
        <w:tc>
          <w:tcPr>
            <w:tcW w:w="0" w:type="auto"/>
            <w:vAlign w:val="bottom"/>
            <w:hideMark/>
          </w:tcPr>
          <w:p w14:paraId="141F976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B00FE7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02E510E"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BE8404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7F7CF5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8DA491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9330DB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6A2D46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FBBCEA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2F3EF4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33048DE"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E685C1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4A0D5D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9384EA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02F3E2D" w14:textId="77777777" w:rsidR="00000000" w:rsidRDefault="00632532">
            <w:pPr>
              <w:pStyle w:val="a3"/>
              <w:spacing w:before="0" w:beforeAutospacing="0" w:after="0" w:afterAutospacing="0"/>
              <w:jc w:val="right"/>
              <w:rPr>
                <w:sz w:val="20"/>
                <w:szCs w:val="20"/>
              </w:rPr>
            </w:pPr>
            <w:r>
              <w:rPr>
                <w:sz w:val="18"/>
                <w:szCs w:val="18"/>
              </w:rPr>
              <w:t>(</w:t>
            </w:r>
            <w:r>
              <w:rPr>
                <w:sz w:val="18"/>
                <w:szCs w:val="18"/>
              </w:rPr>
              <w:t>65</w:t>
            </w:r>
            <w:r>
              <w:rPr>
                <w:sz w:val="18"/>
                <w:szCs w:val="18"/>
              </w:rPr>
              <w:t>4</w:t>
            </w:r>
          </w:p>
        </w:tc>
        <w:tc>
          <w:tcPr>
            <w:tcW w:w="0" w:type="auto"/>
            <w:noWrap/>
            <w:vAlign w:val="bottom"/>
            <w:hideMark/>
          </w:tcPr>
          <w:p w14:paraId="5F7143CD"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742E84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CD5358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A74023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F85E76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F0B11B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6B3756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DAC5EEB" w14:textId="77777777" w:rsidR="00000000" w:rsidRDefault="00632532">
            <w:pPr>
              <w:pStyle w:val="a3"/>
              <w:spacing w:before="0" w:beforeAutospacing="0" w:after="0" w:afterAutospacing="0"/>
              <w:jc w:val="right"/>
              <w:rPr>
                <w:sz w:val="20"/>
                <w:szCs w:val="20"/>
              </w:rPr>
            </w:pPr>
            <w:r>
              <w:rPr>
                <w:sz w:val="18"/>
                <w:szCs w:val="18"/>
              </w:rPr>
              <w:t>(</w:t>
            </w:r>
            <w:r>
              <w:rPr>
                <w:sz w:val="18"/>
                <w:szCs w:val="18"/>
              </w:rPr>
              <w:t>65</w:t>
            </w:r>
            <w:r>
              <w:rPr>
                <w:sz w:val="18"/>
                <w:szCs w:val="18"/>
              </w:rPr>
              <w:t>4</w:t>
            </w:r>
          </w:p>
        </w:tc>
        <w:tc>
          <w:tcPr>
            <w:tcW w:w="0" w:type="auto"/>
            <w:noWrap/>
            <w:vAlign w:val="bottom"/>
            <w:hideMark/>
          </w:tcPr>
          <w:p w14:paraId="28C21711"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38FBBBC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C5F512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FBA18A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151327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30A9B2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8EE4A4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8A3A254" w14:textId="77777777" w:rsidR="00000000" w:rsidRDefault="00632532">
            <w:pPr>
              <w:pStyle w:val="a3"/>
              <w:spacing w:before="0" w:beforeAutospacing="0" w:after="0" w:afterAutospacing="0"/>
              <w:jc w:val="right"/>
              <w:rPr>
                <w:sz w:val="20"/>
                <w:szCs w:val="20"/>
              </w:rPr>
            </w:pPr>
            <w:r>
              <w:rPr>
                <w:sz w:val="18"/>
                <w:szCs w:val="18"/>
              </w:rPr>
              <w:t>(</w:t>
            </w:r>
            <w:r>
              <w:rPr>
                <w:sz w:val="18"/>
                <w:szCs w:val="18"/>
              </w:rPr>
              <w:t>65</w:t>
            </w:r>
            <w:r>
              <w:rPr>
                <w:sz w:val="18"/>
                <w:szCs w:val="18"/>
              </w:rPr>
              <w:t>4</w:t>
            </w:r>
          </w:p>
        </w:tc>
        <w:tc>
          <w:tcPr>
            <w:tcW w:w="0" w:type="auto"/>
            <w:noWrap/>
            <w:vAlign w:val="bottom"/>
            <w:hideMark/>
          </w:tcPr>
          <w:p w14:paraId="5897324D" w14:textId="77777777" w:rsidR="00000000" w:rsidRDefault="00632532">
            <w:pPr>
              <w:pStyle w:val="a3"/>
              <w:spacing w:before="0" w:beforeAutospacing="0" w:after="0" w:afterAutospacing="0"/>
              <w:rPr>
                <w:sz w:val="18"/>
                <w:szCs w:val="18"/>
              </w:rPr>
            </w:pPr>
            <w:r>
              <w:rPr>
                <w:sz w:val="18"/>
                <w:szCs w:val="18"/>
              </w:rPr>
              <w:t>)</w:t>
            </w:r>
          </w:p>
        </w:tc>
      </w:tr>
      <w:tr w:rsidR="00000000" w14:paraId="2127B95F" w14:textId="77777777">
        <w:trPr>
          <w:trHeight w:val="180"/>
          <w:tblCellSpacing w:w="15" w:type="dxa"/>
        </w:trPr>
        <w:tc>
          <w:tcPr>
            <w:tcW w:w="0" w:type="auto"/>
            <w:vAlign w:val="bottom"/>
            <w:hideMark/>
          </w:tcPr>
          <w:p w14:paraId="111D566C" w14:textId="77777777" w:rsidR="00000000" w:rsidRDefault="00632532">
            <w:pPr>
              <w:pStyle w:val="a3"/>
              <w:spacing w:before="0" w:beforeAutospacing="0" w:after="0" w:afterAutospacing="0"/>
              <w:rPr>
                <w:sz w:val="18"/>
                <w:szCs w:val="18"/>
              </w:rPr>
            </w:pPr>
            <w:r>
              <w:rPr>
                <w:sz w:val="18"/>
                <w:szCs w:val="18"/>
              </w:rPr>
              <w:t>Cumulative effect of accounting chang</w:t>
            </w:r>
            <w:r>
              <w:rPr>
                <w:sz w:val="18"/>
                <w:szCs w:val="18"/>
              </w:rPr>
              <w:t>e</w:t>
            </w:r>
          </w:p>
        </w:tc>
        <w:tc>
          <w:tcPr>
            <w:tcW w:w="0" w:type="auto"/>
            <w:vAlign w:val="bottom"/>
            <w:hideMark/>
          </w:tcPr>
          <w:p w14:paraId="2D89364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3F4928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8A6BA4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F45498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023878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E142A8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6B146A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9F04FE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337407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9B006D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10447F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C4AB0D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86F129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82895F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80D717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6C74C3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6C4576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55956A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F5DBE13" w14:textId="77777777" w:rsidR="00000000" w:rsidRDefault="00632532">
            <w:pPr>
              <w:pStyle w:val="a3"/>
              <w:spacing w:before="0" w:beforeAutospacing="0" w:after="0" w:afterAutospacing="0"/>
              <w:jc w:val="right"/>
              <w:rPr>
                <w:sz w:val="20"/>
                <w:szCs w:val="20"/>
              </w:rPr>
            </w:pPr>
            <w:r>
              <w:rPr>
                <w:sz w:val="18"/>
                <w:szCs w:val="18"/>
              </w:rPr>
              <w:t>(</w:t>
            </w:r>
            <w:r>
              <w:rPr>
                <w:sz w:val="18"/>
                <w:szCs w:val="18"/>
              </w:rPr>
              <w:t>88</w:t>
            </w:r>
            <w:r>
              <w:rPr>
                <w:sz w:val="18"/>
                <w:szCs w:val="18"/>
              </w:rPr>
              <w:t>7</w:t>
            </w:r>
          </w:p>
        </w:tc>
        <w:tc>
          <w:tcPr>
            <w:tcW w:w="0" w:type="auto"/>
            <w:noWrap/>
            <w:vAlign w:val="bottom"/>
            <w:hideMark/>
          </w:tcPr>
          <w:p w14:paraId="2A51B958"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C4021A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3582F2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916C8EF" w14:textId="77777777" w:rsidR="00000000" w:rsidRDefault="00632532">
            <w:pPr>
              <w:pStyle w:val="a3"/>
              <w:spacing w:before="0" w:beforeAutospacing="0" w:after="0" w:afterAutospacing="0"/>
              <w:jc w:val="right"/>
              <w:rPr>
                <w:sz w:val="20"/>
                <w:szCs w:val="20"/>
              </w:rPr>
            </w:pPr>
            <w:r>
              <w:rPr>
                <w:sz w:val="18"/>
                <w:szCs w:val="18"/>
              </w:rPr>
              <w:t>(</w:t>
            </w:r>
            <w:r>
              <w:rPr>
                <w:sz w:val="18"/>
                <w:szCs w:val="18"/>
              </w:rPr>
              <w:t>88</w:t>
            </w:r>
            <w:r>
              <w:rPr>
                <w:sz w:val="18"/>
                <w:szCs w:val="18"/>
              </w:rPr>
              <w:t>7</w:t>
            </w:r>
          </w:p>
        </w:tc>
        <w:tc>
          <w:tcPr>
            <w:tcW w:w="0" w:type="auto"/>
            <w:noWrap/>
            <w:vAlign w:val="bottom"/>
            <w:hideMark/>
          </w:tcPr>
          <w:p w14:paraId="0A274EC5"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1059C2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F44740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0245E6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E45724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93EBD4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6EF32F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1830B18" w14:textId="77777777" w:rsidR="00000000" w:rsidRDefault="00632532">
            <w:pPr>
              <w:pStyle w:val="a3"/>
              <w:spacing w:before="0" w:beforeAutospacing="0" w:after="0" w:afterAutospacing="0"/>
              <w:jc w:val="right"/>
              <w:rPr>
                <w:sz w:val="20"/>
                <w:szCs w:val="20"/>
              </w:rPr>
            </w:pPr>
            <w:r>
              <w:rPr>
                <w:sz w:val="18"/>
                <w:szCs w:val="18"/>
              </w:rPr>
              <w:t>(</w:t>
            </w:r>
            <w:r>
              <w:rPr>
                <w:sz w:val="18"/>
                <w:szCs w:val="18"/>
              </w:rPr>
              <w:t>88</w:t>
            </w:r>
            <w:r>
              <w:rPr>
                <w:sz w:val="18"/>
                <w:szCs w:val="18"/>
              </w:rPr>
              <w:t>7</w:t>
            </w:r>
          </w:p>
        </w:tc>
        <w:tc>
          <w:tcPr>
            <w:tcW w:w="0" w:type="auto"/>
            <w:noWrap/>
            <w:vAlign w:val="bottom"/>
            <w:hideMark/>
          </w:tcPr>
          <w:p w14:paraId="3B4D57A2" w14:textId="77777777" w:rsidR="00000000" w:rsidRDefault="00632532">
            <w:pPr>
              <w:pStyle w:val="a3"/>
              <w:spacing w:before="0" w:beforeAutospacing="0" w:after="0" w:afterAutospacing="0"/>
              <w:rPr>
                <w:sz w:val="18"/>
                <w:szCs w:val="18"/>
              </w:rPr>
            </w:pPr>
            <w:r>
              <w:rPr>
                <w:sz w:val="18"/>
                <w:szCs w:val="18"/>
              </w:rPr>
              <w:t>)</w:t>
            </w:r>
          </w:p>
        </w:tc>
      </w:tr>
      <w:tr w:rsidR="00000000" w14:paraId="027BCFD3" w14:textId="77777777">
        <w:trPr>
          <w:trHeight w:val="180"/>
          <w:tblCellSpacing w:w="15" w:type="dxa"/>
        </w:trPr>
        <w:tc>
          <w:tcPr>
            <w:tcW w:w="0" w:type="auto"/>
            <w:vAlign w:val="bottom"/>
            <w:hideMark/>
          </w:tcPr>
          <w:p w14:paraId="0BFF2AFC" w14:textId="77777777" w:rsidR="00000000" w:rsidRDefault="00632532">
            <w:pPr>
              <w:pStyle w:val="a3"/>
              <w:spacing w:before="0" w:beforeAutospacing="0" w:after="0" w:afterAutospacing="0"/>
              <w:rPr>
                <w:sz w:val="18"/>
                <w:szCs w:val="18"/>
              </w:rPr>
            </w:pPr>
            <w:r>
              <w:rPr>
                <w:sz w:val="18"/>
                <w:szCs w:val="18"/>
              </w:rPr>
              <w:t>Cumulative tax effect of accounting chang</w:t>
            </w:r>
            <w:r>
              <w:rPr>
                <w:sz w:val="18"/>
                <w:szCs w:val="18"/>
              </w:rPr>
              <w:t>e</w:t>
            </w:r>
          </w:p>
        </w:tc>
        <w:tc>
          <w:tcPr>
            <w:tcW w:w="0" w:type="auto"/>
            <w:vAlign w:val="bottom"/>
            <w:hideMark/>
          </w:tcPr>
          <w:p w14:paraId="5720C53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F3B77C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76EACC3"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BE699C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8A5E7B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FB8417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AB412C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940234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C96E26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377F09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B56B297"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80E38E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4AAAF6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318751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C5199D3"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18707A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43D368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B61E75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5F47F40" w14:textId="77777777" w:rsidR="00000000" w:rsidRDefault="00632532">
            <w:pPr>
              <w:pStyle w:val="a3"/>
              <w:spacing w:before="0" w:beforeAutospacing="0" w:after="0" w:afterAutospacing="0"/>
              <w:jc w:val="right"/>
              <w:rPr>
                <w:sz w:val="20"/>
                <w:szCs w:val="20"/>
              </w:rPr>
            </w:pPr>
            <w:r>
              <w:rPr>
                <w:sz w:val="18"/>
                <w:szCs w:val="18"/>
              </w:rPr>
              <w:t>23</w:t>
            </w:r>
            <w:r>
              <w:rPr>
                <w:sz w:val="18"/>
                <w:szCs w:val="18"/>
              </w:rPr>
              <w:t>9</w:t>
            </w:r>
          </w:p>
        </w:tc>
        <w:tc>
          <w:tcPr>
            <w:tcW w:w="0" w:type="auto"/>
            <w:noWrap/>
            <w:vAlign w:val="bottom"/>
            <w:hideMark/>
          </w:tcPr>
          <w:p w14:paraId="0FC265C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FC797F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71D2D8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5677ABD" w14:textId="77777777" w:rsidR="00000000" w:rsidRDefault="00632532">
            <w:pPr>
              <w:pStyle w:val="a3"/>
              <w:spacing w:before="0" w:beforeAutospacing="0" w:after="0" w:afterAutospacing="0"/>
              <w:jc w:val="right"/>
              <w:rPr>
                <w:sz w:val="20"/>
                <w:szCs w:val="20"/>
              </w:rPr>
            </w:pPr>
            <w:r>
              <w:rPr>
                <w:sz w:val="18"/>
                <w:szCs w:val="18"/>
              </w:rPr>
              <w:t>23</w:t>
            </w:r>
            <w:r>
              <w:rPr>
                <w:sz w:val="18"/>
                <w:szCs w:val="18"/>
              </w:rPr>
              <w:t>9</w:t>
            </w:r>
          </w:p>
        </w:tc>
        <w:tc>
          <w:tcPr>
            <w:tcW w:w="0" w:type="auto"/>
            <w:noWrap/>
            <w:vAlign w:val="bottom"/>
            <w:hideMark/>
          </w:tcPr>
          <w:p w14:paraId="7DDC8C6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1046E1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2014F0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41F9D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9198FF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4B56DD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F43D36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81211C1" w14:textId="77777777" w:rsidR="00000000" w:rsidRDefault="00632532">
            <w:pPr>
              <w:pStyle w:val="a3"/>
              <w:spacing w:before="0" w:beforeAutospacing="0" w:after="0" w:afterAutospacing="0"/>
              <w:jc w:val="right"/>
              <w:rPr>
                <w:sz w:val="20"/>
                <w:szCs w:val="20"/>
              </w:rPr>
            </w:pPr>
            <w:r>
              <w:rPr>
                <w:sz w:val="18"/>
                <w:szCs w:val="18"/>
              </w:rPr>
              <w:t>23</w:t>
            </w:r>
            <w:r>
              <w:rPr>
                <w:sz w:val="18"/>
                <w:szCs w:val="18"/>
              </w:rPr>
              <w:t>9</w:t>
            </w:r>
          </w:p>
        </w:tc>
        <w:tc>
          <w:tcPr>
            <w:tcW w:w="0" w:type="auto"/>
            <w:noWrap/>
            <w:vAlign w:val="bottom"/>
            <w:hideMark/>
          </w:tcPr>
          <w:p w14:paraId="383FCBD7" w14:textId="77777777" w:rsidR="00000000" w:rsidRDefault="00632532">
            <w:pPr>
              <w:pStyle w:val="a3"/>
              <w:spacing w:before="0" w:beforeAutospacing="0" w:after="0" w:afterAutospacing="0"/>
              <w:rPr>
                <w:sz w:val="18"/>
                <w:szCs w:val="18"/>
              </w:rPr>
            </w:pPr>
            <w:r>
              <w:rPr>
                <w:sz w:val="18"/>
                <w:szCs w:val="18"/>
              </w:rPr>
              <w:t> </w:t>
            </w:r>
          </w:p>
        </w:tc>
      </w:tr>
      <w:tr w:rsidR="00000000" w14:paraId="30E5AFD3" w14:textId="77777777">
        <w:trPr>
          <w:trHeight w:val="180"/>
          <w:tblCellSpacing w:w="15" w:type="dxa"/>
        </w:trPr>
        <w:tc>
          <w:tcPr>
            <w:tcW w:w="0" w:type="auto"/>
            <w:vAlign w:val="bottom"/>
            <w:hideMark/>
          </w:tcPr>
          <w:p w14:paraId="62E08786" w14:textId="77777777" w:rsidR="00000000" w:rsidRDefault="00632532">
            <w:pPr>
              <w:pStyle w:val="a3"/>
              <w:spacing w:before="0" w:beforeAutospacing="0" w:after="0" w:afterAutospacing="0"/>
              <w:rPr>
                <w:sz w:val="18"/>
                <w:szCs w:val="18"/>
              </w:rPr>
            </w:pPr>
            <w:r>
              <w:rPr>
                <w:sz w:val="18"/>
                <w:szCs w:val="18"/>
              </w:rPr>
              <w:t>Net incom</w:t>
            </w:r>
            <w:r>
              <w:rPr>
                <w:sz w:val="18"/>
                <w:szCs w:val="18"/>
              </w:rPr>
              <w:t>e</w:t>
            </w:r>
          </w:p>
        </w:tc>
        <w:tc>
          <w:tcPr>
            <w:tcW w:w="0" w:type="auto"/>
            <w:vAlign w:val="bottom"/>
            <w:hideMark/>
          </w:tcPr>
          <w:p w14:paraId="5ABC108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BD2C44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FC11C07"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E5D2DF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7B8DBA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9D08D9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0D47222"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12B568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6A21F4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497ACA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9C78CC4"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76FE59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AC88A8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A775CB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02CEC7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678611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332146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345F2F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D859F26" w14:textId="77777777" w:rsidR="00000000" w:rsidRDefault="00632532">
            <w:pPr>
              <w:pStyle w:val="a3"/>
              <w:spacing w:before="0" w:beforeAutospacing="0" w:after="0" w:afterAutospacing="0"/>
              <w:jc w:val="right"/>
              <w:rPr>
                <w:sz w:val="20"/>
                <w:szCs w:val="20"/>
              </w:rPr>
            </w:pPr>
            <w:r>
              <w:rPr>
                <w:sz w:val="18"/>
                <w:szCs w:val="18"/>
              </w:rPr>
              <w:t>200,69</w:t>
            </w:r>
            <w:r>
              <w:rPr>
                <w:sz w:val="18"/>
                <w:szCs w:val="18"/>
              </w:rPr>
              <w:t>1</w:t>
            </w:r>
          </w:p>
        </w:tc>
        <w:tc>
          <w:tcPr>
            <w:tcW w:w="0" w:type="auto"/>
            <w:noWrap/>
            <w:vAlign w:val="bottom"/>
            <w:hideMark/>
          </w:tcPr>
          <w:p w14:paraId="0A377D5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DCFB13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3CD8F0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FF5AEEE" w14:textId="77777777" w:rsidR="00000000" w:rsidRDefault="00632532">
            <w:pPr>
              <w:pStyle w:val="a3"/>
              <w:spacing w:before="0" w:beforeAutospacing="0" w:after="0" w:afterAutospacing="0"/>
              <w:jc w:val="right"/>
              <w:rPr>
                <w:sz w:val="20"/>
                <w:szCs w:val="20"/>
              </w:rPr>
            </w:pPr>
            <w:r>
              <w:rPr>
                <w:sz w:val="18"/>
                <w:szCs w:val="18"/>
              </w:rPr>
              <w:t>200,69</w:t>
            </w:r>
            <w:r>
              <w:rPr>
                <w:sz w:val="18"/>
                <w:szCs w:val="18"/>
              </w:rPr>
              <w:t>1</w:t>
            </w:r>
          </w:p>
        </w:tc>
        <w:tc>
          <w:tcPr>
            <w:tcW w:w="0" w:type="auto"/>
            <w:noWrap/>
            <w:vAlign w:val="bottom"/>
            <w:hideMark/>
          </w:tcPr>
          <w:p w14:paraId="7F44A5C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798511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96B564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5DA2F8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E5EDF9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8B51DA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73FF33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B62C433" w14:textId="77777777" w:rsidR="00000000" w:rsidRDefault="00632532">
            <w:pPr>
              <w:pStyle w:val="a3"/>
              <w:spacing w:before="0" w:beforeAutospacing="0" w:after="0" w:afterAutospacing="0"/>
              <w:jc w:val="right"/>
              <w:rPr>
                <w:sz w:val="20"/>
                <w:szCs w:val="20"/>
              </w:rPr>
            </w:pPr>
            <w:r>
              <w:rPr>
                <w:sz w:val="18"/>
                <w:szCs w:val="18"/>
              </w:rPr>
              <w:t>200,69</w:t>
            </w:r>
            <w:r>
              <w:rPr>
                <w:sz w:val="18"/>
                <w:szCs w:val="18"/>
              </w:rPr>
              <w:t>1</w:t>
            </w:r>
          </w:p>
        </w:tc>
        <w:tc>
          <w:tcPr>
            <w:tcW w:w="0" w:type="auto"/>
            <w:noWrap/>
            <w:vAlign w:val="bottom"/>
            <w:hideMark/>
          </w:tcPr>
          <w:p w14:paraId="070DA0FD" w14:textId="77777777" w:rsidR="00000000" w:rsidRDefault="00632532">
            <w:pPr>
              <w:pStyle w:val="a3"/>
              <w:spacing w:before="0" w:beforeAutospacing="0" w:after="0" w:afterAutospacing="0"/>
              <w:rPr>
                <w:sz w:val="18"/>
                <w:szCs w:val="18"/>
              </w:rPr>
            </w:pPr>
            <w:r>
              <w:rPr>
                <w:sz w:val="18"/>
                <w:szCs w:val="18"/>
              </w:rPr>
              <w:t> </w:t>
            </w:r>
          </w:p>
        </w:tc>
      </w:tr>
      <w:tr w:rsidR="00000000" w14:paraId="2C9FC5E8" w14:textId="77777777">
        <w:trPr>
          <w:trHeight w:val="180"/>
          <w:tblCellSpacing w:w="15" w:type="dxa"/>
        </w:trPr>
        <w:tc>
          <w:tcPr>
            <w:tcW w:w="0" w:type="auto"/>
            <w:vAlign w:val="bottom"/>
            <w:hideMark/>
          </w:tcPr>
          <w:p w14:paraId="7697080B" w14:textId="77777777" w:rsidR="00000000" w:rsidRDefault="00632532">
            <w:pPr>
              <w:pStyle w:val="a3"/>
              <w:spacing w:before="0" w:beforeAutospacing="0" w:after="0" w:afterAutospacing="0"/>
              <w:rPr>
                <w:sz w:val="18"/>
                <w:szCs w:val="18"/>
              </w:rPr>
            </w:pPr>
            <w:r>
              <w:rPr>
                <w:b/>
                <w:bCs/>
                <w:sz w:val="18"/>
                <w:szCs w:val="18"/>
              </w:rPr>
              <w:t>Balance at March 31, 202</w:t>
            </w:r>
            <w:r>
              <w:rPr>
                <w:b/>
                <w:bCs/>
                <w:sz w:val="18"/>
                <w:szCs w:val="18"/>
              </w:rPr>
              <w:t>1</w:t>
            </w:r>
          </w:p>
        </w:tc>
        <w:tc>
          <w:tcPr>
            <w:tcW w:w="0" w:type="auto"/>
            <w:vAlign w:val="bottom"/>
            <w:hideMark/>
          </w:tcPr>
          <w:p w14:paraId="1B1C786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E4391D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13E7BBB" w14:textId="77777777" w:rsidR="00000000" w:rsidRDefault="00632532">
            <w:pPr>
              <w:pStyle w:val="a3"/>
              <w:spacing w:before="0" w:beforeAutospacing="0" w:after="0" w:afterAutospacing="0"/>
              <w:jc w:val="right"/>
              <w:rPr>
                <w:sz w:val="20"/>
                <w:szCs w:val="20"/>
              </w:rPr>
            </w:pPr>
            <w:r>
              <w:rPr>
                <w:b/>
                <w:bCs/>
                <w:sz w:val="18"/>
                <w:szCs w:val="18"/>
              </w:rPr>
              <w:t>28,98</w:t>
            </w:r>
            <w:r>
              <w:rPr>
                <w:b/>
                <w:bCs/>
                <w:sz w:val="18"/>
                <w:szCs w:val="18"/>
              </w:rPr>
              <w:t>9</w:t>
            </w:r>
          </w:p>
        </w:tc>
        <w:tc>
          <w:tcPr>
            <w:tcW w:w="0" w:type="auto"/>
            <w:noWrap/>
            <w:vAlign w:val="bottom"/>
            <w:hideMark/>
          </w:tcPr>
          <w:p w14:paraId="051DAF9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EE61B0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CA7E05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F55582C" w14:textId="77777777" w:rsidR="00000000" w:rsidRDefault="00632532">
            <w:pPr>
              <w:pStyle w:val="a3"/>
              <w:spacing w:before="0" w:beforeAutospacing="0" w:after="0" w:afterAutospacing="0"/>
              <w:jc w:val="right"/>
              <w:rPr>
                <w:sz w:val="20"/>
                <w:szCs w:val="20"/>
              </w:rPr>
            </w:pPr>
            <w:r>
              <w:rPr>
                <w:b/>
                <w:bCs/>
                <w:sz w:val="18"/>
                <w:szCs w:val="18"/>
              </w:rPr>
              <w:t>3</w:t>
            </w:r>
          </w:p>
        </w:tc>
        <w:tc>
          <w:tcPr>
            <w:tcW w:w="0" w:type="auto"/>
            <w:noWrap/>
            <w:vAlign w:val="bottom"/>
            <w:hideMark/>
          </w:tcPr>
          <w:p w14:paraId="5824542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4BDDAB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27BE02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5529A1F" w14:textId="77777777" w:rsidR="00000000" w:rsidRDefault="00632532">
            <w:pPr>
              <w:pStyle w:val="a3"/>
              <w:spacing w:before="0" w:beforeAutospacing="0" w:after="0" w:afterAutospacing="0"/>
              <w:jc w:val="right"/>
              <w:rPr>
                <w:sz w:val="20"/>
                <w:szCs w:val="20"/>
              </w:rPr>
            </w:pPr>
            <w:r>
              <w:rPr>
                <w:b/>
                <w:bCs/>
                <w:sz w:val="18"/>
                <w:szCs w:val="18"/>
              </w:rPr>
              <w:t>450,85</w:t>
            </w:r>
            <w:r>
              <w:rPr>
                <w:b/>
                <w:bCs/>
                <w:sz w:val="18"/>
                <w:szCs w:val="18"/>
              </w:rPr>
              <w:t>5</w:t>
            </w:r>
          </w:p>
        </w:tc>
        <w:tc>
          <w:tcPr>
            <w:tcW w:w="0" w:type="auto"/>
            <w:noWrap/>
            <w:vAlign w:val="bottom"/>
            <w:hideMark/>
          </w:tcPr>
          <w:p w14:paraId="2CEF775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9C1706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D01598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7D3BE73" w14:textId="77777777" w:rsidR="00000000" w:rsidRDefault="00632532">
            <w:pPr>
              <w:pStyle w:val="a3"/>
              <w:spacing w:before="0" w:beforeAutospacing="0" w:after="0" w:afterAutospacing="0"/>
              <w:jc w:val="right"/>
              <w:rPr>
                <w:sz w:val="20"/>
                <w:szCs w:val="20"/>
              </w:rPr>
            </w:pPr>
            <w:r>
              <w:rPr>
                <w:b/>
                <w:bCs/>
                <w:sz w:val="18"/>
                <w:szCs w:val="18"/>
              </w:rPr>
              <w:t>(</w:t>
            </w:r>
            <w:r>
              <w:rPr>
                <w:b/>
                <w:bCs/>
                <w:sz w:val="18"/>
                <w:szCs w:val="18"/>
              </w:rPr>
              <w:t>21</w:t>
            </w:r>
            <w:r>
              <w:rPr>
                <w:b/>
                <w:bCs/>
                <w:sz w:val="18"/>
                <w:szCs w:val="18"/>
              </w:rPr>
              <w:t>6</w:t>
            </w:r>
          </w:p>
        </w:tc>
        <w:tc>
          <w:tcPr>
            <w:tcW w:w="0" w:type="auto"/>
            <w:noWrap/>
            <w:vAlign w:val="bottom"/>
            <w:hideMark/>
          </w:tcPr>
          <w:p w14:paraId="613DFCAB"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2213237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3450D1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B13D1F2" w14:textId="77777777" w:rsidR="00000000" w:rsidRDefault="00632532">
            <w:pPr>
              <w:pStyle w:val="a3"/>
              <w:spacing w:before="0" w:beforeAutospacing="0" w:after="0" w:afterAutospacing="0"/>
              <w:jc w:val="right"/>
              <w:rPr>
                <w:sz w:val="20"/>
                <w:szCs w:val="20"/>
              </w:rPr>
            </w:pPr>
            <w:r>
              <w:rPr>
                <w:b/>
                <w:bCs/>
                <w:sz w:val="18"/>
                <w:szCs w:val="18"/>
              </w:rPr>
              <w:t>350,92</w:t>
            </w:r>
            <w:r>
              <w:rPr>
                <w:b/>
                <w:bCs/>
                <w:sz w:val="18"/>
                <w:szCs w:val="18"/>
              </w:rPr>
              <w:t>4</w:t>
            </w:r>
          </w:p>
        </w:tc>
        <w:tc>
          <w:tcPr>
            <w:tcW w:w="0" w:type="auto"/>
            <w:noWrap/>
            <w:vAlign w:val="bottom"/>
            <w:hideMark/>
          </w:tcPr>
          <w:p w14:paraId="6269F94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68D9DE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1F01AE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3443A21" w14:textId="77777777" w:rsidR="00000000" w:rsidRDefault="00632532">
            <w:pPr>
              <w:pStyle w:val="a3"/>
              <w:spacing w:before="0" w:beforeAutospacing="0" w:after="0" w:afterAutospacing="0"/>
              <w:jc w:val="right"/>
              <w:rPr>
                <w:sz w:val="20"/>
                <w:szCs w:val="20"/>
              </w:rPr>
            </w:pPr>
            <w:r>
              <w:rPr>
                <w:b/>
                <w:bCs/>
                <w:sz w:val="18"/>
                <w:szCs w:val="18"/>
              </w:rPr>
              <w:t>801,56</w:t>
            </w:r>
            <w:r>
              <w:rPr>
                <w:b/>
                <w:bCs/>
                <w:sz w:val="18"/>
                <w:szCs w:val="18"/>
              </w:rPr>
              <w:t>6</w:t>
            </w:r>
          </w:p>
        </w:tc>
        <w:tc>
          <w:tcPr>
            <w:tcW w:w="0" w:type="auto"/>
            <w:noWrap/>
            <w:vAlign w:val="bottom"/>
            <w:hideMark/>
          </w:tcPr>
          <w:p w14:paraId="6B76B84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488C07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D4D181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1A2B374"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9CB355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3CA406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1152AD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4199D9A" w14:textId="77777777" w:rsidR="00000000" w:rsidRDefault="00632532">
            <w:pPr>
              <w:pStyle w:val="a3"/>
              <w:spacing w:before="0" w:beforeAutospacing="0" w:after="0" w:afterAutospacing="0"/>
              <w:jc w:val="right"/>
              <w:rPr>
                <w:sz w:val="20"/>
                <w:szCs w:val="20"/>
              </w:rPr>
            </w:pPr>
            <w:r>
              <w:rPr>
                <w:b/>
                <w:bCs/>
                <w:sz w:val="18"/>
                <w:szCs w:val="18"/>
              </w:rPr>
              <w:t>801,56</w:t>
            </w:r>
            <w:r>
              <w:rPr>
                <w:b/>
                <w:bCs/>
                <w:sz w:val="18"/>
                <w:szCs w:val="18"/>
              </w:rPr>
              <w:t>6</w:t>
            </w:r>
          </w:p>
        </w:tc>
        <w:tc>
          <w:tcPr>
            <w:tcW w:w="0" w:type="auto"/>
            <w:noWrap/>
            <w:vAlign w:val="bottom"/>
            <w:hideMark/>
          </w:tcPr>
          <w:p w14:paraId="05BFDD77" w14:textId="77777777" w:rsidR="00000000" w:rsidRDefault="00632532">
            <w:pPr>
              <w:pStyle w:val="a3"/>
              <w:spacing w:before="0" w:beforeAutospacing="0" w:after="0" w:afterAutospacing="0"/>
              <w:rPr>
                <w:sz w:val="18"/>
                <w:szCs w:val="18"/>
              </w:rPr>
            </w:pPr>
            <w:r>
              <w:rPr>
                <w:sz w:val="18"/>
                <w:szCs w:val="18"/>
              </w:rPr>
              <w:t> </w:t>
            </w:r>
          </w:p>
        </w:tc>
      </w:tr>
      <w:tr w:rsidR="00000000" w14:paraId="1C4AC2EA" w14:textId="77777777">
        <w:trPr>
          <w:trHeight w:val="180"/>
          <w:tblCellSpacing w:w="15" w:type="dxa"/>
        </w:trPr>
        <w:tc>
          <w:tcPr>
            <w:tcW w:w="0" w:type="auto"/>
            <w:vAlign w:val="bottom"/>
            <w:hideMark/>
          </w:tcPr>
          <w:p w14:paraId="087822CC" w14:textId="77777777" w:rsidR="00000000" w:rsidRDefault="00632532">
            <w:pPr>
              <w:pStyle w:val="a3"/>
              <w:spacing w:before="0" w:beforeAutospacing="0" w:after="0" w:afterAutospacing="0"/>
              <w:rPr>
                <w:sz w:val="18"/>
                <w:szCs w:val="18"/>
              </w:rPr>
            </w:pPr>
            <w:r>
              <w:rPr>
                <w:sz w:val="18"/>
                <w:szCs w:val="18"/>
              </w:rPr>
              <w:t>Equity-based compensatio</w:t>
            </w:r>
            <w:r>
              <w:rPr>
                <w:sz w:val="18"/>
                <w:szCs w:val="18"/>
              </w:rPr>
              <w:t>n</w:t>
            </w:r>
          </w:p>
        </w:tc>
        <w:tc>
          <w:tcPr>
            <w:tcW w:w="0" w:type="auto"/>
            <w:vAlign w:val="bottom"/>
            <w:hideMark/>
          </w:tcPr>
          <w:p w14:paraId="03DBAF3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DDD643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159D5DA"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E6DDBC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7965AA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E1FC8C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467330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61E0D4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9F0464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1C57B8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01F7F39" w14:textId="77777777" w:rsidR="00000000" w:rsidRDefault="00632532">
            <w:pPr>
              <w:pStyle w:val="a3"/>
              <w:spacing w:before="0" w:beforeAutospacing="0" w:after="0" w:afterAutospacing="0"/>
              <w:jc w:val="right"/>
              <w:rPr>
                <w:sz w:val="20"/>
                <w:szCs w:val="20"/>
              </w:rPr>
            </w:pPr>
            <w:r>
              <w:rPr>
                <w:sz w:val="18"/>
                <w:szCs w:val="18"/>
              </w:rPr>
              <w:t>3,52</w:t>
            </w:r>
            <w:r>
              <w:rPr>
                <w:sz w:val="18"/>
                <w:szCs w:val="18"/>
              </w:rPr>
              <w:t>6</w:t>
            </w:r>
          </w:p>
        </w:tc>
        <w:tc>
          <w:tcPr>
            <w:tcW w:w="0" w:type="auto"/>
            <w:noWrap/>
            <w:vAlign w:val="bottom"/>
            <w:hideMark/>
          </w:tcPr>
          <w:p w14:paraId="2360572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1FC021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BE898B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537DAC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AD101F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F44923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4A9C74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04FE342"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3CE58B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E2DE9C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26F335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F117097" w14:textId="77777777" w:rsidR="00000000" w:rsidRDefault="00632532">
            <w:pPr>
              <w:pStyle w:val="a3"/>
              <w:spacing w:before="0" w:beforeAutospacing="0" w:after="0" w:afterAutospacing="0"/>
              <w:jc w:val="right"/>
              <w:rPr>
                <w:sz w:val="20"/>
                <w:szCs w:val="20"/>
              </w:rPr>
            </w:pPr>
            <w:r>
              <w:rPr>
                <w:sz w:val="18"/>
                <w:szCs w:val="18"/>
              </w:rPr>
              <w:t>3,52</w:t>
            </w:r>
            <w:r>
              <w:rPr>
                <w:sz w:val="18"/>
                <w:szCs w:val="18"/>
              </w:rPr>
              <w:t>6</w:t>
            </w:r>
          </w:p>
        </w:tc>
        <w:tc>
          <w:tcPr>
            <w:tcW w:w="0" w:type="auto"/>
            <w:noWrap/>
            <w:vAlign w:val="bottom"/>
            <w:hideMark/>
          </w:tcPr>
          <w:p w14:paraId="7B191E7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DB3356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F15108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627EFE5"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52B10C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02EEA3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2DD51D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F98C487" w14:textId="77777777" w:rsidR="00000000" w:rsidRDefault="00632532">
            <w:pPr>
              <w:pStyle w:val="a3"/>
              <w:spacing w:before="0" w:beforeAutospacing="0" w:after="0" w:afterAutospacing="0"/>
              <w:jc w:val="right"/>
              <w:rPr>
                <w:sz w:val="20"/>
                <w:szCs w:val="20"/>
              </w:rPr>
            </w:pPr>
            <w:r>
              <w:rPr>
                <w:sz w:val="18"/>
                <w:szCs w:val="18"/>
              </w:rPr>
              <w:t>3,52</w:t>
            </w:r>
            <w:r>
              <w:rPr>
                <w:sz w:val="18"/>
                <w:szCs w:val="18"/>
              </w:rPr>
              <w:t>6</w:t>
            </w:r>
          </w:p>
        </w:tc>
        <w:tc>
          <w:tcPr>
            <w:tcW w:w="0" w:type="auto"/>
            <w:noWrap/>
            <w:vAlign w:val="bottom"/>
            <w:hideMark/>
          </w:tcPr>
          <w:p w14:paraId="72B81D59" w14:textId="77777777" w:rsidR="00000000" w:rsidRDefault="00632532">
            <w:pPr>
              <w:pStyle w:val="a3"/>
              <w:spacing w:before="0" w:beforeAutospacing="0" w:after="0" w:afterAutospacing="0"/>
              <w:rPr>
                <w:sz w:val="18"/>
                <w:szCs w:val="18"/>
              </w:rPr>
            </w:pPr>
            <w:r>
              <w:rPr>
                <w:sz w:val="18"/>
                <w:szCs w:val="18"/>
              </w:rPr>
              <w:t> </w:t>
            </w:r>
          </w:p>
        </w:tc>
      </w:tr>
      <w:tr w:rsidR="00000000" w14:paraId="7BC1D207" w14:textId="77777777">
        <w:trPr>
          <w:trHeight w:val="180"/>
          <w:tblCellSpacing w:w="15" w:type="dxa"/>
        </w:trPr>
        <w:tc>
          <w:tcPr>
            <w:tcW w:w="0" w:type="auto"/>
            <w:vAlign w:val="bottom"/>
            <w:hideMark/>
          </w:tcPr>
          <w:p w14:paraId="7B244DEA" w14:textId="77777777" w:rsidR="00000000" w:rsidRDefault="00632532">
            <w:pPr>
              <w:pStyle w:val="a3"/>
              <w:spacing w:before="0" w:beforeAutospacing="0" w:after="0" w:afterAutospacing="0"/>
              <w:rPr>
                <w:sz w:val="18"/>
                <w:szCs w:val="18"/>
              </w:rPr>
            </w:pPr>
            <w:r>
              <w:rPr>
                <w:sz w:val="18"/>
                <w:szCs w:val="18"/>
              </w:rPr>
              <w:t>Exercise of common stock option</w:t>
            </w:r>
            <w:r>
              <w:rPr>
                <w:sz w:val="18"/>
                <w:szCs w:val="18"/>
              </w:rPr>
              <w:t>s</w:t>
            </w:r>
          </w:p>
        </w:tc>
        <w:tc>
          <w:tcPr>
            <w:tcW w:w="0" w:type="auto"/>
            <w:vAlign w:val="bottom"/>
            <w:hideMark/>
          </w:tcPr>
          <w:p w14:paraId="3ACE121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E985DB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64FDDCC" w14:textId="77777777" w:rsidR="00000000" w:rsidRDefault="00632532">
            <w:pPr>
              <w:pStyle w:val="a3"/>
              <w:spacing w:before="0" w:beforeAutospacing="0" w:after="0" w:afterAutospacing="0"/>
              <w:jc w:val="right"/>
              <w:rPr>
                <w:sz w:val="20"/>
                <w:szCs w:val="20"/>
              </w:rPr>
            </w:pPr>
            <w:r>
              <w:rPr>
                <w:sz w:val="18"/>
                <w:szCs w:val="18"/>
              </w:rPr>
              <w:t>4</w:t>
            </w:r>
          </w:p>
        </w:tc>
        <w:tc>
          <w:tcPr>
            <w:tcW w:w="0" w:type="auto"/>
            <w:noWrap/>
            <w:vAlign w:val="bottom"/>
            <w:hideMark/>
          </w:tcPr>
          <w:p w14:paraId="40FC83F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25EB48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640822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3CEB7B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C6B9AE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722C0E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B4F12B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38EDF09" w14:textId="77777777" w:rsidR="00000000" w:rsidRDefault="00632532">
            <w:pPr>
              <w:pStyle w:val="a3"/>
              <w:spacing w:before="0" w:beforeAutospacing="0" w:after="0" w:afterAutospacing="0"/>
              <w:jc w:val="right"/>
              <w:rPr>
                <w:sz w:val="20"/>
                <w:szCs w:val="20"/>
              </w:rPr>
            </w:pPr>
            <w:r>
              <w:rPr>
                <w:sz w:val="18"/>
                <w:szCs w:val="18"/>
              </w:rPr>
              <w:t>2</w:t>
            </w:r>
            <w:r>
              <w:rPr>
                <w:sz w:val="18"/>
                <w:szCs w:val="18"/>
              </w:rPr>
              <w:t>4</w:t>
            </w:r>
          </w:p>
        </w:tc>
        <w:tc>
          <w:tcPr>
            <w:tcW w:w="0" w:type="auto"/>
            <w:noWrap/>
            <w:vAlign w:val="bottom"/>
            <w:hideMark/>
          </w:tcPr>
          <w:p w14:paraId="2B0F383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1EC1E3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A5049C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52BEFD3"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19C64E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D7669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D8811B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81D59C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90AD4A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F8CF9F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E5D3BE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9D03DAC" w14:textId="77777777" w:rsidR="00000000" w:rsidRDefault="00632532">
            <w:pPr>
              <w:pStyle w:val="a3"/>
              <w:spacing w:before="0" w:beforeAutospacing="0" w:after="0" w:afterAutospacing="0"/>
              <w:jc w:val="right"/>
              <w:rPr>
                <w:sz w:val="20"/>
                <w:szCs w:val="20"/>
              </w:rPr>
            </w:pPr>
            <w:r>
              <w:rPr>
                <w:sz w:val="18"/>
                <w:szCs w:val="18"/>
              </w:rPr>
              <w:t>2</w:t>
            </w:r>
            <w:r>
              <w:rPr>
                <w:sz w:val="18"/>
                <w:szCs w:val="18"/>
              </w:rPr>
              <w:t>4</w:t>
            </w:r>
          </w:p>
        </w:tc>
        <w:tc>
          <w:tcPr>
            <w:tcW w:w="0" w:type="auto"/>
            <w:noWrap/>
            <w:vAlign w:val="bottom"/>
            <w:hideMark/>
          </w:tcPr>
          <w:p w14:paraId="24DADC3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B3EA63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D7C227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E43F56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029F15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41B912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09C987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2925E35" w14:textId="77777777" w:rsidR="00000000" w:rsidRDefault="00632532">
            <w:pPr>
              <w:pStyle w:val="a3"/>
              <w:spacing w:before="0" w:beforeAutospacing="0" w:after="0" w:afterAutospacing="0"/>
              <w:jc w:val="right"/>
              <w:rPr>
                <w:sz w:val="20"/>
                <w:szCs w:val="20"/>
              </w:rPr>
            </w:pPr>
            <w:r>
              <w:rPr>
                <w:sz w:val="18"/>
                <w:szCs w:val="18"/>
              </w:rPr>
              <w:t>2</w:t>
            </w:r>
            <w:r>
              <w:rPr>
                <w:sz w:val="18"/>
                <w:szCs w:val="18"/>
              </w:rPr>
              <w:t>4</w:t>
            </w:r>
          </w:p>
        </w:tc>
        <w:tc>
          <w:tcPr>
            <w:tcW w:w="0" w:type="auto"/>
            <w:noWrap/>
            <w:vAlign w:val="bottom"/>
            <w:hideMark/>
          </w:tcPr>
          <w:p w14:paraId="0434E1A9" w14:textId="77777777" w:rsidR="00000000" w:rsidRDefault="00632532">
            <w:pPr>
              <w:pStyle w:val="a3"/>
              <w:spacing w:before="0" w:beforeAutospacing="0" w:after="0" w:afterAutospacing="0"/>
              <w:rPr>
                <w:sz w:val="18"/>
                <w:szCs w:val="18"/>
              </w:rPr>
            </w:pPr>
            <w:r>
              <w:rPr>
                <w:sz w:val="18"/>
                <w:szCs w:val="18"/>
              </w:rPr>
              <w:t> </w:t>
            </w:r>
          </w:p>
        </w:tc>
      </w:tr>
      <w:tr w:rsidR="00000000" w14:paraId="48DC1CF3" w14:textId="77777777">
        <w:trPr>
          <w:trHeight w:val="180"/>
          <w:tblCellSpacing w:w="15" w:type="dxa"/>
        </w:trPr>
        <w:tc>
          <w:tcPr>
            <w:tcW w:w="0" w:type="auto"/>
            <w:vAlign w:val="bottom"/>
            <w:hideMark/>
          </w:tcPr>
          <w:p w14:paraId="55A35B3D" w14:textId="77777777" w:rsidR="00000000" w:rsidRDefault="00632532">
            <w:pPr>
              <w:pStyle w:val="a3"/>
              <w:spacing w:before="0" w:beforeAutospacing="0" w:after="0" w:afterAutospacing="0"/>
              <w:rPr>
                <w:sz w:val="18"/>
                <w:szCs w:val="18"/>
              </w:rPr>
            </w:pPr>
            <w:r>
              <w:rPr>
                <w:sz w:val="18"/>
                <w:szCs w:val="18"/>
              </w:rPr>
              <w:t>Restricted stock award</w:t>
            </w:r>
            <w:r>
              <w:rPr>
                <w:sz w:val="18"/>
                <w:szCs w:val="18"/>
              </w:rPr>
              <w:t>s</w:t>
            </w:r>
          </w:p>
        </w:tc>
        <w:tc>
          <w:tcPr>
            <w:tcW w:w="0" w:type="auto"/>
            <w:vAlign w:val="bottom"/>
            <w:hideMark/>
          </w:tcPr>
          <w:p w14:paraId="76F0275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6235D2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5B95B89" w14:textId="77777777" w:rsidR="00000000" w:rsidRDefault="00632532">
            <w:pPr>
              <w:pStyle w:val="a3"/>
              <w:spacing w:before="0" w:beforeAutospacing="0" w:after="0" w:afterAutospacing="0"/>
              <w:jc w:val="right"/>
              <w:rPr>
                <w:sz w:val="20"/>
                <w:szCs w:val="20"/>
              </w:rPr>
            </w:pPr>
            <w:r>
              <w:rPr>
                <w:sz w:val="18"/>
                <w:szCs w:val="18"/>
              </w:rPr>
              <w:t>14</w:t>
            </w:r>
            <w:r>
              <w:rPr>
                <w:sz w:val="18"/>
                <w:szCs w:val="18"/>
              </w:rPr>
              <w:t>3</w:t>
            </w:r>
          </w:p>
        </w:tc>
        <w:tc>
          <w:tcPr>
            <w:tcW w:w="0" w:type="auto"/>
            <w:noWrap/>
            <w:vAlign w:val="bottom"/>
            <w:hideMark/>
          </w:tcPr>
          <w:p w14:paraId="72F983C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941C13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A9F078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1F0424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92C344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FDF4DE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4BB9DC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CA00055"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139831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666C46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F895BF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39AD812"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65FF83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AC323D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B4397C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B2158A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9529F1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1AEE7F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E05ACB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ABF0AD2"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E0EF25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E736AC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CD3AA6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F3D4360"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C4EB3C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253EDE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8D98BB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CD176B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2AC45420" w14:textId="77777777" w:rsidR="00000000" w:rsidRDefault="00632532">
            <w:pPr>
              <w:pStyle w:val="a3"/>
              <w:spacing w:before="0" w:beforeAutospacing="0" w:after="0" w:afterAutospacing="0"/>
              <w:rPr>
                <w:sz w:val="18"/>
                <w:szCs w:val="18"/>
              </w:rPr>
            </w:pPr>
            <w:r>
              <w:rPr>
                <w:sz w:val="18"/>
                <w:szCs w:val="18"/>
              </w:rPr>
              <w:t> </w:t>
            </w:r>
          </w:p>
        </w:tc>
      </w:tr>
      <w:tr w:rsidR="00000000" w14:paraId="65EA8AD1" w14:textId="77777777">
        <w:trPr>
          <w:trHeight w:val="180"/>
          <w:tblCellSpacing w:w="15" w:type="dxa"/>
        </w:trPr>
        <w:tc>
          <w:tcPr>
            <w:tcW w:w="0" w:type="auto"/>
            <w:vAlign w:val="bottom"/>
            <w:hideMark/>
          </w:tcPr>
          <w:p w14:paraId="3F4F8180" w14:textId="77777777" w:rsidR="00000000" w:rsidRDefault="00632532">
            <w:pPr>
              <w:pStyle w:val="a3"/>
              <w:spacing w:before="0" w:beforeAutospacing="0" w:after="0" w:afterAutospacing="0"/>
              <w:rPr>
                <w:sz w:val="18"/>
                <w:szCs w:val="18"/>
              </w:rPr>
            </w:pPr>
            <w:r>
              <w:rPr>
                <w:sz w:val="18"/>
                <w:szCs w:val="18"/>
              </w:rPr>
              <w:t>Common stock withholding for employee tax obligation</w:t>
            </w:r>
            <w:r>
              <w:rPr>
                <w:sz w:val="18"/>
                <w:szCs w:val="18"/>
              </w:rPr>
              <w:t>s</w:t>
            </w:r>
          </w:p>
        </w:tc>
        <w:tc>
          <w:tcPr>
            <w:tcW w:w="0" w:type="auto"/>
            <w:vAlign w:val="bottom"/>
            <w:hideMark/>
          </w:tcPr>
          <w:p w14:paraId="6827E29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D2BB11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0348B3A" w14:textId="77777777" w:rsidR="00000000" w:rsidRDefault="00632532">
            <w:pPr>
              <w:pStyle w:val="a3"/>
              <w:spacing w:before="0" w:beforeAutospacing="0" w:after="0" w:afterAutospacing="0"/>
              <w:jc w:val="right"/>
              <w:rPr>
                <w:sz w:val="20"/>
                <w:szCs w:val="20"/>
              </w:rPr>
            </w:pPr>
            <w:r>
              <w:rPr>
                <w:sz w:val="18"/>
                <w:szCs w:val="18"/>
              </w:rPr>
              <w:t>(</w:t>
            </w:r>
            <w:r>
              <w:rPr>
                <w:sz w:val="18"/>
                <w:szCs w:val="18"/>
              </w:rPr>
              <w:t>1</w:t>
            </w:r>
          </w:p>
        </w:tc>
        <w:tc>
          <w:tcPr>
            <w:tcW w:w="0" w:type="auto"/>
            <w:noWrap/>
            <w:vAlign w:val="bottom"/>
            <w:hideMark/>
          </w:tcPr>
          <w:p w14:paraId="2ACE16CC"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3F4D6B2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8145EE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088C1EA"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984289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E1608F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E63AD8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105B352" w14:textId="77777777" w:rsidR="00000000" w:rsidRDefault="00632532">
            <w:pPr>
              <w:pStyle w:val="a3"/>
              <w:spacing w:before="0" w:beforeAutospacing="0" w:after="0" w:afterAutospacing="0"/>
              <w:jc w:val="right"/>
              <w:rPr>
                <w:sz w:val="20"/>
                <w:szCs w:val="20"/>
              </w:rPr>
            </w:pPr>
            <w:r>
              <w:rPr>
                <w:sz w:val="18"/>
                <w:szCs w:val="18"/>
              </w:rPr>
              <w:t>(</w:t>
            </w:r>
            <w:r>
              <w:rPr>
                <w:sz w:val="18"/>
                <w:szCs w:val="18"/>
              </w:rPr>
              <w:t>3</w:t>
            </w:r>
            <w:r>
              <w:rPr>
                <w:sz w:val="18"/>
                <w:szCs w:val="18"/>
              </w:rPr>
              <w:t>9</w:t>
            </w:r>
          </w:p>
        </w:tc>
        <w:tc>
          <w:tcPr>
            <w:tcW w:w="0" w:type="auto"/>
            <w:noWrap/>
            <w:vAlign w:val="bottom"/>
            <w:hideMark/>
          </w:tcPr>
          <w:p w14:paraId="72BD13FF"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5AB51B3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0E1F74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7D93B83"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3CCD1D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39B7A0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EA6271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36FD5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3A0E35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E3E756B"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D2B6A8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5A2A306" w14:textId="77777777" w:rsidR="00000000" w:rsidRDefault="00632532">
            <w:pPr>
              <w:pStyle w:val="a3"/>
              <w:spacing w:before="0" w:beforeAutospacing="0" w:after="0" w:afterAutospacing="0"/>
              <w:jc w:val="right"/>
              <w:rPr>
                <w:sz w:val="20"/>
                <w:szCs w:val="20"/>
              </w:rPr>
            </w:pPr>
            <w:r>
              <w:rPr>
                <w:sz w:val="18"/>
                <w:szCs w:val="18"/>
              </w:rPr>
              <w:t>(</w:t>
            </w:r>
            <w:r>
              <w:rPr>
                <w:sz w:val="18"/>
                <w:szCs w:val="18"/>
              </w:rPr>
              <w:t>3</w:t>
            </w:r>
            <w:r>
              <w:rPr>
                <w:sz w:val="18"/>
                <w:szCs w:val="18"/>
              </w:rPr>
              <w:t>9</w:t>
            </w:r>
          </w:p>
        </w:tc>
        <w:tc>
          <w:tcPr>
            <w:tcW w:w="0" w:type="auto"/>
            <w:noWrap/>
            <w:vAlign w:val="bottom"/>
            <w:hideMark/>
          </w:tcPr>
          <w:p w14:paraId="6B54D8D2"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310EE09C"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2CB7EF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3D194DA"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A485CF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5234D9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66570B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CA2709A" w14:textId="77777777" w:rsidR="00000000" w:rsidRDefault="00632532">
            <w:pPr>
              <w:pStyle w:val="a3"/>
              <w:spacing w:before="0" w:beforeAutospacing="0" w:after="0" w:afterAutospacing="0"/>
              <w:jc w:val="right"/>
              <w:rPr>
                <w:sz w:val="20"/>
                <w:szCs w:val="20"/>
              </w:rPr>
            </w:pPr>
            <w:r>
              <w:rPr>
                <w:sz w:val="18"/>
                <w:szCs w:val="18"/>
              </w:rPr>
              <w:t>(</w:t>
            </w:r>
            <w:r>
              <w:rPr>
                <w:sz w:val="18"/>
                <w:szCs w:val="18"/>
              </w:rPr>
              <w:t>3</w:t>
            </w:r>
            <w:r>
              <w:rPr>
                <w:sz w:val="18"/>
                <w:szCs w:val="18"/>
              </w:rPr>
              <w:t>9</w:t>
            </w:r>
          </w:p>
        </w:tc>
        <w:tc>
          <w:tcPr>
            <w:tcW w:w="0" w:type="auto"/>
            <w:noWrap/>
            <w:vAlign w:val="bottom"/>
            <w:hideMark/>
          </w:tcPr>
          <w:p w14:paraId="3EC6A667" w14:textId="77777777" w:rsidR="00000000" w:rsidRDefault="00632532">
            <w:pPr>
              <w:pStyle w:val="a3"/>
              <w:spacing w:before="0" w:beforeAutospacing="0" w:after="0" w:afterAutospacing="0"/>
              <w:rPr>
                <w:sz w:val="18"/>
                <w:szCs w:val="18"/>
              </w:rPr>
            </w:pPr>
            <w:r>
              <w:rPr>
                <w:sz w:val="18"/>
                <w:szCs w:val="18"/>
              </w:rPr>
              <w:t>)</w:t>
            </w:r>
          </w:p>
        </w:tc>
      </w:tr>
      <w:tr w:rsidR="00000000" w14:paraId="054ED475" w14:textId="77777777">
        <w:trPr>
          <w:trHeight w:val="180"/>
          <w:tblCellSpacing w:w="15" w:type="dxa"/>
        </w:trPr>
        <w:tc>
          <w:tcPr>
            <w:tcW w:w="0" w:type="auto"/>
            <w:vAlign w:val="bottom"/>
            <w:hideMark/>
          </w:tcPr>
          <w:p w14:paraId="71DC661D" w14:textId="77777777" w:rsidR="00000000" w:rsidRDefault="00632532">
            <w:pPr>
              <w:pStyle w:val="a3"/>
              <w:spacing w:before="0" w:beforeAutospacing="0" w:after="0" w:afterAutospacing="0"/>
              <w:rPr>
                <w:sz w:val="20"/>
                <w:szCs w:val="20"/>
              </w:rPr>
            </w:pPr>
            <w:r>
              <w:rPr>
                <w:sz w:val="18"/>
                <w:szCs w:val="18"/>
              </w:rPr>
              <w:t xml:space="preserve">Issuance of common stock at an average of </w:t>
            </w:r>
            <w:r>
              <w:rPr>
                <w:sz w:val="18"/>
                <w:szCs w:val="18"/>
              </w:rPr>
              <w:t>$</w:t>
            </w:r>
            <w:r>
              <w:rPr>
                <w:sz w:val="18"/>
                <w:szCs w:val="18"/>
              </w:rPr>
              <w:t>73.7</w:t>
            </w:r>
            <w:r>
              <w:rPr>
                <w:sz w:val="18"/>
                <w:szCs w:val="18"/>
              </w:rPr>
              <w:t>5</w:t>
            </w:r>
            <w:r>
              <w:rPr>
                <w:sz w:val="18"/>
                <w:szCs w:val="18"/>
              </w:rPr>
              <w:t> per share, ne</w:t>
            </w:r>
            <w:r>
              <w:rPr>
                <w:sz w:val="18"/>
                <w:szCs w:val="18"/>
              </w:rPr>
              <w:t>t</w:t>
            </w:r>
          </w:p>
        </w:tc>
        <w:tc>
          <w:tcPr>
            <w:tcW w:w="0" w:type="auto"/>
            <w:vAlign w:val="bottom"/>
            <w:hideMark/>
          </w:tcPr>
          <w:p w14:paraId="2F465FD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9D7BE4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4AC9233" w14:textId="77777777" w:rsidR="00000000" w:rsidRDefault="00632532">
            <w:pPr>
              <w:pStyle w:val="a3"/>
              <w:spacing w:before="0" w:beforeAutospacing="0" w:after="0" w:afterAutospacing="0"/>
              <w:jc w:val="right"/>
              <w:rPr>
                <w:sz w:val="20"/>
                <w:szCs w:val="20"/>
              </w:rPr>
            </w:pPr>
            <w:r>
              <w:rPr>
                <w:sz w:val="18"/>
                <w:szCs w:val="18"/>
              </w:rPr>
              <w:t>37</w:t>
            </w:r>
            <w:r>
              <w:rPr>
                <w:sz w:val="18"/>
                <w:szCs w:val="18"/>
              </w:rPr>
              <w:t>8</w:t>
            </w:r>
          </w:p>
        </w:tc>
        <w:tc>
          <w:tcPr>
            <w:tcW w:w="0" w:type="auto"/>
            <w:noWrap/>
            <w:vAlign w:val="bottom"/>
            <w:hideMark/>
          </w:tcPr>
          <w:p w14:paraId="0B717C8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BC3244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852A9F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64ED567"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95D892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462F0D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2BD210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CA8A544" w14:textId="77777777" w:rsidR="00000000" w:rsidRDefault="00632532">
            <w:pPr>
              <w:pStyle w:val="a3"/>
              <w:spacing w:before="0" w:beforeAutospacing="0" w:after="0" w:afterAutospacing="0"/>
              <w:jc w:val="right"/>
              <w:rPr>
                <w:sz w:val="20"/>
                <w:szCs w:val="20"/>
              </w:rPr>
            </w:pPr>
            <w:r>
              <w:rPr>
                <w:sz w:val="18"/>
                <w:szCs w:val="18"/>
              </w:rPr>
              <w:t>27,88</w:t>
            </w:r>
            <w:r>
              <w:rPr>
                <w:sz w:val="18"/>
                <w:szCs w:val="18"/>
              </w:rPr>
              <w:t>9</w:t>
            </w:r>
          </w:p>
        </w:tc>
        <w:tc>
          <w:tcPr>
            <w:tcW w:w="0" w:type="auto"/>
            <w:noWrap/>
            <w:vAlign w:val="bottom"/>
            <w:hideMark/>
          </w:tcPr>
          <w:p w14:paraId="2CD9037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C67877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AC4846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018F2CE"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827C54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8C89CD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335F91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8A0B88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8D4B59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348314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398856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D42BB3A" w14:textId="77777777" w:rsidR="00000000" w:rsidRDefault="00632532">
            <w:pPr>
              <w:pStyle w:val="a3"/>
              <w:spacing w:before="0" w:beforeAutospacing="0" w:after="0" w:afterAutospacing="0"/>
              <w:jc w:val="right"/>
              <w:rPr>
                <w:sz w:val="20"/>
                <w:szCs w:val="20"/>
              </w:rPr>
            </w:pPr>
            <w:r>
              <w:rPr>
                <w:sz w:val="18"/>
                <w:szCs w:val="18"/>
              </w:rPr>
              <w:t>27,88</w:t>
            </w:r>
            <w:r>
              <w:rPr>
                <w:sz w:val="18"/>
                <w:szCs w:val="18"/>
              </w:rPr>
              <w:t>9</w:t>
            </w:r>
          </w:p>
        </w:tc>
        <w:tc>
          <w:tcPr>
            <w:tcW w:w="0" w:type="auto"/>
            <w:noWrap/>
            <w:vAlign w:val="bottom"/>
            <w:hideMark/>
          </w:tcPr>
          <w:p w14:paraId="44156ED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549447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6D411F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0C34724"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E8D125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5043FA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F0A090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F0885CA" w14:textId="77777777" w:rsidR="00000000" w:rsidRDefault="00632532">
            <w:pPr>
              <w:pStyle w:val="a3"/>
              <w:spacing w:before="0" w:beforeAutospacing="0" w:after="0" w:afterAutospacing="0"/>
              <w:jc w:val="right"/>
              <w:rPr>
                <w:sz w:val="20"/>
                <w:szCs w:val="20"/>
              </w:rPr>
            </w:pPr>
            <w:r>
              <w:rPr>
                <w:sz w:val="18"/>
                <w:szCs w:val="18"/>
              </w:rPr>
              <w:t>27,88</w:t>
            </w:r>
            <w:r>
              <w:rPr>
                <w:sz w:val="18"/>
                <w:szCs w:val="18"/>
              </w:rPr>
              <w:t>9</w:t>
            </w:r>
          </w:p>
        </w:tc>
        <w:tc>
          <w:tcPr>
            <w:tcW w:w="0" w:type="auto"/>
            <w:noWrap/>
            <w:vAlign w:val="bottom"/>
            <w:hideMark/>
          </w:tcPr>
          <w:p w14:paraId="65017E15" w14:textId="77777777" w:rsidR="00000000" w:rsidRDefault="00632532">
            <w:pPr>
              <w:pStyle w:val="a3"/>
              <w:spacing w:before="0" w:beforeAutospacing="0" w:after="0" w:afterAutospacing="0"/>
              <w:rPr>
                <w:sz w:val="18"/>
                <w:szCs w:val="18"/>
              </w:rPr>
            </w:pPr>
            <w:r>
              <w:rPr>
                <w:sz w:val="18"/>
                <w:szCs w:val="18"/>
              </w:rPr>
              <w:t> </w:t>
            </w:r>
          </w:p>
        </w:tc>
      </w:tr>
      <w:tr w:rsidR="00000000" w14:paraId="0993CA65" w14:textId="77777777">
        <w:trPr>
          <w:trHeight w:val="180"/>
          <w:tblCellSpacing w:w="15" w:type="dxa"/>
        </w:trPr>
        <w:tc>
          <w:tcPr>
            <w:tcW w:w="0" w:type="auto"/>
            <w:vAlign w:val="bottom"/>
            <w:hideMark/>
          </w:tcPr>
          <w:p w14:paraId="3C394467" w14:textId="77777777" w:rsidR="00000000" w:rsidRDefault="00632532">
            <w:pPr>
              <w:pStyle w:val="a3"/>
              <w:spacing w:before="0" w:beforeAutospacing="0" w:after="0" w:afterAutospacing="0"/>
              <w:rPr>
                <w:sz w:val="18"/>
                <w:szCs w:val="18"/>
              </w:rPr>
            </w:pPr>
            <w:r>
              <w:rPr>
                <w:sz w:val="18"/>
                <w:szCs w:val="18"/>
              </w:rPr>
              <w:t>Noncontrolling interest assumed related to acquisition</w:t>
            </w:r>
            <w:r>
              <w:rPr>
                <w:sz w:val="18"/>
                <w:szCs w:val="18"/>
              </w:rPr>
              <w:t>s</w:t>
            </w:r>
          </w:p>
        </w:tc>
        <w:tc>
          <w:tcPr>
            <w:tcW w:w="0" w:type="auto"/>
            <w:vAlign w:val="bottom"/>
            <w:hideMark/>
          </w:tcPr>
          <w:p w14:paraId="7C01EA3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0837F7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FBF0F7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FC12A7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086CFC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EDECAA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410768D"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6A0E6E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5C7D48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1E32503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B3BEE6E"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536980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A73028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934176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E71E27E"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20AD81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5109570"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841D48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083665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BFAA20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927A34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0AF39C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D47509E"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3EC9D6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75E864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0531FA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FF2F250" w14:textId="77777777" w:rsidR="00000000" w:rsidRDefault="00632532">
            <w:pPr>
              <w:pStyle w:val="a3"/>
              <w:spacing w:before="0" w:beforeAutospacing="0" w:after="0" w:afterAutospacing="0"/>
              <w:jc w:val="right"/>
              <w:rPr>
                <w:sz w:val="20"/>
                <w:szCs w:val="20"/>
              </w:rPr>
            </w:pPr>
            <w:r>
              <w:rPr>
                <w:sz w:val="18"/>
                <w:szCs w:val="18"/>
              </w:rPr>
              <w:t>8,15</w:t>
            </w:r>
            <w:r>
              <w:rPr>
                <w:sz w:val="18"/>
                <w:szCs w:val="18"/>
              </w:rPr>
              <w:t>1</w:t>
            </w:r>
          </w:p>
        </w:tc>
        <w:tc>
          <w:tcPr>
            <w:tcW w:w="0" w:type="auto"/>
            <w:noWrap/>
            <w:vAlign w:val="bottom"/>
            <w:hideMark/>
          </w:tcPr>
          <w:p w14:paraId="46469EF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E4D0A2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C8C2CC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89E8C41" w14:textId="77777777" w:rsidR="00000000" w:rsidRDefault="00632532">
            <w:pPr>
              <w:pStyle w:val="a3"/>
              <w:spacing w:before="0" w:beforeAutospacing="0" w:after="0" w:afterAutospacing="0"/>
              <w:jc w:val="right"/>
              <w:rPr>
                <w:sz w:val="20"/>
                <w:szCs w:val="20"/>
              </w:rPr>
            </w:pPr>
            <w:r>
              <w:rPr>
                <w:sz w:val="18"/>
                <w:szCs w:val="18"/>
              </w:rPr>
              <w:t>8,15</w:t>
            </w:r>
            <w:r>
              <w:rPr>
                <w:sz w:val="18"/>
                <w:szCs w:val="18"/>
              </w:rPr>
              <w:t>1</w:t>
            </w:r>
          </w:p>
        </w:tc>
        <w:tc>
          <w:tcPr>
            <w:tcW w:w="0" w:type="auto"/>
            <w:noWrap/>
            <w:vAlign w:val="bottom"/>
            <w:hideMark/>
          </w:tcPr>
          <w:p w14:paraId="7577A221" w14:textId="77777777" w:rsidR="00000000" w:rsidRDefault="00632532">
            <w:pPr>
              <w:pStyle w:val="a3"/>
              <w:spacing w:before="0" w:beforeAutospacing="0" w:after="0" w:afterAutospacing="0"/>
              <w:rPr>
                <w:sz w:val="18"/>
                <w:szCs w:val="18"/>
              </w:rPr>
            </w:pPr>
            <w:r>
              <w:rPr>
                <w:sz w:val="18"/>
                <w:szCs w:val="18"/>
              </w:rPr>
              <w:t> </w:t>
            </w:r>
          </w:p>
        </w:tc>
      </w:tr>
      <w:tr w:rsidR="00000000" w14:paraId="084E494B" w14:textId="77777777">
        <w:trPr>
          <w:trHeight w:val="180"/>
          <w:tblCellSpacing w:w="15" w:type="dxa"/>
        </w:trPr>
        <w:tc>
          <w:tcPr>
            <w:tcW w:w="0" w:type="auto"/>
            <w:vAlign w:val="bottom"/>
            <w:hideMark/>
          </w:tcPr>
          <w:p w14:paraId="05C848A8" w14:textId="77777777" w:rsidR="00000000" w:rsidRDefault="00632532">
            <w:pPr>
              <w:pStyle w:val="a3"/>
              <w:spacing w:before="0" w:beforeAutospacing="0" w:after="0" w:afterAutospacing="0"/>
              <w:rPr>
                <w:sz w:val="18"/>
                <w:szCs w:val="18"/>
              </w:rPr>
            </w:pPr>
            <w:r>
              <w:rPr>
                <w:sz w:val="18"/>
                <w:szCs w:val="18"/>
              </w:rPr>
              <w:t>Other comprehensive gain (loss</w:t>
            </w:r>
            <w:r>
              <w:rPr>
                <w:sz w:val="18"/>
                <w:szCs w:val="18"/>
              </w:rPr>
              <w:t>)</w:t>
            </w:r>
          </w:p>
        </w:tc>
        <w:tc>
          <w:tcPr>
            <w:tcW w:w="0" w:type="auto"/>
            <w:vAlign w:val="bottom"/>
            <w:hideMark/>
          </w:tcPr>
          <w:p w14:paraId="6F97FED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518659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3FDD921"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C7F6BD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F59721E"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57BE6A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D4B808A"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48EDDA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7D9963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163F03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203C8C5"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63A166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D79D897"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676DFD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97508EE" w14:textId="77777777" w:rsidR="00000000" w:rsidRDefault="00632532">
            <w:pPr>
              <w:pStyle w:val="a3"/>
              <w:spacing w:before="0" w:beforeAutospacing="0" w:after="0" w:afterAutospacing="0"/>
              <w:jc w:val="right"/>
              <w:rPr>
                <w:sz w:val="20"/>
                <w:szCs w:val="20"/>
              </w:rPr>
            </w:pPr>
            <w:r>
              <w:rPr>
                <w:sz w:val="18"/>
                <w:szCs w:val="18"/>
              </w:rPr>
              <w:t>(</w:t>
            </w:r>
            <w:r>
              <w:rPr>
                <w:sz w:val="18"/>
                <w:szCs w:val="18"/>
              </w:rPr>
              <w:t>4</w:t>
            </w:r>
            <w:r>
              <w:rPr>
                <w:sz w:val="18"/>
                <w:szCs w:val="18"/>
              </w:rPr>
              <w:t>9</w:t>
            </w:r>
          </w:p>
        </w:tc>
        <w:tc>
          <w:tcPr>
            <w:tcW w:w="0" w:type="auto"/>
            <w:noWrap/>
            <w:vAlign w:val="bottom"/>
            <w:hideMark/>
          </w:tcPr>
          <w:p w14:paraId="69E4482F"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75B215FA" w14:textId="77777777" w:rsidR="00000000" w:rsidRDefault="00632532">
            <w:pPr>
              <w:pStyle w:val="a3"/>
              <w:spacing w:before="0" w:beforeAutospacing="0" w:after="0" w:afterAutospacing="0"/>
              <w:rPr>
                <w:sz w:val="18"/>
                <w:szCs w:val="18"/>
              </w:rPr>
            </w:pPr>
            <w:r>
              <w:rPr>
                <w:sz w:val="18"/>
                <w:szCs w:val="18"/>
              </w:rPr>
              <w:t> </w:t>
            </w:r>
          </w:p>
        </w:tc>
        <w:tc>
          <w:tcPr>
            <w:tcW w:w="0" w:type="auto"/>
            <w:gridSpan w:val="2"/>
            <w:vAlign w:val="bottom"/>
            <w:hideMark/>
          </w:tcPr>
          <w:p w14:paraId="4C020F0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6077F7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8B11493"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C6F354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15BB186" w14:textId="77777777" w:rsidR="00000000" w:rsidRDefault="00632532">
            <w:pPr>
              <w:pStyle w:val="a3"/>
              <w:spacing w:before="0" w:beforeAutospacing="0" w:after="0" w:afterAutospacing="0"/>
              <w:jc w:val="right"/>
              <w:rPr>
                <w:sz w:val="20"/>
                <w:szCs w:val="20"/>
              </w:rPr>
            </w:pPr>
            <w:r>
              <w:rPr>
                <w:sz w:val="18"/>
                <w:szCs w:val="18"/>
              </w:rPr>
              <w:t>(</w:t>
            </w:r>
            <w:r>
              <w:rPr>
                <w:sz w:val="18"/>
                <w:szCs w:val="18"/>
              </w:rPr>
              <w:t>4</w:t>
            </w:r>
            <w:r>
              <w:rPr>
                <w:sz w:val="18"/>
                <w:szCs w:val="18"/>
              </w:rPr>
              <w:t>9</w:t>
            </w:r>
          </w:p>
        </w:tc>
        <w:tc>
          <w:tcPr>
            <w:tcW w:w="0" w:type="auto"/>
            <w:noWrap/>
            <w:vAlign w:val="bottom"/>
            <w:hideMark/>
          </w:tcPr>
          <w:p w14:paraId="35B61528"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556713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041BCC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4F2B197" w14:textId="77777777" w:rsidR="00000000" w:rsidRDefault="00632532">
            <w:pPr>
              <w:pStyle w:val="a3"/>
              <w:spacing w:before="0" w:beforeAutospacing="0" w:after="0" w:afterAutospacing="0"/>
              <w:jc w:val="right"/>
              <w:rPr>
                <w:sz w:val="20"/>
                <w:szCs w:val="20"/>
              </w:rPr>
            </w:pPr>
            <w:r>
              <w:rPr>
                <w:sz w:val="18"/>
                <w:szCs w:val="18"/>
              </w:rPr>
              <w:t>1</w:t>
            </w:r>
            <w:r>
              <w:rPr>
                <w:sz w:val="18"/>
                <w:szCs w:val="18"/>
              </w:rPr>
              <w:t>0</w:t>
            </w:r>
          </w:p>
        </w:tc>
        <w:tc>
          <w:tcPr>
            <w:tcW w:w="0" w:type="auto"/>
            <w:noWrap/>
            <w:vAlign w:val="bottom"/>
            <w:hideMark/>
          </w:tcPr>
          <w:p w14:paraId="1D93F5A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042E87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1DC37C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854A961" w14:textId="77777777" w:rsidR="00000000" w:rsidRDefault="00632532">
            <w:pPr>
              <w:pStyle w:val="a3"/>
              <w:spacing w:before="0" w:beforeAutospacing="0" w:after="0" w:afterAutospacing="0"/>
              <w:jc w:val="right"/>
              <w:rPr>
                <w:sz w:val="20"/>
                <w:szCs w:val="20"/>
              </w:rPr>
            </w:pPr>
            <w:r>
              <w:rPr>
                <w:sz w:val="18"/>
                <w:szCs w:val="18"/>
              </w:rPr>
              <w:t>(</w:t>
            </w:r>
            <w:r>
              <w:rPr>
                <w:sz w:val="18"/>
                <w:szCs w:val="18"/>
              </w:rPr>
              <w:t>3</w:t>
            </w:r>
            <w:r>
              <w:rPr>
                <w:sz w:val="18"/>
                <w:szCs w:val="18"/>
              </w:rPr>
              <w:t>9</w:t>
            </w:r>
          </w:p>
        </w:tc>
        <w:tc>
          <w:tcPr>
            <w:tcW w:w="0" w:type="auto"/>
            <w:noWrap/>
            <w:vAlign w:val="bottom"/>
            <w:hideMark/>
          </w:tcPr>
          <w:p w14:paraId="12F2D126" w14:textId="77777777" w:rsidR="00000000" w:rsidRDefault="00632532">
            <w:pPr>
              <w:pStyle w:val="a3"/>
              <w:spacing w:before="0" w:beforeAutospacing="0" w:after="0" w:afterAutospacing="0"/>
              <w:rPr>
                <w:sz w:val="18"/>
                <w:szCs w:val="18"/>
              </w:rPr>
            </w:pPr>
            <w:r>
              <w:rPr>
                <w:sz w:val="18"/>
                <w:szCs w:val="18"/>
              </w:rPr>
              <w:t>)</w:t>
            </w:r>
          </w:p>
        </w:tc>
      </w:tr>
      <w:tr w:rsidR="00000000" w14:paraId="7AA486B8" w14:textId="77777777">
        <w:trPr>
          <w:trHeight w:val="180"/>
          <w:tblCellSpacing w:w="15" w:type="dxa"/>
        </w:trPr>
        <w:tc>
          <w:tcPr>
            <w:tcW w:w="0" w:type="auto"/>
            <w:vAlign w:val="bottom"/>
            <w:hideMark/>
          </w:tcPr>
          <w:p w14:paraId="3E5E7559" w14:textId="77777777" w:rsidR="00000000" w:rsidRDefault="00632532">
            <w:pPr>
              <w:pStyle w:val="a3"/>
              <w:spacing w:before="0" w:beforeAutospacing="0" w:after="0" w:afterAutospacing="0"/>
              <w:rPr>
                <w:sz w:val="18"/>
                <w:szCs w:val="18"/>
              </w:rPr>
            </w:pPr>
            <w:r>
              <w:rPr>
                <w:sz w:val="18"/>
                <w:szCs w:val="18"/>
              </w:rPr>
              <w:t>Net income (loss</w:t>
            </w:r>
            <w:r>
              <w:rPr>
                <w:sz w:val="18"/>
                <w:szCs w:val="18"/>
              </w:rPr>
              <w:t>)</w:t>
            </w:r>
          </w:p>
        </w:tc>
        <w:tc>
          <w:tcPr>
            <w:tcW w:w="0" w:type="auto"/>
            <w:vAlign w:val="bottom"/>
            <w:hideMark/>
          </w:tcPr>
          <w:p w14:paraId="48C8AC8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558F7EA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CFB7F32"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74BA4E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C017EE5"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06DD64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0C25FC0"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BE0093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CCD585F"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CC402F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6B2780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7B3642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816348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6EA5C1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7DB9C8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F11778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C247479"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D9549C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33B5E6E" w14:textId="77777777" w:rsidR="00000000" w:rsidRDefault="00632532">
            <w:pPr>
              <w:pStyle w:val="a3"/>
              <w:spacing w:before="0" w:beforeAutospacing="0" w:after="0" w:afterAutospacing="0"/>
              <w:jc w:val="right"/>
              <w:rPr>
                <w:sz w:val="20"/>
                <w:szCs w:val="20"/>
              </w:rPr>
            </w:pPr>
            <w:r>
              <w:rPr>
                <w:sz w:val="18"/>
                <w:szCs w:val="18"/>
              </w:rPr>
              <w:t>79,81</w:t>
            </w:r>
            <w:r>
              <w:rPr>
                <w:sz w:val="18"/>
                <w:szCs w:val="18"/>
              </w:rPr>
              <w:t>2</w:t>
            </w:r>
          </w:p>
        </w:tc>
        <w:tc>
          <w:tcPr>
            <w:tcW w:w="0" w:type="auto"/>
            <w:noWrap/>
            <w:vAlign w:val="bottom"/>
            <w:hideMark/>
          </w:tcPr>
          <w:p w14:paraId="47A2A2B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548162D"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98786D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F4C3B9F" w14:textId="77777777" w:rsidR="00000000" w:rsidRDefault="00632532">
            <w:pPr>
              <w:pStyle w:val="a3"/>
              <w:spacing w:before="0" w:beforeAutospacing="0" w:after="0" w:afterAutospacing="0"/>
              <w:jc w:val="right"/>
              <w:rPr>
                <w:sz w:val="20"/>
                <w:szCs w:val="20"/>
              </w:rPr>
            </w:pPr>
            <w:r>
              <w:rPr>
                <w:sz w:val="18"/>
                <w:szCs w:val="18"/>
              </w:rPr>
              <w:t>79,81</w:t>
            </w:r>
            <w:r>
              <w:rPr>
                <w:sz w:val="18"/>
                <w:szCs w:val="18"/>
              </w:rPr>
              <w:t>2</w:t>
            </w:r>
          </w:p>
        </w:tc>
        <w:tc>
          <w:tcPr>
            <w:tcW w:w="0" w:type="auto"/>
            <w:noWrap/>
            <w:vAlign w:val="bottom"/>
            <w:hideMark/>
          </w:tcPr>
          <w:p w14:paraId="0A981D0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89F50D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62ED2F2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035FBD3" w14:textId="77777777" w:rsidR="00000000" w:rsidRDefault="00632532">
            <w:pPr>
              <w:pStyle w:val="a3"/>
              <w:spacing w:before="0" w:beforeAutospacing="0" w:after="0" w:afterAutospacing="0"/>
              <w:jc w:val="right"/>
              <w:rPr>
                <w:sz w:val="20"/>
                <w:szCs w:val="20"/>
              </w:rPr>
            </w:pPr>
            <w:r>
              <w:rPr>
                <w:sz w:val="18"/>
                <w:szCs w:val="18"/>
              </w:rPr>
              <w:t>(</w:t>
            </w:r>
            <w:r>
              <w:rPr>
                <w:sz w:val="18"/>
                <w:szCs w:val="18"/>
              </w:rPr>
              <w:t>16</w:t>
            </w:r>
            <w:r>
              <w:rPr>
                <w:sz w:val="18"/>
                <w:szCs w:val="18"/>
              </w:rPr>
              <w:t>5</w:t>
            </w:r>
          </w:p>
        </w:tc>
        <w:tc>
          <w:tcPr>
            <w:tcW w:w="0" w:type="auto"/>
            <w:noWrap/>
            <w:vAlign w:val="bottom"/>
            <w:hideMark/>
          </w:tcPr>
          <w:p w14:paraId="720AAAA3"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E411904"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269743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29C1993" w14:textId="77777777" w:rsidR="00000000" w:rsidRDefault="00632532">
            <w:pPr>
              <w:pStyle w:val="a3"/>
              <w:spacing w:before="0" w:beforeAutospacing="0" w:after="0" w:afterAutospacing="0"/>
              <w:jc w:val="right"/>
              <w:rPr>
                <w:sz w:val="20"/>
                <w:szCs w:val="20"/>
              </w:rPr>
            </w:pPr>
            <w:r>
              <w:rPr>
                <w:sz w:val="18"/>
                <w:szCs w:val="18"/>
              </w:rPr>
              <w:t>79,64</w:t>
            </w:r>
            <w:r>
              <w:rPr>
                <w:sz w:val="18"/>
                <w:szCs w:val="18"/>
              </w:rPr>
              <w:t>7</w:t>
            </w:r>
          </w:p>
        </w:tc>
        <w:tc>
          <w:tcPr>
            <w:tcW w:w="0" w:type="auto"/>
            <w:noWrap/>
            <w:vAlign w:val="bottom"/>
            <w:hideMark/>
          </w:tcPr>
          <w:p w14:paraId="198E1411" w14:textId="77777777" w:rsidR="00000000" w:rsidRDefault="00632532">
            <w:pPr>
              <w:pStyle w:val="a3"/>
              <w:spacing w:before="0" w:beforeAutospacing="0" w:after="0" w:afterAutospacing="0"/>
              <w:rPr>
                <w:sz w:val="18"/>
                <w:szCs w:val="18"/>
              </w:rPr>
            </w:pPr>
            <w:r>
              <w:rPr>
                <w:sz w:val="18"/>
                <w:szCs w:val="18"/>
              </w:rPr>
              <w:t> </w:t>
            </w:r>
          </w:p>
        </w:tc>
      </w:tr>
      <w:tr w:rsidR="00000000" w14:paraId="369BF9A0" w14:textId="77777777">
        <w:trPr>
          <w:trHeight w:val="180"/>
          <w:tblCellSpacing w:w="15" w:type="dxa"/>
        </w:trPr>
        <w:tc>
          <w:tcPr>
            <w:tcW w:w="0" w:type="auto"/>
            <w:vAlign w:val="bottom"/>
            <w:hideMark/>
          </w:tcPr>
          <w:p w14:paraId="14D14A0A" w14:textId="77777777" w:rsidR="00000000" w:rsidRDefault="00632532">
            <w:pPr>
              <w:pStyle w:val="a3"/>
              <w:spacing w:before="0" w:beforeAutospacing="0" w:after="0" w:afterAutospacing="0"/>
              <w:rPr>
                <w:sz w:val="18"/>
                <w:szCs w:val="18"/>
              </w:rPr>
            </w:pPr>
            <w:r>
              <w:rPr>
                <w:b/>
                <w:bCs/>
                <w:sz w:val="18"/>
                <w:szCs w:val="18"/>
              </w:rPr>
              <w:t>Balance at June 30, 202</w:t>
            </w:r>
            <w:r>
              <w:rPr>
                <w:b/>
                <w:bCs/>
                <w:sz w:val="18"/>
                <w:szCs w:val="18"/>
              </w:rPr>
              <w:t>1</w:t>
            </w:r>
          </w:p>
        </w:tc>
        <w:tc>
          <w:tcPr>
            <w:tcW w:w="0" w:type="auto"/>
            <w:vAlign w:val="bottom"/>
            <w:hideMark/>
          </w:tcPr>
          <w:p w14:paraId="3C122B96"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01EFE0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004E30E" w14:textId="77777777" w:rsidR="00000000" w:rsidRDefault="00632532">
            <w:pPr>
              <w:pStyle w:val="a3"/>
              <w:spacing w:before="0" w:beforeAutospacing="0" w:after="0" w:afterAutospacing="0"/>
              <w:jc w:val="right"/>
              <w:rPr>
                <w:sz w:val="20"/>
                <w:szCs w:val="20"/>
              </w:rPr>
            </w:pPr>
            <w:r>
              <w:rPr>
                <w:b/>
                <w:bCs/>
                <w:sz w:val="18"/>
                <w:szCs w:val="18"/>
              </w:rPr>
              <w:t>29,51</w:t>
            </w:r>
            <w:r>
              <w:rPr>
                <w:b/>
                <w:bCs/>
                <w:sz w:val="18"/>
                <w:szCs w:val="18"/>
              </w:rPr>
              <w:t>3</w:t>
            </w:r>
          </w:p>
        </w:tc>
        <w:tc>
          <w:tcPr>
            <w:tcW w:w="0" w:type="auto"/>
            <w:noWrap/>
            <w:vAlign w:val="bottom"/>
            <w:hideMark/>
          </w:tcPr>
          <w:p w14:paraId="368781F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792314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0E7877DD"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3E9B0651" w14:textId="77777777" w:rsidR="00000000" w:rsidRDefault="00632532">
            <w:pPr>
              <w:pStyle w:val="a3"/>
              <w:spacing w:before="0" w:beforeAutospacing="0" w:after="0" w:afterAutospacing="0"/>
              <w:jc w:val="right"/>
              <w:rPr>
                <w:sz w:val="20"/>
                <w:szCs w:val="20"/>
              </w:rPr>
            </w:pPr>
            <w:r>
              <w:rPr>
                <w:b/>
                <w:bCs/>
                <w:sz w:val="18"/>
                <w:szCs w:val="18"/>
              </w:rPr>
              <w:t>3</w:t>
            </w:r>
          </w:p>
        </w:tc>
        <w:tc>
          <w:tcPr>
            <w:tcW w:w="0" w:type="auto"/>
            <w:noWrap/>
            <w:vAlign w:val="bottom"/>
            <w:hideMark/>
          </w:tcPr>
          <w:p w14:paraId="5C4E31A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ED2F66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E42E1F9"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26E3D52A" w14:textId="77777777" w:rsidR="00000000" w:rsidRDefault="00632532">
            <w:pPr>
              <w:pStyle w:val="a3"/>
              <w:spacing w:before="0" w:beforeAutospacing="0" w:after="0" w:afterAutospacing="0"/>
              <w:jc w:val="right"/>
              <w:rPr>
                <w:sz w:val="20"/>
                <w:szCs w:val="20"/>
              </w:rPr>
            </w:pPr>
            <w:r>
              <w:rPr>
                <w:b/>
                <w:bCs/>
                <w:sz w:val="18"/>
                <w:szCs w:val="18"/>
              </w:rPr>
              <w:t>482,25</w:t>
            </w:r>
            <w:r>
              <w:rPr>
                <w:b/>
                <w:bCs/>
                <w:sz w:val="18"/>
                <w:szCs w:val="18"/>
              </w:rPr>
              <w:t>5</w:t>
            </w:r>
          </w:p>
        </w:tc>
        <w:tc>
          <w:tcPr>
            <w:tcW w:w="0" w:type="auto"/>
            <w:noWrap/>
            <w:vAlign w:val="bottom"/>
            <w:hideMark/>
          </w:tcPr>
          <w:p w14:paraId="0D757F9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FAC2A0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3AD44F04"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7DE82098" w14:textId="77777777" w:rsidR="00000000" w:rsidRDefault="00632532">
            <w:pPr>
              <w:pStyle w:val="a3"/>
              <w:spacing w:before="0" w:beforeAutospacing="0" w:after="0" w:afterAutospacing="0"/>
              <w:jc w:val="right"/>
              <w:rPr>
                <w:sz w:val="20"/>
                <w:szCs w:val="20"/>
              </w:rPr>
            </w:pPr>
            <w:r>
              <w:rPr>
                <w:b/>
                <w:bCs/>
                <w:sz w:val="18"/>
                <w:szCs w:val="18"/>
              </w:rPr>
              <w:t>(</w:t>
            </w:r>
            <w:r>
              <w:rPr>
                <w:b/>
                <w:bCs/>
                <w:sz w:val="18"/>
                <w:szCs w:val="18"/>
              </w:rPr>
              <w:t>26</w:t>
            </w:r>
            <w:r>
              <w:rPr>
                <w:b/>
                <w:bCs/>
                <w:sz w:val="18"/>
                <w:szCs w:val="18"/>
              </w:rPr>
              <w:t>5</w:t>
            </w:r>
          </w:p>
        </w:tc>
        <w:tc>
          <w:tcPr>
            <w:tcW w:w="0" w:type="auto"/>
            <w:noWrap/>
            <w:vAlign w:val="bottom"/>
            <w:hideMark/>
          </w:tcPr>
          <w:p w14:paraId="4D3766BF"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616D8D38"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2CF8365"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2DF0A2AB" w14:textId="77777777" w:rsidR="00000000" w:rsidRDefault="00632532">
            <w:pPr>
              <w:pStyle w:val="a3"/>
              <w:spacing w:before="0" w:beforeAutospacing="0" w:after="0" w:afterAutospacing="0"/>
              <w:jc w:val="right"/>
              <w:rPr>
                <w:sz w:val="20"/>
                <w:szCs w:val="20"/>
              </w:rPr>
            </w:pPr>
            <w:r>
              <w:rPr>
                <w:b/>
                <w:bCs/>
                <w:sz w:val="18"/>
                <w:szCs w:val="18"/>
              </w:rPr>
              <w:t>430,73</w:t>
            </w:r>
            <w:r>
              <w:rPr>
                <w:b/>
                <w:bCs/>
                <w:sz w:val="18"/>
                <w:szCs w:val="18"/>
              </w:rPr>
              <w:t>6</w:t>
            </w:r>
          </w:p>
        </w:tc>
        <w:tc>
          <w:tcPr>
            <w:tcW w:w="0" w:type="auto"/>
            <w:noWrap/>
            <w:vAlign w:val="bottom"/>
            <w:hideMark/>
          </w:tcPr>
          <w:p w14:paraId="039D3FF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2AB5892"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4271A637"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1D026945" w14:textId="77777777" w:rsidR="00000000" w:rsidRDefault="00632532">
            <w:pPr>
              <w:pStyle w:val="a3"/>
              <w:spacing w:before="0" w:beforeAutospacing="0" w:after="0" w:afterAutospacing="0"/>
              <w:jc w:val="right"/>
              <w:rPr>
                <w:sz w:val="20"/>
                <w:szCs w:val="20"/>
              </w:rPr>
            </w:pPr>
            <w:r>
              <w:rPr>
                <w:b/>
                <w:bCs/>
                <w:sz w:val="18"/>
                <w:szCs w:val="18"/>
              </w:rPr>
              <w:t>912,72</w:t>
            </w:r>
            <w:r>
              <w:rPr>
                <w:b/>
                <w:bCs/>
                <w:sz w:val="18"/>
                <w:szCs w:val="18"/>
              </w:rPr>
              <w:t>9</w:t>
            </w:r>
          </w:p>
        </w:tc>
        <w:tc>
          <w:tcPr>
            <w:tcW w:w="0" w:type="auto"/>
            <w:noWrap/>
            <w:vAlign w:val="bottom"/>
            <w:hideMark/>
          </w:tcPr>
          <w:p w14:paraId="008D350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4378FBA"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2291B208"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4A67AB95" w14:textId="77777777" w:rsidR="00000000" w:rsidRDefault="00632532">
            <w:pPr>
              <w:pStyle w:val="a3"/>
              <w:spacing w:before="0" w:beforeAutospacing="0" w:after="0" w:afterAutospacing="0"/>
              <w:jc w:val="right"/>
              <w:rPr>
                <w:sz w:val="20"/>
                <w:szCs w:val="20"/>
              </w:rPr>
            </w:pPr>
            <w:r>
              <w:rPr>
                <w:b/>
                <w:bCs/>
                <w:sz w:val="18"/>
                <w:szCs w:val="18"/>
              </w:rPr>
              <w:t>7,99</w:t>
            </w:r>
            <w:r>
              <w:rPr>
                <w:b/>
                <w:bCs/>
                <w:sz w:val="18"/>
                <w:szCs w:val="18"/>
              </w:rPr>
              <w:t>6</w:t>
            </w:r>
          </w:p>
        </w:tc>
        <w:tc>
          <w:tcPr>
            <w:tcW w:w="0" w:type="auto"/>
            <w:noWrap/>
            <w:vAlign w:val="bottom"/>
            <w:hideMark/>
          </w:tcPr>
          <w:p w14:paraId="062E425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B36A21" w14:textId="77777777" w:rsidR="00000000" w:rsidRDefault="00632532">
            <w:pPr>
              <w:pStyle w:val="a3"/>
              <w:spacing w:before="0" w:beforeAutospacing="0" w:after="0" w:afterAutospacing="0"/>
              <w:rPr>
                <w:sz w:val="18"/>
                <w:szCs w:val="18"/>
              </w:rPr>
            </w:pPr>
            <w:r>
              <w:rPr>
                <w:sz w:val="18"/>
                <w:szCs w:val="18"/>
              </w:rPr>
              <w:t> </w:t>
            </w:r>
          </w:p>
        </w:tc>
        <w:tc>
          <w:tcPr>
            <w:tcW w:w="0" w:type="auto"/>
            <w:noWrap/>
            <w:vAlign w:val="bottom"/>
            <w:hideMark/>
          </w:tcPr>
          <w:p w14:paraId="78FB571E" w14:textId="77777777" w:rsidR="00000000" w:rsidRDefault="00632532">
            <w:pPr>
              <w:pStyle w:val="a3"/>
              <w:spacing w:before="0" w:beforeAutospacing="0" w:after="0" w:afterAutospacing="0"/>
              <w:rPr>
                <w:sz w:val="18"/>
                <w:szCs w:val="18"/>
              </w:rPr>
            </w:pPr>
            <w:r>
              <w:rPr>
                <w:b/>
                <w:bCs/>
                <w:sz w:val="18"/>
                <w:szCs w:val="18"/>
              </w:rPr>
              <w:t>$</w:t>
            </w:r>
          </w:p>
        </w:tc>
        <w:tc>
          <w:tcPr>
            <w:tcW w:w="0" w:type="auto"/>
            <w:vAlign w:val="bottom"/>
            <w:hideMark/>
          </w:tcPr>
          <w:p w14:paraId="5D49FFA6" w14:textId="77777777" w:rsidR="00000000" w:rsidRDefault="00632532">
            <w:pPr>
              <w:pStyle w:val="a3"/>
              <w:spacing w:before="0" w:beforeAutospacing="0" w:after="0" w:afterAutospacing="0"/>
              <w:jc w:val="right"/>
              <w:rPr>
                <w:sz w:val="20"/>
                <w:szCs w:val="20"/>
              </w:rPr>
            </w:pPr>
            <w:r>
              <w:rPr>
                <w:b/>
                <w:bCs/>
                <w:sz w:val="18"/>
                <w:szCs w:val="18"/>
              </w:rPr>
              <w:t>920,72</w:t>
            </w:r>
            <w:r>
              <w:rPr>
                <w:b/>
                <w:bCs/>
                <w:sz w:val="18"/>
                <w:szCs w:val="18"/>
              </w:rPr>
              <w:t>5</w:t>
            </w:r>
          </w:p>
        </w:tc>
        <w:tc>
          <w:tcPr>
            <w:tcW w:w="0" w:type="auto"/>
            <w:noWrap/>
            <w:vAlign w:val="bottom"/>
            <w:hideMark/>
          </w:tcPr>
          <w:p w14:paraId="7AE176EA" w14:textId="77777777" w:rsidR="00000000" w:rsidRDefault="00632532">
            <w:pPr>
              <w:pStyle w:val="a3"/>
              <w:spacing w:before="0" w:beforeAutospacing="0" w:after="0" w:afterAutospacing="0"/>
              <w:rPr>
                <w:sz w:val="18"/>
                <w:szCs w:val="18"/>
              </w:rPr>
            </w:pPr>
            <w:r>
              <w:rPr>
                <w:sz w:val="18"/>
                <w:szCs w:val="18"/>
              </w:rPr>
              <w:t> </w:t>
            </w:r>
          </w:p>
        </w:tc>
      </w:tr>
    </w:tbl>
    <w:p w14:paraId="18C44A77" w14:textId="77777777" w:rsidR="00000000" w:rsidRDefault="00632532">
      <w:pPr>
        <w:pStyle w:val="a3"/>
        <w:spacing w:before="0" w:beforeAutospacing="0" w:after="0" w:afterAutospacing="0"/>
        <w:rPr>
          <w:sz w:val="20"/>
          <w:szCs w:val="20"/>
        </w:rPr>
      </w:pPr>
      <w:r>
        <w:rPr>
          <w:sz w:val="20"/>
          <w:szCs w:val="20"/>
        </w:rPr>
        <w:t> </w:t>
      </w:r>
    </w:p>
    <w:p w14:paraId="3D697AD1" w14:textId="77777777" w:rsidR="00000000" w:rsidRDefault="00632532">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r>
        <w:rPr>
          <w:sz w:val="20"/>
          <w:szCs w:val="20"/>
        </w:rPr>
        <w:t>.</w:t>
      </w:r>
    </w:p>
    <w:p w14:paraId="129977A0" w14:textId="77777777" w:rsidR="00000000" w:rsidRDefault="00632532">
      <w:pPr>
        <w:pStyle w:val="a3"/>
        <w:spacing w:before="240" w:beforeAutospacing="0" w:after="0" w:afterAutospacing="0"/>
        <w:jc w:val="center"/>
        <w:rPr>
          <w:sz w:val="20"/>
          <w:szCs w:val="20"/>
        </w:rPr>
      </w:pPr>
      <w:r>
        <w:rPr>
          <w:sz w:val="20"/>
          <w:szCs w:val="20"/>
        </w:rPr>
        <w:t>5</w:t>
      </w:r>
    </w:p>
    <w:p w14:paraId="248EE47B" w14:textId="77777777" w:rsidR="00000000" w:rsidRDefault="00632532">
      <w:pPr>
        <w:rPr>
          <w:rFonts w:eastAsia="Times New Roman"/>
        </w:rPr>
      </w:pPr>
      <w:r>
        <w:rPr>
          <w:rFonts w:eastAsia="Times New Roman"/>
        </w:rPr>
        <w:pict w14:anchorId="2F3B96C4">
          <v:rect id="_x0000_i1031" style="width:0;height:1.5pt" o:hralign="center" o:hrstd="t" o:hr="t" fillcolor="#a0a0a0" stroked="f"/>
        </w:pict>
      </w:r>
    </w:p>
    <w:p w14:paraId="18E014BC" w14:textId="77777777" w:rsidR="00000000" w:rsidRDefault="00632532">
      <w:pPr>
        <w:pStyle w:val="a3"/>
        <w:spacing w:before="0" w:beforeAutospacing="0" w:after="0" w:afterAutospacing="0"/>
        <w:jc w:val="center"/>
        <w:rPr>
          <w:sz w:val="20"/>
          <w:szCs w:val="20"/>
        </w:rPr>
      </w:pPr>
      <w:r>
        <w:rPr>
          <w:b/>
          <w:bCs/>
          <w:sz w:val="20"/>
          <w:szCs w:val="20"/>
        </w:rPr>
        <w:t>FULGENT GENETICS, INC</w:t>
      </w:r>
      <w:r>
        <w:rPr>
          <w:b/>
          <w:bCs/>
          <w:sz w:val="20"/>
          <w:szCs w:val="20"/>
        </w:rPr>
        <w:t>.</w:t>
      </w:r>
    </w:p>
    <w:p w14:paraId="67881FCD" w14:textId="77777777" w:rsidR="00000000" w:rsidRDefault="00632532">
      <w:pPr>
        <w:pStyle w:val="a3"/>
        <w:spacing w:before="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Cash Flow</w:t>
      </w:r>
      <w:r>
        <w:rPr>
          <w:b/>
          <w:bCs/>
          <w:sz w:val="20"/>
          <w:szCs w:val="20"/>
        </w:rPr>
        <w:t>s</w:t>
      </w:r>
    </w:p>
    <w:p w14:paraId="6C38DB74" w14:textId="77777777" w:rsidR="00000000" w:rsidRDefault="00632532">
      <w:pPr>
        <w:pStyle w:val="a3"/>
        <w:spacing w:before="0" w:beforeAutospacing="0" w:after="0" w:afterAutospacing="0"/>
        <w:jc w:val="center"/>
        <w:rPr>
          <w:sz w:val="20"/>
          <w:szCs w:val="20"/>
        </w:rPr>
      </w:pPr>
      <w:r>
        <w:rPr>
          <w:b/>
          <w:bCs/>
          <w:sz w:val="20"/>
          <w:szCs w:val="20"/>
        </w:rPr>
        <w:t>(in thousands</w:t>
      </w:r>
      <w:r>
        <w:rPr>
          <w:b/>
          <w:bCs/>
          <w:sz w:val="20"/>
          <w:szCs w:val="20"/>
        </w:rPr>
        <w:t>)</w:t>
      </w:r>
    </w:p>
    <w:p w14:paraId="5C47E521" w14:textId="77777777" w:rsidR="00000000" w:rsidRDefault="00632532">
      <w:pPr>
        <w:pStyle w:val="a3"/>
        <w:spacing w:before="0" w:beforeAutospacing="0" w:after="0" w:afterAutospacing="0"/>
        <w:jc w:val="center"/>
        <w:rPr>
          <w:sz w:val="20"/>
          <w:szCs w:val="20"/>
        </w:rPr>
      </w:pPr>
      <w:r>
        <w:rPr>
          <w:b/>
          <w:bCs/>
          <w:sz w:val="20"/>
          <w:szCs w:val="20"/>
        </w:rPr>
        <w:t>(unaudited</w:t>
      </w:r>
      <w:r>
        <w:rPr>
          <w:b/>
          <w:bCs/>
          <w:sz w:val="20"/>
          <w:szCs w:val="20"/>
        </w:rPr>
        <w:t>)</w:t>
      </w:r>
    </w:p>
    <w:p w14:paraId="4D2E03B8"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69"/>
        <w:gridCol w:w="157"/>
        <w:gridCol w:w="150"/>
        <w:gridCol w:w="1272"/>
        <w:gridCol w:w="120"/>
        <w:gridCol w:w="158"/>
        <w:gridCol w:w="150"/>
        <w:gridCol w:w="1295"/>
        <w:gridCol w:w="135"/>
      </w:tblGrid>
      <w:tr w:rsidR="00000000" w14:paraId="36E0E347" w14:textId="77777777">
        <w:trPr>
          <w:tblCellSpacing w:w="15" w:type="dxa"/>
        </w:trPr>
        <w:tc>
          <w:tcPr>
            <w:tcW w:w="3023" w:type="pct"/>
            <w:vAlign w:val="center"/>
            <w:hideMark/>
          </w:tcPr>
          <w:p w14:paraId="795196C9" w14:textId="77777777" w:rsidR="00000000" w:rsidRDefault="00632532">
            <w:pPr>
              <w:rPr>
                <w:sz w:val="20"/>
                <w:szCs w:val="20"/>
              </w:rPr>
            </w:pPr>
          </w:p>
        </w:tc>
        <w:tc>
          <w:tcPr>
            <w:tcW w:w="92" w:type="pct"/>
            <w:vAlign w:val="center"/>
            <w:hideMark/>
          </w:tcPr>
          <w:p w14:paraId="4A12A145" w14:textId="77777777" w:rsidR="00000000" w:rsidRDefault="00632532">
            <w:pPr>
              <w:rPr>
                <w:rFonts w:eastAsia="Times New Roman"/>
                <w:sz w:val="20"/>
                <w:szCs w:val="20"/>
              </w:rPr>
            </w:pPr>
          </w:p>
        </w:tc>
        <w:tc>
          <w:tcPr>
            <w:tcW w:w="50" w:type="pct"/>
            <w:vAlign w:val="center"/>
            <w:hideMark/>
          </w:tcPr>
          <w:p w14:paraId="47C19E78" w14:textId="77777777" w:rsidR="00000000" w:rsidRDefault="00632532">
            <w:pPr>
              <w:rPr>
                <w:rFonts w:eastAsia="Times New Roman"/>
                <w:sz w:val="20"/>
                <w:szCs w:val="20"/>
              </w:rPr>
            </w:pPr>
          </w:p>
        </w:tc>
        <w:tc>
          <w:tcPr>
            <w:tcW w:w="788" w:type="pct"/>
            <w:vAlign w:val="center"/>
            <w:hideMark/>
          </w:tcPr>
          <w:p w14:paraId="69E94998" w14:textId="77777777" w:rsidR="00000000" w:rsidRDefault="00632532">
            <w:pPr>
              <w:rPr>
                <w:rFonts w:eastAsia="Times New Roman"/>
                <w:sz w:val="20"/>
                <w:szCs w:val="20"/>
              </w:rPr>
            </w:pPr>
          </w:p>
        </w:tc>
        <w:tc>
          <w:tcPr>
            <w:tcW w:w="50" w:type="pct"/>
            <w:vAlign w:val="center"/>
            <w:hideMark/>
          </w:tcPr>
          <w:p w14:paraId="35B92A8E" w14:textId="77777777" w:rsidR="00000000" w:rsidRDefault="00632532">
            <w:pPr>
              <w:rPr>
                <w:rFonts w:eastAsia="Times New Roman"/>
                <w:sz w:val="20"/>
                <w:szCs w:val="20"/>
              </w:rPr>
            </w:pPr>
          </w:p>
        </w:tc>
        <w:tc>
          <w:tcPr>
            <w:tcW w:w="92" w:type="pct"/>
            <w:vAlign w:val="center"/>
            <w:hideMark/>
          </w:tcPr>
          <w:p w14:paraId="1BA2575D" w14:textId="77777777" w:rsidR="00000000" w:rsidRDefault="00632532">
            <w:pPr>
              <w:rPr>
                <w:rFonts w:eastAsia="Times New Roman"/>
                <w:sz w:val="20"/>
                <w:szCs w:val="20"/>
              </w:rPr>
            </w:pPr>
          </w:p>
        </w:tc>
        <w:tc>
          <w:tcPr>
            <w:tcW w:w="50" w:type="pct"/>
            <w:vAlign w:val="center"/>
            <w:hideMark/>
          </w:tcPr>
          <w:p w14:paraId="3DFE5317" w14:textId="77777777" w:rsidR="00000000" w:rsidRDefault="00632532">
            <w:pPr>
              <w:rPr>
                <w:rFonts w:eastAsia="Times New Roman"/>
                <w:sz w:val="20"/>
                <w:szCs w:val="20"/>
              </w:rPr>
            </w:pPr>
          </w:p>
        </w:tc>
        <w:tc>
          <w:tcPr>
            <w:tcW w:w="802" w:type="pct"/>
            <w:vAlign w:val="center"/>
            <w:hideMark/>
          </w:tcPr>
          <w:p w14:paraId="60C67E0F" w14:textId="77777777" w:rsidR="00000000" w:rsidRDefault="00632532">
            <w:pPr>
              <w:rPr>
                <w:rFonts w:eastAsia="Times New Roman"/>
                <w:sz w:val="20"/>
                <w:szCs w:val="20"/>
              </w:rPr>
            </w:pPr>
          </w:p>
        </w:tc>
        <w:tc>
          <w:tcPr>
            <w:tcW w:w="50" w:type="pct"/>
            <w:vAlign w:val="center"/>
            <w:hideMark/>
          </w:tcPr>
          <w:p w14:paraId="39DEE416" w14:textId="77777777" w:rsidR="00000000" w:rsidRDefault="00632532">
            <w:pPr>
              <w:rPr>
                <w:rFonts w:eastAsia="Times New Roman"/>
                <w:sz w:val="20"/>
                <w:szCs w:val="20"/>
              </w:rPr>
            </w:pPr>
          </w:p>
        </w:tc>
      </w:tr>
      <w:tr w:rsidR="00000000" w14:paraId="26A7E03B" w14:textId="77777777">
        <w:trPr>
          <w:trHeight w:val="160"/>
          <w:tblCellSpacing w:w="15" w:type="dxa"/>
        </w:trPr>
        <w:tc>
          <w:tcPr>
            <w:tcW w:w="0" w:type="auto"/>
            <w:vAlign w:val="bottom"/>
            <w:hideMark/>
          </w:tcPr>
          <w:p w14:paraId="6C7BF8FA" w14:textId="77777777" w:rsidR="00000000" w:rsidRDefault="00632532">
            <w:pPr>
              <w:pStyle w:val="a3"/>
              <w:spacing w:before="0" w:beforeAutospacing="0" w:after="0" w:afterAutospacing="0"/>
              <w:jc w:val="center"/>
              <w:rPr>
                <w:sz w:val="18"/>
                <w:szCs w:val="18"/>
              </w:rPr>
            </w:pPr>
            <w:r>
              <w:rPr>
                <w:sz w:val="18"/>
                <w:szCs w:val="18"/>
              </w:rPr>
              <w:t> </w:t>
            </w:r>
          </w:p>
        </w:tc>
        <w:tc>
          <w:tcPr>
            <w:tcW w:w="0" w:type="auto"/>
            <w:vAlign w:val="bottom"/>
            <w:hideMark/>
          </w:tcPr>
          <w:p w14:paraId="6B0B7505"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6"/>
            <w:vAlign w:val="bottom"/>
            <w:hideMark/>
          </w:tcPr>
          <w:p w14:paraId="319537BB"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4487BE9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487649A" w14:textId="77777777">
        <w:trPr>
          <w:trHeight w:val="160"/>
          <w:tblCellSpacing w:w="15" w:type="dxa"/>
        </w:trPr>
        <w:tc>
          <w:tcPr>
            <w:tcW w:w="0" w:type="auto"/>
            <w:vAlign w:val="bottom"/>
            <w:hideMark/>
          </w:tcPr>
          <w:p w14:paraId="1151F973" w14:textId="77777777" w:rsidR="00000000" w:rsidRDefault="00632532">
            <w:pPr>
              <w:pStyle w:val="a3"/>
              <w:spacing w:before="0" w:beforeAutospacing="0" w:after="0" w:afterAutospacing="0"/>
              <w:jc w:val="center"/>
              <w:rPr>
                <w:sz w:val="18"/>
                <w:szCs w:val="18"/>
              </w:rPr>
            </w:pPr>
            <w:r>
              <w:rPr>
                <w:sz w:val="18"/>
                <w:szCs w:val="18"/>
              </w:rPr>
              <w:t> </w:t>
            </w:r>
          </w:p>
        </w:tc>
        <w:tc>
          <w:tcPr>
            <w:tcW w:w="0" w:type="auto"/>
            <w:vAlign w:val="bottom"/>
            <w:hideMark/>
          </w:tcPr>
          <w:p w14:paraId="10DB653B"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4BC7419A"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62CA17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93C0B81"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F923E90"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876E6F6"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7E0638BF" w14:textId="77777777">
        <w:trPr>
          <w:trHeight w:val="180"/>
          <w:tblCellSpacing w:w="15" w:type="dxa"/>
        </w:trPr>
        <w:tc>
          <w:tcPr>
            <w:tcW w:w="0" w:type="auto"/>
            <w:hideMark/>
          </w:tcPr>
          <w:p w14:paraId="492B3DBD" w14:textId="77777777" w:rsidR="00000000" w:rsidRDefault="00632532">
            <w:pPr>
              <w:pStyle w:val="a3"/>
              <w:spacing w:before="0" w:beforeAutospacing="0" w:after="0" w:afterAutospacing="0"/>
              <w:rPr>
                <w:sz w:val="18"/>
                <w:szCs w:val="18"/>
              </w:rPr>
            </w:pPr>
            <w:r>
              <w:rPr>
                <w:b/>
                <w:bCs/>
                <w:sz w:val="18"/>
                <w:szCs w:val="18"/>
              </w:rPr>
              <w:t>Cash flow from operating activities</w:t>
            </w:r>
            <w:r>
              <w:rPr>
                <w:b/>
                <w:bCs/>
                <w:sz w:val="18"/>
                <w:szCs w:val="18"/>
              </w:rPr>
              <w:t>:</w:t>
            </w:r>
          </w:p>
        </w:tc>
        <w:tc>
          <w:tcPr>
            <w:tcW w:w="0" w:type="auto"/>
            <w:vAlign w:val="bottom"/>
            <w:hideMark/>
          </w:tcPr>
          <w:p w14:paraId="1AEC54AD"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77794297"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01FCA195"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53CF7505"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58C91AE2"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36192752" w14:textId="77777777" w:rsidR="00000000" w:rsidRDefault="00632532">
            <w:pPr>
              <w:pStyle w:val="a3"/>
              <w:spacing w:before="0" w:beforeAutospacing="0" w:after="0" w:afterAutospacing="0"/>
              <w:jc w:val="right"/>
              <w:rPr>
                <w:sz w:val="18"/>
                <w:szCs w:val="18"/>
              </w:rPr>
            </w:pPr>
            <w:r>
              <w:rPr>
                <w:sz w:val="18"/>
                <w:szCs w:val="18"/>
              </w:rPr>
              <w:t> </w:t>
            </w:r>
          </w:p>
        </w:tc>
      </w:tr>
      <w:tr w:rsidR="00000000" w14:paraId="44127430" w14:textId="77777777">
        <w:trPr>
          <w:trHeight w:val="180"/>
          <w:tblCellSpacing w:w="15" w:type="dxa"/>
        </w:trPr>
        <w:tc>
          <w:tcPr>
            <w:tcW w:w="0" w:type="auto"/>
            <w:hideMark/>
          </w:tcPr>
          <w:p w14:paraId="4FBBEDEC" w14:textId="77777777" w:rsidR="00000000" w:rsidRDefault="00632532">
            <w:pPr>
              <w:pStyle w:val="a3"/>
              <w:spacing w:before="0" w:beforeAutospacing="0" w:after="0" w:afterAutospacing="0"/>
              <w:rPr>
                <w:sz w:val="18"/>
                <w:szCs w:val="18"/>
              </w:rPr>
            </w:pPr>
            <w:r>
              <w:rPr>
                <w:sz w:val="18"/>
                <w:szCs w:val="18"/>
              </w:rPr>
              <w:t>Net income from consolidated operation</w:t>
            </w:r>
            <w:r>
              <w:rPr>
                <w:sz w:val="18"/>
                <w:szCs w:val="18"/>
              </w:rPr>
              <w:t>s</w:t>
            </w:r>
          </w:p>
        </w:tc>
        <w:tc>
          <w:tcPr>
            <w:tcW w:w="0" w:type="auto"/>
            <w:vAlign w:val="bottom"/>
            <w:hideMark/>
          </w:tcPr>
          <w:p w14:paraId="77A35E5B"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167D147"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6D47354" w14:textId="77777777" w:rsidR="00000000" w:rsidRDefault="00632532">
            <w:pPr>
              <w:pStyle w:val="a3"/>
              <w:spacing w:before="0" w:beforeAutospacing="0" w:after="0" w:afterAutospacing="0"/>
              <w:jc w:val="right"/>
              <w:rPr>
                <w:sz w:val="20"/>
                <w:szCs w:val="20"/>
              </w:rPr>
            </w:pPr>
            <w:r>
              <w:rPr>
                <w:sz w:val="18"/>
                <w:szCs w:val="18"/>
              </w:rPr>
              <w:t>164,65</w:t>
            </w:r>
            <w:r>
              <w:rPr>
                <w:sz w:val="18"/>
                <w:szCs w:val="18"/>
              </w:rPr>
              <w:t>6</w:t>
            </w:r>
          </w:p>
        </w:tc>
        <w:tc>
          <w:tcPr>
            <w:tcW w:w="0" w:type="auto"/>
            <w:noWrap/>
            <w:vAlign w:val="bottom"/>
            <w:hideMark/>
          </w:tcPr>
          <w:p w14:paraId="6F590B8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61BDB63"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35BC385C"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0CB01A2" w14:textId="77777777" w:rsidR="00000000" w:rsidRDefault="00632532">
            <w:pPr>
              <w:pStyle w:val="a3"/>
              <w:spacing w:before="0" w:beforeAutospacing="0" w:after="0" w:afterAutospacing="0"/>
              <w:jc w:val="right"/>
              <w:rPr>
                <w:sz w:val="20"/>
                <w:szCs w:val="20"/>
              </w:rPr>
            </w:pPr>
            <w:r>
              <w:rPr>
                <w:sz w:val="18"/>
                <w:szCs w:val="18"/>
              </w:rPr>
              <w:t>280,33</w:t>
            </w:r>
            <w:r>
              <w:rPr>
                <w:sz w:val="18"/>
                <w:szCs w:val="18"/>
              </w:rPr>
              <w:t>8</w:t>
            </w:r>
          </w:p>
        </w:tc>
        <w:tc>
          <w:tcPr>
            <w:tcW w:w="0" w:type="auto"/>
            <w:noWrap/>
            <w:vAlign w:val="bottom"/>
            <w:hideMark/>
          </w:tcPr>
          <w:p w14:paraId="570A6005" w14:textId="77777777" w:rsidR="00000000" w:rsidRDefault="00632532">
            <w:pPr>
              <w:pStyle w:val="a3"/>
              <w:spacing w:before="0" w:beforeAutospacing="0" w:after="0" w:afterAutospacing="0"/>
              <w:rPr>
                <w:sz w:val="18"/>
                <w:szCs w:val="18"/>
              </w:rPr>
            </w:pPr>
            <w:r>
              <w:rPr>
                <w:sz w:val="18"/>
                <w:szCs w:val="18"/>
              </w:rPr>
              <w:t> </w:t>
            </w:r>
          </w:p>
        </w:tc>
      </w:tr>
      <w:tr w:rsidR="00000000" w14:paraId="05397FD8" w14:textId="77777777">
        <w:trPr>
          <w:trHeight w:val="180"/>
          <w:tblCellSpacing w:w="15" w:type="dxa"/>
        </w:trPr>
        <w:tc>
          <w:tcPr>
            <w:tcW w:w="0" w:type="auto"/>
            <w:hideMark/>
          </w:tcPr>
          <w:p w14:paraId="13001D26" w14:textId="77777777" w:rsidR="00000000" w:rsidRDefault="00632532">
            <w:pPr>
              <w:pStyle w:val="a3"/>
              <w:spacing w:before="0" w:beforeAutospacing="0" w:after="0" w:afterAutospacing="0"/>
              <w:ind w:left="200"/>
              <w:rPr>
                <w:sz w:val="18"/>
                <w:szCs w:val="18"/>
              </w:rPr>
            </w:pPr>
            <w:r>
              <w:rPr>
                <w:sz w:val="18"/>
                <w:szCs w:val="18"/>
              </w:rPr>
              <w:t>Adjustments to reconcile net income to net cash provided by operating activities</w:t>
            </w:r>
            <w:r>
              <w:rPr>
                <w:sz w:val="18"/>
                <w:szCs w:val="18"/>
              </w:rPr>
              <w:t>:</w:t>
            </w:r>
          </w:p>
        </w:tc>
        <w:tc>
          <w:tcPr>
            <w:tcW w:w="0" w:type="auto"/>
            <w:vAlign w:val="bottom"/>
            <w:hideMark/>
          </w:tcPr>
          <w:p w14:paraId="066AE7C4"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4E49FD14"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077ECEEC"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26D4E15E"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4FD69E60"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7786B0CC" w14:textId="77777777" w:rsidR="00000000" w:rsidRDefault="00632532">
            <w:pPr>
              <w:pStyle w:val="a3"/>
              <w:spacing w:before="0" w:beforeAutospacing="0" w:after="0" w:afterAutospacing="0"/>
              <w:jc w:val="right"/>
              <w:rPr>
                <w:sz w:val="18"/>
                <w:szCs w:val="18"/>
              </w:rPr>
            </w:pPr>
            <w:r>
              <w:rPr>
                <w:sz w:val="18"/>
                <w:szCs w:val="18"/>
              </w:rPr>
              <w:t> </w:t>
            </w:r>
          </w:p>
        </w:tc>
      </w:tr>
      <w:tr w:rsidR="00000000" w14:paraId="13463A5A" w14:textId="77777777">
        <w:trPr>
          <w:trHeight w:val="180"/>
          <w:tblCellSpacing w:w="15" w:type="dxa"/>
        </w:trPr>
        <w:tc>
          <w:tcPr>
            <w:tcW w:w="0" w:type="auto"/>
            <w:hideMark/>
          </w:tcPr>
          <w:p w14:paraId="09EA2D28" w14:textId="77777777" w:rsidR="00000000" w:rsidRDefault="00632532">
            <w:pPr>
              <w:pStyle w:val="a3"/>
              <w:spacing w:before="0" w:beforeAutospacing="0" w:after="0" w:afterAutospacing="0"/>
              <w:ind w:left="200"/>
              <w:rPr>
                <w:sz w:val="18"/>
                <w:szCs w:val="18"/>
              </w:rPr>
            </w:pPr>
            <w:r>
              <w:rPr>
                <w:sz w:val="18"/>
                <w:szCs w:val="18"/>
              </w:rPr>
              <w:t>Equity-based compensatio</w:t>
            </w:r>
            <w:r>
              <w:rPr>
                <w:sz w:val="18"/>
                <w:szCs w:val="18"/>
              </w:rPr>
              <w:t>n</w:t>
            </w:r>
          </w:p>
        </w:tc>
        <w:tc>
          <w:tcPr>
            <w:tcW w:w="0" w:type="auto"/>
            <w:vAlign w:val="bottom"/>
            <w:hideMark/>
          </w:tcPr>
          <w:p w14:paraId="77D30708"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5C1C44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592BF51" w14:textId="77777777" w:rsidR="00000000" w:rsidRDefault="00632532">
            <w:pPr>
              <w:pStyle w:val="a3"/>
              <w:spacing w:before="0" w:beforeAutospacing="0" w:after="0" w:afterAutospacing="0"/>
              <w:jc w:val="right"/>
              <w:rPr>
                <w:sz w:val="20"/>
                <w:szCs w:val="20"/>
              </w:rPr>
            </w:pPr>
            <w:r>
              <w:rPr>
                <w:sz w:val="18"/>
                <w:szCs w:val="18"/>
              </w:rPr>
              <w:t>13,64</w:t>
            </w:r>
            <w:r>
              <w:rPr>
                <w:sz w:val="18"/>
                <w:szCs w:val="18"/>
              </w:rPr>
              <w:t>6</w:t>
            </w:r>
          </w:p>
        </w:tc>
        <w:tc>
          <w:tcPr>
            <w:tcW w:w="0" w:type="auto"/>
            <w:noWrap/>
            <w:vAlign w:val="bottom"/>
            <w:hideMark/>
          </w:tcPr>
          <w:p w14:paraId="09C247D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D4ACC88"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39957DE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0C1AE7" w14:textId="77777777" w:rsidR="00000000" w:rsidRDefault="00632532">
            <w:pPr>
              <w:pStyle w:val="a3"/>
              <w:spacing w:before="0" w:beforeAutospacing="0" w:after="0" w:afterAutospacing="0"/>
              <w:jc w:val="right"/>
              <w:rPr>
                <w:sz w:val="20"/>
                <w:szCs w:val="20"/>
              </w:rPr>
            </w:pPr>
            <w:r>
              <w:rPr>
                <w:sz w:val="18"/>
                <w:szCs w:val="18"/>
              </w:rPr>
              <w:t>6,48</w:t>
            </w:r>
            <w:r>
              <w:rPr>
                <w:sz w:val="18"/>
                <w:szCs w:val="18"/>
              </w:rPr>
              <w:t>8</w:t>
            </w:r>
          </w:p>
        </w:tc>
        <w:tc>
          <w:tcPr>
            <w:tcW w:w="0" w:type="auto"/>
            <w:noWrap/>
            <w:vAlign w:val="bottom"/>
            <w:hideMark/>
          </w:tcPr>
          <w:p w14:paraId="6670DFCA" w14:textId="77777777" w:rsidR="00000000" w:rsidRDefault="00632532">
            <w:pPr>
              <w:pStyle w:val="a3"/>
              <w:spacing w:before="0" w:beforeAutospacing="0" w:after="0" w:afterAutospacing="0"/>
              <w:rPr>
                <w:sz w:val="18"/>
                <w:szCs w:val="18"/>
              </w:rPr>
            </w:pPr>
            <w:r>
              <w:rPr>
                <w:sz w:val="18"/>
                <w:szCs w:val="18"/>
              </w:rPr>
              <w:t> </w:t>
            </w:r>
          </w:p>
        </w:tc>
      </w:tr>
      <w:tr w:rsidR="00000000" w14:paraId="66F87E70" w14:textId="77777777">
        <w:trPr>
          <w:trHeight w:val="180"/>
          <w:tblCellSpacing w:w="15" w:type="dxa"/>
        </w:trPr>
        <w:tc>
          <w:tcPr>
            <w:tcW w:w="0" w:type="auto"/>
            <w:hideMark/>
          </w:tcPr>
          <w:p w14:paraId="08394CBD" w14:textId="77777777" w:rsidR="00000000" w:rsidRDefault="00632532">
            <w:pPr>
              <w:pStyle w:val="a3"/>
              <w:spacing w:before="0" w:beforeAutospacing="0" w:after="0" w:afterAutospacing="0"/>
              <w:ind w:left="200"/>
              <w:rPr>
                <w:sz w:val="18"/>
                <w:szCs w:val="18"/>
              </w:rPr>
            </w:pPr>
            <w:r>
              <w:rPr>
                <w:sz w:val="18"/>
                <w:szCs w:val="18"/>
              </w:rPr>
              <w:t>Depreciation and amortizatio</w:t>
            </w:r>
            <w:r>
              <w:rPr>
                <w:sz w:val="18"/>
                <w:szCs w:val="18"/>
              </w:rPr>
              <w:t>n</w:t>
            </w:r>
          </w:p>
        </w:tc>
        <w:tc>
          <w:tcPr>
            <w:tcW w:w="0" w:type="auto"/>
            <w:vAlign w:val="bottom"/>
            <w:hideMark/>
          </w:tcPr>
          <w:p w14:paraId="1941B16D"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0840500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64A130D" w14:textId="77777777" w:rsidR="00000000" w:rsidRDefault="00632532">
            <w:pPr>
              <w:pStyle w:val="a3"/>
              <w:spacing w:before="0" w:beforeAutospacing="0" w:after="0" w:afterAutospacing="0"/>
              <w:jc w:val="right"/>
              <w:rPr>
                <w:sz w:val="20"/>
                <w:szCs w:val="20"/>
              </w:rPr>
            </w:pPr>
            <w:r>
              <w:rPr>
                <w:sz w:val="18"/>
                <w:szCs w:val="18"/>
              </w:rPr>
              <w:t>13,04</w:t>
            </w:r>
            <w:r>
              <w:rPr>
                <w:sz w:val="18"/>
                <w:szCs w:val="18"/>
              </w:rPr>
              <w:t>0</w:t>
            </w:r>
          </w:p>
        </w:tc>
        <w:tc>
          <w:tcPr>
            <w:tcW w:w="0" w:type="auto"/>
            <w:noWrap/>
            <w:vAlign w:val="bottom"/>
            <w:hideMark/>
          </w:tcPr>
          <w:p w14:paraId="02C9A7A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D31618D"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3A78145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BB0842B" w14:textId="77777777" w:rsidR="00000000" w:rsidRDefault="00632532">
            <w:pPr>
              <w:pStyle w:val="a3"/>
              <w:spacing w:before="0" w:beforeAutospacing="0" w:after="0" w:afterAutospacing="0"/>
              <w:jc w:val="right"/>
              <w:rPr>
                <w:sz w:val="20"/>
                <w:szCs w:val="20"/>
              </w:rPr>
            </w:pPr>
            <w:r>
              <w:rPr>
                <w:sz w:val="18"/>
                <w:szCs w:val="18"/>
              </w:rPr>
              <w:t>4,34</w:t>
            </w:r>
            <w:r>
              <w:rPr>
                <w:sz w:val="18"/>
                <w:szCs w:val="18"/>
              </w:rPr>
              <w:t>0</w:t>
            </w:r>
          </w:p>
        </w:tc>
        <w:tc>
          <w:tcPr>
            <w:tcW w:w="0" w:type="auto"/>
            <w:noWrap/>
            <w:vAlign w:val="bottom"/>
            <w:hideMark/>
          </w:tcPr>
          <w:p w14:paraId="2DCB2FE0" w14:textId="77777777" w:rsidR="00000000" w:rsidRDefault="00632532">
            <w:pPr>
              <w:pStyle w:val="a3"/>
              <w:spacing w:before="0" w:beforeAutospacing="0" w:after="0" w:afterAutospacing="0"/>
              <w:rPr>
                <w:sz w:val="18"/>
                <w:szCs w:val="18"/>
              </w:rPr>
            </w:pPr>
            <w:r>
              <w:rPr>
                <w:sz w:val="18"/>
                <w:szCs w:val="18"/>
              </w:rPr>
              <w:t> </w:t>
            </w:r>
          </w:p>
        </w:tc>
      </w:tr>
      <w:tr w:rsidR="00000000" w14:paraId="1DE5B94E" w14:textId="77777777">
        <w:trPr>
          <w:trHeight w:val="180"/>
          <w:tblCellSpacing w:w="15" w:type="dxa"/>
        </w:trPr>
        <w:tc>
          <w:tcPr>
            <w:tcW w:w="0" w:type="auto"/>
            <w:hideMark/>
          </w:tcPr>
          <w:p w14:paraId="66177543" w14:textId="77777777" w:rsidR="00000000" w:rsidRDefault="00632532">
            <w:pPr>
              <w:pStyle w:val="a3"/>
              <w:spacing w:before="0" w:beforeAutospacing="0" w:after="0" w:afterAutospacing="0"/>
              <w:ind w:left="200"/>
              <w:rPr>
                <w:sz w:val="18"/>
                <w:szCs w:val="18"/>
              </w:rPr>
            </w:pPr>
            <w:r>
              <w:rPr>
                <w:sz w:val="18"/>
                <w:szCs w:val="18"/>
              </w:rPr>
              <w:t>Provision for credit losse</w:t>
            </w:r>
            <w:r>
              <w:rPr>
                <w:sz w:val="18"/>
                <w:szCs w:val="18"/>
              </w:rPr>
              <w:t>s</w:t>
            </w:r>
          </w:p>
        </w:tc>
        <w:tc>
          <w:tcPr>
            <w:tcW w:w="0" w:type="auto"/>
            <w:vAlign w:val="bottom"/>
            <w:hideMark/>
          </w:tcPr>
          <w:p w14:paraId="2CFA7EBB"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0DC9B4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A3E00B5" w14:textId="77777777" w:rsidR="00000000" w:rsidRDefault="00632532">
            <w:pPr>
              <w:pStyle w:val="a3"/>
              <w:spacing w:before="0" w:beforeAutospacing="0" w:after="0" w:afterAutospacing="0"/>
              <w:jc w:val="right"/>
              <w:rPr>
                <w:sz w:val="20"/>
                <w:szCs w:val="20"/>
              </w:rPr>
            </w:pPr>
            <w:r>
              <w:rPr>
                <w:sz w:val="18"/>
                <w:szCs w:val="18"/>
              </w:rPr>
              <w:t>18,73</w:t>
            </w:r>
            <w:r>
              <w:rPr>
                <w:sz w:val="18"/>
                <w:szCs w:val="18"/>
              </w:rPr>
              <w:t>4</w:t>
            </w:r>
          </w:p>
        </w:tc>
        <w:tc>
          <w:tcPr>
            <w:tcW w:w="0" w:type="auto"/>
            <w:noWrap/>
            <w:vAlign w:val="bottom"/>
            <w:hideMark/>
          </w:tcPr>
          <w:p w14:paraId="47ADFAA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8754C14"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46F487B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E063E7C" w14:textId="77777777" w:rsidR="00000000" w:rsidRDefault="00632532">
            <w:pPr>
              <w:pStyle w:val="a3"/>
              <w:spacing w:before="0" w:beforeAutospacing="0" w:after="0" w:afterAutospacing="0"/>
              <w:jc w:val="right"/>
              <w:rPr>
                <w:sz w:val="20"/>
                <w:szCs w:val="20"/>
              </w:rPr>
            </w:pPr>
            <w:r>
              <w:rPr>
                <w:sz w:val="18"/>
                <w:szCs w:val="18"/>
              </w:rPr>
              <w:t>3,25</w:t>
            </w:r>
            <w:r>
              <w:rPr>
                <w:sz w:val="18"/>
                <w:szCs w:val="18"/>
              </w:rPr>
              <w:t>9</w:t>
            </w:r>
          </w:p>
        </w:tc>
        <w:tc>
          <w:tcPr>
            <w:tcW w:w="0" w:type="auto"/>
            <w:noWrap/>
            <w:vAlign w:val="bottom"/>
            <w:hideMark/>
          </w:tcPr>
          <w:p w14:paraId="4097E2D4" w14:textId="77777777" w:rsidR="00000000" w:rsidRDefault="00632532">
            <w:pPr>
              <w:pStyle w:val="a3"/>
              <w:spacing w:before="0" w:beforeAutospacing="0" w:after="0" w:afterAutospacing="0"/>
              <w:rPr>
                <w:sz w:val="18"/>
                <w:szCs w:val="18"/>
              </w:rPr>
            </w:pPr>
            <w:r>
              <w:rPr>
                <w:sz w:val="18"/>
                <w:szCs w:val="18"/>
              </w:rPr>
              <w:t> </w:t>
            </w:r>
          </w:p>
        </w:tc>
      </w:tr>
      <w:tr w:rsidR="00000000" w14:paraId="6892F3A4" w14:textId="77777777">
        <w:trPr>
          <w:trHeight w:val="180"/>
          <w:tblCellSpacing w:w="15" w:type="dxa"/>
        </w:trPr>
        <w:tc>
          <w:tcPr>
            <w:tcW w:w="0" w:type="auto"/>
            <w:hideMark/>
          </w:tcPr>
          <w:p w14:paraId="1102BA75" w14:textId="77777777" w:rsidR="00000000" w:rsidRDefault="00632532">
            <w:pPr>
              <w:pStyle w:val="a3"/>
              <w:spacing w:before="0" w:beforeAutospacing="0" w:after="0" w:afterAutospacing="0"/>
              <w:ind w:left="200"/>
              <w:rPr>
                <w:sz w:val="18"/>
                <w:szCs w:val="18"/>
              </w:rPr>
            </w:pPr>
            <w:r>
              <w:rPr>
                <w:sz w:val="18"/>
                <w:szCs w:val="18"/>
              </w:rPr>
              <w:t>Noncash lease expens</w:t>
            </w:r>
            <w:r>
              <w:rPr>
                <w:sz w:val="18"/>
                <w:szCs w:val="18"/>
              </w:rPr>
              <w:t>e</w:t>
            </w:r>
          </w:p>
        </w:tc>
        <w:tc>
          <w:tcPr>
            <w:tcW w:w="0" w:type="auto"/>
            <w:vAlign w:val="bottom"/>
            <w:hideMark/>
          </w:tcPr>
          <w:p w14:paraId="30B7DB2B"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85FD119"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EE562B5" w14:textId="77777777" w:rsidR="00000000" w:rsidRDefault="00632532">
            <w:pPr>
              <w:pStyle w:val="a3"/>
              <w:spacing w:before="0" w:beforeAutospacing="0" w:after="0" w:afterAutospacing="0"/>
              <w:jc w:val="right"/>
              <w:rPr>
                <w:sz w:val="20"/>
                <w:szCs w:val="20"/>
              </w:rPr>
            </w:pPr>
            <w:r>
              <w:rPr>
                <w:sz w:val="18"/>
                <w:szCs w:val="18"/>
              </w:rPr>
              <w:t>1,71</w:t>
            </w:r>
            <w:r>
              <w:rPr>
                <w:sz w:val="18"/>
                <w:szCs w:val="18"/>
              </w:rPr>
              <w:t>0</w:t>
            </w:r>
          </w:p>
        </w:tc>
        <w:tc>
          <w:tcPr>
            <w:tcW w:w="0" w:type="auto"/>
            <w:noWrap/>
            <w:vAlign w:val="bottom"/>
            <w:hideMark/>
          </w:tcPr>
          <w:p w14:paraId="31087D3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DB7868F"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4B1F9E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ACD30F0" w14:textId="77777777" w:rsidR="00000000" w:rsidRDefault="00632532">
            <w:pPr>
              <w:pStyle w:val="a3"/>
              <w:spacing w:before="0" w:beforeAutospacing="0" w:after="0" w:afterAutospacing="0"/>
              <w:jc w:val="right"/>
              <w:rPr>
                <w:sz w:val="20"/>
                <w:szCs w:val="20"/>
              </w:rPr>
            </w:pPr>
            <w:r>
              <w:rPr>
                <w:sz w:val="18"/>
                <w:szCs w:val="18"/>
              </w:rPr>
              <w:t>29</w:t>
            </w:r>
            <w:r>
              <w:rPr>
                <w:sz w:val="18"/>
                <w:szCs w:val="18"/>
              </w:rPr>
              <w:t>8</w:t>
            </w:r>
          </w:p>
        </w:tc>
        <w:tc>
          <w:tcPr>
            <w:tcW w:w="0" w:type="auto"/>
            <w:noWrap/>
            <w:vAlign w:val="bottom"/>
            <w:hideMark/>
          </w:tcPr>
          <w:p w14:paraId="5CDB6A89" w14:textId="77777777" w:rsidR="00000000" w:rsidRDefault="00632532">
            <w:pPr>
              <w:pStyle w:val="a3"/>
              <w:spacing w:before="0" w:beforeAutospacing="0" w:after="0" w:afterAutospacing="0"/>
              <w:rPr>
                <w:sz w:val="18"/>
                <w:szCs w:val="18"/>
              </w:rPr>
            </w:pPr>
            <w:r>
              <w:rPr>
                <w:sz w:val="18"/>
                <w:szCs w:val="18"/>
              </w:rPr>
              <w:t> </w:t>
            </w:r>
          </w:p>
        </w:tc>
      </w:tr>
      <w:tr w:rsidR="00000000" w14:paraId="12A5A172" w14:textId="77777777">
        <w:trPr>
          <w:trHeight w:val="180"/>
          <w:tblCellSpacing w:w="15" w:type="dxa"/>
        </w:trPr>
        <w:tc>
          <w:tcPr>
            <w:tcW w:w="0" w:type="auto"/>
            <w:hideMark/>
          </w:tcPr>
          <w:p w14:paraId="6899CDAA" w14:textId="77777777" w:rsidR="00000000" w:rsidRDefault="00632532">
            <w:pPr>
              <w:pStyle w:val="a3"/>
              <w:spacing w:before="0" w:beforeAutospacing="0" w:after="0" w:afterAutospacing="0"/>
              <w:ind w:left="200"/>
              <w:rPr>
                <w:sz w:val="18"/>
                <w:szCs w:val="18"/>
              </w:rPr>
            </w:pPr>
            <w:r>
              <w:rPr>
                <w:sz w:val="18"/>
                <w:szCs w:val="18"/>
              </w:rPr>
              <w:t>Loss on disposal of fixed asse</w:t>
            </w:r>
            <w:r>
              <w:rPr>
                <w:sz w:val="18"/>
                <w:szCs w:val="18"/>
              </w:rPr>
              <w:t>t</w:t>
            </w:r>
          </w:p>
        </w:tc>
        <w:tc>
          <w:tcPr>
            <w:tcW w:w="0" w:type="auto"/>
            <w:vAlign w:val="bottom"/>
            <w:hideMark/>
          </w:tcPr>
          <w:p w14:paraId="6F73F2F5"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4E3C990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5C7EE2D" w14:textId="77777777" w:rsidR="00000000" w:rsidRDefault="00632532">
            <w:pPr>
              <w:pStyle w:val="a3"/>
              <w:spacing w:before="0" w:beforeAutospacing="0" w:after="0" w:afterAutospacing="0"/>
              <w:jc w:val="right"/>
              <w:rPr>
                <w:sz w:val="20"/>
                <w:szCs w:val="20"/>
              </w:rPr>
            </w:pPr>
            <w:r>
              <w:rPr>
                <w:sz w:val="18"/>
                <w:szCs w:val="18"/>
              </w:rPr>
              <w:t>30</w:t>
            </w:r>
            <w:r>
              <w:rPr>
                <w:sz w:val="18"/>
                <w:szCs w:val="18"/>
              </w:rPr>
              <w:t>9</w:t>
            </w:r>
          </w:p>
        </w:tc>
        <w:tc>
          <w:tcPr>
            <w:tcW w:w="0" w:type="auto"/>
            <w:noWrap/>
            <w:vAlign w:val="bottom"/>
            <w:hideMark/>
          </w:tcPr>
          <w:p w14:paraId="6208EA2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B0B7752"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1ED2B2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29D5103" w14:textId="77777777" w:rsidR="00000000" w:rsidRDefault="00632532">
            <w:pPr>
              <w:pStyle w:val="a3"/>
              <w:spacing w:before="0" w:beforeAutospacing="0" w:after="0" w:afterAutospacing="0"/>
              <w:jc w:val="right"/>
              <w:rPr>
                <w:sz w:val="20"/>
                <w:szCs w:val="20"/>
              </w:rPr>
            </w:pPr>
            <w:r>
              <w:rPr>
                <w:sz w:val="18"/>
                <w:szCs w:val="18"/>
              </w:rPr>
              <w:t>59</w:t>
            </w:r>
            <w:r>
              <w:rPr>
                <w:sz w:val="18"/>
                <w:szCs w:val="18"/>
              </w:rPr>
              <w:t>8</w:t>
            </w:r>
          </w:p>
        </w:tc>
        <w:tc>
          <w:tcPr>
            <w:tcW w:w="0" w:type="auto"/>
            <w:noWrap/>
            <w:vAlign w:val="bottom"/>
            <w:hideMark/>
          </w:tcPr>
          <w:p w14:paraId="38398B66" w14:textId="77777777" w:rsidR="00000000" w:rsidRDefault="00632532">
            <w:pPr>
              <w:pStyle w:val="a3"/>
              <w:spacing w:before="0" w:beforeAutospacing="0" w:after="0" w:afterAutospacing="0"/>
              <w:rPr>
                <w:sz w:val="18"/>
                <w:szCs w:val="18"/>
              </w:rPr>
            </w:pPr>
            <w:r>
              <w:rPr>
                <w:sz w:val="18"/>
                <w:szCs w:val="18"/>
              </w:rPr>
              <w:t> </w:t>
            </w:r>
          </w:p>
        </w:tc>
      </w:tr>
      <w:tr w:rsidR="00000000" w14:paraId="7669168A" w14:textId="77777777">
        <w:trPr>
          <w:trHeight w:val="180"/>
          <w:tblCellSpacing w:w="15" w:type="dxa"/>
        </w:trPr>
        <w:tc>
          <w:tcPr>
            <w:tcW w:w="0" w:type="auto"/>
            <w:hideMark/>
          </w:tcPr>
          <w:p w14:paraId="772F60A3" w14:textId="77777777" w:rsidR="00000000" w:rsidRDefault="00632532">
            <w:pPr>
              <w:pStyle w:val="a3"/>
              <w:spacing w:before="0" w:beforeAutospacing="0" w:after="0" w:afterAutospacing="0"/>
              <w:ind w:left="200"/>
              <w:rPr>
                <w:sz w:val="18"/>
                <w:szCs w:val="18"/>
              </w:rPr>
            </w:pPr>
            <w:r>
              <w:rPr>
                <w:sz w:val="18"/>
                <w:szCs w:val="18"/>
              </w:rPr>
              <w:t>Amortization of premium of marketable securitie</w:t>
            </w:r>
            <w:r>
              <w:rPr>
                <w:sz w:val="18"/>
                <w:szCs w:val="18"/>
              </w:rPr>
              <w:t>s</w:t>
            </w:r>
          </w:p>
        </w:tc>
        <w:tc>
          <w:tcPr>
            <w:tcW w:w="0" w:type="auto"/>
            <w:vAlign w:val="bottom"/>
            <w:hideMark/>
          </w:tcPr>
          <w:p w14:paraId="6F9B3F54"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31D96BE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D0E7162" w14:textId="77777777" w:rsidR="00000000" w:rsidRDefault="00632532">
            <w:pPr>
              <w:pStyle w:val="a3"/>
              <w:spacing w:before="0" w:beforeAutospacing="0" w:after="0" w:afterAutospacing="0"/>
              <w:jc w:val="right"/>
              <w:rPr>
                <w:sz w:val="20"/>
                <w:szCs w:val="20"/>
              </w:rPr>
            </w:pPr>
            <w:r>
              <w:rPr>
                <w:sz w:val="18"/>
                <w:szCs w:val="18"/>
              </w:rPr>
              <w:t>3,22</w:t>
            </w:r>
            <w:r>
              <w:rPr>
                <w:sz w:val="18"/>
                <w:szCs w:val="18"/>
              </w:rPr>
              <w:t>3</w:t>
            </w:r>
          </w:p>
        </w:tc>
        <w:tc>
          <w:tcPr>
            <w:tcW w:w="0" w:type="auto"/>
            <w:noWrap/>
            <w:vAlign w:val="bottom"/>
            <w:hideMark/>
          </w:tcPr>
          <w:p w14:paraId="2E20BA5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89920ED"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590F9F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5D258B8" w14:textId="77777777" w:rsidR="00000000" w:rsidRDefault="00632532">
            <w:pPr>
              <w:pStyle w:val="a3"/>
              <w:spacing w:before="0" w:beforeAutospacing="0" w:after="0" w:afterAutospacing="0"/>
              <w:jc w:val="right"/>
              <w:rPr>
                <w:sz w:val="20"/>
                <w:szCs w:val="20"/>
              </w:rPr>
            </w:pPr>
            <w:r>
              <w:rPr>
                <w:sz w:val="18"/>
                <w:szCs w:val="18"/>
              </w:rPr>
              <w:t>3,17</w:t>
            </w:r>
            <w:r>
              <w:rPr>
                <w:sz w:val="18"/>
                <w:szCs w:val="18"/>
              </w:rPr>
              <w:t>1</w:t>
            </w:r>
          </w:p>
        </w:tc>
        <w:tc>
          <w:tcPr>
            <w:tcW w:w="0" w:type="auto"/>
            <w:noWrap/>
            <w:vAlign w:val="bottom"/>
            <w:hideMark/>
          </w:tcPr>
          <w:p w14:paraId="71A2321A" w14:textId="77777777" w:rsidR="00000000" w:rsidRDefault="00632532">
            <w:pPr>
              <w:pStyle w:val="a3"/>
              <w:spacing w:before="0" w:beforeAutospacing="0" w:after="0" w:afterAutospacing="0"/>
              <w:rPr>
                <w:sz w:val="18"/>
                <w:szCs w:val="18"/>
              </w:rPr>
            </w:pPr>
            <w:r>
              <w:rPr>
                <w:sz w:val="18"/>
                <w:szCs w:val="18"/>
              </w:rPr>
              <w:t> </w:t>
            </w:r>
          </w:p>
        </w:tc>
      </w:tr>
      <w:tr w:rsidR="00000000" w14:paraId="6847C745" w14:textId="77777777">
        <w:trPr>
          <w:trHeight w:val="180"/>
          <w:tblCellSpacing w:w="15" w:type="dxa"/>
        </w:trPr>
        <w:tc>
          <w:tcPr>
            <w:tcW w:w="0" w:type="auto"/>
            <w:hideMark/>
          </w:tcPr>
          <w:p w14:paraId="38929927" w14:textId="77777777" w:rsidR="00000000" w:rsidRDefault="00632532">
            <w:pPr>
              <w:pStyle w:val="a3"/>
              <w:spacing w:before="0" w:beforeAutospacing="0" w:after="0" w:afterAutospacing="0"/>
              <w:ind w:left="200"/>
              <w:rPr>
                <w:sz w:val="18"/>
                <w:szCs w:val="18"/>
              </w:rPr>
            </w:pPr>
            <w:r>
              <w:rPr>
                <w:sz w:val="18"/>
                <w:szCs w:val="18"/>
              </w:rPr>
              <w:t>Deferred taxe</w:t>
            </w:r>
            <w:r>
              <w:rPr>
                <w:sz w:val="18"/>
                <w:szCs w:val="18"/>
              </w:rPr>
              <w:t>s</w:t>
            </w:r>
          </w:p>
        </w:tc>
        <w:tc>
          <w:tcPr>
            <w:tcW w:w="0" w:type="auto"/>
            <w:vAlign w:val="bottom"/>
            <w:hideMark/>
          </w:tcPr>
          <w:p w14:paraId="6B0A5218"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05FC564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C85FF6A" w14:textId="77777777" w:rsidR="00000000" w:rsidRDefault="00632532">
            <w:pPr>
              <w:pStyle w:val="a3"/>
              <w:spacing w:before="0" w:beforeAutospacing="0" w:after="0" w:afterAutospacing="0"/>
              <w:jc w:val="right"/>
              <w:rPr>
                <w:sz w:val="20"/>
                <w:szCs w:val="20"/>
              </w:rPr>
            </w:pPr>
            <w:r>
              <w:rPr>
                <w:sz w:val="18"/>
                <w:szCs w:val="18"/>
              </w:rPr>
              <w:t>(</w:t>
            </w:r>
            <w:r>
              <w:rPr>
                <w:sz w:val="18"/>
                <w:szCs w:val="18"/>
              </w:rPr>
              <w:t>7,63</w:t>
            </w:r>
            <w:r>
              <w:rPr>
                <w:sz w:val="18"/>
                <w:szCs w:val="18"/>
              </w:rPr>
              <w:t>9</w:t>
            </w:r>
          </w:p>
        </w:tc>
        <w:tc>
          <w:tcPr>
            <w:tcW w:w="0" w:type="auto"/>
            <w:noWrap/>
            <w:vAlign w:val="bottom"/>
            <w:hideMark/>
          </w:tcPr>
          <w:p w14:paraId="7BA44C63"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69136BB9"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918787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AD33CE9" w14:textId="77777777" w:rsidR="00000000" w:rsidRDefault="00632532">
            <w:pPr>
              <w:pStyle w:val="a3"/>
              <w:spacing w:before="0" w:beforeAutospacing="0" w:after="0" w:afterAutospacing="0"/>
              <w:jc w:val="right"/>
              <w:rPr>
                <w:sz w:val="20"/>
                <w:szCs w:val="20"/>
              </w:rPr>
            </w:pPr>
            <w:r>
              <w:rPr>
                <w:sz w:val="18"/>
                <w:szCs w:val="18"/>
              </w:rPr>
              <w:t>(</w:t>
            </w:r>
            <w:r>
              <w:rPr>
                <w:sz w:val="18"/>
                <w:szCs w:val="18"/>
              </w:rPr>
              <w:t>3,05</w:t>
            </w:r>
            <w:r>
              <w:rPr>
                <w:sz w:val="18"/>
                <w:szCs w:val="18"/>
              </w:rPr>
              <w:t>5</w:t>
            </w:r>
          </w:p>
        </w:tc>
        <w:tc>
          <w:tcPr>
            <w:tcW w:w="0" w:type="auto"/>
            <w:noWrap/>
            <w:vAlign w:val="bottom"/>
            <w:hideMark/>
          </w:tcPr>
          <w:p w14:paraId="04D486E6" w14:textId="77777777" w:rsidR="00000000" w:rsidRDefault="00632532">
            <w:pPr>
              <w:pStyle w:val="a3"/>
              <w:spacing w:before="0" w:beforeAutospacing="0" w:after="0" w:afterAutospacing="0"/>
              <w:rPr>
                <w:sz w:val="18"/>
                <w:szCs w:val="18"/>
              </w:rPr>
            </w:pPr>
            <w:r>
              <w:rPr>
                <w:sz w:val="18"/>
                <w:szCs w:val="18"/>
              </w:rPr>
              <w:t>)</w:t>
            </w:r>
          </w:p>
        </w:tc>
      </w:tr>
      <w:tr w:rsidR="00000000" w14:paraId="25F5582F" w14:textId="77777777">
        <w:trPr>
          <w:trHeight w:val="180"/>
          <w:tblCellSpacing w:w="15" w:type="dxa"/>
        </w:trPr>
        <w:tc>
          <w:tcPr>
            <w:tcW w:w="0" w:type="auto"/>
            <w:hideMark/>
          </w:tcPr>
          <w:p w14:paraId="24B4983B" w14:textId="77777777" w:rsidR="00000000" w:rsidRDefault="00632532">
            <w:pPr>
              <w:pStyle w:val="a3"/>
              <w:spacing w:before="0" w:beforeAutospacing="0" w:after="0" w:afterAutospacing="0"/>
              <w:ind w:left="200"/>
              <w:rPr>
                <w:sz w:val="18"/>
                <w:szCs w:val="18"/>
              </w:rPr>
            </w:pPr>
            <w:r>
              <w:rPr>
                <w:sz w:val="18"/>
                <w:szCs w:val="18"/>
              </w:rPr>
              <w:t>Unrecognized tax benefit</w:t>
            </w:r>
            <w:r>
              <w:rPr>
                <w:sz w:val="18"/>
                <w:szCs w:val="18"/>
              </w:rPr>
              <w:t>s</w:t>
            </w:r>
          </w:p>
        </w:tc>
        <w:tc>
          <w:tcPr>
            <w:tcW w:w="0" w:type="auto"/>
            <w:vAlign w:val="bottom"/>
            <w:hideMark/>
          </w:tcPr>
          <w:p w14:paraId="3F40D411"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351478B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D6753C6" w14:textId="77777777" w:rsidR="00000000" w:rsidRDefault="00632532">
            <w:pPr>
              <w:pStyle w:val="a3"/>
              <w:spacing w:before="0" w:beforeAutospacing="0" w:after="0" w:afterAutospacing="0"/>
              <w:jc w:val="right"/>
              <w:rPr>
                <w:sz w:val="20"/>
                <w:szCs w:val="20"/>
              </w:rPr>
            </w:pPr>
            <w:r>
              <w:rPr>
                <w:sz w:val="18"/>
                <w:szCs w:val="18"/>
              </w:rPr>
              <w:t>1,00</w:t>
            </w:r>
            <w:r>
              <w:rPr>
                <w:sz w:val="18"/>
                <w:szCs w:val="18"/>
              </w:rPr>
              <w:t>5</w:t>
            </w:r>
          </w:p>
        </w:tc>
        <w:tc>
          <w:tcPr>
            <w:tcW w:w="0" w:type="auto"/>
            <w:noWrap/>
            <w:vAlign w:val="bottom"/>
            <w:hideMark/>
          </w:tcPr>
          <w:p w14:paraId="3005D09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A1FD57E"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24E3C2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E66AE42" w14:textId="77777777" w:rsidR="00000000" w:rsidRDefault="00632532">
            <w:pPr>
              <w:pStyle w:val="a3"/>
              <w:spacing w:before="0" w:beforeAutospacing="0" w:after="0" w:afterAutospacing="0"/>
              <w:jc w:val="right"/>
              <w:rPr>
                <w:sz w:val="20"/>
                <w:szCs w:val="20"/>
              </w:rPr>
            </w:pPr>
            <w:r>
              <w:rPr>
                <w:sz w:val="18"/>
                <w:szCs w:val="18"/>
              </w:rPr>
              <w:t>12</w:t>
            </w:r>
            <w:r>
              <w:rPr>
                <w:sz w:val="18"/>
                <w:szCs w:val="18"/>
              </w:rPr>
              <w:t>8</w:t>
            </w:r>
          </w:p>
        </w:tc>
        <w:tc>
          <w:tcPr>
            <w:tcW w:w="0" w:type="auto"/>
            <w:noWrap/>
            <w:vAlign w:val="bottom"/>
            <w:hideMark/>
          </w:tcPr>
          <w:p w14:paraId="7438111C" w14:textId="77777777" w:rsidR="00000000" w:rsidRDefault="00632532">
            <w:pPr>
              <w:pStyle w:val="a3"/>
              <w:spacing w:before="0" w:beforeAutospacing="0" w:after="0" w:afterAutospacing="0"/>
              <w:rPr>
                <w:sz w:val="18"/>
                <w:szCs w:val="18"/>
              </w:rPr>
            </w:pPr>
            <w:r>
              <w:rPr>
                <w:sz w:val="18"/>
                <w:szCs w:val="18"/>
              </w:rPr>
              <w:t> </w:t>
            </w:r>
          </w:p>
        </w:tc>
      </w:tr>
      <w:tr w:rsidR="00000000" w14:paraId="047EB541" w14:textId="77777777">
        <w:trPr>
          <w:trHeight w:val="180"/>
          <w:tblCellSpacing w:w="15" w:type="dxa"/>
        </w:trPr>
        <w:tc>
          <w:tcPr>
            <w:tcW w:w="0" w:type="auto"/>
            <w:hideMark/>
          </w:tcPr>
          <w:p w14:paraId="5044C409" w14:textId="77777777" w:rsidR="00000000" w:rsidRDefault="00632532">
            <w:pPr>
              <w:pStyle w:val="a3"/>
              <w:spacing w:before="0" w:beforeAutospacing="0" w:after="0" w:afterAutospacing="0"/>
              <w:ind w:left="200"/>
              <w:rPr>
                <w:sz w:val="18"/>
                <w:szCs w:val="18"/>
              </w:rPr>
            </w:pPr>
            <w:r>
              <w:rPr>
                <w:sz w:val="18"/>
                <w:szCs w:val="18"/>
              </w:rPr>
              <w:t>Net loss on marketable securitie</w:t>
            </w:r>
            <w:r>
              <w:rPr>
                <w:sz w:val="18"/>
                <w:szCs w:val="18"/>
              </w:rPr>
              <w:t>s</w:t>
            </w:r>
          </w:p>
        </w:tc>
        <w:tc>
          <w:tcPr>
            <w:tcW w:w="0" w:type="auto"/>
            <w:vAlign w:val="bottom"/>
            <w:hideMark/>
          </w:tcPr>
          <w:p w14:paraId="7921799D"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4436EE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A0258EC" w14:textId="77777777" w:rsidR="00000000" w:rsidRDefault="00632532">
            <w:pPr>
              <w:pStyle w:val="a3"/>
              <w:spacing w:before="0" w:beforeAutospacing="0" w:after="0" w:afterAutospacing="0"/>
              <w:jc w:val="right"/>
              <w:rPr>
                <w:sz w:val="20"/>
                <w:szCs w:val="20"/>
              </w:rPr>
            </w:pPr>
            <w:r>
              <w:rPr>
                <w:sz w:val="18"/>
                <w:szCs w:val="18"/>
              </w:rPr>
              <w:t>61</w:t>
            </w:r>
            <w:r>
              <w:rPr>
                <w:sz w:val="18"/>
                <w:szCs w:val="18"/>
              </w:rPr>
              <w:t>7</w:t>
            </w:r>
          </w:p>
        </w:tc>
        <w:tc>
          <w:tcPr>
            <w:tcW w:w="0" w:type="auto"/>
            <w:noWrap/>
            <w:vAlign w:val="bottom"/>
            <w:hideMark/>
          </w:tcPr>
          <w:p w14:paraId="471A611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A0BF697"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7FFD80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D0F1780" w14:textId="77777777" w:rsidR="00000000" w:rsidRDefault="00632532">
            <w:pPr>
              <w:pStyle w:val="a3"/>
              <w:spacing w:before="0" w:beforeAutospacing="0" w:after="0" w:afterAutospacing="0"/>
              <w:jc w:val="right"/>
              <w:rPr>
                <w:sz w:val="20"/>
                <w:szCs w:val="20"/>
              </w:rPr>
            </w:pPr>
            <w:r>
              <w:rPr>
                <w:sz w:val="18"/>
                <w:szCs w:val="18"/>
              </w:rPr>
              <w:t>36</w:t>
            </w:r>
            <w:r>
              <w:rPr>
                <w:sz w:val="18"/>
                <w:szCs w:val="18"/>
              </w:rPr>
              <w:t>0</w:t>
            </w:r>
          </w:p>
        </w:tc>
        <w:tc>
          <w:tcPr>
            <w:tcW w:w="0" w:type="auto"/>
            <w:noWrap/>
            <w:vAlign w:val="bottom"/>
            <w:hideMark/>
          </w:tcPr>
          <w:p w14:paraId="5705619D" w14:textId="77777777" w:rsidR="00000000" w:rsidRDefault="00632532">
            <w:pPr>
              <w:pStyle w:val="a3"/>
              <w:spacing w:before="0" w:beforeAutospacing="0" w:after="0" w:afterAutospacing="0"/>
              <w:rPr>
                <w:sz w:val="18"/>
                <w:szCs w:val="18"/>
              </w:rPr>
            </w:pPr>
            <w:r>
              <w:rPr>
                <w:sz w:val="18"/>
                <w:szCs w:val="18"/>
              </w:rPr>
              <w:t> </w:t>
            </w:r>
          </w:p>
        </w:tc>
      </w:tr>
      <w:tr w:rsidR="00000000" w14:paraId="5DC7AC64" w14:textId="77777777">
        <w:trPr>
          <w:trHeight w:val="180"/>
          <w:tblCellSpacing w:w="15" w:type="dxa"/>
        </w:trPr>
        <w:tc>
          <w:tcPr>
            <w:tcW w:w="0" w:type="auto"/>
            <w:hideMark/>
          </w:tcPr>
          <w:p w14:paraId="0BFC43B3" w14:textId="77777777" w:rsidR="00000000" w:rsidRDefault="00632532">
            <w:pPr>
              <w:pStyle w:val="a3"/>
              <w:spacing w:before="0" w:beforeAutospacing="0" w:after="0" w:afterAutospacing="0"/>
              <w:ind w:left="200"/>
              <w:rPr>
                <w:sz w:val="18"/>
                <w:szCs w:val="18"/>
              </w:rPr>
            </w:pPr>
            <w:r>
              <w:rPr>
                <w:sz w:val="18"/>
                <w:szCs w:val="18"/>
              </w:rPr>
              <w:t>Gain on equity method investmen</w:t>
            </w:r>
            <w:r>
              <w:rPr>
                <w:sz w:val="18"/>
                <w:szCs w:val="18"/>
              </w:rPr>
              <w:t>t</w:t>
            </w:r>
          </w:p>
        </w:tc>
        <w:tc>
          <w:tcPr>
            <w:tcW w:w="0" w:type="auto"/>
            <w:vAlign w:val="bottom"/>
            <w:hideMark/>
          </w:tcPr>
          <w:p w14:paraId="67BDEFA2"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C9F103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D3ECDB2"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D66284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3238343"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046F4AA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C8EB930" w14:textId="77777777" w:rsidR="00000000" w:rsidRDefault="00632532">
            <w:pPr>
              <w:pStyle w:val="a3"/>
              <w:spacing w:before="0" w:beforeAutospacing="0" w:after="0" w:afterAutospacing="0"/>
              <w:jc w:val="right"/>
              <w:rPr>
                <w:sz w:val="20"/>
                <w:szCs w:val="20"/>
              </w:rPr>
            </w:pPr>
            <w:r>
              <w:rPr>
                <w:sz w:val="18"/>
                <w:szCs w:val="18"/>
              </w:rPr>
              <w:t>(</w:t>
            </w:r>
            <w:r>
              <w:rPr>
                <w:sz w:val="18"/>
                <w:szCs w:val="18"/>
              </w:rPr>
              <w:t>3,73</w:t>
            </w:r>
            <w:r>
              <w:rPr>
                <w:sz w:val="18"/>
                <w:szCs w:val="18"/>
              </w:rPr>
              <w:t>4</w:t>
            </w:r>
          </w:p>
        </w:tc>
        <w:tc>
          <w:tcPr>
            <w:tcW w:w="0" w:type="auto"/>
            <w:noWrap/>
            <w:vAlign w:val="bottom"/>
            <w:hideMark/>
          </w:tcPr>
          <w:p w14:paraId="4A6347D6" w14:textId="77777777" w:rsidR="00000000" w:rsidRDefault="00632532">
            <w:pPr>
              <w:pStyle w:val="a3"/>
              <w:spacing w:before="0" w:beforeAutospacing="0" w:after="0" w:afterAutospacing="0"/>
              <w:rPr>
                <w:sz w:val="18"/>
                <w:szCs w:val="18"/>
              </w:rPr>
            </w:pPr>
            <w:r>
              <w:rPr>
                <w:sz w:val="18"/>
                <w:szCs w:val="18"/>
              </w:rPr>
              <w:t>)</w:t>
            </w:r>
          </w:p>
        </w:tc>
      </w:tr>
      <w:tr w:rsidR="00000000" w14:paraId="7E10340F" w14:textId="77777777">
        <w:trPr>
          <w:trHeight w:val="180"/>
          <w:tblCellSpacing w:w="15" w:type="dxa"/>
        </w:trPr>
        <w:tc>
          <w:tcPr>
            <w:tcW w:w="0" w:type="auto"/>
            <w:hideMark/>
          </w:tcPr>
          <w:p w14:paraId="502D5563" w14:textId="77777777" w:rsidR="00000000" w:rsidRDefault="00632532">
            <w:pPr>
              <w:pStyle w:val="a3"/>
              <w:spacing w:before="0" w:beforeAutospacing="0" w:after="0" w:afterAutospacing="0"/>
              <w:ind w:left="200"/>
              <w:rPr>
                <w:sz w:val="18"/>
                <w:szCs w:val="18"/>
              </w:rPr>
            </w:pPr>
            <w:r>
              <w:rPr>
                <w:sz w:val="18"/>
                <w:szCs w:val="18"/>
              </w:rPr>
              <w:t>Othe</w:t>
            </w:r>
            <w:r>
              <w:rPr>
                <w:sz w:val="18"/>
                <w:szCs w:val="18"/>
              </w:rPr>
              <w:t>r</w:t>
            </w:r>
          </w:p>
        </w:tc>
        <w:tc>
          <w:tcPr>
            <w:tcW w:w="0" w:type="auto"/>
            <w:vAlign w:val="bottom"/>
            <w:hideMark/>
          </w:tcPr>
          <w:p w14:paraId="7631A7BB"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9FC98E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A83E729" w14:textId="77777777" w:rsidR="00000000" w:rsidRDefault="00632532">
            <w:pPr>
              <w:pStyle w:val="a3"/>
              <w:spacing w:before="0" w:beforeAutospacing="0" w:after="0" w:afterAutospacing="0"/>
              <w:jc w:val="right"/>
              <w:rPr>
                <w:sz w:val="20"/>
                <w:szCs w:val="20"/>
              </w:rPr>
            </w:pPr>
            <w:r>
              <w:rPr>
                <w:sz w:val="18"/>
                <w:szCs w:val="18"/>
              </w:rPr>
              <w:t>(</w:t>
            </w:r>
            <w:r>
              <w:rPr>
                <w:sz w:val="18"/>
                <w:szCs w:val="18"/>
              </w:rPr>
              <w:t>1</w:t>
            </w:r>
            <w:r>
              <w:rPr>
                <w:sz w:val="18"/>
                <w:szCs w:val="18"/>
              </w:rPr>
              <w:t>7</w:t>
            </w:r>
          </w:p>
        </w:tc>
        <w:tc>
          <w:tcPr>
            <w:tcW w:w="0" w:type="auto"/>
            <w:noWrap/>
            <w:vAlign w:val="bottom"/>
            <w:hideMark/>
          </w:tcPr>
          <w:p w14:paraId="5147DDAB"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4D0FD7CA"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3D6451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E253BA0" w14:textId="77777777" w:rsidR="00000000" w:rsidRDefault="00632532">
            <w:pPr>
              <w:pStyle w:val="a3"/>
              <w:spacing w:before="0" w:beforeAutospacing="0" w:after="0" w:afterAutospacing="0"/>
              <w:jc w:val="right"/>
              <w:rPr>
                <w:sz w:val="20"/>
                <w:szCs w:val="20"/>
              </w:rPr>
            </w:pPr>
            <w:r>
              <w:rPr>
                <w:sz w:val="18"/>
                <w:szCs w:val="18"/>
              </w:rPr>
              <w:t>(</w:t>
            </w:r>
            <w:r>
              <w:rPr>
                <w:sz w:val="18"/>
                <w:szCs w:val="18"/>
              </w:rPr>
              <w:t>8</w:t>
            </w:r>
          </w:p>
        </w:tc>
        <w:tc>
          <w:tcPr>
            <w:tcW w:w="0" w:type="auto"/>
            <w:noWrap/>
            <w:vAlign w:val="bottom"/>
            <w:hideMark/>
          </w:tcPr>
          <w:p w14:paraId="756D52D9" w14:textId="77777777" w:rsidR="00000000" w:rsidRDefault="00632532">
            <w:pPr>
              <w:pStyle w:val="a3"/>
              <w:spacing w:before="0" w:beforeAutospacing="0" w:after="0" w:afterAutospacing="0"/>
              <w:rPr>
                <w:sz w:val="18"/>
                <w:szCs w:val="18"/>
              </w:rPr>
            </w:pPr>
            <w:r>
              <w:rPr>
                <w:sz w:val="18"/>
                <w:szCs w:val="18"/>
              </w:rPr>
              <w:t>)</w:t>
            </w:r>
          </w:p>
        </w:tc>
      </w:tr>
      <w:tr w:rsidR="00000000" w14:paraId="776CD976" w14:textId="77777777">
        <w:trPr>
          <w:trHeight w:val="180"/>
          <w:tblCellSpacing w:w="15" w:type="dxa"/>
        </w:trPr>
        <w:tc>
          <w:tcPr>
            <w:tcW w:w="0" w:type="auto"/>
            <w:hideMark/>
          </w:tcPr>
          <w:p w14:paraId="4EAA0C93" w14:textId="77777777" w:rsidR="00000000" w:rsidRDefault="00632532">
            <w:pPr>
              <w:pStyle w:val="a3"/>
              <w:spacing w:before="0" w:beforeAutospacing="0" w:after="0" w:afterAutospacing="0"/>
              <w:ind w:left="200"/>
              <w:rPr>
                <w:sz w:val="18"/>
                <w:szCs w:val="18"/>
              </w:rPr>
            </w:pPr>
            <w:r>
              <w:rPr>
                <w:sz w:val="18"/>
                <w:szCs w:val="18"/>
              </w:rPr>
              <w:t>Changes in operating assets and liabilities</w:t>
            </w:r>
            <w:r>
              <w:rPr>
                <w:sz w:val="18"/>
                <w:szCs w:val="18"/>
              </w:rPr>
              <w:t>:</w:t>
            </w:r>
          </w:p>
        </w:tc>
        <w:tc>
          <w:tcPr>
            <w:tcW w:w="0" w:type="auto"/>
            <w:vAlign w:val="bottom"/>
            <w:hideMark/>
          </w:tcPr>
          <w:p w14:paraId="6CB1373F"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65A14F8A"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78755172"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47C28D55"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0DB4C6BB"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6B38A708" w14:textId="77777777" w:rsidR="00000000" w:rsidRDefault="00632532">
            <w:pPr>
              <w:pStyle w:val="a3"/>
              <w:spacing w:before="0" w:beforeAutospacing="0" w:after="0" w:afterAutospacing="0"/>
              <w:jc w:val="right"/>
              <w:rPr>
                <w:sz w:val="18"/>
                <w:szCs w:val="18"/>
              </w:rPr>
            </w:pPr>
            <w:r>
              <w:rPr>
                <w:sz w:val="18"/>
                <w:szCs w:val="18"/>
              </w:rPr>
              <w:t> </w:t>
            </w:r>
          </w:p>
        </w:tc>
      </w:tr>
      <w:tr w:rsidR="00000000" w14:paraId="431AD64F" w14:textId="77777777">
        <w:trPr>
          <w:trHeight w:val="180"/>
          <w:tblCellSpacing w:w="15" w:type="dxa"/>
        </w:trPr>
        <w:tc>
          <w:tcPr>
            <w:tcW w:w="0" w:type="auto"/>
            <w:hideMark/>
          </w:tcPr>
          <w:p w14:paraId="25DF71F0" w14:textId="77777777" w:rsidR="00000000" w:rsidRDefault="00632532">
            <w:pPr>
              <w:pStyle w:val="a3"/>
              <w:spacing w:before="0" w:beforeAutospacing="0" w:after="0" w:afterAutospacing="0"/>
              <w:ind w:left="400"/>
              <w:rPr>
                <w:sz w:val="18"/>
                <w:szCs w:val="18"/>
              </w:rPr>
            </w:pPr>
            <w:r>
              <w:rPr>
                <w:sz w:val="18"/>
                <w:szCs w:val="18"/>
              </w:rPr>
              <w:t>Trade accounts receivabl</w:t>
            </w:r>
            <w:r>
              <w:rPr>
                <w:sz w:val="18"/>
                <w:szCs w:val="18"/>
              </w:rPr>
              <w:t>e</w:t>
            </w:r>
          </w:p>
        </w:tc>
        <w:tc>
          <w:tcPr>
            <w:tcW w:w="0" w:type="auto"/>
            <w:vAlign w:val="bottom"/>
            <w:hideMark/>
          </w:tcPr>
          <w:p w14:paraId="0822D796"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3BB54F5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5B178C6" w14:textId="77777777" w:rsidR="00000000" w:rsidRDefault="00632532">
            <w:pPr>
              <w:pStyle w:val="a3"/>
              <w:spacing w:before="0" w:beforeAutospacing="0" w:after="0" w:afterAutospacing="0"/>
              <w:jc w:val="right"/>
              <w:rPr>
                <w:sz w:val="20"/>
                <w:szCs w:val="20"/>
              </w:rPr>
            </w:pPr>
            <w:r>
              <w:rPr>
                <w:sz w:val="18"/>
                <w:szCs w:val="18"/>
              </w:rPr>
              <w:t>1,80</w:t>
            </w:r>
            <w:r>
              <w:rPr>
                <w:sz w:val="18"/>
                <w:szCs w:val="18"/>
              </w:rPr>
              <w:t>2</w:t>
            </w:r>
          </w:p>
        </w:tc>
        <w:tc>
          <w:tcPr>
            <w:tcW w:w="0" w:type="auto"/>
            <w:noWrap/>
            <w:vAlign w:val="bottom"/>
            <w:hideMark/>
          </w:tcPr>
          <w:p w14:paraId="7473184C"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E7809AD"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E182B9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04DB997" w14:textId="77777777" w:rsidR="00000000" w:rsidRDefault="00632532">
            <w:pPr>
              <w:pStyle w:val="a3"/>
              <w:spacing w:before="0" w:beforeAutospacing="0" w:after="0" w:afterAutospacing="0"/>
              <w:jc w:val="right"/>
              <w:rPr>
                <w:sz w:val="20"/>
                <w:szCs w:val="20"/>
              </w:rPr>
            </w:pPr>
            <w:r>
              <w:rPr>
                <w:sz w:val="18"/>
                <w:szCs w:val="18"/>
              </w:rPr>
              <w:t>32,46</w:t>
            </w:r>
            <w:r>
              <w:rPr>
                <w:sz w:val="18"/>
                <w:szCs w:val="18"/>
              </w:rPr>
              <w:t>0</w:t>
            </w:r>
          </w:p>
        </w:tc>
        <w:tc>
          <w:tcPr>
            <w:tcW w:w="0" w:type="auto"/>
            <w:noWrap/>
            <w:vAlign w:val="bottom"/>
            <w:hideMark/>
          </w:tcPr>
          <w:p w14:paraId="20D5BF5B" w14:textId="77777777" w:rsidR="00000000" w:rsidRDefault="00632532">
            <w:pPr>
              <w:pStyle w:val="a3"/>
              <w:spacing w:before="0" w:beforeAutospacing="0" w:after="0" w:afterAutospacing="0"/>
              <w:rPr>
                <w:sz w:val="18"/>
                <w:szCs w:val="18"/>
              </w:rPr>
            </w:pPr>
            <w:r>
              <w:rPr>
                <w:sz w:val="18"/>
                <w:szCs w:val="18"/>
              </w:rPr>
              <w:t> </w:t>
            </w:r>
          </w:p>
        </w:tc>
      </w:tr>
      <w:tr w:rsidR="00000000" w14:paraId="71239E4F" w14:textId="77777777">
        <w:trPr>
          <w:trHeight w:val="180"/>
          <w:tblCellSpacing w:w="15" w:type="dxa"/>
        </w:trPr>
        <w:tc>
          <w:tcPr>
            <w:tcW w:w="0" w:type="auto"/>
            <w:hideMark/>
          </w:tcPr>
          <w:p w14:paraId="779C5CC7" w14:textId="77777777" w:rsidR="00000000" w:rsidRDefault="00632532">
            <w:pPr>
              <w:pStyle w:val="a3"/>
              <w:spacing w:before="0" w:beforeAutospacing="0" w:after="0" w:afterAutospacing="0"/>
              <w:ind w:left="400"/>
              <w:rPr>
                <w:sz w:val="18"/>
                <w:szCs w:val="18"/>
              </w:rPr>
            </w:pPr>
            <w:r>
              <w:rPr>
                <w:sz w:val="18"/>
                <w:szCs w:val="18"/>
              </w:rPr>
              <w:t>Other current and long-term asset</w:t>
            </w:r>
            <w:r>
              <w:rPr>
                <w:sz w:val="18"/>
                <w:szCs w:val="18"/>
              </w:rPr>
              <w:t>s</w:t>
            </w:r>
          </w:p>
        </w:tc>
        <w:tc>
          <w:tcPr>
            <w:tcW w:w="0" w:type="auto"/>
            <w:vAlign w:val="bottom"/>
            <w:hideMark/>
          </w:tcPr>
          <w:p w14:paraId="44A03474"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109313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8B1D41C" w14:textId="77777777" w:rsidR="00000000" w:rsidRDefault="00632532">
            <w:pPr>
              <w:pStyle w:val="a3"/>
              <w:spacing w:before="0" w:beforeAutospacing="0" w:after="0" w:afterAutospacing="0"/>
              <w:jc w:val="right"/>
              <w:rPr>
                <w:sz w:val="20"/>
                <w:szCs w:val="20"/>
              </w:rPr>
            </w:pPr>
            <w:r>
              <w:rPr>
                <w:sz w:val="18"/>
                <w:szCs w:val="18"/>
              </w:rPr>
              <w:t>(</w:t>
            </w:r>
            <w:r>
              <w:rPr>
                <w:sz w:val="18"/>
                <w:szCs w:val="18"/>
              </w:rPr>
              <w:t>1,85</w:t>
            </w:r>
            <w:r>
              <w:rPr>
                <w:sz w:val="18"/>
                <w:szCs w:val="18"/>
              </w:rPr>
              <w:t>4</w:t>
            </w:r>
          </w:p>
        </w:tc>
        <w:tc>
          <w:tcPr>
            <w:tcW w:w="0" w:type="auto"/>
            <w:noWrap/>
            <w:vAlign w:val="bottom"/>
            <w:hideMark/>
          </w:tcPr>
          <w:p w14:paraId="09231ACE"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2C80224"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E06E67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9C500DC" w14:textId="77777777" w:rsidR="00000000" w:rsidRDefault="00632532">
            <w:pPr>
              <w:pStyle w:val="a3"/>
              <w:spacing w:before="0" w:beforeAutospacing="0" w:after="0" w:afterAutospacing="0"/>
              <w:jc w:val="right"/>
              <w:rPr>
                <w:sz w:val="20"/>
                <w:szCs w:val="20"/>
              </w:rPr>
            </w:pPr>
            <w:r>
              <w:rPr>
                <w:sz w:val="18"/>
                <w:szCs w:val="18"/>
              </w:rPr>
              <w:t>(</w:t>
            </w:r>
            <w:r>
              <w:rPr>
                <w:sz w:val="18"/>
                <w:szCs w:val="18"/>
              </w:rPr>
              <w:t>6,02</w:t>
            </w:r>
            <w:r>
              <w:rPr>
                <w:sz w:val="18"/>
                <w:szCs w:val="18"/>
              </w:rPr>
              <w:t>5</w:t>
            </w:r>
          </w:p>
        </w:tc>
        <w:tc>
          <w:tcPr>
            <w:tcW w:w="0" w:type="auto"/>
            <w:noWrap/>
            <w:vAlign w:val="bottom"/>
            <w:hideMark/>
          </w:tcPr>
          <w:p w14:paraId="35BEBB49" w14:textId="77777777" w:rsidR="00000000" w:rsidRDefault="00632532">
            <w:pPr>
              <w:pStyle w:val="a3"/>
              <w:spacing w:before="0" w:beforeAutospacing="0" w:after="0" w:afterAutospacing="0"/>
              <w:rPr>
                <w:sz w:val="18"/>
                <w:szCs w:val="18"/>
              </w:rPr>
            </w:pPr>
            <w:r>
              <w:rPr>
                <w:sz w:val="18"/>
                <w:szCs w:val="18"/>
              </w:rPr>
              <w:t>)</w:t>
            </w:r>
          </w:p>
        </w:tc>
      </w:tr>
      <w:tr w:rsidR="00000000" w14:paraId="22818C72" w14:textId="77777777">
        <w:trPr>
          <w:trHeight w:val="180"/>
          <w:tblCellSpacing w:w="15" w:type="dxa"/>
        </w:trPr>
        <w:tc>
          <w:tcPr>
            <w:tcW w:w="0" w:type="auto"/>
            <w:hideMark/>
          </w:tcPr>
          <w:p w14:paraId="7E7D1EC7" w14:textId="77777777" w:rsidR="00000000" w:rsidRDefault="00632532">
            <w:pPr>
              <w:pStyle w:val="a3"/>
              <w:spacing w:before="0" w:beforeAutospacing="0" w:after="0" w:afterAutospacing="0"/>
              <w:ind w:left="400"/>
              <w:rPr>
                <w:sz w:val="18"/>
                <w:szCs w:val="18"/>
              </w:rPr>
            </w:pPr>
            <w:r>
              <w:rPr>
                <w:sz w:val="18"/>
                <w:szCs w:val="18"/>
              </w:rPr>
              <w:t>Accounts payabl</w:t>
            </w:r>
            <w:r>
              <w:rPr>
                <w:sz w:val="18"/>
                <w:szCs w:val="18"/>
              </w:rPr>
              <w:t>e</w:t>
            </w:r>
          </w:p>
        </w:tc>
        <w:tc>
          <w:tcPr>
            <w:tcW w:w="0" w:type="auto"/>
            <w:vAlign w:val="bottom"/>
            <w:hideMark/>
          </w:tcPr>
          <w:p w14:paraId="2112AFA8"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4E9812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D0C3C5C" w14:textId="77777777" w:rsidR="00000000" w:rsidRDefault="00632532">
            <w:pPr>
              <w:pStyle w:val="a3"/>
              <w:spacing w:before="0" w:beforeAutospacing="0" w:after="0" w:afterAutospacing="0"/>
              <w:jc w:val="right"/>
              <w:rPr>
                <w:sz w:val="20"/>
                <w:szCs w:val="20"/>
              </w:rPr>
            </w:pPr>
            <w:r>
              <w:rPr>
                <w:sz w:val="18"/>
                <w:szCs w:val="18"/>
              </w:rPr>
              <w:t>(</w:t>
            </w:r>
            <w:r>
              <w:rPr>
                <w:sz w:val="18"/>
                <w:szCs w:val="18"/>
              </w:rPr>
              <w:t>10,25</w:t>
            </w:r>
            <w:r>
              <w:rPr>
                <w:sz w:val="18"/>
                <w:szCs w:val="18"/>
              </w:rPr>
              <w:t>8</w:t>
            </w:r>
          </w:p>
        </w:tc>
        <w:tc>
          <w:tcPr>
            <w:tcW w:w="0" w:type="auto"/>
            <w:noWrap/>
            <w:vAlign w:val="bottom"/>
            <w:hideMark/>
          </w:tcPr>
          <w:p w14:paraId="0974800C"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5561121E"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0800E6D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5A55739" w14:textId="77777777" w:rsidR="00000000" w:rsidRDefault="00632532">
            <w:pPr>
              <w:pStyle w:val="a3"/>
              <w:spacing w:before="0" w:beforeAutospacing="0" w:after="0" w:afterAutospacing="0"/>
              <w:jc w:val="right"/>
              <w:rPr>
                <w:sz w:val="20"/>
                <w:szCs w:val="20"/>
              </w:rPr>
            </w:pPr>
            <w:r>
              <w:rPr>
                <w:sz w:val="18"/>
                <w:szCs w:val="18"/>
              </w:rPr>
              <w:t>(</w:t>
            </w:r>
            <w:r>
              <w:rPr>
                <w:sz w:val="18"/>
                <w:szCs w:val="18"/>
              </w:rPr>
              <w:t>10,25</w:t>
            </w:r>
            <w:r>
              <w:rPr>
                <w:sz w:val="18"/>
                <w:szCs w:val="18"/>
              </w:rPr>
              <w:t>6</w:t>
            </w:r>
          </w:p>
        </w:tc>
        <w:tc>
          <w:tcPr>
            <w:tcW w:w="0" w:type="auto"/>
            <w:noWrap/>
            <w:vAlign w:val="bottom"/>
            <w:hideMark/>
          </w:tcPr>
          <w:p w14:paraId="530FDC41" w14:textId="77777777" w:rsidR="00000000" w:rsidRDefault="00632532">
            <w:pPr>
              <w:pStyle w:val="a3"/>
              <w:spacing w:before="0" w:beforeAutospacing="0" w:after="0" w:afterAutospacing="0"/>
              <w:rPr>
                <w:sz w:val="18"/>
                <w:szCs w:val="18"/>
              </w:rPr>
            </w:pPr>
            <w:r>
              <w:rPr>
                <w:sz w:val="18"/>
                <w:szCs w:val="18"/>
              </w:rPr>
              <w:t>)</w:t>
            </w:r>
          </w:p>
        </w:tc>
      </w:tr>
      <w:tr w:rsidR="00000000" w14:paraId="4C7B0A27" w14:textId="77777777">
        <w:trPr>
          <w:trHeight w:val="180"/>
          <w:tblCellSpacing w:w="15" w:type="dxa"/>
        </w:trPr>
        <w:tc>
          <w:tcPr>
            <w:tcW w:w="0" w:type="auto"/>
            <w:hideMark/>
          </w:tcPr>
          <w:p w14:paraId="5EF5BB4B" w14:textId="77777777" w:rsidR="00000000" w:rsidRDefault="00632532">
            <w:pPr>
              <w:pStyle w:val="a3"/>
              <w:spacing w:before="0" w:beforeAutospacing="0" w:after="0" w:afterAutospacing="0"/>
              <w:ind w:left="400"/>
              <w:rPr>
                <w:sz w:val="18"/>
                <w:szCs w:val="18"/>
              </w:rPr>
            </w:pPr>
            <w:r>
              <w:rPr>
                <w:sz w:val="18"/>
                <w:szCs w:val="18"/>
              </w:rPr>
              <w:t>Income tax payabl</w:t>
            </w:r>
            <w:r>
              <w:rPr>
                <w:sz w:val="18"/>
                <w:szCs w:val="18"/>
              </w:rPr>
              <w:t>e</w:t>
            </w:r>
          </w:p>
        </w:tc>
        <w:tc>
          <w:tcPr>
            <w:tcW w:w="0" w:type="auto"/>
            <w:vAlign w:val="bottom"/>
            <w:hideMark/>
          </w:tcPr>
          <w:p w14:paraId="141F09D6"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05C9053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BD940AF" w14:textId="77777777" w:rsidR="00000000" w:rsidRDefault="00632532">
            <w:pPr>
              <w:pStyle w:val="a3"/>
              <w:spacing w:before="0" w:beforeAutospacing="0" w:after="0" w:afterAutospacing="0"/>
              <w:jc w:val="right"/>
              <w:rPr>
                <w:sz w:val="20"/>
                <w:szCs w:val="20"/>
              </w:rPr>
            </w:pPr>
            <w:r>
              <w:rPr>
                <w:sz w:val="18"/>
                <w:szCs w:val="18"/>
              </w:rPr>
              <w:t>1,97</w:t>
            </w:r>
            <w:r>
              <w:rPr>
                <w:sz w:val="18"/>
                <w:szCs w:val="18"/>
              </w:rPr>
              <w:t>8</w:t>
            </w:r>
          </w:p>
        </w:tc>
        <w:tc>
          <w:tcPr>
            <w:tcW w:w="0" w:type="auto"/>
            <w:noWrap/>
            <w:vAlign w:val="bottom"/>
            <w:hideMark/>
          </w:tcPr>
          <w:p w14:paraId="2893342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245311C"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379D0B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348081F" w14:textId="77777777" w:rsidR="00000000" w:rsidRDefault="00632532">
            <w:pPr>
              <w:pStyle w:val="a3"/>
              <w:spacing w:before="0" w:beforeAutospacing="0" w:after="0" w:afterAutospacing="0"/>
              <w:jc w:val="right"/>
              <w:rPr>
                <w:sz w:val="20"/>
                <w:szCs w:val="20"/>
              </w:rPr>
            </w:pPr>
            <w:r>
              <w:rPr>
                <w:sz w:val="18"/>
                <w:szCs w:val="18"/>
              </w:rPr>
              <w:t>(</w:t>
            </w:r>
            <w:r>
              <w:rPr>
                <w:sz w:val="18"/>
                <w:szCs w:val="18"/>
              </w:rPr>
              <w:t>26,92</w:t>
            </w:r>
            <w:r>
              <w:rPr>
                <w:sz w:val="18"/>
                <w:szCs w:val="18"/>
              </w:rPr>
              <w:t>0</w:t>
            </w:r>
          </w:p>
        </w:tc>
        <w:tc>
          <w:tcPr>
            <w:tcW w:w="0" w:type="auto"/>
            <w:noWrap/>
            <w:vAlign w:val="bottom"/>
            <w:hideMark/>
          </w:tcPr>
          <w:p w14:paraId="4D6C3D5D" w14:textId="77777777" w:rsidR="00000000" w:rsidRDefault="00632532">
            <w:pPr>
              <w:pStyle w:val="a3"/>
              <w:spacing w:before="0" w:beforeAutospacing="0" w:after="0" w:afterAutospacing="0"/>
              <w:rPr>
                <w:sz w:val="18"/>
                <w:szCs w:val="18"/>
              </w:rPr>
            </w:pPr>
            <w:r>
              <w:rPr>
                <w:sz w:val="18"/>
                <w:szCs w:val="18"/>
              </w:rPr>
              <w:t>)</w:t>
            </w:r>
          </w:p>
        </w:tc>
      </w:tr>
      <w:tr w:rsidR="00000000" w14:paraId="7359DA63" w14:textId="77777777">
        <w:trPr>
          <w:trHeight w:val="180"/>
          <w:tblCellSpacing w:w="15" w:type="dxa"/>
        </w:trPr>
        <w:tc>
          <w:tcPr>
            <w:tcW w:w="0" w:type="auto"/>
            <w:hideMark/>
          </w:tcPr>
          <w:p w14:paraId="27414D31" w14:textId="77777777" w:rsidR="00000000" w:rsidRDefault="00632532">
            <w:pPr>
              <w:pStyle w:val="a3"/>
              <w:spacing w:before="0" w:beforeAutospacing="0" w:after="0" w:afterAutospacing="0"/>
              <w:ind w:left="400"/>
              <w:rPr>
                <w:sz w:val="18"/>
                <w:szCs w:val="18"/>
              </w:rPr>
            </w:pPr>
            <w:r>
              <w:rPr>
                <w:sz w:val="18"/>
                <w:szCs w:val="18"/>
              </w:rPr>
              <w:t>Accrued liabilities and other liabilitie</w:t>
            </w:r>
            <w:r>
              <w:rPr>
                <w:sz w:val="18"/>
                <w:szCs w:val="18"/>
              </w:rPr>
              <w:t>s</w:t>
            </w:r>
          </w:p>
        </w:tc>
        <w:tc>
          <w:tcPr>
            <w:tcW w:w="0" w:type="auto"/>
            <w:vAlign w:val="bottom"/>
            <w:hideMark/>
          </w:tcPr>
          <w:p w14:paraId="0F3B0E2C"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79B586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D9AED30" w14:textId="77777777" w:rsidR="00000000" w:rsidRDefault="00632532">
            <w:pPr>
              <w:pStyle w:val="a3"/>
              <w:spacing w:before="0" w:beforeAutospacing="0" w:after="0" w:afterAutospacing="0"/>
              <w:jc w:val="right"/>
              <w:rPr>
                <w:sz w:val="20"/>
                <w:szCs w:val="20"/>
              </w:rPr>
            </w:pPr>
            <w:r>
              <w:rPr>
                <w:sz w:val="18"/>
                <w:szCs w:val="18"/>
              </w:rPr>
              <w:t>26</w:t>
            </w:r>
            <w:r>
              <w:rPr>
                <w:sz w:val="18"/>
                <w:szCs w:val="18"/>
              </w:rPr>
              <w:t>4</w:t>
            </w:r>
          </w:p>
        </w:tc>
        <w:tc>
          <w:tcPr>
            <w:tcW w:w="0" w:type="auto"/>
            <w:noWrap/>
            <w:vAlign w:val="bottom"/>
            <w:hideMark/>
          </w:tcPr>
          <w:p w14:paraId="4B8A23C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D8A6A60"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21F8E6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FA63791" w14:textId="77777777" w:rsidR="00000000" w:rsidRDefault="00632532">
            <w:pPr>
              <w:pStyle w:val="a3"/>
              <w:spacing w:before="0" w:beforeAutospacing="0" w:after="0" w:afterAutospacing="0"/>
              <w:jc w:val="right"/>
              <w:rPr>
                <w:sz w:val="20"/>
                <w:szCs w:val="20"/>
              </w:rPr>
            </w:pPr>
            <w:r>
              <w:rPr>
                <w:sz w:val="18"/>
                <w:szCs w:val="18"/>
              </w:rPr>
              <w:t>28,14</w:t>
            </w:r>
            <w:r>
              <w:rPr>
                <w:sz w:val="18"/>
                <w:szCs w:val="18"/>
              </w:rPr>
              <w:t>1</w:t>
            </w:r>
          </w:p>
        </w:tc>
        <w:tc>
          <w:tcPr>
            <w:tcW w:w="0" w:type="auto"/>
            <w:noWrap/>
            <w:vAlign w:val="bottom"/>
            <w:hideMark/>
          </w:tcPr>
          <w:p w14:paraId="06AE9A15" w14:textId="77777777" w:rsidR="00000000" w:rsidRDefault="00632532">
            <w:pPr>
              <w:pStyle w:val="a3"/>
              <w:spacing w:before="0" w:beforeAutospacing="0" w:after="0" w:afterAutospacing="0"/>
              <w:rPr>
                <w:sz w:val="18"/>
                <w:szCs w:val="18"/>
              </w:rPr>
            </w:pPr>
            <w:r>
              <w:rPr>
                <w:sz w:val="18"/>
                <w:szCs w:val="18"/>
              </w:rPr>
              <w:t> </w:t>
            </w:r>
          </w:p>
        </w:tc>
      </w:tr>
      <w:tr w:rsidR="00000000" w14:paraId="3AEEF2C3" w14:textId="77777777">
        <w:trPr>
          <w:trHeight w:val="180"/>
          <w:tblCellSpacing w:w="15" w:type="dxa"/>
        </w:trPr>
        <w:tc>
          <w:tcPr>
            <w:tcW w:w="0" w:type="auto"/>
            <w:hideMark/>
          </w:tcPr>
          <w:p w14:paraId="591C0219" w14:textId="77777777" w:rsidR="00000000" w:rsidRDefault="00632532">
            <w:pPr>
              <w:pStyle w:val="a3"/>
              <w:spacing w:before="0" w:beforeAutospacing="0" w:after="0" w:afterAutospacing="0"/>
              <w:ind w:left="400"/>
              <w:rPr>
                <w:sz w:val="18"/>
                <w:szCs w:val="18"/>
              </w:rPr>
            </w:pPr>
            <w:r>
              <w:rPr>
                <w:sz w:val="18"/>
                <w:szCs w:val="18"/>
              </w:rPr>
              <w:t>Operating and finance lease liabilitie</w:t>
            </w:r>
            <w:r>
              <w:rPr>
                <w:sz w:val="18"/>
                <w:szCs w:val="18"/>
              </w:rPr>
              <w:t>s</w:t>
            </w:r>
          </w:p>
        </w:tc>
        <w:tc>
          <w:tcPr>
            <w:tcW w:w="0" w:type="auto"/>
            <w:vAlign w:val="bottom"/>
            <w:hideMark/>
          </w:tcPr>
          <w:p w14:paraId="228955EC"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09B1F43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AF36FCD" w14:textId="77777777" w:rsidR="00000000" w:rsidRDefault="00632532">
            <w:pPr>
              <w:pStyle w:val="a3"/>
              <w:spacing w:before="0" w:beforeAutospacing="0" w:after="0" w:afterAutospacing="0"/>
              <w:jc w:val="right"/>
              <w:rPr>
                <w:sz w:val="20"/>
                <w:szCs w:val="20"/>
              </w:rPr>
            </w:pPr>
            <w:r>
              <w:rPr>
                <w:sz w:val="18"/>
                <w:szCs w:val="18"/>
              </w:rPr>
              <w:t>(</w:t>
            </w:r>
            <w:r>
              <w:rPr>
                <w:sz w:val="18"/>
                <w:szCs w:val="18"/>
              </w:rPr>
              <w:t>1,67</w:t>
            </w:r>
            <w:r>
              <w:rPr>
                <w:sz w:val="18"/>
                <w:szCs w:val="18"/>
              </w:rPr>
              <w:t>9</w:t>
            </w:r>
          </w:p>
        </w:tc>
        <w:tc>
          <w:tcPr>
            <w:tcW w:w="0" w:type="auto"/>
            <w:noWrap/>
            <w:vAlign w:val="bottom"/>
            <w:hideMark/>
          </w:tcPr>
          <w:p w14:paraId="3814C252"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0F6F9C22"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47C57DB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E75E778" w14:textId="77777777" w:rsidR="00000000" w:rsidRDefault="00632532">
            <w:pPr>
              <w:pStyle w:val="a3"/>
              <w:spacing w:before="0" w:beforeAutospacing="0" w:after="0" w:afterAutospacing="0"/>
              <w:jc w:val="right"/>
              <w:rPr>
                <w:sz w:val="20"/>
                <w:szCs w:val="20"/>
              </w:rPr>
            </w:pPr>
            <w:r>
              <w:rPr>
                <w:sz w:val="18"/>
                <w:szCs w:val="18"/>
              </w:rPr>
              <w:t>(</w:t>
            </w:r>
            <w:r>
              <w:rPr>
                <w:sz w:val="18"/>
                <w:szCs w:val="18"/>
              </w:rPr>
              <w:t>29</w:t>
            </w:r>
            <w:r>
              <w:rPr>
                <w:sz w:val="18"/>
                <w:szCs w:val="18"/>
              </w:rPr>
              <w:t>3</w:t>
            </w:r>
          </w:p>
        </w:tc>
        <w:tc>
          <w:tcPr>
            <w:tcW w:w="0" w:type="auto"/>
            <w:noWrap/>
            <w:vAlign w:val="bottom"/>
            <w:hideMark/>
          </w:tcPr>
          <w:p w14:paraId="0C3DD3B1" w14:textId="77777777" w:rsidR="00000000" w:rsidRDefault="00632532">
            <w:pPr>
              <w:pStyle w:val="a3"/>
              <w:spacing w:before="0" w:beforeAutospacing="0" w:after="0" w:afterAutospacing="0"/>
              <w:rPr>
                <w:sz w:val="18"/>
                <w:szCs w:val="18"/>
              </w:rPr>
            </w:pPr>
            <w:r>
              <w:rPr>
                <w:sz w:val="18"/>
                <w:szCs w:val="18"/>
              </w:rPr>
              <w:t>)</w:t>
            </w:r>
          </w:p>
        </w:tc>
      </w:tr>
      <w:tr w:rsidR="00000000" w14:paraId="08B6904A" w14:textId="77777777">
        <w:trPr>
          <w:trHeight w:val="180"/>
          <w:tblCellSpacing w:w="15" w:type="dxa"/>
        </w:trPr>
        <w:tc>
          <w:tcPr>
            <w:tcW w:w="0" w:type="auto"/>
            <w:hideMark/>
          </w:tcPr>
          <w:p w14:paraId="7BE3E4EC" w14:textId="77777777" w:rsidR="00000000" w:rsidRDefault="00632532">
            <w:pPr>
              <w:pStyle w:val="a3"/>
              <w:spacing w:before="0" w:beforeAutospacing="0" w:after="0" w:afterAutospacing="0"/>
              <w:ind w:left="200"/>
              <w:rPr>
                <w:sz w:val="18"/>
                <w:szCs w:val="18"/>
              </w:rPr>
            </w:pPr>
            <w:r>
              <w:rPr>
                <w:sz w:val="18"/>
                <w:szCs w:val="18"/>
              </w:rPr>
              <w:t>Net cash provided by operating activitie</w:t>
            </w:r>
            <w:r>
              <w:rPr>
                <w:sz w:val="18"/>
                <w:szCs w:val="18"/>
              </w:rPr>
              <w:t>s</w:t>
            </w:r>
          </w:p>
        </w:tc>
        <w:tc>
          <w:tcPr>
            <w:tcW w:w="0" w:type="auto"/>
            <w:vAlign w:val="bottom"/>
            <w:hideMark/>
          </w:tcPr>
          <w:p w14:paraId="70D239E0"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4C03483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4F6AAAB" w14:textId="77777777" w:rsidR="00000000" w:rsidRDefault="00632532">
            <w:pPr>
              <w:pStyle w:val="a3"/>
              <w:spacing w:before="0" w:beforeAutospacing="0" w:after="0" w:afterAutospacing="0"/>
              <w:jc w:val="right"/>
              <w:rPr>
                <w:sz w:val="20"/>
                <w:szCs w:val="20"/>
              </w:rPr>
            </w:pPr>
            <w:r>
              <w:rPr>
                <w:sz w:val="18"/>
                <w:szCs w:val="18"/>
              </w:rPr>
              <w:t>199,53</w:t>
            </w:r>
            <w:r>
              <w:rPr>
                <w:sz w:val="18"/>
                <w:szCs w:val="18"/>
              </w:rPr>
              <w:t>7</w:t>
            </w:r>
          </w:p>
        </w:tc>
        <w:tc>
          <w:tcPr>
            <w:tcW w:w="0" w:type="auto"/>
            <w:noWrap/>
            <w:vAlign w:val="bottom"/>
            <w:hideMark/>
          </w:tcPr>
          <w:p w14:paraId="75FE348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4328AD8"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2054BE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03E7333" w14:textId="77777777" w:rsidR="00000000" w:rsidRDefault="00632532">
            <w:pPr>
              <w:pStyle w:val="a3"/>
              <w:spacing w:before="0" w:beforeAutospacing="0" w:after="0" w:afterAutospacing="0"/>
              <w:jc w:val="right"/>
              <w:rPr>
                <w:sz w:val="20"/>
                <w:szCs w:val="20"/>
              </w:rPr>
            </w:pPr>
            <w:r>
              <w:rPr>
                <w:sz w:val="18"/>
                <w:szCs w:val="18"/>
              </w:rPr>
              <w:t>309,29</w:t>
            </w:r>
            <w:r>
              <w:rPr>
                <w:sz w:val="18"/>
                <w:szCs w:val="18"/>
              </w:rPr>
              <w:t>0</w:t>
            </w:r>
          </w:p>
        </w:tc>
        <w:tc>
          <w:tcPr>
            <w:tcW w:w="0" w:type="auto"/>
            <w:noWrap/>
            <w:vAlign w:val="bottom"/>
            <w:hideMark/>
          </w:tcPr>
          <w:p w14:paraId="26D65CE5" w14:textId="77777777" w:rsidR="00000000" w:rsidRDefault="00632532">
            <w:pPr>
              <w:pStyle w:val="a3"/>
              <w:spacing w:before="0" w:beforeAutospacing="0" w:after="0" w:afterAutospacing="0"/>
              <w:rPr>
                <w:sz w:val="18"/>
                <w:szCs w:val="18"/>
              </w:rPr>
            </w:pPr>
            <w:r>
              <w:rPr>
                <w:sz w:val="18"/>
                <w:szCs w:val="18"/>
              </w:rPr>
              <w:t> </w:t>
            </w:r>
          </w:p>
        </w:tc>
      </w:tr>
      <w:tr w:rsidR="00000000" w14:paraId="616DB6CD" w14:textId="77777777">
        <w:trPr>
          <w:trHeight w:val="180"/>
          <w:tblCellSpacing w:w="15" w:type="dxa"/>
        </w:trPr>
        <w:tc>
          <w:tcPr>
            <w:tcW w:w="0" w:type="auto"/>
            <w:hideMark/>
          </w:tcPr>
          <w:p w14:paraId="5ECA2B37" w14:textId="77777777" w:rsidR="00000000" w:rsidRDefault="00632532">
            <w:pPr>
              <w:pStyle w:val="a3"/>
              <w:spacing w:before="0" w:beforeAutospacing="0" w:after="0" w:afterAutospacing="0"/>
              <w:rPr>
                <w:sz w:val="18"/>
                <w:szCs w:val="18"/>
              </w:rPr>
            </w:pPr>
            <w:r>
              <w:rPr>
                <w:b/>
                <w:bCs/>
                <w:sz w:val="18"/>
                <w:szCs w:val="18"/>
              </w:rPr>
              <w:t>Cash flow from investing activities</w:t>
            </w:r>
            <w:r>
              <w:rPr>
                <w:b/>
                <w:bCs/>
                <w:sz w:val="18"/>
                <w:szCs w:val="18"/>
              </w:rPr>
              <w:t>:</w:t>
            </w:r>
          </w:p>
        </w:tc>
        <w:tc>
          <w:tcPr>
            <w:tcW w:w="0" w:type="auto"/>
            <w:vAlign w:val="bottom"/>
            <w:hideMark/>
          </w:tcPr>
          <w:p w14:paraId="0CE8D000"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5A803C82"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049E1D06"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40CC21D5"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723ABA1F"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52033DFB" w14:textId="77777777" w:rsidR="00000000" w:rsidRDefault="00632532">
            <w:pPr>
              <w:pStyle w:val="a3"/>
              <w:spacing w:before="0" w:beforeAutospacing="0" w:after="0" w:afterAutospacing="0"/>
              <w:jc w:val="right"/>
              <w:rPr>
                <w:sz w:val="18"/>
                <w:szCs w:val="18"/>
              </w:rPr>
            </w:pPr>
            <w:r>
              <w:rPr>
                <w:sz w:val="18"/>
                <w:szCs w:val="18"/>
              </w:rPr>
              <w:t> </w:t>
            </w:r>
          </w:p>
        </w:tc>
      </w:tr>
      <w:tr w:rsidR="00000000" w14:paraId="046F9413" w14:textId="77777777">
        <w:trPr>
          <w:trHeight w:val="180"/>
          <w:tblCellSpacing w:w="15" w:type="dxa"/>
        </w:trPr>
        <w:tc>
          <w:tcPr>
            <w:tcW w:w="0" w:type="auto"/>
            <w:hideMark/>
          </w:tcPr>
          <w:p w14:paraId="490AB089" w14:textId="77777777" w:rsidR="00000000" w:rsidRDefault="00632532">
            <w:pPr>
              <w:pStyle w:val="a3"/>
              <w:spacing w:before="0" w:beforeAutospacing="0" w:after="0" w:afterAutospacing="0"/>
              <w:ind w:left="200"/>
              <w:rPr>
                <w:sz w:val="18"/>
                <w:szCs w:val="18"/>
              </w:rPr>
            </w:pPr>
            <w:r>
              <w:rPr>
                <w:sz w:val="18"/>
                <w:szCs w:val="18"/>
              </w:rPr>
              <w:t>Purchase of marketable securitie</w:t>
            </w:r>
            <w:r>
              <w:rPr>
                <w:sz w:val="18"/>
                <w:szCs w:val="18"/>
              </w:rPr>
              <w:t>s</w:t>
            </w:r>
          </w:p>
        </w:tc>
        <w:tc>
          <w:tcPr>
            <w:tcW w:w="0" w:type="auto"/>
            <w:vAlign w:val="bottom"/>
            <w:hideMark/>
          </w:tcPr>
          <w:p w14:paraId="3A235E59"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9E7495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8F61DC6" w14:textId="77777777" w:rsidR="00000000" w:rsidRDefault="00632532">
            <w:pPr>
              <w:pStyle w:val="a3"/>
              <w:spacing w:before="0" w:beforeAutospacing="0" w:after="0" w:afterAutospacing="0"/>
              <w:jc w:val="right"/>
              <w:rPr>
                <w:sz w:val="20"/>
                <w:szCs w:val="20"/>
              </w:rPr>
            </w:pPr>
            <w:r>
              <w:rPr>
                <w:sz w:val="18"/>
                <w:szCs w:val="18"/>
              </w:rPr>
              <w:t>(</w:t>
            </w:r>
            <w:r>
              <w:rPr>
                <w:sz w:val="18"/>
                <w:szCs w:val="18"/>
              </w:rPr>
              <w:t>245,48</w:t>
            </w:r>
            <w:r>
              <w:rPr>
                <w:sz w:val="18"/>
                <w:szCs w:val="18"/>
              </w:rPr>
              <w:t>8</w:t>
            </w:r>
          </w:p>
        </w:tc>
        <w:tc>
          <w:tcPr>
            <w:tcW w:w="0" w:type="auto"/>
            <w:noWrap/>
            <w:vAlign w:val="bottom"/>
            <w:hideMark/>
          </w:tcPr>
          <w:p w14:paraId="54E0F631"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555197A8"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3633EA6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0B4AAF2" w14:textId="77777777" w:rsidR="00000000" w:rsidRDefault="00632532">
            <w:pPr>
              <w:pStyle w:val="a3"/>
              <w:spacing w:before="0" w:beforeAutospacing="0" w:after="0" w:afterAutospacing="0"/>
              <w:jc w:val="right"/>
              <w:rPr>
                <w:sz w:val="20"/>
                <w:szCs w:val="20"/>
              </w:rPr>
            </w:pPr>
            <w:r>
              <w:rPr>
                <w:sz w:val="18"/>
                <w:szCs w:val="18"/>
              </w:rPr>
              <w:t>(</w:t>
            </w:r>
            <w:r>
              <w:rPr>
                <w:sz w:val="18"/>
                <w:szCs w:val="18"/>
              </w:rPr>
              <w:t>424,80</w:t>
            </w:r>
            <w:r>
              <w:rPr>
                <w:sz w:val="18"/>
                <w:szCs w:val="18"/>
              </w:rPr>
              <w:t>7</w:t>
            </w:r>
          </w:p>
        </w:tc>
        <w:tc>
          <w:tcPr>
            <w:tcW w:w="0" w:type="auto"/>
            <w:noWrap/>
            <w:vAlign w:val="bottom"/>
            <w:hideMark/>
          </w:tcPr>
          <w:p w14:paraId="2E0EAF80" w14:textId="77777777" w:rsidR="00000000" w:rsidRDefault="00632532">
            <w:pPr>
              <w:pStyle w:val="a3"/>
              <w:spacing w:before="0" w:beforeAutospacing="0" w:after="0" w:afterAutospacing="0"/>
              <w:rPr>
                <w:sz w:val="18"/>
                <w:szCs w:val="18"/>
              </w:rPr>
            </w:pPr>
            <w:r>
              <w:rPr>
                <w:sz w:val="18"/>
                <w:szCs w:val="18"/>
              </w:rPr>
              <w:t>)</w:t>
            </w:r>
          </w:p>
        </w:tc>
      </w:tr>
      <w:tr w:rsidR="00000000" w14:paraId="0F2071A5" w14:textId="77777777">
        <w:trPr>
          <w:trHeight w:val="180"/>
          <w:tblCellSpacing w:w="15" w:type="dxa"/>
        </w:trPr>
        <w:tc>
          <w:tcPr>
            <w:tcW w:w="0" w:type="auto"/>
            <w:hideMark/>
          </w:tcPr>
          <w:p w14:paraId="47906253" w14:textId="77777777" w:rsidR="00000000" w:rsidRDefault="00632532">
            <w:pPr>
              <w:pStyle w:val="a3"/>
              <w:spacing w:before="0" w:beforeAutospacing="0" w:after="0" w:afterAutospacing="0"/>
              <w:ind w:left="200"/>
              <w:rPr>
                <w:sz w:val="18"/>
                <w:szCs w:val="18"/>
              </w:rPr>
            </w:pPr>
            <w:r>
              <w:rPr>
                <w:sz w:val="18"/>
                <w:szCs w:val="18"/>
              </w:rPr>
              <w:t>Acquisition of businesses, net of cash acquire</w:t>
            </w:r>
            <w:r>
              <w:rPr>
                <w:sz w:val="18"/>
                <w:szCs w:val="18"/>
              </w:rPr>
              <w:t>d</w:t>
            </w:r>
          </w:p>
        </w:tc>
        <w:tc>
          <w:tcPr>
            <w:tcW w:w="0" w:type="auto"/>
            <w:vAlign w:val="bottom"/>
            <w:hideMark/>
          </w:tcPr>
          <w:p w14:paraId="0918DBF1"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9BA56D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CA12E20" w14:textId="77777777" w:rsidR="00000000" w:rsidRDefault="00632532">
            <w:pPr>
              <w:pStyle w:val="a3"/>
              <w:spacing w:before="0" w:beforeAutospacing="0" w:after="0" w:afterAutospacing="0"/>
              <w:jc w:val="right"/>
              <w:rPr>
                <w:sz w:val="20"/>
                <w:szCs w:val="20"/>
              </w:rPr>
            </w:pPr>
            <w:r>
              <w:rPr>
                <w:sz w:val="18"/>
                <w:szCs w:val="18"/>
              </w:rPr>
              <w:t>(</w:t>
            </w:r>
            <w:r>
              <w:rPr>
                <w:sz w:val="18"/>
                <w:szCs w:val="18"/>
              </w:rPr>
              <w:t>137,75</w:t>
            </w:r>
            <w:r>
              <w:rPr>
                <w:sz w:val="18"/>
                <w:szCs w:val="18"/>
              </w:rPr>
              <w:t>5</w:t>
            </w:r>
          </w:p>
        </w:tc>
        <w:tc>
          <w:tcPr>
            <w:tcW w:w="0" w:type="auto"/>
            <w:noWrap/>
            <w:vAlign w:val="bottom"/>
            <w:hideMark/>
          </w:tcPr>
          <w:p w14:paraId="6E733CD1"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55F10ACC"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B380B1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00EB9DD" w14:textId="77777777" w:rsidR="00000000" w:rsidRDefault="00632532">
            <w:pPr>
              <w:pStyle w:val="a3"/>
              <w:spacing w:before="0" w:beforeAutospacing="0" w:after="0" w:afterAutospacing="0"/>
              <w:jc w:val="right"/>
              <w:rPr>
                <w:sz w:val="20"/>
                <w:szCs w:val="20"/>
              </w:rPr>
            </w:pPr>
            <w:r>
              <w:rPr>
                <w:sz w:val="18"/>
                <w:szCs w:val="18"/>
              </w:rPr>
              <w:t>(</w:t>
            </w:r>
            <w:r>
              <w:rPr>
                <w:sz w:val="18"/>
                <w:szCs w:val="18"/>
              </w:rPr>
              <w:t>18,50</w:t>
            </w:r>
            <w:r>
              <w:rPr>
                <w:sz w:val="18"/>
                <w:szCs w:val="18"/>
              </w:rPr>
              <w:t>9</w:t>
            </w:r>
          </w:p>
        </w:tc>
        <w:tc>
          <w:tcPr>
            <w:tcW w:w="0" w:type="auto"/>
            <w:noWrap/>
            <w:vAlign w:val="bottom"/>
            <w:hideMark/>
          </w:tcPr>
          <w:p w14:paraId="5FFD2FD2" w14:textId="77777777" w:rsidR="00000000" w:rsidRDefault="00632532">
            <w:pPr>
              <w:pStyle w:val="a3"/>
              <w:spacing w:before="0" w:beforeAutospacing="0" w:after="0" w:afterAutospacing="0"/>
              <w:rPr>
                <w:sz w:val="18"/>
                <w:szCs w:val="18"/>
              </w:rPr>
            </w:pPr>
            <w:r>
              <w:rPr>
                <w:sz w:val="18"/>
                <w:szCs w:val="18"/>
              </w:rPr>
              <w:t>)</w:t>
            </w:r>
          </w:p>
        </w:tc>
      </w:tr>
      <w:tr w:rsidR="00000000" w14:paraId="3605BC7E" w14:textId="77777777">
        <w:trPr>
          <w:trHeight w:val="180"/>
          <w:tblCellSpacing w:w="15" w:type="dxa"/>
        </w:trPr>
        <w:tc>
          <w:tcPr>
            <w:tcW w:w="0" w:type="auto"/>
            <w:hideMark/>
          </w:tcPr>
          <w:p w14:paraId="6AB47F0F" w14:textId="77777777" w:rsidR="00000000" w:rsidRDefault="00632532">
            <w:pPr>
              <w:pStyle w:val="a3"/>
              <w:spacing w:before="0" w:beforeAutospacing="0" w:after="0" w:afterAutospacing="0"/>
              <w:ind w:left="200"/>
              <w:rPr>
                <w:sz w:val="18"/>
                <w:szCs w:val="18"/>
              </w:rPr>
            </w:pPr>
            <w:r>
              <w:rPr>
                <w:sz w:val="18"/>
                <w:szCs w:val="18"/>
              </w:rPr>
              <w:t>Investment in private equity securitie</w:t>
            </w:r>
            <w:r>
              <w:rPr>
                <w:sz w:val="18"/>
                <w:szCs w:val="18"/>
              </w:rPr>
              <w:t>s</w:t>
            </w:r>
          </w:p>
        </w:tc>
        <w:tc>
          <w:tcPr>
            <w:tcW w:w="0" w:type="auto"/>
            <w:vAlign w:val="bottom"/>
            <w:hideMark/>
          </w:tcPr>
          <w:p w14:paraId="297B6487"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DCC4F1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203A443" w14:textId="77777777" w:rsidR="00000000" w:rsidRDefault="00632532">
            <w:pPr>
              <w:pStyle w:val="a3"/>
              <w:spacing w:before="0" w:beforeAutospacing="0" w:after="0" w:afterAutospacing="0"/>
              <w:jc w:val="right"/>
              <w:rPr>
                <w:sz w:val="20"/>
                <w:szCs w:val="20"/>
              </w:rPr>
            </w:pPr>
            <w:r>
              <w:rPr>
                <w:sz w:val="18"/>
                <w:szCs w:val="18"/>
              </w:rPr>
              <w:t>(</w:t>
            </w:r>
            <w:r>
              <w:rPr>
                <w:sz w:val="18"/>
                <w:szCs w:val="18"/>
              </w:rPr>
              <w:t>15,00</w:t>
            </w:r>
            <w:r>
              <w:rPr>
                <w:sz w:val="18"/>
                <w:szCs w:val="18"/>
              </w:rPr>
              <w:t>0</w:t>
            </w:r>
          </w:p>
        </w:tc>
        <w:tc>
          <w:tcPr>
            <w:tcW w:w="0" w:type="auto"/>
            <w:noWrap/>
            <w:vAlign w:val="bottom"/>
            <w:hideMark/>
          </w:tcPr>
          <w:p w14:paraId="00C17616"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8DBD202"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44144A0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969CA52"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4A839C08" w14:textId="77777777" w:rsidR="00000000" w:rsidRDefault="00632532">
            <w:pPr>
              <w:pStyle w:val="a3"/>
              <w:spacing w:before="0" w:beforeAutospacing="0" w:after="0" w:afterAutospacing="0"/>
              <w:rPr>
                <w:sz w:val="18"/>
                <w:szCs w:val="18"/>
              </w:rPr>
            </w:pPr>
            <w:r>
              <w:rPr>
                <w:sz w:val="18"/>
                <w:szCs w:val="18"/>
              </w:rPr>
              <w:t> </w:t>
            </w:r>
          </w:p>
        </w:tc>
      </w:tr>
      <w:tr w:rsidR="00000000" w14:paraId="55C8C07C" w14:textId="77777777">
        <w:trPr>
          <w:trHeight w:val="180"/>
          <w:tblCellSpacing w:w="15" w:type="dxa"/>
        </w:trPr>
        <w:tc>
          <w:tcPr>
            <w:tcW w:w="0" w:type="auto"/>
            <w:hideMark/>
          </w:tcPr>
          <w:p w14:paraId="151D0298" w14:textId="77777777" w:rsidR="00000000" w:rsidRDefault="00632532">
            <w:pPr>
              <w:pStyle w:val="a3"/>
              <w:spacing w:before="0" w:beforeAutospacing="0" w:after="0" w:afterAutospacing="0"/>
              <w:ind w:left="200"/>
              <w:rPr>
                <w:sz w:val="18"/>
                <w:szCs w:val="18"/>
              </w:rPr>
            </w:pPr>
            <w:r>
              <w:rPr>
                <w:sz w:val="18"/>
                <w:szCs w:val="18"/>
              </w:rPr>
              <w:t>Contingent consideration payout related to a business acquisitio</w:t>
            </w:r>
            <w:r>
              <w:rPr>
                <w:sz w:val="18"/>
                <w:szCs w:val="18"/>
              </w:rPr>
              <w:t>n</w:t>
            </w:r>
          </w:p>
        </w:tc>
        <w:tc>
          <w:tcPr>
            <w:tcW w:w="0" w:type="auto"/>
            <w:vAlign w:val="bottom"/>
            <w:hideMark/>
          </w:tcPr>
          <w:p w14:paraId="14F94C60"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3AF3B97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31F0C15" w14:textId="77777777" w:rsidR="00000000" w:rsidRDefault="00632532">
            <w:pPr>
              <w:pStyle w:val="a3"/>
              <w:spacing w:before="0" w:beforeAutospacing="0" w:after="0" w:afterAutospacing="0"/>
              <w:jc w:val="right"/>
              <w:rPr>
                <w:sz w:val="20"/>
                <w:szCs w:val="20"/>
              </w:rPr>
            </w:pPr>
            <w:r>
              <w:rPr>
                <w:sz w:val="18"/>
                <w:szCs w:val="18"/>
              </w:rPr>
              <w:t>(</w:t>
            </w:r>
            <w:r>
              <w:rPr>
                <w:sz w:val="18"/>
                <w:szCs w:val="18"/>
              </w:rPr>
              <w:t>10,00</w:t>
            </w:r>
            <w:r>
              <w:rPr>
                <w:sz w:val="18"/>
                <w:szCs w:val="18"/>
              </w:rPr>
              <w:t>0</w:t>
            </w:r>
          </w:p>
        </w:tc>
        <w:tc>
          <w:tcPr>
            <w:tcW w:w="0" w:type="auto"/>
            <w:noWrap/>
            <w:vAlign w:val="bottom"/>
            <w:hideMark/>
          </w:tcPr>
          <w:p w14:paraId="491F5327"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51C5CA9F"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BFB0C3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910FE70"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BFDE1B4" w14:textId="77777777" w:rsidR="00000000" w:rsidRDefault="00632532">
            <w:pPr>
              <w:pStyle w:val="a3"/>
              <w:spacing w:before="0" w:beforeAutospacing="0" w:after="0" w:afterAutospacing="0"/>
              <w:rPr>
                <w:sz w:val="18"/>
                <w:szCs w:val="18"/>
              </w:rPr>
            </w:pPr>
            <w:r>
              <w:rPr>
                <w:sz w:val="18"/>
                <w:szCs w:val="18"/>
              </w:rPr>
              <w:t> </w:t>
            </w:r>
          </w:p>
        </w:tc>
      </w:tr>
      <w:tr w:rsidR="00000000" w14:paraId="78F2E89E" w14:textId="77777777">
        <w:trPr>
          <w:trHeight w:val="180"/>
          <w:tblCellSpacing w:w="15" w:type="dxa"/>
        </w:trPr>
        <w:tc>
          <w:tcPr>
            <w:tcW w:w="0" w:type="auto"/>
            <w:hideMark/>
          </w:tcPr>
          <w:p w14:paraId="118D25E6" w14:textId="77777777" w:rsidR="00000000" w:rsidRDefault="00632532">
            <w:pPr>
              <w:pStyle w:val="a3"/>
              <w:spacing w:before="0" w:beforeAutospacing="0" w:after="0" w:afterAutospacing="0"/>
              <w:ind w:left="200"/>
              <w:rPr>
                <w:sz w:val="18"/>
                <w:szCs w:val="18"/>
              </w:rPr>
            </w:pPr>
            <w:r>
              <w:rPr>
                <w:sz w:val="18"/>
                <w:szCs w:val="18"/>
              </w:rPr>
              <w:t>Purchases of fixed asset</w:t>
            </w:r>
            <w:r>
              <w:rPr>
                <w:sz w:val="18"/>
                <w:szCs w:val="18"/>
              </w:rPr>
              <w:t>s</w:t>
            </w:r>
          </w:p>
        </w:tc>
        <w:tc>
          <w:tcPr>
            <w:tcW w:w="0" w:type="auto"/>
            <w:vAlign w:val="bottom"/>
            <w:hideMark/>
          </w:tcPr>
          <w:p w14:paraId="6EF39BA7"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2A7513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7E3E5C7" w14:textId="77777777" w:rsidR="00000000" w:rsidRDefault="00632532">
            <w:pPr>
              <w:pStyle w:val="a3"/>
              <w:spacing w:before="0" w:beforeAutospacing="0" w:after="0" w:afterAutospacing="0"/>
              <w:jc w:val="right"/>
              <w:rPr>
                <w:sz w:val="20"/>
                <w:szCs w:val="20"/>
              </w:rPr>
            </w:pPr>
            <w:r>
              <w:rPr>
                <w:sz w:val="18"/>
                <w:szCs w:val="18"/>
              </w:rPr>
              <w:t>(</w:t>
            </w:r>
            <w:r>
              <w:rPr>
                <w:sz w:val="18"/>
                <w:szCs w:val="18"/>
              </w:rPr>
              <w:t>8,61</w:t>
            </w:r>
            <w:r>
              <w:rPr>
                <w:sz w:val="18"/>
                <w:szCs w:val="18"/>
              </w:rPr>
              <w:t>8</w:t>
            </w:r>
          </w:p>
        </w:tc>
        <w:tc>
          <w:tcPr>
            <w:tcW w:w="0" w:type="auto"/>
            <w:noWrap/>
            <w:vAlign w:val="bottom"/>
            <w:hideMark/>
          </w:tcPr>
          <w:p w14:paraId="3CF2D69D"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4B201E46"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A364A1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FC4DB9F" w14:textId="77777777" w:rsidR="00000000" w:rsidRDefault="00632532">
            <w:pPr>
              <w:pStyle w:val="a3"/>
              <w:spacing w:before="0" w:beforeAutospacing="0" w:after="0" w:afterAutospacing="0"/>
              <w:jc w:val="right"/>
              <w:rPr>
                <w:sz w:val="20"/>
                <w:szCs w:val="20"/>
              </w:rPr>
            </w:pPr>
            <w:r>
              <w:rPr>
                <w:sz w:val="18"/>
                <w:szCs w:val="18"/>
              </w:rPr>
              <w:t>(</w:t>
            </w:r>
            <w:r>
              <w:rPr>
                <w:sz w:val="18"/>
                <w:szCs w:val="18"/>
              </w:rPr>
              <w:t>14,42</w:t>
            </w:r>
            <w:r>
              <w:rPr>
                <w:sz w:val="18"/>
                <w:szCs w:val="18"/>
              </w:rPr>
              <w:t>7</w:t>
            </w:r>
          </w:p>
        </w:tc>
        <w:tc>
          <w:tcPr>
            <w:tcW w:w="0" w:type="auto"/>
            <w:noWrap/>
            <w:vAlign w:val="bottom"/>
            <w:hideMark/>
          </w:tcPr>
          <w:p w14:paraId="3E2A545A" w14:textId="77777777" w:rsidR="00000000" w:rsidRDefault="00632532">
            <w:pPr>
              <w:pStyle w:val="a3"/>
              <w:spacing w:before="0" w:beforeAutospacing="0" w:after="0" w:afterAutospacing="0"/>
              <w:rPr>
                <w:sz w:val="18"/>
                <w:szCs w:val="18"/>
              </w:rPr>
            </w:pPr>
            <w:r>
              <w:rPr>
                <w:sz w:val="18"/>
                <w:szCs w:val="18"/>
              </w:rPr>
              <w:t>)</w:t>
            </w:r>
          </w:p>
        </w:tc>
      </w:tr>
      <w:tr w:rsidR="00000000" w14:paraId="0502F490" w14:textId="77777777">
        <w:trPr>
          <w:trHeight w:val="180"/>
          <w:tblCellSpacing w:w="15" w:type="dxa"/>
        </w:trPr>
        <w:tc>
          <w:tcPr>
            <w:tcW w:w="0" w:type="auto"/>
            <w:hideMark/>
          </w:tcPr>
          <w:p w14:paraId="19D2F321" w14:textId="77777777" w:rsidR="00000000" w:rsidRDefault="00632532">
            <w:pPr>
              <w:pStyle w:val="a3"/>
              <w:spacing w:before="0" w:beforeAutospacing="0" w:after="0" w:afterAutospacing="0"/>
              <w:ind w:left="200"/>
              <w:rPr>
                <w:sz w:val="18"/>
                <w:szCs w:val="18"/>
              </w:rPr>
            </w:pPr>
            <w:r>
              <w:rPr>
                <w:sz w:val="18"/>
                <w:szCs w:val="18"/>
              </w:rPr>
              <w:t>Proceeds from sale of fixed asset</w:t>
            </w:r>
            <w:r>
              <w:rPr>
                <w:sz w:val="18"/>
                <w:szCs w:val="18"/>
              </w:rPr>
              <w:t>s</w:t>
            </w:r>
          </w:p>
        </w:tc>
        <w:tc>
          <w:tcPr>
            <w:tcW w:w="0" w:type="auto"/>
            <w:vAlign w:val="bottom"/>
            <w:hideMark/>
          </w:tcPr>
          <w:p w14:paraId="4CC60B09"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4A22E2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CD0D4B3" w14:textId="77777777" w:rsidR="00000000" w:rsidRDefault="00632532">
            <w:pPr>
              <w:pStyle w:val="a3"/>
              <w:spacing w:before="0" w:beforeAutospacing="0" w:after="0" w:afterAutospacing="0"/>
              <w:jc w:val="right"/>
              <w:rPr>
                <w:sz w:val="20"/>
                <w:szCs w:val="20"/>
              </w:rPr>
            </w:pPr>
            <w:r>
              <w:rPr>
                <w:sz w:val="18"/>
                <w:szCs w:val="18"/>
              </w:rPr>
              <w:t>1</w:t>
            </w:r>
            <w:r>
              <w:rPr>
                <w:sz w:val="18"/>
                <w:szCs w:val="18"/>
              </w:rPr>
              <w:t>8</w:t>
            </w:r>
          </w:p>
        </w:tc>
        <w:tc>
          <w:tcPr>
            <w:tcW w:w="0" w:type="auto"/>
            <w:noWrap/>
            <w:vAlign w:val="bottom"/>
            <w:hideMark/>
          </w:tcPr>
          <w:p w14:paraId="327CA4A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2C57B66"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D1BE50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22D0F09" w14:textId="77777777" w:rsidR="00000000" w:rsidRDefault="00632532">
            <w:pPr>
              <w:pStyle w:val="a3"/>
              <w:spacing w:before="0" w:beforeAutospacing="0" w:after="0" w:afterAutospacing="0"/>
              <w:jc w:val="right"/>
              <w:rPr>
                <w:sz w:val="20"/>
                <w:szCs w:val="20"/>
              </w:rPr>
            </w:pPr>
            <w:r>
              <w:rPr>
                <w:sz w:val="18"/>
                <w:szCs w:val="18"/>
              </w:rPr>
              <w:t>1</w:t>
            </w:r>
            <w:r>
              <w:rPr>
                <w:sz w:val="18"/>
                <w:szCs w:val="18"/>
              </w:rPr>
              <w:t>3</w:t>
            </w:r>
          </w:p>
        </w:tc>
        <w:tc>
          <w:tcPr>
            <w:tcW w:w="0" w:type="auto"/>
            <w:noWrap/>
            <w:vAlign w:val="bottom"/>
            <w:hideMark/>
          </w:tcPr>
          <w:p w14:paraId="25A6A489" w14:textId="77777777" w:rsidR="00000000" w:rsidRDefault="00632532">
            <w:pPr>
              <w:pStyle w:val="a3"/>
              <w:spacing w:before="0" w:beforeAutospacing="0" w:after="0" w:afterAutospacing="0"/>
              <w:rPr>
                <w:sz w:val="18"/>
                <w:szCs w:val="18"/>
              </w:rPr>
            </w:pPr>
            <w:r>
              <w:rPr>
                <w:sz w:val="18"/>
                <w:szCs w:val="18"/>
              </w:rPr>
              <w:t> </w:t>
            </w:r>
          </w:p>
        </w:tc>
      </w:tr>
      <w:tr w:rsidR="00000000" w14:paraId="6DCE3DBC" w14:textId="77777777">
        <w:trPr>
          <w:trHeight w:val="180"/>
          <w:tblCellSpacing w:w="15" w:type="dxa"/>
        </w:trPr>
        <w:tc>
          <w:tcPr>
            <w:tcW w:w="0" w:type="auto"/>
            <w:hideMark/>
          </w:tcPr>
          <w:p w14:paraId="5D6CF527" w14:textId="77777777" w:rsidR="00000000" w:rsidRDefault="00632532">
            <w:pPr>
              <w:pStyle w:val="a3"/>
              <w:spacing w:before="0" w:beforeAutospacing="0" w:after="0" w:afterAutospacing="0"/>
              <w:ind w:left="200"/>
              <w:rPr>
                <w:sz w:val="18"/>
                <w:szCs w:val="18"/>
              </w:rPr>
            </w:pPr>
            <w:r>
              <w:rPr>
                <w:sz w:val="18"/>
                <w:szCs w:val="18"/>
              </w:rPr>
              <w:t>Maturities of marketable securitie</w:t>
            </w:r>
            <w:r>
              <w:rPr>
                <w:sz w:val="18"/>
                <w:szCs w:val="18"/>
              </w:rPr>
              <w:t>s</w:t>
            </w:r>
          </w:p>
        </w:tc>
        <w:tc>
          <w:tcPr>
            <w:tcW w:w="0" w:type="auto"/>
            <w:vAlign w:val="bottom"/>
            <w:hideMark/>
          </w:tcPr>
          <w:p w14:paraId="3805C5E4"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08584C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D44CFE5" w14:textId="77777777" w:rsidR="00000000" w:rsidRDefault="00632532">
            <w:pPr>
              <w:pStyle w:val="a3"/>
              <w:spacing w:before="0" w:beforeAutospacing="0" w:after="0" w:afterAutospacing="0"/>
              <w:jc w:val="right"/>
              <w:rPr>
                <w:sz w:val="20"/>
                <w:szCs w:val="20"/>
              </w:rPr>
            </w:pPr>
            <w:r>
              <w:rPr>
                <w:sz w:val="18"/>
                <w:szCs w:val="18"/>
              </w:rPr>
              <w:t>70,43</w:t>
            </w:r>
            <w:r>
              <w:rPr>
                <w:sz w:val="18"/>
                <w:szCs w:val="18"/>
              </w:rPr>
              <w:t>2</w:t>
            </w:r>
          </w:p>
        </w:tc>
        <w:tc>
          <w:tcPr>
            <w:tcW w:w="0" w:type="auto"/>
            <w:noWrap/>
            <w:vAlign w:val="bottom"/>
            <w:hideMark/>
          </w:tcPr>
          <w:p w14:paraId="43E83DB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F954251"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C1E024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64A4A5E" w14:textId="77777777" w:rsidR="00000000" w:rsidRDefault="00632532">
            <w:pPr>
              <w:pStyle w:val="a3"/>
              <w:spacing w:before="0" w:beforeAutospacing="0" w:after="0" w:afterAutospacing="0"/>
              <w:jc w:val="right"/>
              <w:rPr>
                <w:sz w:val="20"/>
                <w:szCs w:val="20"/>
              </w:rPr>
            </w:pPr>
            <w:r>
              <w:rPr>
                <w:sz w:val="18"/>
                <w:szCs w:val="18"/>
              </w:rPr>
              <w:t>34,53</w:t>
            </w:r>
            <w:r>
              <w:rPr>
                <w:sz w:val="18"/>
                <w:szCs w:val="18"/>
              </w:rPr>
              <w:t>8</w:t>
            </w:r>
          </w:p>
        </w:tc>
        <w:tc>
          <w:tcPr>
            <w:tcW w:w="0" w:type="auto"/>
            <w:noWrap/>
            <w:vAlign w:val="bottom"/>
            <w:hideMark/>
          </w:tcPr>
          <w:p w14:paraId="6B13B331" w14:textId="77777777" w:rsidR="00000000" w:rsidRDefault="00632532">
            <w:pPr>
              <w:pStyle w:val="a3"/>
              <w:spacing w:before="0" w:beforeAutospacing="0" w:after="0" w:afterAutospacing="0"/>
              <w:rPr>
                <w:sz w:val="18"/>
                <w:szCs w:val="18"/>
              </w:rPr>
            </w:pPr>
            <w:r>
              <w:rPr>
                <w:sz w:val="18"/>
                <w:szCs w:val="18"/>
              </w:rPr>
              <w:t> </w:t>
            </w:r>
          </w:p>
        </w:tc>
      </w:tr>
      <w:tr w:rsidR="00000000" w14:paraId="293888CB" w14:textId="77777777">
        <w:trPr>
          <w:trHeight w:val="180"/>
          <w:tblCellSpacing w:w="15" w:type="dxa"/>
        </w:trPr>
        <w:tc>
          <w:tcPr>
            <w:tcW w:w="0" w:type="auto"/>
            <w:hideMark/>
          </w:tcPr>
          <w:p w14:paraId="1C233489" w14:textId="77777777" w:rsidR="00000000" w:rsidRDefault="00632532">
            <w:pPr>
              <w:pStyle w:val="a3"/>
              <w:spacing w:before="0" w:beforeAutospacing="0" w:after="0" w:afterAutospacing="0"/>
              <w:ind w:left="200"/>
              <w:rPr>
                <w:sz w:val="18"/>
                <w:szCs w:val="18"/>
              </w:rPr>
            </w:pPr>
            <w:r>
              <w:rPr>
                <w:sz w:val="18"/>
                <w:szCs w:val="18"/>
              </w:rPr>
              <w:t>Proceeds from sale of marketable securitie</w:t>
            </w:r>
            <w:r>
              <w:rPr>
                <w:sz w:val="18"/>
                <w:szCs w:val="18"/>
              </w:rPr>
              <w:t>s</w:t>
            </w:r>
          </w:p>
        </w:tc>
        <w:tc>
          <w:tcPr>
            <w:tcW w:w="0" w:type="auto"/>
            <w:vAlign w:val="bottom"/>
            <w:hideMark/>
          </w:tcPr>
          <w:p w14:paraId="0DA31A27"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452F0E5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94677C6" w14:textId="77777777" w:rsidR="00000000" w:rsidRDefault="00632532">
            <w:pPr>
              <w:pStyle w:val="a3"/>
              <w:spacing w:before="0" w:beforeAutospacing="0" w:after="0" w:afterAutospacing="0"/>
              <w:jc w:val="right"/>
              <w:rPr>
                <w:sz w:val="20"/>
                <w:szCs w:val="20"/>
              </w:rPr>
            </w:pPr>
            <w:r>
              <w:rPr>
                <w:sz w:val="18"/>
                <w:szCs w:val="18"/>
              </w:rPr>
              <w:t>133,40</w:t>
            </w:r>
            <w:r>
              <w:rPr>
                <w:sz w:val="18"/>
                <w:szCs w:val="18"/>
              </w:rPr>
              <w:t>7</w:t>
            </w:r>
          </w:p>
        </w:tc>
        <w:tc>
          <w:tcPr>
            <w:tcW w:w="0" w:type="auto"/>
            <w:noWrap/>
            <w:vAlign w:val="bottom"/>
            <w:hideMark/>
          </w:tcPr>
          <w:p w14:paraId="5F6DC20A"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0B9F50B"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48FA60B1"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85C3AE5" w14:textId="77777777" w:rsidR="00000000" w:rsidRDefault="00632532">
            <w:pPr>
              <w:pStyle w:val="a3"/>
              <w:spacing w:before="0" w:beforeAutospacing="0" w:after="0" w:afterAutospacing="0"/>
              <w:jc w:val="right"/>
              <w:rPr>
                <w:sz w:val="20"/>
                <w:szCs w:val="20"/>
              </w:rPr>
            </w:pPr>
            <w:r>
              <w:rPr>
                <w:sz w:val="18"/>
                <w:szCs w:val="18"/>
              </w:rPr>
              <w:t>51,69</w:t>
            </w:r>
            <w:r>
              <w:rPr>
                <w:sz w:val="18"/>
                <w:szCs w:val="18"/>
              </w:rPr>
              <w:t>6</w:t>
            </w:r>
          </w:p>
        </w:tc>
        <w:tc>
          <w:tcPr>
            <w:tcW w:w="0" w:type="auto"/>
            <w:noWrap/>
            <w:vAlign w:val="bottom"/>
            <w:hideMark/>
          </w:tcPr>
          <w:p w14:paraId="154C3FCE" w14:textId="77777777" w:rsidR="00000000" w:rsidRDefault="00632532">
            <w:pPr>
              <w:pStyle w:val="a3"/>
              <w:spacing w:before="0" w:beforeAutospacing="0" w:after="0" w:afterAutospacing="0"/>
              <w:rPr>
                <w:sz w:val="18"/>
                <w:szCs w:val="18"/>
              </w:rPr>
            </w:pPr>
            <w:r>
              <w:rPr>
                <w:sz w:val="18"/>
                <w:szCs w:val="18"/>
              </w:rPr>
              <w:t> </w:t>
            </w:r>
          </w:p>
        </w:tc>
      </w:tr>
      <w:tr w:rsidR="00000000" w14:paraId="4D3D7B87" w14:textId="77777777">
        <w:trPr>
          <w:trHeight w:val="180"/>
          <w:tblCellSpacing w:w="15" w:type="dxa"/>
        </w:trPr>
        <w:tc>
          <w:tcPr>
            <w:tcW w:w="0" w:type="auto"/>
            <w:hideMark/>
          </w:tcPr>
          <w:p w14:paraId="78E4AE1B" w14:textId="77777777" w:rsidR="00000000" w:rsidRDefault="00632532">
            <w:pPr>
              <w:pStyle w:val="a3"/>
              <w:spacing w:before="0" w:beforeAutospacing="0" w:after="0" w:afterAutospacing="0"/>
              <w:ind w:left="200"/>
              <w:rPr>
                <w:sz w:val="18"/>
                <w:szCs w:val="18"/>
              </w:rPr>
            </w:pPr>
            <w:r>
              <w:rPr>
                <w:sz w:val="18"/>
                <w:szCs w:val="18"/>
              </w:rPr>
              <w:t>Net cash used in investing activitie</w:t>
            </w:r>
            <w:r>
              <w:rPr>
                <w:sz w:val="18"/>
                <w:szCs w:val="18"/>
              </w:rPr>
              <w:t>s</w:t>
            </w:r>
          </w:p>
        </w:tc>
        <w:tc>
          <w:tcPr>
            <w:tcW w:w="0" w:type="auto"/>
            <w:vAlign w:val="bottom"/>
            <w:hideMark/>
          </w:tcPr>
          <w:p w14:paraId="77F84441"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0A5F7AF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BFCE0E6" w14:textId="77777777" w:rsidR="00000000" w:rsidRDefault="00632532">
            <w:pPr>
              <w:pStyle w:val="a3"/>
              <w:spacing w:before="0" w:beforeAutospacing="0" w:after="0" w:afterAutospacing="0"/>
              <w:jc w:val="right"/>
              <w:rPr>
                <w:sz w:val="20"/>
                <w:szCs w:val="20"/>
              </w:rPr>
            </w:pPr>
            <w:r>
              <w:rPr>
                <w:sz w:val="18"/>
                <w:szCs w:val="18"/>
              </w:rPr>
              <w:t>(</w:t>
            </w:r>
            <w:r>
              <w:rPr>
                <w:sz w:val="18"/>
                <w:szCs w:val="18"/>
              </w:rPr>
              <w:t>213,00</w:t>
            </w:r>
            <w:r>
              <w:rPr>
                <w:sz w:val="18"/>
                <w:szCs w:val="18"/>
              </w:rPr>
              <w:t>4</w:t>
            </w:r>
          </w:p>
        </w:tc>
        <w:tc>
          <w:tcPr>
            <w:tcW w:w="0" w:type="auto"/>
            <w:noWrap/>
            <w:vAlign w:val="bottom"/>
            <w:hideMark/>
          </w:tcPr>
          <w:p w14:paraId="7F4C8D80"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36DD5F50"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59E449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3BB6953" w14:textId="77777777" w:rsidR="00000000" w:rsidRDefault="00632532">
            <w:pPr>
              <w:pStyle w:val="a3"/>
              <w:spacing w:before="0" w:beforeAutospacing="0" w:after="0" w:afterAutospacing="0"/>
              <w:jc w:val="right"/>
              <w:rPr>
                <w:sz w:val="20"/>
                <w:szCs w:val="20"/>
              </w:rPr>
            </w:pPr>
            <w:r>
              <w:rPr>
                <w:sz w:val="18"/>
                <w:szCs w:val="18"/>
              </w:rPr>
              <w:t>(</w:t>
            </w:r>
            <w:r>
              <w:rPr>
                <w:sz w:val="18"/>
                <w:szCs w:val="18"/>
              </w:rPr>
              <w:t>371,49</w:t>
            </w:r>
            <w:r>
              <w:rPr>
                <w:sz w:val="18"/>
                <w:szCs w:val="18"/>
              </w:rPr>
              <w:t>6</w:t>
            </w:r>
          </w:p>
        </w:tc>
        <w:tc>
          <w:tcPr>
            <w:tcW w:w="0" w:type="auto"/>
            <w:noWrap/>
            <w:vAlign w:val="bottom"/>
            <w:hideMark/>
          </w:tcPr>
          <w:p w14:paraId="47C4354C" w14:textId="77777777" w:rsidR="00000000" w:rsidRDefault="00632532">
            <w:pPr>
              <w:pStyle w:val="a3"/>
              <w:spacing w:before="0" w:beforeAutospacing="0" w:after="0" w:afterAutospacing="0"/>
              <w:rPr>
                <w:sz w:val="18"/>
                <w:szCs w:val="18"/>
              </w:rPr>
            </w:pPr>
            <w:r>
              <w:rPr>
                <w:sz w:val="18"/>
                <w:szCs w:val="18"/>
              </w:rPr>
              <w:t>)</w:t>
            </w:r>
          </w:p>
        </w:tc>
      </w:tr>
      <w:tr w:rsidR="00000000" w14:paraId="113C50A3" w14:textId="77777777">
        <w:trPr>
          <w:trHeight w:val="180"/>
          <w:tblCellSpacing w:w="15" w:type="dxa"/>
        </w:trPr>
        <w:tc>
          <w:tcPr>
            <w:tcW w:w="0" w:type="auto"/>
            <w:hideMark/>
          </w:tcPr>
          <w:p w14:paraId="4AB8B87E" w14:textId="77777777" w:rsidR="00000000" w:rsidRDefault="00632532">
            <w:pPr>
              <w:pStyle w:val="a3"/>
              <w:spacing w:before="0" w:beforeAutospacing="0" w:after="0" w:afterAutospacing="0"/>
              <w:rPr>
                <w:sz w:val="18"/>
                <w:szCs w:val="18"/>
              </w:rPr>
            </w:pPr>
            <w:r>
              <w:rPr>
                <w:b/>
                <w:bCs/>
                <w:sz w:val="18"/>
                <w:szCs w:val="18"/>
              </w:rPr>
              <w:t>Cash flow from financing activities</w:t>
            </w:r>
            <w:r>
              <w:rPr>
                <w:b/>
                <w:bCs/>
                <w:sz w:val="18"/>
                <w:szCs w:val="18"/>
              </w:rPr>
              <w:t>:</w:t>
            </w:r>
          </w:p>
        </w:tc>
        <w:tc>
          <w:tcPr>
            <w:tcW w:w="0" w:type="auto"/>
            <w:vAlign w:val="bottom"/>
            <w:hideMark/>
          </w:tcPr>
          <w:p w14:paraId="2B8A9A6F"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7F5353EF"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3AC80032"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25BC481F"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43278B74"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5F1DB1D6" w14:textId="77777777" w:rsidR="00000000" w:rsidRDefault="00632532">
            <w:pPr>
              <w:pStyle w:val="a3"/>
              <w:spacing w:before="0" w:beforeAutospacing="0" w:after="0" w:afterAutospacing="0"/>
              <w:jc w:val="right"/>
              <w:rPr>
                <w:sz w:val="18"/>
                <w:szCs w:val="18"/>
              </w:rPr>
            </w:pPr>
            <w:r>
              <w:rPr>
                <w:sz w:val="18"/>
                <w:szCs w:val="18"/>
              </w:rPr>
              <w:t> </w:t>
            </w:r>
          </w:p>
        </w:tc>
      </w:tr>
      <w:tr w:rsidR="00000000" w14:paraId="5AE689EC" w14:textId="77777777">
        <w:trPr>
          <w:trHeight w:val="180"/>
          <w:tblCellSpacing w:w="15" w:type="dxa"/>
        </w:trPr>
        <w:tc>
          <w:tcPr>
            <w:tcW w:w="0" w:type="auto"/>
            <w:vAlign w:val="bottom"/>
            <w:hideMark/>
          </w:tcPr>
          <w:p w14:paraId="51EE3449" w14:textId="77777777" w:rsidR="00000000" w:rsidRDefault="00632532">
            <w:pPr>
              <w:pStyle w:val="a3"/>
              <w:spacing w:before="0" w:beforeAutospacing="0" w:after="0" w:afterAutospacing="0"/>
              <w:ind w:left="200"/>
              <w:rPr>
                <w:sz w:val="18"/>
                <w:szCs w:val="18"/>
              </w:rPr>
            </w:pPr>
            <w:r>
              <w:rPr>
                <w:sz w:val="18"/>
                <w:szCs w:val="18"/>
              </w:rPr>
              <w:t>Repurchase of common stoc</w:t>
            </w:r>
            <w:r>
              <w:rPr>
                <w:sz w:val="18"/>
                <w:szCs w:val="18"/>
              </w:rPr>
              <w:t>k</w:t>
            </w:r>
          </w:p>
        </w:tc>
        <w:tc>
          <w:tcPr>
            <w:tcW w:w="0" w:type="auto"/>
            <w:vAlign w:val="bottom"/>
            <w:hideMark/>
          </w:tcPr>
          <w:p w14:paraId="3A58C1C4"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A0E4F9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21080CB" w14:textId="77777777" w:rsidR="00000000" w:rsidRDefault="00632532">
            <w:pPr>
              <w:pStyle w:val="a3"/>
              <w:spacing w:before="0" w:beforeAutospacing="0" w:after="0" w:afterAutospacing="0"/>
              <w:jc w:val="right"/>
              <w:rPr>
                <w:sz w:val="20"/>
                <w:szCs w:val="20"/>
              </w:rPr>
            </w:pPr>
            <w:r>
              <w:rPr>
                <w:sz w:val="18"/>
                <w:szCs w:val="18"/>
              </w:rPr>
              <w:t>(</w:t>
            </w:r>
            <w:r>
              <w:rPr>
                <w:sz w:val="18"/>
                <w:szCs w:val="18"/>
              </w:rPr>
              <w:t>10,57</w:t>
            </w:r>
            <w:r>
              <w:rPr>
                <w:sz w:val="18"/>
                <w:szCs w:val="18"/>
              </w:rPr>
              <w:t>7</w:t>
            </w:r>
          </w:p>
        </w:tc>
        <w:tc>
          <w:tcPr>
            <w:tcW w:w="0" w:type="auto"/>
            <w:noWrap/>
            <w:vAlign w:val="bottom"/>
            <w:hideMark/>
          </w:tcPr>
          <w:p w14:paraId="1E29A7EA"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3F1B9061"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F7EA0F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7F1373C"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5BE0D209" w14:textId="77777777" w:rsidR="00000000" w:rsidRDefault="00632532">
            <w:pPr>
              <w:pStyle w:val="a3"/>
              <w:spacing w:before="0" w:beforeAutospacing="0" w:after="0" w:afterAutospacing="0"/>
              <w:rPr>
                <w:sz w:val="18"/>
                <w:szCs w:val="18"/>
              </w:rPr>
            </w:pPr>
            <w:r>
              <w:rPr>
                <w:sz w:val="18"/>
                <w:szCs w:val="18"/>
              </w:rPr>
              <w:t> </w:t>
            </w:r>
          </w:p>
        </w:tc>
      </w:tr>
      <w:tr w:rsidR="00000000" w14:paraId="64EF6386" w14:textId="77777777">
        <w:trPr>
          <w:trHeight w:val="180"/>
          <w:tblCellSpacing w:w="15" w:type="dxa"/>
        </w:trPr>
        <w:tc>
          <w:tcPr>
            <w:tcW w:w="0" w:type="auto"/>
            <w:vAlign w:val="bottom"/>
            <w:hideMark/>
          </w:tcPr>
          <w:p w14:paraId="5945F6BA" w14:textId="77777777" w:rsidR="00000000" w:rsidRDefault="00632532">
            <w:pPr>
              <w:pStyle w:val="a3"/>
              <w:spacing w:before="0" w:beforeAutospacing="0" w:after="0" w:afterAutospacing="0"/>
              <w:ind w:left="200"/>
              <w:rPr>
                <w:sz w:val="18"/>
                <w:szCs w:val="18"/>
              </w:rPr>
            </w:pPr>
            <w:r>
              <w:rPr>
                <w:sz w:val="18"/>
                <w:szCs w:val="18"/>
              </w:rPr>
              <w:t>Common stock withholding for employee tax obligation</w:t>
            </w:r>
            <w:r>
              <w:rPr>
                <w:sz w:val="18"/>
                <w:szCs w:val="18"/>
              </w:rPr>
              <w:t>s</w:t>
            </w:r>
          </w:p>
        </w:tc>
        <w:tc>
          <w:tcPr>
            <w:tcW w:w="0" w:type="auto"/>
            <w:vAlign w:val="bottom"/>
            <w:hideMark/>
          </w:tcPr>
          <w:p w14:paraId="6C172F29"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0791FD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1C692BB" w14:textId="77777777" w:rsidR="00000000" w:rsidRDefault="00632532">
            <w:pPr>
              <w:pStyle w:val="a3"/>
              <w:spacing w:before="0" w:beforeAutospacing="0" w:after="0" w:afterAutospacing="0"/>
              <w:jc w:val="right"/>
              <w:rPr>
                <w:sz w:val="20"/>
                <w:szCs w:val="20"/>
              </w:rPr>
            </w:pPr>
            <w:r>
              <w:rPr>
                <w:sz w:val="18"/>
                <w:szCs w:val="18"/>
              </w:rPr>
              <w:t>(</w:t>
            </w:r>
            <w:r>
              <w:rPr>
                <w:sz w:val="18"/>
                <w:szCs w:val="18"/>
              </w:rPr>
              <w:t>93</w:t>
            </w:r>
            <w:r>
              <w:rPr>
                <w:sz w:val="18"/>
                <w:szCs w:val="18"/>
              </w:rPr>
              <w:t>0</w:t>
            </w:r>
          </w:p>
        </w:tc>
        <w:tc>
          <w:tcPr>
            <w:tcW w:w="0" w:type="auto"/>
            <w:noWrap/>
            <w:vAlign w:val="bottom"/>
            <w:hideMark/>
          </w:tcPr>
          <w:p w14:paraId="49F7E8CC"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46AAC448"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038E6C2"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1F969D5" w14:textId="77777777" w:rsidR="00000000" w:rsidRDefault="00632532">
            <w:pPr>
              <w:pStyle w:val="a3"/>
              <w:spacing w:before="0" w:beforeAutospacing="0" w:after="0" w:afterAutospacing="0"/>
              <w:jc w:val="right"/>
              <w:rPr>
                <w:sz w:val="20"/>
                <w:szCs w:val="20"/>
              </w:rPr>
            </w:pPr>
            <w:r>
              <w:rPr>
                <w:sz w:val="18"/>
                <w:szCs w:val="18"/>
              </w:rPr>
              <w:t>(</w:t>
            </w:r>
            <w:r>
              <w:rPr>
                <w:sz w:val="18"/>
                <w:szCs w:val="18"/>
              </w:rPr>
              <w:t>55</w:t>
            </w:r>
            <w:r>
              <w:rPr>
                <w:sz w:val="18"/>
                <w:szCs w:val="18"/>
              </w:rPr>
              <w:t>2</w:t>
            </w:r>
          </w:p>
        </w:tc>
        <w:tc>
          <w:tcPr>
            <w:tcW w:w="0" w:type="auto"/>
            <w:noWrap/>
            <w:vAlign w:val="bottom"/>
            <w:hideMark/>
          </w:tcPr>
          <w:p w14:paraId="185DE38D" w14:textId="77777777" w:rsidR="00000000" w:rsidRDefault="00632532">
            <w:pPr>
              <w:pStyle w:val="a3"/>
              <w:spacing w:before="0" w:beforeAutospacing="0" w:after="0" w:afterAutospacing="0"/>
              <w:rPr>
                <w:sz w:val="18"/>
                <w:szCs w:val="18"/>
              </w:rPr>
            </w:pPr>
            <w:r>
              <w:rPr>
                <w:sz w:val="18"/>
                <w:szCs w:val="18"/>
              </w:rPr>
              <w:t>)</w:t>
            </w:r>
          </w:p>
        </w:tc>
      </w:tr>
      <w:tr w:rsidR="00000000" w14:paraId="00B4D036" w14:textId="77777777">
        <w:trPr>
          <w:trHeight w:val="180"/>
          <w:tblCellSpacing w:w="15" w:type="dxa"/>
        </w:trPr>
        <w:tc>
          <w:tcPr>
            <w:tcW w:w="0" w:type="auto"/>
            <w:hideMark/>
          </w:tcPr>
          <w:p w14:paraId="4EC9FA93" w14:textId="77777777" w:rsidR="00000000" w:rsidRDefault="00632532">
            <w:pPr>
              <w:pStyle w:val="a3"/>
              <w:spacing w:before="0" w:beforeAutospacing="0" w:after="0" w:afterAutospacing="0"/>
              <w:ind w:left="200"/>
              <w:rPr>
                <w:sz w:val="18"/>
                <w:szCs w:val="18"/>
              </w:rPr>
            </w:pPr>
            <w:r>
              <w:rPr>
                <w:sz w:val="18"/>
                <w:szCs w:val="18"/>
              </w:rPr>
              <w:t>Repayment of notes payabl</w:t>
            </w:r>
            <w:r>
              <w:rPr>
                <w:sz w:val="18"/>
                <w:szCs w:val="18"/>
              </w:rPr>
              <w:t>e</w:t>
            </w:r>
          </w:p>
        </w:tc>
        <w:tc>
          <w:tcPr>
            <w:tcW w:w="0" w:type="auto"/>
            <w:vAlign w:val="bottom"/>
            <w:hideMark/>
          </w:tcPr>
          <w:p w14:paraId="359EACA6"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3522E9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2D1A82D" w14:textId="77777777" w:rsidR="00000000" w:rsidRDefault="00632532">
            <w:pPr>
              <w:pStyle w:val="a3"/>
              <w:spacing w:before="0" w:beforeAutospacing="0" w:after="0" w:afterAutospacing="0"/>
              <w:jc w:val="right"/>
              <w:rPr>
                <w:sz w:val="20"/>
                <w:szCs w:val="20"/>
              </w:rPr>
            </w:pPr>
            <w:r>
              <w:rPr>
                <w:sz w:val="18"/>
                <w:szCs w:val="18"/>
              </w:rPr>
              <w:t>(</w:t>
            </w:r>
            <w:r>
              <w:rPr>
                <w:sz w:val="18"/>
                <w:szCs w:val="18"/>
              </w:rPr>
              <w:t>36</w:t>
            </w:r>
            <w:r>
              <w:rPr>
                <w:sz w:val="18"/>
                <w:szCs w:val="18"/>
              </w:rPr>
              <w:t>8</w:t>
            </w:r>
          </w:p>
        </w:tc>
        <w:tc>
          <w:tcPr>
            <w:tcW w:w="0" w:type="auto"/>
            <w:noWrap/>
            <w:vAlign w:val="bottom"/>
            <w:hideMark/>
          </w:tcPr>
          <w:p w14:paraId="602D99F7"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50788DD8"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3BE66DA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208DBB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78E19241" w14:textId="77777777" w:rsidR="00000000" w:rsidRDefault="00632532">
            <w:pPr>
              <w:pStyle w:val="a3"/>
              <w:spacing w:before="0" w:beforeAutospacing="0" w:after="0" w:afterAutospacing="0"/>
              <w:rPr>
                <w:sz w:val="18"/>
                <w:szCs w:val="18"/>
              </w:rPr>
            </w:pPr>
            <w:r>
              <w:rPr>
                <w:sz w:val="18"/>
                <w:szCs w:val="18"/>
              </w:rPr>
              <w:t> </w:t>
            </w:r>
          </w:p>
        </w:tc>
      </w:tr>
      <w:tr w:rsidR="00000000" w14:paraId="1BE88FE7" w14:textId="77777777">
        <w:trPr>
          <w:trHeight w:val="180"/>
          <w:tblCellSpacing w:w="15" w:type="dxa"/>
        </w:trPr>
        <w:tc>
          <w:tcPr>
            <w:tcW w:w="0" w:type="auto"/>
            <w:hideMark/>
          </w:tcPr>
          <w:p w14:paraId="33A46030" w14:textId="77777777" w:rsidR="00000000" w:rsidRDefault="00632532">
            <w:pPr>
              <w:pStyle w:val="a3"/>
              <w:spacing w:before="0" w:beforeAutospacing="0" w:after="0" w:afterAutospacing="0"/>
              <w:ind w:left="200"/>
              <w:rPr>
                <w:sz w:val="18"/>
                <w:szCs w:val="18"/>
              </w:rPr>
            </w:pPr>
            <w:r>
              <w:rPr>
                <w:sz w:val="18"/>
                <w:szCs w:val="18"/>
              </w:rPr>
              <w:t>Principal paid for finance leas</w:t>
            </w:r>
            <w:r>
              <w:rPr>
                <w:sz w:val="18"/>
                <w:szCs w:val="18"/>
              </w:rPr>
              <w:t>e</w:t>
            </w:r>
          </w:p>
        </w:tc>
        <w:tc>
          <w:tcPr>
            <w:tcW w:w="0" w:type="auto"/>
            <w:vAlign w:val="bottom"/>
            <w:hideMark/>
          </w:tcPr>
          <w:p w14:paraId="440AF099"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2BCF6C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6544D0B" w14:textId="77777777" w:rsidR="00000000" w:rsidRDefault="00632532">
            <w:pPr>
              <w:pStyle w:val="a3"/>
              <w:spacing w:before="0" w:beforeAutospacing="0" w:after="0" w:afterAutospacing="0"/>
              <w:jc w:val="right"/>
              <w:rPr>
                <w:sz w:val="20"/>
                <w:szCs w:val="20"/>
              </w:rPr>
            </w:pPr>
            <w:r>
              <w:rPr>
                <w:sz w:val="18"/>
                <w:szCs w:val="18"/>
              </w:rPr>
              <w:t>(</w:t>
            </w:r>
            <w:r>
              <w:rPr>
                <w:sz w:val="18"/>
                <w:szCs w:val="18"/>
              </w:rPr>
              <w:t>23</w:t>
            </w:r>
            <w:r>
              <w:rPr>
                <w:sz w:val="18"/>
                <w:szCs w:val="18"/>
              </w:rPr>
              <w:t>0</w:t>
            </w:r>
          </w:p>
        </w:tc>
        <w:tc>
          <w:tcPr>
            <w:tcW w:w="0" w:type="auto"/>
            <w:noWrap/>
            <w:vAlign w:val="bottom"/>
            <w:hideMark/>
          </w:tcPr>
          <w:p w14:paraId="7B1C7888"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0E48FBEF"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0F5C37D"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F5946B7"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EFA85B6" w14:textId="77777777" w:rsidR="00000000" w:rsidRDefault="00632532">
            <w:pPr>
              <w:pStyle w:val="a3"/>
              <w:spacing w:before="0" w:beforeAutospacing="0" w:after="0" w:afterAutospacing="0"/>
              <w:rPr>
                <w:sz w:val="18"/>
                <w:szCs w:val="18"/>
              </w:rPr>
            </w:pPr>
            <w:r>
              <w:rPr>
                <w:sz w:val="18"/>
                <w:szCs w:val="18"/>
              </w:rPr>
              <w:t> </w:t>
            </w:r>
          </w:p>
        </w:tc>
      </w:tr>
      <w:tr w:rsidR="00000000" w14:paraId="6480C5DC" w14:textId="77777777">
        <w:trPr>
          <w:trHeight w:val="180"/>
          <w:tblCellSpacing w:w="15" w:type="dxa"/>
        </w:trPr>
        <w:tc>
          <w:tcPr>
            <w:tcW w:w="0" w:type="auto"/>
            <w:hideMark/>
          </w:tcPr>
          <w:p w14:paraId="43E56344" w14:textId="77777777" w:rsidR="00000000" w:rsidRDefault="00632532">
            <w:pPr>
              <w:pStyle w:val="a3"/>
              <w:spacing w:before="0" w:beforeAutospacing="0" w:after="0" w:afterAutospacing="0"/>
              <w:ind w:left="200"/>
              <w:rPr>
                <w:sz w:val="18"/>
                <w:szCs w:val="18"/>
              </w:rPr>
            </w:pPr>
            <w:r>
              <w:rPr>
                <w:sz w:val="18"/>
                <w:szCs w:val="18"/>
              </w:rPr>
              <w:t>Proceeds from exercise of stock option</w:t>
            </w:r>
            <w:r>
              <w:rPr>
                <w:sz w:val="18"/>
                <w:szCs w:val="18"/>
              </w:rPr>
              <w:t>s</w:t>
            </w:r>
          </w:p>
        </w:tc>
        <w:tc>
          <w:tcPr>
            <w:tcW w:w="0" w:type="auto"/>
            <w:vAlign w:val="bottom"/>
            <w:hideMark/>
          </w:tcPr>
          <w:p w14:paraId="521DF315"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2033C20"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1268D1D" w14:textId="77777777" w:rsidR="00000000" w:rsidRDefault="00632532">
            <w:pPr>
              <w:pStyle w:val="a3"/>
              <w:spacing w:before="0" w:beforeAutospacing="0" w:after="0" w:afterAutospacing="0"/>
              <w:jc w:val="right"/>
              <w:rPr>
                <w:sz w:val="20"/>
                <w:szCs w:val="20"/>
              </w:rPr>
            </w:pPr>
            <w:r>
              <w:rPr>
                <w:sz w:val="18"/>
                <w:szCs w:val="18"/>
              </w:rPr>
              <w:t>1</w:t>
            </w:r>
            <w:r>
              <w:rPr>
                <w:sz w:val="18"/>
                <w:szCs w:val="18"/>
              </w:rPr>
              <w:t>9</w:t>
            </w:r>
          </w:p>
        </w:tc>
        <w:tc>
          <w:tcPr>
            <w:tcW w:w="0" w:type="auto"/>
            <w:noWrap/>
            <w:vAlign w:val="bottom"/>
            <w:hideMark/>
          </w:tcPr>
          <w:p w14:paraId="2F00642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D101FF6"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EA705B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8944102" w14:textId="77777777" w:rsidR="00000000" w:rsidRDefault="00632532">
            <w:pPr>
              <w:pStyle w:val="a3"/>
              <w:spacing w:before="0" w:beforeAutospacing="0" w:after="0" w:afterAutospacing="0"/>
              <w:jc w:val="right"/>
              <w:rPr>
                <w:sz w:val="20"/>
                <w:szCs w:val="20"/>
              </w:rPr>
            </w:pPr>
            <w:r>
              <w:rPr>
                <w:sz w:val="18"/>
                <w:szCs w:val="18"/>
              </w:rPr>
              <w:t>6</w:t>
            </w:r>
            <w:r>
              <w:rPr>
                <w:sz w:val="18"/>
                <w:szCs w:val="18"/>
              </w:rPr>
              <w:t>8</w:t>
            </w:r>
          </w:p>
        </w:tc>
        <w:tc>
          <w:tcPr>
            <w:tcW w:w="0" w:type="auto"/>
            <w:noWrap/>
            <w:vAlign w:val="bottom"/>
            <w:hideMark/>
          </w:tcPr>
          <w:p w14:paraId="4A8ED4A6" w14:textId="77777777" w:rsidR="00000000" w:rsidRDefault="00632532">
            <w:pPr>
              <w:pStyle w:val="a3"/>
              <w:spacing w:before="0" w:beforeAutospacing="0" w:after="0" w:afterAutospacing="0"/>
              <w:rPr>
                <w:sz w:val="18"/>
                <w:szCs w:val="18"/>
              </w:rPr>
            </w:pPr>
            <w:r>
              <w:rPr>
                <w:sz w:val="18"/>
                <w:szCs w:val="18"/>
              </w:rPr>
              <w:t> </w:t>
            </w:r>
          </w:p>
        </w:tc>
      </w:tr>
      <w:tr w:rsidR="00000000" w14:paraId="6F300E03" w14:textId="77777777">
        <w:trPr>
          <w:trHeight w:val="180"/>
          <w:tblCellSpacing w:w="15" w:type="dxa"/>
        </w:trPr>
        <w:tc>
          <w:tcPr>
            <w:tcW w:w="0" w:type="auto"/>
            <w:hideMark/>
          </w:tcPr>
          <w:p w14:paraId="3B3375CB" w14:textId="77777777" w:rsidR="00000000" w:rsidRDefault="00632532">
            <w:pPr>
              <w:pStyle w:val="a3"/>
              <w:spacing w:before="0" w:beforeAutospacing="0" w:after="0" w:afterAutospacing="0"/>
              <w:ind w:left="200"/>
              <w:rPr>
                <w:sz w:val="18"/>
                <w:szCs w:val="18"/>
              </w:rPr>
            </w:pPr>
            <w:r>
              <w:rPr>
                <w:sz w:val="18"/>
                <w:szCs w:val="18"/>
              </w:rPr>
              <w:t>Proceeds from public offerings of common stock, net of issuance cost</w:t>
            </w:r>
            <w:r>
              <w:rPr>
                <w:sz w:val="18"/>
                <w:szCs w:val="18"/>
              </w:rPr>
              <w:t>s</w:t>
            </w:r>
          </w:p>
        </w:tc>
        <w:tc>
          <w:tcPr>
            <w:tcW w:w="0" w:type="auto"/>
            <w:vAlign w:val="bottom"/>
            <w:hideMark/>
          </w:tcPr>
          <w:p w14:paraId="403AC3AA"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9711F36"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3C714E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377A149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175F9D7"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05FEA46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4F570C4" w14:textId="77777777" w:rsidR="00000000" w:rsidRDefault="00632532">
            <w:pPr>
              <w:pStyle w:val="a3"/>
              <w:spacing w:before="0" w:beforeAutospacing="0" w:after="0" w:afterAutospacing="0"/>
              <w:jc w:val="right"/>
              <w:rPr>
                <w:sz w:val="20"/>
                <w:szCs w:val="20"/>
              </w:rPr>
            </w:pPr>
            <w:r>
              <w:rPr>
                <w:sz w:val="18"/>
                <w:szCs w:val="18"/>
              </w:rPr>
              <w:t>75,65</w:t>
            </w:r>
            <w:r>
              <w:rPr>
                <w:sz w:val="18"/>
                <w:szCs w:val="18"/>
              </w:rPr>
              <w:t>6</w:t>
            </w:r>
          </w:p>
        </w:tc>
        <w:tc>
          <w:tcPr>
            <w:tcW w:w="0" w:type="auto"/>
            <w:noWrap/>
            <w:vAlign w:val="bottom"/>
            <w:hideMark/>
          </w:tcPr>
          <w:p w14:paraId="26F3B9EA" w14:textId="77777777" w:rsidR="00000000" w:rsidRDefault="00632532">
            <w:pPr>
              <w:pStyle w:val="a3"/>
              <w:spacing w:before="0" w:beforeAutospacing="0" w:after="0" w:afterAutospacing="0"/>
              <w:rPr>
                <w:sz w:val="18"/>
                <w:szCs w:val="18"/>
              </w:rPr>
            </w:pPr>
            <w:r>
              <w:rPr>
                <w:sz w:val="18"/>
                <w:szCs w:val="18"/>
              </w:rPr>
              <w:t> </w:t>
            </w:r>
          </w:p>
        </w:tc>
      </w:tr>
      <w:tr w:rsidR="00000000" w14:paraId="041CD94A" w14:textId="77777777">
        <w:trPr>
          <w:trHeight w:val="180"/>
          <w:tblCellSpacing w:w="15" w:type="dxa"/>
        </w:trPr>
        <w:tc>
          <w:tcPr>
            <w:tcW w:w="0" w:type="auto"/>
            <w:hideMark/>
          </w:tcPr>
          <w:p w14:paraId="21967849" w14:textId="77777777" w:rsidR="00000000" w:rsidRDefault="00632532">
            <w:pPr>
              <w:pStyle w:val="a3"/>
              <w:spacing w:before="0" w:beforeAutospacing="0" w:after="0" w:afterAutospacing="0"/>
              <w:ind w:left="200"/>
              <w:rPr>
                <w:sz w:val="18"/>
                <w:szCs w:val="18"/>
              </w:rPr>
            </w:pPr>
            <w:r>
              <w:rPr>
                <w:sz w:val="18"/>
                <w:szCs w:val="18"/>
              </w:rPr>
              <w:t>Proceeds from noncontrolling interes</w:t>
            </w:r>
            <w:r>
              <w:rPr>
                <w:sz w:val="18"/>
                <w:szCs w:val="18"/>
              </w:rPr>
              <w:t>t</w:t>
            </w:r>
          </w:p>
        </w:tc>
        <w:tc>
          <w:tcPr>
            <w:tcW w:w="0" w:type="auto"/>
            <w:vAlign w:val="bottom"/>
            <w:hideMark/>
          </w:tcPr>
          <w:p w14:paraId="24915147"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5E7D29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986640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3B8993F"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BDBAF8C"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5EA676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C8D9038" w14:textId="77777777" w:rsidR="00000000" w:rsidRDefault="00632532">
            <w:pPr>
              <w:pStyle w:val="a3"/>
              <w:spacing w:before="0" w:beforeAutospacing="0" w:after="0" w:afterAutospacing="0"/>
              <w:jc w:val="right"/>
              <w:rPr>
                <w:sz w:val="20"/>
                <w:szCs w:val="20"/>
              </w:rPr>
            </w:pPr>
            <w:r>
              <w:rPr>
                <w:sz w:val="18"/>
                <w:szCs w:val="18"/>
              </w:rPr>
              <w:t>1</w:t>
            </w:r>
            <w:r>
              <w:rPr>
                <w:sz w:val="18"/>
                <w:szCs w:val="18"/>
              </w:rPr>
              <w:t>0</w:t>
            </w:r>
          </w:p>
        </w:tc>
        <w:tc>
          <w:tcPr>
            <w:tcW w:w="0" w:type="auto"/>
            <w:noWrap/>
            <w:vAlign w:val="bottom"/>
            <w:hideMark/>
          </w:tcPr>
          <w:p w14:paraId="4DE277DB" w14:textId="77777777" w:rsidR="00000000" w:rsidRDefault="00632532">
            <w:pPr>
              <w:pStyle w:val="a3"/>
              <w:spacing w:before="0" w:beforeAutospacing="0" w:after="0" w:afterAutospacing="0"/>
              <w:rPr>
                <w:sz w:val="18"/>
                <w:szCs w:val="18"/>
              </w:rPr>
            </w:pPr>
            <w:r>
              <w:rPr>
                <w:sz w:val="18"/>
                <w:szCs w:val="18"/>
              </w:rPr>
              <w:t> </w:t>
            </w:r>
          </w:p>
        </w:tc>
      </w:tr>
      <w:tr w:rsidR="00000000" w14:paraId="65A6C499" w14:textId="77777777">
        <w:trPr>
          <w:trHeight w:val="180"/>
          <w:tblCellSpacing w:w="15" w:type="dxa"/>
        </w:trPr>
        <w:tc>
          <w:tcPr>
            <w:tcW w:w="0" w:type="auto"/>
            <w:hideMark/>
          </w:tcPr>
          <w:p w14:paraId="61C89F5B" w14:textId="77777777" w:rsidR="00000000" w:rsidRDefault="00632532">
            <w:pPr>
              <w:pStyle w:val="a3"/>
              <w:spacing w:before="0" w:beforeAutospacing="0" w:after="0" w:afterAutospacing="0"/>
              <w:ind w:left="200"/>
              <w:rPr>
                <w:sz w:val="18"/>
                <w:szCs w:val="18"/>
              </w:rPr>
            </w:pPr>
            <w:r>
              <w:rPr>
                <w:sz w:val="18"/>
                <w:szCs w:val="18"/>
              </w:rPr>
              <w:t>Borrowing under margin accoun</w:t>
            </w:r>
            <w:r>
              <w:rPr>
                <w:sz w:val="18"/>
                <w:szCs w:val="18"/>
              </w:rPr>
              <w:t>t</w:t>
            </w:r>
          </w:p>
        </w:tc>
        <w:tc>
          <w:tcPr>
            <w:tcW w:w="0" w:type="auto"/>
            <w:vAlign w:val="bottom"/>
            <w:hideMark/>
          </w:tcPr>
          <w:p w14:paraId="68965E17"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BA4981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46C3866"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66BC6CC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5A70D2D"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4B1583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292A3F4" w14:textId="77777777" w:rsidR="00000000" w:rsidRDefault="00632532">
            <w:pPr>
              <w:pStyle w:val="a3"/>
              <w:spacing w:before="0" w:beforeAutospacing="0" w:after="0" w:afterAutospacing="0"/>
              <w:jc w:val="right"/>
              <w:rPr>
                <w:sz w:val="20"/>
                <w:szCs w:val="20"/>
              </w:rPr>
            </w:pPr>
            <w:r>
              <w:rPr>
                <w:sz w:val="18"/>
                <w:szCs w:val="18"/>
              </w:rPr>
              <w:t>5</w:t>
            </w:r>
            <w:r>
              <w:rPr>
                <w:sz w:val="18"/>
                <w:szCs w:val="18"/>
              </w:rPr>
              <w:t>8</w:t>
            </w:r>
          </w:p>
        </w:tc>
        <w:tc>
          <w:tcPr>
            <w:tcW w:w="0" w:type="auto"/>
            <w:noWrap/>
            <w:vAlign w:val="bottom"/>
            <w:hideMark/>
          </w:tcPr>
          <w:p w14:paraId="3EA89D49" w14:textId="77777777" w:rsidR="00000000" w:rsidRDefault="00632532">
            <w:pPr>
              <w:pStyle w:val="a3"/>
              <w:spacing w:before="0" w:beforeAutospacing="0" w:after="0" w:afterAutospacing="0"/>
              <w:rPr>
                <w:sz w:val="18"/>
                <w:szCs w:val="18"/>
              </w:rPr>
            </w:pPr>
            <w:r>
              <w:rPr>
                <w:sz w:val="18"/>
                <w:szCs w:val="18"/>
              </w:rPr>
              <w:t> </w:t>
            </w:r>
          </w:p>
        </w:tc>
      </w:tr>
      <w:tr w:rsidR="00000000" w14:paraId="7BE19183" w14:textId="77777777">
        <w:trPr>
          <w:trHeight w:val="180"/>
          <w:tblCellSpacing w:w="15" w:type="dxa"/>
        </w:trPr>
        <w:tc>
          <w:tcPr>
            <w:tcW w:w="0" w:type="auto"/>
            <w:hideMark/>
          </w:tcPr>
          <w:p w14:paraId="49D0FB92" w14:textId="77777777" w:rsidR="00000000" w:rsidRDefault="00632532">
            <w:pPr>
              <w:pStyle w:val="a3"/>
              <w:spacing w:before="0" w:beforeAutospacing="0" w:after="0" w:afterAutospacing="0"/>
              <w:ind w:left="200"/>
              <w:rPr>
                <w:sz w:val="18"/>
                <w:szCs w:val="18"/>
              </w:rPr>
            </w:pPr>
            <w:r>
              <w:rPr>
                <w:sz w:val="18"/>
                <w:szCs w:val="18"/>
              </w:rPr>
              <w:t>Net cash (used in) provided by financing activitie</w:t>
            </w:r>
            <w:r>
              <w:rPr>
                <w:sz w:val="18"/>
                <w:szCs w:val="18"/>
              </w:rPr>
              <w:t>s</w:t>
            </w:r>
          </w:p>
        </w:tc>
        <w:tc>
          <w:tcPr>
            <w:tcW w:w="0" w:type="auto"/>
            <w:vAlign w:val="bottom"/>
            <w:hideMark/>
          </w:tcPr>
          <w:p w14:paraId="714FEFA5"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2A9847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5C4B2530" w14:textId="77777777" w:rsidR="00000000" w:rsidRDefault="00632532">
            <w:pPr>
              <w:pStyle w:val="a3"/>
              <w:spacing w:before="0" w:beforeAutospacing="0" w:after="0" w:afterAutospacing="0"/>
              <w:jc w:val="right"/>
              <w:rPr>
                <w:sz w:val="20"/>
                <w:szCs w:val="20"/>
              </w:rPr>
            </w:pPr>
            <w:r>
              <w:rPr>
                <w:sz w:val="18"/>
                <w:szCs w:val="18"/>
              </w:rPr>
              <w:t>(</w:t>
            </w:r>
            <w:r>
              <w:rPr>
                <w:sz w:val="18"/>
                <w:szCs w:val="18"/>
              </w:rPr>
              <w:t>12,08</w:t>
            </w:r>
            <w:r>
              <w:rPr>
                <w:sz w:val="18"/>
                <w:szCs w:val="18"/>
              </w:rPr>
              <w:t>6</w:t>
            </w:r>
          </w:p>
        </w:tc>
        <w:tc>
          <w:tcPr>
            <w:tcW w:w="0" w:type="auto"/>
            <w:noWrap/>
            <w:vAlign w:val="bottom"/>
            <w:hideMark/>
          </w:tcPr>
          <w:p w14:paraId="49DE947A"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7AF2F7B0"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615264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46B527C" w14:textId="77777777" w:rsidR="00000000" w:rsidRDefault="00632532">
            <w:pPr>
              <w:pStyle w:val="a3"/>
              <w:spacing w:before="0" w:beforeAutospacing="0" w:after="0" w:afterAutospacing="0"/>
              <w:jc w:val="right"/>
              <w:rPr>
                <w:sz w:val="20"/>
                <w:szCs w:val="20"/>
              </w:rPr>
            </w:pPr>
            <w:r>
              <w:rPr>
                <w:sz w:val="18"/>
                <w:szCs w:val="18"/>
              </w:rPr>
              <w:t>75,24</w:t>
            </w:r>
            <w:r>
              <w:rPr>
                <w:sz w:val="18"/>
                <w:szCs w:val="18"/>
              </w:rPr>
              <w:t>0</w:t>
            </w:r>
          </w:p>
        </w:tc>
        <w:tc>
          <w:tcPr>
            <w:tcW w:w="0" w:type="auto"/>
            <w:noWrap/>
            <w:vAlign w:val="bottom"/>
            <w:hideMark/>
          </w:tcPr>
          <w:p w14:paraId="244811DA" w14:textId="77777777" w:rsidR="00000000" w:rsidRDefault="00632532">
            <w:pPr>
              <w:pStyle w:val="a3"/>
              <w:spacing w:before="0" w:beforeAutospacing="0" w:after="0" w:afterAutospacing="0"/>
              <w:rPr>
                <w:sz w:val="18"/>
                <w:szCs w:val="18"/>
              </w:rPr>
            </w:pPr>
            <w:r>
              <w:rPr>
                <w:sz w:val="18"/>
                <w:szCs w:val="18"/>
              </w:rPr>
              <w:t> </w:t>
            </w:r>
          </w:p>
        </w:tc>
      </w:tr>
      <w:tr w:rsidR="00000000" w14:paraId="177EF6DE" w14:textId="77777777">
        <w:trPr>
          <w:trHeight w:val="180"/>
          <w:tblCellSpacing w:w="15" w:type="dxa"/>
        </w:trPr>
        <w:tc>
          <w:tcPr>
            <w:tcW w:w="0" w:type="auto"/>
            <w:hideMark/>
          </w:tcPr>
          <w:p w14:paraId="17984D12" w14:textId="77777777" w:rsidR="00000000" w:rsidRDefault="00632532">
            <w:pPr>
              <w:pStyle w:val="a3"/>
              <w:spacing w:before="0" w:beforeAutospacing="0" w:after="0" w:afterAutospacing="0"/>
              <w:rPr>
                <w:sz w:val="18"/>
                <w:szCs w:val="18"/>
              </w:rPr>
            </w:pPr>
            <w:r>
              <w:rPr>
                <w:sz w:val="18"/>
                <w:szCs w:val="18"/>
              </w:rPr>
              <w:t>Effect of exchange rate changes on cash and cash equivalent</w:t>
            </w:r>
            <w:r>
              <w:rPr>
                <w:sz w:val="18"/>
                <w:szCs w:val="18"/>
              </w:rPr>
              <w:t>s</w:t>
            </w:r>
          </w:p>
        </w:tc>
        <w:tc>
          <w:tcPr>
            <w:tcW w:w="0" w:type="auto"/>
            <w:vAlign w:val="bottom"/>
            <w:hideMark/>
          </w:tcPr>
          <w:p w14:paraId="48D17664"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6B7C5C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32B28E6" w14:textId="77777777" w:rsidR="00000000" w:rsidRDefault="00632532">
            <w:pPr>
              <w:pStyle w:val="a3"/>
              <w:spacing w:before="0" w:beforeAutospacing="0" w:after="0" w:afterAutospacing="0"/>
              <w:jc w:val="right"/>
              <w:rPr>
                <w:sz w:val="20"/>
                <w:szCs w:val="20"/>
              </w:rPr>
            </w:pPr>
            <w:r>
              <w:rPr>
                <w:sz w:val="18"/>
                <w:szCs w:val="18"/>
              </w:rPr>
              <w:t>(</w:t>
            </w:r>
            <w:r>
              <w:rPr>
                <w:sz w:val="18"/>
                <w:szCs w:val="18"/>
              </w:rPr>
              <w:t>56</w:t>
            </w:r>
            <w:r>
              <w:rPr>
                <w:sz w:val="18"/>
                <w:szCs w:val="18"/>
              </w:rPr>
              <w:t>1</w:t>
            </w:r>
          </w:p>
        </w:tc>
        <w:tc>
          <w:tcPr>
            <w:tcW w:w="0" w:type="auto"/>
            <w:noWrap/>
            <w:vAlign w:val="bottom"/>
            <w:hideMark/>
          </w:tcPr>
          <w:p w14:paraId="59CCF5F1"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703F818"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E51668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3D6BFD3" w14:textId="77777777" w:rsidR="00000000" w:rsidRDefault="00632532">
            <w:pPr>
              <w:pStyle w:val="a3"/>
              <w:spacing w:before="0" w:beforeAutospacing="0" w:after="0" w:afterAutospacing="0"/>
              <w:jc w:val="right"/>
              <w:rPr>
                <w:sz w:val="20"/>
                <w:szCs w:val="20"/>
              </w:rPr>
            </w:pPr>
            <w:r>
              <w:rPr>
                <w:sz w:val="18"/>
                <w:szCs w:val="18"/>
              </w:rPr>
              <w:t>1</w:t>
            </w:r>
          </w:p>
        </w:tc>
        <w:tc>
          <w:tcPr>
            <w:tcW w:w="0" w:type="auto"/>
            <w:noWrap/>
            <w:vAlign w:val="bottom"/>
            <w:hideMark/>
          </w:tcPr>
          <w:p w14:paraId="1089F4BF" w14:textId="77777777" w:rsidR="00000000" w:rsidRDefault="00632532">
            <w:pPr>
              <w:pStyle w:val="a3"/>
              <w:spacing w:before="0" w:beforeAutospacing="0" w:after="0" w:afterAutospacing="0"/>
              <w:rPr>
                <w:sz w:val="18"/>
                <w:szCs w:val="18"/>
              </w:rPr>
            </w:pPr>
            <w:r>
              <w:rPr>
                <w:sz w:val="18"/>
                <w:szCs w:val="18"/>
              </w:rPr>
              <w:t> </w:t>
            </w:r>
          </w:p>
        </w:tc>
      </w:tr>
      <w:tr w:rsidR="00000000" w14:paraId="4B98694B" w14:textId="77777777">
        <w:trPr>
          <w:trHeight w:val="180"/>
          <w:tblCellSpacing w:w="15" w:type="dxa"/>
        </w:trPr>
        <w:tc>
          <w:tcPr>
            <w:tcW w:w="0" w:type="auto"/>
            <w:hideMark/>
          </w:tcPr>
          <w:p w14:paraId="7CD14DF4" w14:textId="77777777" w:rsidR="00000000" w:rsidRDefault="00632532">
            <w:pPr>
              <w:pStyle w:val="a3"/>
              <w:spacing w:before="0" w:beforeAutospacing="0" w:after="0" w:afterAutospacing="0"/>
              <w:rPr>
                <w:sz w:val="18"/>
                <w:szCs w:val="18"/>
              </w:rPr>
            </w:pPr>
            <w:r>
              <w:rPr>
                <w:b/>
                <w:bCs/>
                <w:sz w:val="18"/>
                <w:szCs w:val="18"/>
              </w:rPr>
              <w:t>Net (decrease) increase in cash and cash equivalent</w:t>
            </w:r>
            <w:r>
              <w:rPr>
                <w:b/>
                <w:bCs/>
                <w:sz w:val="18"/>
                <w:szCs w:val="18"/>
              </w:rPr>
              <w:t>s</w:t>
            </w:r>
          </w:p>
        </w:tc>
        <w:tc>
          <w:tcPr>
            <w:tcW w:w="0" w:type="auto"/>
            <w:vAlign w:val="bottom"/>
            <w:hideMark/>
          </w:tcPr>
          <w:p w14:paraId="04A88966"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50ABB5FE"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671A3FE" w14:textId="77777777" w:rsidR="00000000" w:rsidRDefault="00632532">
            <w:pPr>
              <w:pStyle w:val="a3"/>
              <w:spacing w:before="0" w:beforeAutospacing="0" w:after="0" w:afterAutospacing="0"/>
              <w:jc w:val="right"/>
              <w:rPr>
                <w:sz w:val="20"/>
                <w:szCs w:val="20"/>
              </w:rPr>
            </w:pPr>
            <w:r>
              <w:rPr>
                <w:sz w:val="18"/>
                <w:szCs w:val="18"/>
              </w:rPr>
              <w:t>(</w:t>
            </w:r>
            <w:r>
              <w:rPr>
                <w:sz w:val="18"/>
                <w:szCs w:val="18"/>
              </w:rPr>
              <w:t>26,11</w:t>
            </w:r>
            <w:r>
              <w:rPr>
                <w:sz w:val="18"/>
                <w:szCs w:val="18"/>
              </w:rPr>
              <w:t>4</w:t>
            </w:r>
          </w:p>
        </w:tc>
        <w:tc>
          <w:tcPr>
            <w:tcW w:w="0" w:type="auto"/>
            <w:noWrap/>
            <w:vAlign w:val="bottom"/>
            <w:hideMark/>
          </w:tcPr>
          <w:p w14:paraId="30AD357F"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7FEA0407"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4FA977E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369C065" w14:textId="77777777" w:rsidR="00000000" w:rsidRDefault="00632532">
            <w:pPr>
              <w:pStyle w:val="a3"/>
              <w:spacing w:before="0" w:beforeAutospacing="0" w:after="0" w:afterAutospacing="0"/>
              <w:jc w:val="right"/>
              <w:rPr>
                <w:sz w:val="20"/>
                <w:szCs w:val="20"/>
              </w:rPr>
            </w:pPr>
            <w:r>
              <w:rPr>
                <w:sz w:val="18"/>
                <w:szCs w:val="18"/>
              </w:rPr>
              <w:t>13,03</w:t>
            </w:r>
            <w:r>
              <w:rPr>
                <w:sz w:val="18"/>
                <w:szCs w:val="18"/>
              </w:rPr>
              <w:t>5</w:t>
            </w:r>
          </w:p>
        </w:tc>
        <w:tc>
          <w:tcPr>
            <w:tcW w:w="0" w:type="auto"/>
            <w:noWrap/>
            <w:vAlign w:val="bottom"/>
            <w:hideMark/>
          </w:tcPr>
          <w:p w14:paraId="7B06B69C" w14:textId="77777777" w:rsidR="00000000" w:rsidRDefault="00632532">
            <w:pPr>
              <w:pStyle w:val="a3"/>
              <w:spacing w:before="0" w:beforeAutospacing="0" w:after="0" w:afterAutospacing="0"/>
              <w:rPr>
                <w:sz w:val="18"/>
                <w:szCs w:val="18"/>
              </w:rPr>
            </w:pPr>
            <w:r>
              <w:rPr>
                <w:sz w:val="18"/>
                <w:szCs w:val="18"/>
              </w:rPr>
              <w:t> </w:t>
            </w:r>
          </w:p>
        </w:tc>
      </w:tr>
      <w:tr w:rsidR="00000000" w14:paraId="1DB59F6C" w14:textId="77777777">
        <w:trPr>
          <w:trHeight w:val="180"/>
          <w:tblCellSpacing w:w="15" w:type="dxa"/>
        </w:trPr>
        <w:tc>
          <w:tcPr>
            <w:tcW w:w="0" w:type="auto"/>
            <w:hideMark/>
          </w:tcPr>
          <w:p w14:paraId="310C4E5E" w14:textId="77777777" w:rsidR="00000000" w:rsidRDefault="00632532">
            <w:pPr>
              <w:pStyle w:val="a3"/>
              <w:spacing w:before="0" w:beforeAutospacing="0" w:after="0" w:afterAutospacing="0"/>
              <w:rPr>
                <w:sz w:val="18"/>
                <w:szCs w:val="18"/>
              </w:rPr>
            </w:pPr>
            <w:r>
              <w:rPr>
                <w:b/>
                <w:bCs/>
                <w:sz w:val="18"/>
                <w:szCs w:val="18"/>
              </w:rPr>
              <w:t>Cash and cash equivalents at beginning of perio</w:t>
            </w:r>
            <w:r>
              <w:rPr>
                <w:b/>
                <w:bCs/>
                <w:sz w:val="18"/>
                <w:szCs w:val="18"/>
              </w:rPr>
              <w:t>d</w:t>
            </w:r>
          </w:p>
        </w:tc>
        <w:tc>
          <w:tcPr>
            <w:tcW w:w="0" w:type="auto"/>
            <w:vAlign w:val="bottom"/>
            <w:hideMark/>
          </w:tcPr>
          <w:p w14:paraId="40274A1C"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3E52E578"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D3A0982" w14:textId="77777777" w:rsidR="00000000" w:rsidRDefault="00632532">
            <w:pPr>
              <w:pStyle w:val="a3"/>
              <w:spacing w:before="0" w:beforeAutospacing="0" w:after="0" w:afterAutospacing="0"/>
              <w:jc w:val="right"/>
              <w:rPr>
                <w:sz w:val="20"/>
                <w:szCs w:val="20"/>
              </w:rPr>
            </w:pPr>
            <w:r>
              <w:rPr>
                <w:sz w:val="18"/>
                <w:szCs w:val="18"/>
              </w:rPr>
              <w:t>164,89</w:t>
            </w:r>
            <w:r>
              <w:rPr>
                <w:sz w:val="18"/>
                <w:szCs w:val="18"/>
              </w:rPr>
              <w:t>4</w:t>
            </w:r>
          </w:p>
        </w:tc>
        <w:tc>
          <w:tcPr>
            <w:tcW w:w="0" w:type="auto"/>
            <w:noWrap/>
            <w:vAlign w:val="bottom"/>
            <w:hideMark/>
          </w:tcPr>
          <w:p w14:paraId="068B7CB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03B828B"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60BEC1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26CB673" w14:textId="77777777" w:rsidR="00000000" w:rsidRDefault="00632532">
            <w:pPr>
              <w:pStyle w:val="a3"/>
              <w:spacing w:before="0" w:beforeAutospacing="0" w:after="0" w:afterAutospacing="0"/>
              <w:jc w:val="right"/>
              <w:rPr>
                <w:sz w:val="20"/>
                <w:szCs w:val="20"/>
              </w:rPr>
            </w:pPr>
            <w:r>
              <w:rPr>
                <w:sz w:val="18"/>
                <w:szCs w:val="18"/>
              </w:rPr>
              <w:t>87,42</w:t>
            </w:r>
            <w:r>
              <w:rPr>
                <w:sz w:val="18"/>
                <w:szCs w:val="18"/>
              </w:rPr>
              <w:t>6</w:t>
            </w:r>
          </w:p>
        </w:tc>
        <w:tc>
          <w:tcPr>
            <w:tcW w:w="0" w:type="auto"/>
            <w:noWrap/>
            <w:vAlign w:val="bottom"/>
            <w:hideMark/>
          </w:tcPr>
          <w:p w14:paraId="5FA024EE" w14:textId="77777777" w:rsidR="00000000" w:rsidRDefault="00632532">
            <w:pPr>
              <w:pStyle w:val="a3"/>
              <w:spacing w:before="0" w:beforeAutospacing="0" w:after="0" w:afterAutospacing="0"/>
              <w:rPr>
                <w:sz w:val="18"/>
                <w:szCs w:val="18"/>
              </w:rPr>
            </w:pPr>
            <w:r>
              <w:rPr>
                <w:sz w:val="18"/>
                <w:szCs w:val="18"/>
              </w:rPr>
              <w:t> </w:t>
            </w:r>
          </w:p>
        </w:tc>
      </w:tr>
      <w:tr w:rsidR="00000000" w14:paraId="7075E100" w14:textId="77777777">
        <w:trPr>
          <w:trHeight w:val="180"/>
          <w:tblCellSpacing w:w="15" w:type="dxa"/>
        </w:trPr>
        <w:tc>
          <w:tcPr>
            <w:tcW w:w="0" w:type="auto"/>
            <w:hideMark/>
          </w:tcPr>
          <w:p w14:paraId="5BB1A75B" w14:textId="77777777" w:rsidR="00000000" w:rsidRDefault="00632532">
            <w:pPr>
              <w:pStyle w:val="a3"/>
              <w:spacing w:before="0" w:beforeAutospacing="0" w:after="0" w:afterAutospacing="0"/>
              <w:rPr>
                <w:sz w:val="18"/>
                <w:szCs w:val="18"/>
              </w:rPr>
            </w:pPr>
            <w:r>
              <w:rPr>
                <w:b/>
                <w:bCs/>
                <w:sz w:val="18"/>
                <w:szCs w:val="18"/>
              </w:rPr>
              <w:t>Cash and cash equivalents at end of perio</w:t>
            </w:r>
            <w:r>
              <w:rPr>
                <w:b/>
                <w:bCs/>
                <w:sz w:val="18"/>
                <w:szCs w:val="18"/>
              </w:rPr>
              <w:t>d</w:t>
            </w:r>
          </w:p>
        </w:tc>
        <w:tc>
          <w:tcPr>
            <w:tcW w:w="0" w:type="auto"/>
            <w:vAlign w:val="bottom"/>
            <w:hideMark/>
          </w:tcPr>
          <w:p w14:paraId="496E45F2"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67E205E"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4FAC8C9D" w14:textId="77777777" w:rsidR="00000000" w:rsidRDefault="00632532">
            <w:pPr>
              <w:pStyle w:val="a3"/>
              <w:spacing w:before="0" w:beforeAutospacing="0" w:after="0" w:afterAutospacing="0"/>
              <w:jc w:val="right"/>
              <w:rPr>
                <w:sz w:val="20"/>
                <w:szCs w:val="20"/>
              </w:rPr>
            </w:pPr>
            <w:r>
              <w:rPr>
                <w:sz w:val="18"/>
                <w:szCs w:val="18"/>
              </w:rPr>
              <w:t>138,78</w:t>
            </w:r>
            <w:r>
              <w:rPr>
                <w:sz w:val="18"/>
                <w:szCs w:val="18"/>
              </w:rPr>
              <w:t>0</w:t>
            </w:r>
          </w:p>
        </w:tc>
        <w:tc>
          <w:tcPr>
            <w:tcW w:w="0" w:type="auto"/>
            <w:noWrap/>
            <w:vAlign w:val="bottom"/>
            <w:hideMark/>
          </w:tcPr>
          <w:p w14:paraId="299B5467"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4701C670"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A269A6B"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5FECBA5" w14:textId="77777777" w:rsidR="00000000" w:rsidRDefault="00632532">
            <w:pPr>
              <w:pStyle w:val="a3"/>
              <w:spacing w:before="0" w:beforeAutospacing="0" w:after="0" w:afterAutospacing="0"/>
              <w:jc w:val="right"/>
              <w:rPr>
                <w:sz w:val="20"/>
                <w:szCs w:val="20"/>
              </w:rPr>
            </w:pPr>
            <w:r>
              <w:rPr>
                <w:sz w:val="18"/>
                <w:szCs w:val="18"/>
              </w:rPr>
              <w:t>100,46</w:t>
            </w:r>
            <w:r>
              <w:rPr>
                <w:sz w:val="18"/>
                <w:szCs w:val="18"/>
              </w:rPr>
              <w:t>1</w:t>
            </w:r>
          </w:p>
        </w:tc>
        <w:tc>
          <w:tcPr>
            <w:tcW w:w="0" w:type="auto"/>
            <w:noWrap/>
            <w:vAlign w:val="bottom"/>
            <w:hideMark/>
          </w:tcPr>
          <w:p w14:paraId="3AD74B70" w14:textId="77777777" w:rsidR="00000000" w:rsidRDefault="00632532">
            <w:pPr>
              <w:pStyle w:val="a3"/>
              <w:spacing w:before="0" w:beforeAutospacing="0" w:after="0" w:afterAutospacing="0"/>
              <w:rPr>
                <w:sz w:val="18"/>
                <w:szCs w:val="18"/>
              </w:rPr>
            </w:pPr>
            <w:r>
              <w:rPr>
                <w:sz w:val="18"/>
                <w:szCs w:val="18"/>
              </w:rPr>
              <w:t> </w:t>
            </w:r>
          </w:p>
        </w:tc>
      </w:tr>
      <w:tr w:rsidR="00000000" w14:paraId="78573CCD" w14:textId="77777777">
        <w:trPr>
          <w:trHeight w:val="180"/>
          <w:tblCellSpacing w:w="15" w:type="dxa"/>
        </w:trPr>
        <w:tc>
          <w:tcPr>
            <w:tcW w:w="0" w:type="auto"/>
            <w:hideMark/>
          </w:tcPr>
          <w:p w14:paraId="7545AA9E" w14:textId="77777777" w:rsidR="00000000" w:rsidRDefault="00632532">
            <w:pPr>
              <w:pStyle w:val="a3"/>
              <w:spacing w:before="0" w:beforeAutospacing="0" w:after="0" w:afterAutospacing="0"/>
              <w:rPr>
                <w:sz w:val="18"/>
                <w:szCs w:val="18"/>
              </w:rPr>
            </w:pPr>
            <w:r>
              <w:rPr>
                <w:b/>
                <w:bCs/>
                <w:sz w:val="18"/>
                <w:szCs w:val="18"/>
              </w:rPr>
              <w:t>Supplemental disclosures of cash flow information</w:t>
            </w:r>
            <w:r>
              <w:rPr>
                <w:b/>
                <w:bCs/>
                <w:sz w:val="18"/>
                <w:szCs w:val="18"/>
              </w:rPr>
              <w:t>:</w:t>
            </w:r>
          </w:p>
        </w:tc>
        <w:tc>
          <w:tcPr>
            <w:tcW w:w="0" w:type="auto"/>
            <w:vAlign w:val="bottom"/>
            <w:hideMark/>
          </w:tcPr>
          <w:p w14:paraId="0CAF65B7"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3FDDC9C3"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3A922517"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13A5C8BD"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5A12A4EB"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184DB64C" w14:textId="77777777" w:rsidR="00000000" w:rsidRDefault="00632532">
            <w:pPr>
              <w:pStyle w:val="a3"/>
              <w:spacing w:before="0" w:beforeAutospacing="0" w:after="0" w:afterAutospacing="0"/>
              <w:jc w:val="right"/>
              <w:rPr>
                <w:sz w:val="18"/>
                <w:szCs w:val="18"/>
              </w:rPr>
            </w:pPr>
            <w:r>
              <w:rPr>
                <w:sz w:val="18"/>
                <w:szCs w:val="18"/>
              </w:rPr>
              <w:t> </w:t>
            </w:r>
          </w:p>
        </w:tc>
      </w:tr>
      <w:tr w:rsidR="00000000" w14:paraId="538E5516" w14:textId="77777777">
        <w:trPr>
          <w:trHeight w:val="180"/>
          <w:tblCellSpacing w:w="15" w:type="dxa"/>
        </w:trPr>
        <w:tc>
          <w:tcPr>
            <w:tcW w:w="0" w:type="auto"/>
            <w:hideMark/>
          </w:tcPr>
          <w:p w14:paraId="45C47158" w14:textId="77777777" w:rsidR="00000000" w:rsidRDefault="00632532">
            <w:pPr>
              <w:pStyle w:val="a3"/>
              <w:spacing w:before="0" w:beforeAutospacing="0" w:after="0" w:afterAutospacing="0"/>
              <w:ind w:left="200"/>
              <w:rPr>
                <w:sz w:val="18"/>
                <w:szCs w:val="18"/>
              </w:rPr>
            </w:pPr>
            <w:r>
              <w:rPr>
                <w:sz w:val="18"/>
                <w:szCs w:val="18"/>
              </w:rPr>
              <w:t>Income taxes pai</w:t>
            </w:r>
            <w:r>
              <w:rPr>
                <w:sz w:val="18"/>
                <w:szCs w:val="18"/>
              </w:rPr>
              <w:t>d</w:t>
            </w:r>
          </w:p>
        </w:tc>
        <w:tc>
          <w:tcPr>
            <w:tcW w:w="0" w:type="auto"/>
            <w:vAlign w:val="bottom"/>
            <w:hideMark/>
          </w:tcPr>
          <w:p w14:paraId="1C3D13F7"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E3399C8"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4C9F908E" w14:textId="77777777" w:rsidR="00000000" w:rsidRDefault="00632532">
            <w:pPr>
              <w:pStyle w:val="a3"/>
              <w:spacing w:before="0" w:beforeAutospacing="0" w:after="0" w:afterAutospacing="0"/>
              <w:jc w:val="right"/>
              <w:rPr>
                <w:sz w:val="20"/>
                <w:szCs w:val="20"/>
              </w:rPr>
            </w:pPr>
            <w:r>
              <w:rPr>
                <w:sz w:val="18"/>
                <w:szCs w:val="18"/>
              </w:rPr>
              <w:t>54,98</w:t>
            </w:r>
            <w:r>
              <w:rPr>
                <w:sz w:val="18"/>
                <w:szCs w:val="18"/>
              </w:rPr>
              <w:t>2</w:t>
            </w:r>
          </w:p>
        </w:tc>
        <w:tc>
          <w:tcPr>
            <w:tcW w:w="0" w:type="auto"/>
            <w:noWrap/>
            <w:vAlign w:val="bottom"/>
            <w:hideMark/>
          </w:tcPr>
          <w:p w14:paraId="20797E0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6FE41E8A"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D749217"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C153CDF" w14:textId="77777777" w:rsidR="00000000" w:rsidRDefault="00632532">
            <w:pPr>
              <w:pStyle w:val="a3"/>
              <w:spacing w:before="0" w:beforeAutospacing="0" w:after="0" w:afterAutospacing="0"/>
              <w:jc w:val="right"/>
              <w:rPr>
                <w:sz w:val="20"/>
                <w:szCs w:val="20"/>
              </w:rPr>
            </w:pPr>
            <w:r>
              <w:rPr>
                <w:sz w:val="18"/>
                <w:szCs w:val="18"/>
              </w:rPr>
              <w:t>119,98</w:t>
            </w:r>
            <w:r>
              <w:rPr>
                <w:sz w:val="18"/>
                <w:szCs w:val="18"/>
              </w:rPr>
              <w:t>0</w:t>
            </w:r>
          </w:p>
        </w:tc>
        <w:tc>
          <w:tcPr>
            <w:tcW w:w="0" w:type="auto"/>
            <w:noWrap/>
            <w:vAlign w:val="bottom"/>
            <w:hideMark/>
          </w:tcPr>
          <w:p w14:paraId="75CCF98C" w14:textId="77777777" w:rsidR="00000000" w:rsidRDefault="00632532">
            <w:pPr>
              <w:pStyle w:val="a3"/>
              <w:spacing w:before="0" w:beforeAutospacing="0" w:after="0" w:afterAutospacing="0"/>
              <w:rPr>
                <w:sz w:val="18"/>
                <w:szCs w:val="18"/>
              </w:rPr>
            </w:pPr>
            <w:r>
              <w:rPr>
                <w:sz w:val="18"/>
                <w:szCs w:val="18"/>
              </w:rPr>
              <w:t> </w:t>
            </w:r>
          </w:p>
        </w:tc>
      </w:tr>
      <w:tr w:rsidR="00000000" w14:paraId="1DCA1B90" w14:textId="77777777">
        <w:trPr>
          <w:trHeight w:val="180"/>
          <w:tblCellSpacing w:w="15" w:type="dxa"/>
        </w:trPr>
        <w:tc>
          <w:tcPr>
            <w:tcW w:w="0" w:type="auto"/>
            <w:hideMark/>
          </w:tcPr>
          <w:p w14:paraId="1663161F" w14:textId="77777777" w:rsidR="00000000" w:rsidRDefault="00632532">
            <w:pPr>
              <w:pStyle w:val="a3"/>
              <w:spacing w:before="0" w:beforeAutospacing="0" w:after="0" w:afterAutospacing="0"/>
              <w:rPr>
                <w:sz w:val="18"/>
                <w:szCs w:val="18"/>
              </w:rPr>
            </w:pPr>
            <w:r>
              <w:rPr>
                <w:b/>
                <w:bCs/>
                <w:sz w:val="18"/>
                <w:szCs w:val="18"/>
              </w:rPr>
              <w:t>Supplemental disclosures of non-cash investing and financing activities</w:t>
            </w:r>
            <w:r>
              <w:rPr>
                <w:b/>
                <w:bCs/>
                <w:sz w:val="18"/>
                <w:szCs w:val="18"/>
              </w:rPr>
              <w:t>:</w:t>
            </w:r>
          </w:p>
        </w:tc>
        <w:tc>
          <w:tcPr>
            <w:tcW w:w="0" w:type="auto"/>
            <w:vAlign w:val="bottom"/>
            <w:hideMark/>
          </w:tcPr>
          <w:p w14:paraId="725450AA"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27A78CCF"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61D1AF33"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443B14BD" w14:textId="77777777" w:rsidR="00000000" w:rsidRDefault="00632532">
            <w:pPr>
              <w:pStyle w:val="a3"/>
              <w:spacing w:before="0" w:beforeAutospacing="0" w:after="0" w:afterAutospacing="0"/>
              <w:jc w:val="center"/>
              <w:rPr>
                <w:sz w:val="18"/>
                <w:szCs w:val="18"/>
              </w:rPr>
            </w:pPr>
            <w:r>
              <w:rPr>
                <w:sz w:val="18"/>
                <w:szCs w:val="18"/>
              </w:rPr>
              <w:t> </w:t>
            </w:r>
          </w:p>
        </w:tc>
        <w:tc>
          <w:tcPr>
            <w:tcW w:w="0" w:type="auto"/>
            <w:gridSpan w:val="2"/>
            <w:vAlign w:val="bottom"/>
            <w:hideMark/>
          </w:tcPr>
          <w:p w14:paraId="29976F01" w14:textId="77777777" w:rsidR="00000000" w:rsidRDefault="00632532">
            <w:pPr>
              <w:pStyle w:val="a3"/>
              <w:spacing w:before="0" w:beforeAutospacing="0" w:after="0" w:afterAutospacing="0"/>
              <w:jc w:val="right"/>
              <w:rPr>
                <w:sz w:val="18"/>
                <w:szCs w:val="18"/>
              </w:rPr>
            </w:pPr>
            <w:r>
              <w:rPr>
                <w:sz w:val="18"/>
                <w:szCs w:val="18"/>
              </w:rPr>
              <w:t> </w:t>
            </w:r>
          </w:p>
        </w:tc>
        <w:tc>
          <w:tcPr>
            <w:tcW w:w="0" w:type="auto"/>
            <w:vAlign w:val="bottom"/>
            <w:hideMark/>
          </w:tcPr>
          <w:p w14:paraId="318A32C2" w14:textId="77777777" w:rsidR="00000000" w:rsidRDefault="00632532">
            <w:pPr>
              <w:pStyle w:val="a3"/>
              <w:spacing w:before="0" w:beforeAutospacing="0" w:after="0" w:afterAutospacing="0"/>
              <w:jc w:val="right"/>
              <w:rPr>
                <w:sz w:val="18"/>
                <w:szCs w:val="18"/>
              </w:rPr>
            </w:pPr>
            <w:r>
              <w:rPr>
                <w:sz w:val="18"/>
                <w:szCs w:val="18"/>
              </w:rPr>
              <w:t> </w:t>
            </w:r>
          </w:p>
        </w:tc>
      </w:tr>
      <w:tr w:rsidR="00000000" w14:paraId="11E7586A" w14:textId="77777777">
        <w:trPr>
          <w:trHeight w:val="180"/>
          <w:tblCellSpacing w:w="15" w:type="dxa"/>
        </w:trPr>
        <w:tc>
          <w:tcPr>
            <w:tcW w:w="0" w:type="auto"/>
            <w:hideMark/>
          </w:tcPr>
          <w:p w14:paraId="6D902A0B" w14:textId="77777777" w:rsidR="00000000" w:rsidRDefault="00632532">
            <w:pPr>
              <w:pStyle w:val="a3"/>
              <w:spacing w:before="0" w:beforeAutospacing="0" w:after="0" w:afterAutospacing="0"/>
              <w:ind w:left="200"/>
              <w:rPr>
                <w:sz w:val="18"/>
                <w:szCs w:val="18"/>
              </w:rPr>
            </w:pPr>
            <w:r>
              <w:rPr>
                <w:sz w:val="18"/>
                <w:szCs w:val="18"/>
              </w:rPr>
              <w:t>Purchases of fixed assets in accounts payabl</w:t>
            </w:r>
            <w:r>
              <w:rPr>
                <w:sz w:val="18"/>
                <w:szCs w:val="18"/>
              </w:rPr>
              <w:t>e</w:t>
            </w:r>
          </w:p>
        </w:tc>
        <w:tc>
          <w:tcPr>
            <w:tcW w:w="0" w:type="auto"/>
            <w:vAlign w:val="bottom"/>
            <w:hideMark/>
          </w:tcPr>
          <w:p w14:paraId="4EA9D3D1"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642FE173"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BE8E188" w14:textId="77777777" w:rsidR="00000000" w:rsidRDefault="00632532">
            <w:pPr>
              <w:pStyle w:val="a3"/>
              <w:spacing w:before="0" w:beforeAutospacing="0" w:after="0" w:afterAutospacing="0"/>
              <w:jc w:val="right"/>
              <w:rPr>
                <w:sz w:val="20"/>
                <w:szCs w:val="20"/>
              </w:rPr>
            </w:pPr>
            <w:r>
              <w:rPr>
                <w:sz w:val="18"/>
                <w:szCs w:val="18"/>
              </w:rPr>
              <w:t>2,15</w:t>
            </w:r>
            <w:r>
              <w:rPr>
                <w:sz w:val="18"/>
                <w:szCs w:val="18"/>
              </w:rPr>
              <w:t>8</w:t>
            </w:r>
          </w:p>
        </w:tc>
        <w:tc>
          <w:tcPr>
            <w:tcW w:w="0" w:type="auto"/>
            <w:noWrap/>
            <w:vAlign w:val="bottom"/>
            <w:hideMark/>
          </w:tcPr>
          <w:p w14:paraId="5020CF5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15BEE12C" w14:textId="77777777" w:rsidR="00000000" w:rsidRDefault="00632532">
            <w:pPr>
              <w:pStyle w:val="a3"/>
              <w:spacing w:before="0" w:beforeAutospacing="0" w:after="0" w:afterAutospacing="0"/>
              <w:jc w:val="right"/>
              <w:rPr>
                <w:sz w:val="18"/>
                <w:szCs w:val="18"/>
              </w:rPr>
            </w:pPr>
            <w:r>
              <w:rPr>
                <w:sz w:val="18"/>
                <w:szCs w:val="18"/>
              </w:rPr>
              <w:t> </w:t>
            </w:r>
          </w:p>
        </w:tc>
        <w:tc>
          <w:tcPr>
            <w:tcW w:w="0" w:type="auto"/>
            <w:noWrap/>
            <w:vAlign w:val="bottom"/>
            <w:hideMark/>
          </w:tcPr>
          <w:p w14:paraId="56D12109"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FED3E1F" w14:textId="77777777" w:rsidR="00000000" w:rsidRDefault="00632532">
            <w:pPr>
              <w:pStyle w:val="a3"/>
              <w:spacing w:before="0" w:beforeAutospacing="0" w:after="0" w:afterAutospacing="0"/>
              <w:jc w:val="right"/>
              <w:rPr>
                <w:sz w:val="20"/>
                <w:szCs w:val="20"/>
              </w:rPr>
            </w:pPr>
            <w:r>
              <w:rPr>
                <w:sz w:val="18"/>
                <w:szCs w:val="18"/>
              </w:rPr>
              <w:t>74</w:t>
            </w:r>
            <w:r>
              <w:rPr>
                <w:sz w:val="18"/>
                <w:szCs w:val="18"/>
              </w:rPr>
              <w:t>2</w:t>
            </w:r>
          </w:p>
        </w:tc>
        <w:tc>
          <w:tcPr>
            <w:tcW w:w="0" w:type="auto"/>
            <w:noWrap/>
            <w:vAlign w:val="bottom"/>
            <w:hideMark/>
          </w:tcPr>
          <w:p w14:paraId="3B74FBA9" w14:textId="77777777" w:rsidR="00000000" w:rsidRDefault="00632532">
            <w:pPr>
              <w:pStyle w:val="a3"/>
              <w:spacing w:before="0" w:beforeAutospacing="0" w:after="0" w:afterAutospacing="0"/>
              <w:rPr>
                <w:sz w:val="18"/>
                <w:szCs w:val="18"/>
              </w:rPr>
            </w:pPr>
            <w:r>
              <w:rPr>
                <w:sz w:val="18"/>
                <w:szCs w:val="18"/>
              </w:rPr>
              <w:t> </w:t>
            </w:r>
          </w:p>
        </w:tc>
      </w:tr>
      <w:tr w:rsidR="00000000" w14:paraId="3F99B20E" w14:textId="77777777">
        <w:trPr>
          <w:trHeight w:val="180"/>
          <w:tblCellSpacing w:w="15" w:type="dxa"/>
        </w:trPr>
        <w:tc>
          <w:tcPr>
            <w:tcW w:w="0" w:type="auto"/>
            <w:hideMark/>
          </w:tcPr>
          <w:p w14:paraId="7337A210" w14:textId="77777777" w:rsidR="00000000" w:rsidRDefault="00632532">
            <w:pPr>
              <w:pStyle w:val="a3"/>
              <w:spacing w:before="0" w:beforeAutospacing="0" w:after="0" w:afterAutospacing="0"/>
              <w:ind w:left="200"/>
              <w:rPr>
                <w:sz w:val="18"/>
                <w:szCs w:val="18"/>
              </w:rPr>
            </w:pPr>
            <w:r>
              <w:rPr>
                <w:sz w:val="18"/>
                <w:szCs w:val="18"/>
              </w:rPr>
              <w:t>Purchases of fixed assets in notes payabl</w:t>
            </w:r>
            <w:r>
              <w:rPr>
                <w:sz w:val="18"/>
                <w:szCs w:val="18"/>
              </w:rPr>
              <w:t>e</w:t>
            </w:r>
          </w:p>
        </w:tc>
        <w:tc>
          <w:tcPr>
            <w:tcW w:w="0" w:type="auto"/>
            <w:vAlign w:val="bottom"/>
            <w:hideMark/>
          </w:tcPr>
          <w:p w14:paraId="38512B8F"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1D00EE95"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47CD979B" w14:textId="77777777" w:rsidR="00000000" w:rsidRDefault="00632532">
            <w:pPr>
              <w:pStyle w:val="a3"/>
              <w:spacing w:before="0" w:beforeAutospacing="0" w:after="0" w:afterAutospacing="0"/>
              <w:jc w:val="right"/>
              <w:rPr>
                <w:sz w:val="20"/>
                <w:szCs w:val="20"/>
              </w:rPr>
            </w:pPr>
            <w:r>
              <w:rPr>
                <w:sz w:val="18"/>
                <w:szCs w:val="18"/>
              </w:rPr>
              <w:t>3,83</w:t>
            </w:r>
            <w:r>
              <w:rPr>
                <w:sz w:val="18"/>
                <w:szCs w:val="18"/>
              </w:rPr>
              <w:t>3</w:t>
            </w:r>
          </w:p>
        </w:tc>
        <w:tc>
          <w:tcPr>
            <w:tcW w:w="0" w:type="auto"/>
            <w:noWrap/>
            <w:vAlign w:val="bottom"/>
            <w:hideMark/>
          </w:tcPr>
          <w:p w14:paraId="353DE81B"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22FE22A3" w14:textId="77777777" w:rsidR="00000000" w:rsidRDefault="00632532">
            <w:pPr>
              <w:pStyle w:val="a3"/>
              <w:spacing w:before="0" w:beforeAutospacing="0" w:after="0" w:afterAutospacing="0"/>
              <w:jc w:val="right"/>
              <w:rPr>
                <w:sz w:val="18"/>
                <w:szCs w:val="18"/>
              </w:rPr>
            </w:pPr>
            <w:r>
              <w:rPr>
                <w:sz w:val="18"/>
                <w:szCs w:val="18"/>
              </w:rPr>
              <w:t> </w:t>
            </w:r>
          </w:p>
        </w:tc>
        <w:tc>
          <w:tcPr>
            <w:tcW w:w="0" w:type="auto"/>
            <w:noWrap/>
            <w:vAlign w:val="bottom"/>
            <w:hideMark/>
          </w:tcPr>
          <w:p w14:paraId="0A837DFE"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7185244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BCDC20A" w14:textId="77777777" w:rsidR="00000000" w:rsidRDefault="00632532">
            <w:pPr>
              <w:pStyle w:val="a3"/>
              <w:spacing w:before="0" w:beforeAutospacing="0" w:after="0" w:afterAutospacing="0"/>
              <w:rPr>
                <w:sz w:val="18"/>
                <w:szCs w:val="18"/>
              </w:rPr>
            </w:pPr>
            <w:r>
              <w:rPr>
                <w:sz w:val="18"/>
                <w:szCs w:val="18"/>
              </w:rPr>
              <w:t> </w:t>
            </w:r>
          </w:p>
        </w:tc>
      </w:tr>
      <w:tr w:rsidR="00000000" w14:paraId="024014B6" w14:textId="77777777">
        <w:trPr>
          <w:trHeight w:val="180"/>
          <w:tblCellSpacing w:w="15" w:type="dxa"/>
        </w:trPr>
        <w:tc>
          <w:tcPr>
            <w:tcW w:w="0" w:type="auto"/>
            <w:hideMark/>
          </w:tcPr>
          <w:p w14:paraId="06509450" w14:textId="77777777" w:rsidR="00000000" w:rsidRDefault="00632532">
            <w:pPr>
              <w:pStyle w:val="a3"/>
              <w:spacing w:before="0" w:beforeAutospacing="0" w:after="0" w:afterAutospacing="0"/>
              <w:ind w:left="200"/>
              <w:rPr>
                <w:sz w:val="18"/>
                <w:szCs w:val="18"/>
              </w:rPr>
            </w:pPr>
            <w:r>
              <w:rPr>
                <w:sz w:val="18"/>
                <w:szCs w:val="18"/>
              </w:rPr>
              <w:t>Operating lease right-of-use assets obtained in exchange for lease liabilitie</w:t>
            </w:r>
            <w:r>
              <w:rPr>
                <w:sz w:val="18"/>
                <w:szCs w:val="18"/>
              </w:rPr>
              <w:t>s</w:t>
            </w:r>
          </w:p>
        </w:tc>
        <w:tc>
          <w:tcPr>
            <w:tcW w:w="0" w:type="auto"/>
            <w:vAlign w:val="bottom"/>
            <w:hideMark/>
          </w:tcPr>
          <w:p w14:paraId="5C5670A4"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7B2C2A87"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68686CE9"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092707D5"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39641A0C" w14:textId="77777777" w:rsidR="00000000" w:rsidRDefault="00632532">
            <w:pPr>
              <w:pStyle w:val="a3"/>
              <w:spacing w:before="0" w:beforeAutospacing="0" w:after="0" w:afterAutospacing="0"/>
              <w:jc w:val="right"/>
              <w:rPr>
                <w:sz w:val="18"/>
                <w:szCs w:val="18"/>
              </w:rPr>
            </w:pPr>
            <w:r>
              <w:rPr>
                <w:sz w:val="18"/>
                <w:szCs w:val="18"/>
              </w:rPr>
              <w:t> </w:t>
            </w:r>
          </w:p>
        </w:tc>
        <w:tc>
          <w:tcPr>
            <w:tcW w:w="0" w:type="auto"/>
            <w:noWrap/>
            <w:vAlign w:val="bottom"/>
            <w:hideMark/>
          </w:tcPr>
          <w:p w14:paraId="50480384"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75BBD1E4" w14:textId="77777777" w:rsidR="00000000" w:rsidRDefault="00632532">
            <w:pPr>
              <w:pStyle w:val="a3"/>
              <w:spacing w:before="0" w:beforeAutospacing="0" w:after="0" w:afterAutospacing="0"/>
              <w:jc w:val="right"/>
              <w:rPr>
                <w:sz w:val="20"/>
                <w:szCs w:val="20"/>
              </w:rPr>
            </w:pPr>
            <w:r>
              <w:rPr>
                <w:sz w:val="18"/>
                <w:szCs w:val="18"/>
              </w:rPr>
              <w:t>76</w:t>
            </w:r>
            <w:r>
              <w:rPr>
                <w:sz w:val="18"/>
                <w:szCs w:val="18"/>
              </w:rPr>
              <w:t>5</w:t>
            </w:r>
          </w:p>
        </w:tc>
        <w:tc>
          <w:tcPr>
            <w:tcW w:w="0" w:type="auto"/>
            <w:noWrap/>
            <w:vAlign w:val="bottom"/>
            <w:hideMark/>
          </w:tcPr>
          <w:p w14:paraId="41700A18" w14:textId="77777777" w:rsidR="00000000" w:rsidRDefault="00632532">
            <w:pPr>
              <w:pStyle w:val="a3"/>
              <w:spacing w:before="0" w:beforeAutospacing="0" w:after="0" w:afterAutospacing="0"/>
              <w:rPr>
                <w:sz w:val="18"/>
                <w:szCs w:val="18"/>
              </w:rPr>
            </w:pPr>
            <w:r>
              <w:rPr>
                <w:sz w:val="18"/>
                <w:szCs w:val="18"/>
              </w:rPr>
              <w:t> </w:t>
            </w:r>
          </w:p>
        </w:tc>
      </w:tr>
      <w:tr w:rsidR="00000000" w14:paraId="5FFCA42D" w14:textId="77777777">
        <w:trPr>
          <w:trHeight w:val="180"/>
          <w:tblCellSpacing w:w="15" w:type="dxa"/>
        </w:trPr>
        <w:tc>
          <w:tcPr>
            <w:tcW w:w="0" w:type="auto"/>
            <w:hideMark/>
          </w:tcPr>
          <w:p w14:paraId="6F67435C" w14:textId="77777777" w:rsidR="00000000" w:rsidRDefault="00632532">
            <w:pPr>
              <w:pStyle w:val="a3"/>
              <w:spacing w:before="0" w:beforeAutospacing="0" w:after="0" w:afterAutospacing="0"/>
              <w:ind w:left="200"/>
              <w:rPr>
                <w:sz w:val="18"/>
                <w:szCs w:val="18"/>
              </w:rPr>
            </w:pPr>
            <w:r>
              <w:rPr>
                <w:sz w:val="18"/>
                <w:szCs w:val="18"/>
              </w:rPr>
              <w:t>Operating lease right-of-use assets reduced due to lease modification and terminatio</w:t>
            </w:r>
            <w:r>
              <w:rPr>
                <w:sz w:val="18"/>
                <w:szCs w:val="18"/>
              </w:rPr>
              <w:t>n</w:t>
            </w:r>
          </w:p>
        </w:tc>
        <w:tc>
          <w:tcPr>
            <w:tcW w:w="0" w:type="auto"/>
            <w:vAlign w:val="bottom"/>
            <w:hideMark/>
          </w:tcPr>
          <w:p w14:paraId="679017EF" w14:textId="77777777" w:rsidR="00000000" w:rsidRDefault="00632532">
            <w:pPr>
              <w:pStyle w:val="a3"/>
              <w:spacing w:before="0" w:beforeAutospacing="0" w:after="0" w:afterAutospacing="0"/>
              <w:jc w:val="right"/>
              <w:rPr>
                <w:sz w:val="18"/>
                <w:szCs w:val="18"/>
              </w:rPr>
            </w:pPr>
            <w:r>
              <w:rPr>
                <w:sz w:val="18"/>
                <w:szCs w:val="18"/>
              </w:rPr>
              <w:t> </w:t>
            </w:r>
          </w:p>
        </w:tc>
        <w:tc>
          <w:tcPr>
            <w:tcW w:w="0" w:type="auto"/>
            <w:noWrap/>
            <w:vAlign w:val="bottom"/>
            <w:hideMark/>
          </w:tcPr>
          <w:p w14:paraId="1DF311CE"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10FEC77B"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93783A4"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01C1E8C6" w14:textId="77777777" w:rsidR="00000000" w:rsidRDefault="00632532">
            <w:pPr>
              <w:pStyle w:val="a3"/>
              <w:spacing w:before="0" w:beforeAutospacing="0" w:after="0" w:afterAutospacing="0"/>
              <w:jc w:val="right"/>
              <w:rPr>
                <w:sz w:val="18"/>
                <w:szCs w:val="18"/>
              </w:rPr>
            </w:pPr>
            <w:r>
              <w:rPr>
                <w:sz w:val="18"/>
                <w:szCs w:val="18"/>
              </w:rPr>
              <w:t> </w:t>
            </w:r>
          </w:p>
        </w:tc>
        <w:tc>
          <w:tcPr>
            <w:tcW w:w="0" w:type="auto"/>
            <w:noWrap/>
            <w:vAlign w:val="bottom"/>
            <w:hideMark/>
          </w:tcPr>
          <w:p w14:paraId="070B9E45"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63C3623B" w14:textId="77777777" w:rsidR="00000000" w:rsidRDefault="00632532">
            <w:pPr>
              <w:pStyle w:val="a3"/>
              <w:spacing w:before="0" w:beforeAutospacing="0" w:after="0" w:afterAutospacing="0"/>
              <w:jc w:val="right"/>
              <w:rPr>
                <w:sz w:val="20"/>
                <w:szCs w:val="20"/>
              </w:rPr>
            </w:pPr>
            <w:r>
              <w:rPr>
                <w:sz w:val="18"/>
                <w:szCs w:val="18"/>
              </w:rPr>
              <w:t>18</w:t>
            </w:r>
            <w:r>
              <w:rPr>
                <w:sz w:val="18"/>
                <w:szCs w:val="18"/>
              </w:rPr>
              <w:t>5</w:t>
            </w:r>
          </w:p>
        </w:tc>
        <w:tc>
          <w:tcPr>
            <w:tcW w:w="0" w:type="auto"/>
            <w:noWrap/>
            <w:vAlign w:val="bottom"/>
            <w:hideMark/>
          </w:tcPr>
          <w:p w14:paraId="599C65DD" w14:textId="77777777" w:rsidR="00000000" w:rsidRDefault="00632532">
            <w:pPr>
              <w:pStyle w:val="a3"/>
              <w:spacing w:before="0" w:beforeAutospacing="0" w:after="0" w:afterAutospacing="0"/>
              <w:rPr>
                <w:sz w:val="18"/>
                <w:szCs w:val="18"/>
              </w:rPr>
            </w:pPr>
            <w:r>
              <w:rPr>
                <w:sz w:val="18"/>
                <w:szCs w:val="18"/>
              </w:rPr>
              <w:t> </w:t>
            </w:r>
          </w:p>
        </w:tc>
      </w:tr>
      <w:tr w:rsidR="00000000" w14:paraId="78E72D5E" w14:textId="77777777">
        <w:trPr>
          <w:trHeight w:val="180"/>
          <w:tblCellSpacing w:w="15" w:type="dxa"/>
        </w:trPr>
        <w:tc>
          <w:tcPr>
            <w:tcW w:w="0" w:type="auto"/>
            <w:hideMark/>
          </w:tcPr>
          <w:p w14:paraId="7A334AD4" w14:textId="77777777" w:rsidR="00000000" w:rsidRDefault="00632532">
            <w:pPr>
              <w:pStyle w:val="a3"/>
              <w:spacing w:before="0" w:beforeAutospacing="0" w:after="0" w:afterAutospacing="0"/>
              <w:ind w:left="200"/>
              <w:rPr>
                <w:sz w:val="18"/>
                <w:szCs w:val="18"/>
              </w:rPr>
            </w:pPr>
            <w:r>
              <w:rPr>
                <w:sz w:val="18"/>
                <w:szCs w:val="18"/>
              </w:rPr>
              <w:t>Public offerings costs included in accounts payabl</w:t>
            </w:r>
            <w:r>
              <w:rPr>
                <w:sz w:val="18"/>
                <w:szCs w:val="18"/>
              </w:rPr>
              <w:t>e</w:t>
            </w:r>
          </w:p>
        </w:tc>
        <w:tc>
          <w:tcPr>
            <w:tcW w:w="0" w:type="auto"/>
            <w:vAlign w:val="bottom"/>
            <w:hideMark/>
          </w:tcPr>
          <w:p w14:paraId="1CCAAA38" w14:textId="77777777" w:rsidR="00000000" w:rsidRDefault="00632532">
            <w:pPr>
              <w:pStyle w:val="a3"/>
              <w:spacing w:before="0" w:beforeAutospacing="0" w:after="0" w:afterAutospacing="0"/>
              <w:jc w:val="center"/>
              <w:rPr>
                <w:sz w:val="18"/>
                <w:szCs w:val="18"/>
              </w:rPr>
            </w:pPr>
            <w:r>
              <w:rPr>
                <w:sz w:val="18"/>
                <w:szCs w:val="18"/>
              </w:rPr>
              <w:t> </w:t>
            </w:r>
          </w:p>
        </w:tc>
        <w:tc>
          <w:tcPr>
            <w:tcW w:w="0" w:type="auto"/>
            <w:noWrap/>
            <w:vAlign w:val="bottom"/>
            <w:hideMark/>
          </w:tcPr>
          <w:p w14:paraId="25F0DBEB"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4319B58" w14:textId="77777777" w:rsidR="00000000" w:rsidRDefault="00632532">
            <w:pPr>
              <w:pStyle w:val="a3"/>
              <w:spacing w:before="0" w:beforeAutospacing="0" w:after="0" w:afterAutospacing="0"/>
              <w:jc w:val="right"/>
              <w:rPr>
                <w:sz w:val="18"/>
                <w:szCs w:val="18"/>
              </w:rPr>
            </w:pPr>
            <w:r>
              <w:rPr>
                <w:sz w:val="18"/>
                <w:szCs w:val="18"/>
              </w:rPr>
              <w:t>—</w:t>
            </w:r>
          </w:p>
        </w:tc>
        <w:tc>
          <w:tcPr>
            <w:tcW w:w="0" w:type="auto"/>
            <w:noWrap/>
            <w:vAlign w:val="bottom"/>
            <w:hideMark/>
          </w:tcPr>
          <w:p w14:paraId="1E2131B3" w14:textId="77777777" w:rsidR="00000000" w:rsidRDefault="00632532">
            <w:pPr>
              <w:pStyle w:val="a3"/>
              <w:spacing w:before="0" w:beforeAutospacing="0" w:after="0" w:afterAutospacing="0"/>
              <w:rPr>
                <w:sz w:val="18"/>
                <w:szCs w:val="18"/>
              </w:rPr>
            </w:pPr>
            <w:r>
              <w:rPr>
                <w:sz w:val="18"/>
                <w:szCs w:val="18"/>
              </w:rPr>
              <w:t> </w:t>
            </w:r>
          </w:p>
        </w:tc>
        <w:tc>
          <w:tcPr>
            <w:tcW w:w="0" w:type="auto"/>
            <w:vAlign w:val="bottom"/>
            <w:hideMark/>
          </w:tcPr>
          <w:p w14:paraId="7A7C5260" w14:textId="77777777" w:rsidR="00000000" w:rsidRDefault="00632532">
            <w:pPr>
              <w:pStyle w:val="a3"/>
              <w:spacing w:before="0" w:beforeAutospacing="0" w:after="0" w:afterAutospacing="0"/>
              <w:jc w:val="right"/>
              <w:rPr>
                <w:sz w:val="18"/>
                <w:szCs w:val="18"/>
              </w:rPr>
            </w:pPr>
            <w:r>
              <w:rPr>
                <w:sz w:val="18"/>
                <w:szCs w:val="18"/>
              </w:rPr>
              <w:t> </w:t>
            </w:r>
          </w:p>
        </w:tc>
        <w:tc>
          <w:tcPr>
            <w:tcW w:w="0" w:type="auto"/>
            <w:noWrap/>
            <w:vAlign w:val="bottom"/>
            <w:hideMark/>
          </w:tcPr>
          <w:p w14:paraId="0E712F7A" w14:textId="77777777" w:rsidR="00000000" w:rsidRDefault="00632532">
            <w:pPr>
              <w:pStyle w:val="a3"/>
              <w:spacing w:before="0" w:beforeAutospacing="0" w:after="0" w:afterAutospacing="0"/>
              <w:rPr>
                <w:sz w:val="18"/>
                <w:szCs w:val="18"/>
              </w:rPr>
            </w:pPr>
            <w:r>
              <w:rPr>
                <w:sz w:val="18"/>
                <w:szCs w:val="18"/>
              </w:rPr>
              <w:t>$</w:t>
            </w:r>
          </w:p>
        </w:tc>
        <w:tc>
          <w:tcPr>
            <w:tcW w:w="0" w:type="auto"/>
            <w:vAlign w:val="bottom"/>
            <w:hideMark/>
          </w:tcPr>
          <w:p w14:paraId="273725E0" w14:textId="77777777" w:rsidR="00000000" w:rsidRDefault="00632532">
            <w:pPr>
              <w:pStyle w:val="a3"/>
              <w:spacing w:before="0" w:beforeAutospacing="0" w:after="0" w:afterAutospacing="0"/>
              <w:jc w:val="right"/>
              <w:rPr>
                <w:sz w:val="20"/>
                <w:szCs w:val="20"/>
              </w:rPr>
            </w:pPr>
            <w:r>
              <w:rPr>
                <w:sz w:val="18"/>
                <w:szCs w:val="18"/>
              </w:rPr>
              <w:t>3</w:t>
            </w:r>
            <w:r>
              <w:rPr>
                <w:sz w:val="18"/>
                <w:szCs w:val="18"/>
              </w:rPr>
              <w:t>0</w:t>
            </w:r>
          </w:p>
        </w:tc>
        <w:tc>
          <w:tcPr>
            <w:tcW w:w="0" w:type="auto"/>
            <w:noWrap/>
            <w:vAlign w:val="bottom"/>
            <w:hideMark/>
          </w:tcPr>
          <w:p w14:paraId="09B4D1F4" w14:textId="77777777" w:rsidR="00000000" w:rsidRDefault="00632532">
            <w:pPr>
              <w:pStyle w:val="a3"/>
              <w:spacing w:before="0" w:beforeAutospacing="0" w:after="0" w:afterAutospacing="0"/>
              <w:rPr>
                <w:sz w:val="18"/>
                <w:szCs w:val="18"/>
              </w:rPr>
            </w:pPr>
            <w:r>
              <w:rPr>
                <w:sz w:val="18"/>
                <w:szCs w:val="18"/>
              </w:rPr>
              <w:t> </w:t>
            </w:r>
          </w:p>
        </w:tc>
      </w:tr>
    </w:tbl>
    <w:p w14:paraId="57C46409" w14:textId="77777777" w:rsidR="00000000" w:rsidRDefault="00632532">
      <w:pPr>
        <w:pStyle w:val="a3"/>
        <w:spacing w:before="0" w:beforeAutospacing="0" w:after="0" w:afterAutospacing="0"/>
        <w:jc w:val="center"/>
        <w:rPr>
          <w:sz w:val="20"/>
          <w:szCs w:val="20"/>
        </w:rPr>
      </w:pPr>
      <w:r>
        <w:rPr>
          <w:sz w:val="20"/>
          <w:szCs w:val="20"/>
        </w:rPr>
        <w:t> </w:t>
      </w:r>
    </w:p>
    <w:p w14:paraId="243E94E6" w14:textId="77777777" w:rsidR="00000000" w:rsidRDefault="00632532">
      <w:pPr>
        <w:pStyle w:val="a3"/>
        <w:spacing w:before="0" w:beforeAutospacing="0" w:after="0" w:afterAutospacing="0"/>
        <w:jc w:val="center"/>
        <w:rPr>
          <w:sz w:val="20"/>
          <w:szCs w:val="20"/>
        </w:rPr>
      </w:pPr>
      <w:r>
        <w:rPr>
          <w:sz w:val="18"/>
          <w:szCs w:val="18"/>
        </w:rPr>
        <w:t>The accompanying notes are an integral part of these condensed consolidated financial statements</w:t>
      </w:r>
      <w:r>
        <w:rPr>
          <w:sz w:val="18"/>
          <w:szCs w:val="18"/>
        </w:rPr>
        <w:t>.</w:t>
      </w:r>
    </w:p>
    <w:p w14:paraId="0FE2F70D" w14:textId="77777777" w:rsidR="00000000" w:rsidRDefault="00632532">
      <w:pPr>
        <w:pStyle w:val="a3"/>
        <w:spacing w:before="240" w:beforeAutospacing="0" w:after="0" w:afterAutospacing="0"/>
        <w:jc w:val="center"/>
        <w:rPr>
          <w:sz w:val="20"/>
          <w:szCs w:val="20"/>
        </w:rPr>
      </w:pPr>
      <w:r>
        <w:rPr>
          <w:sz w:val="20"/>
          <w:szCs w:val="20"/>
        </w:rPr>
        <w:t>6</w:t>
      </w:r>
    </w:p>
    <w:p w14:paraId="112C69BE" w14:textId="77777777" w:rsidR="00000000" w:rsidRDefault="00632532">
      <w:pPr>
        <w:rPr>
          <w:rFonts w:eastAsia="Times New Roman"/>
        </w:rPr>
      </w:pPr>
      <w:r>
        <w:rPr>
          <w:rFonts w:eastAsia="Times New Roman"/>
        </w:rPr>
        <w:pict w14:anchorId="1C13B566">
          <v:rect id="_x0000_i1032" style="width:0;height:1.5pt" o:hralign="center" o:hrstd="t" o:hr="t" fillcolor="#a0a0a0" stroked="f"/>
        </w:pict>
      </w:r>
    </w:p>
    <w:p w14:paraId="6FE16474" w14:textId="77777777" w:rsidR="00000000" w:rsidRDefault="00632532">
      <w:pPr>
        <w:pStyle w:val="a3"/>
        <w:spacing w:before="0" w:beforeAutospacing="0" w:after="0" w:afterAutospacing="0"/>
        <w:jc w:val="center"/>
        <w:rPr>
          <w:sz w:val="20"/>
          <w:szCs w:val="20"/>
        </w:rPr>
      </w:pPr>
      <w:r>
        <w:rPr>
          <w:b/>
          <w:bCs/>
          <w:sz w:val="20"/>
          <w:szCs w:val="20"/>
        </w:rPr>
        <w:t>FULGENT GENETICS, INC</w:t>
      </w:r>
      <w:r>
        <w:rPr>
          <w:b/>
          <w:bCs/>
          <w:sz w:val="20"/>
          <w:szCs w:val="20"/>
        </w:rPr>
        <w:t>.</w:t>
      </w:r>
    </w:p>
    <w:p w14:paraId="34D7AC74" w14:textId="77777777" w:rsidR="00000000" w:rsidRDefault="00632532">
      <w:pPr>
        <w:pStyle w:val="a3"/>
        <w:spacing w:before="0" w:beforeAutospacing="0" w:after="0" w:afterAutospacing="0"/>
        <w:jc w:val="center"/>
        <w:rPr>
          <w:sz w:val="20"/>
          <w:szCs w:val="20"/>
        </w:rPr>
      </w:pPr>
      <w:r>
        <w:rPr>
          <w:b/>
          <w:bCs/>
          <w:sz w:val="20"/>
          <w:szCs w:val="20"/>
        </w:rPr>
        <w:t>Notes to the Condensed Conso</w:t>
      </w:r>
      <w:r>
        <w:rPr>
          <w:b/>
          <w:bCs/>
          <w:sz w:val="20"/>
          <w:szCs w:val="20"/>
        </w:rPr>
        <w:t>l</w:t>
      </w:r>
      <w:r>
        <w:rPr>
          <w:b/>
          <w:bCs/>
          <w:sz w:val="20"/>
          <w:szCs w:val="20"/>
        </w:rPr>
        <w:t>idated Financial Statement</w:t>
      </w:r>
      <w:r>
        <w:rPr>
          <w:b/>
          <w:bCs/>
          <w:sz w:val="20"/>
          <w:szCs w:val="20"/>
        </w:rPr>
        <w:t>s</w:t>
      </w:r>
    </w:p>
    <w:p w14:paraId="50FFB0C9" w14:textId="77777777" w:rsidR="00000000" w:rsidRDefault="00632532">
      <w:pPr>
        <w:pStyle w:val="a3"/>
        <w:spacing w:before="0" w:beforeAutospacing="0" w:after="0" w:afterAutospacing="0"/>
        <w:jc w:val="center"/>
        <w:rPr>
          <w:sz w:val="20"/>
          <w:szCs w:val="20"/>
        </w:rPr>
      </w:pPr>
      <w:r>
        <w:rPr>
          <w:b/>
          <w:bCs/>
          <w:sz w:val="20"/>
          <w:szCs w:val="20"/>
        </w:rPr>
        <w:t>(unaudited</w:t>
      </w:r>
      <w:r>
        <w:rPr>
          <w:b/>
          <w:bCs/>
          <w:sz w:val="20"/>
          <w:szCs w:val="20"/>
        </w:rPr>
        <w:t>)</w:t>
      </w:r>
    </w:p>
    <w:p w14:paraId="7C2DF644" w14:textId="77777777" w:rsidR="00000000" w:rsidRDefault="00632532">
      <w:pPr>
        <w:pStyle w:val="a3"/>
        <w:spacing w:before="0" w:beforeAutospacing="0" w:after="0" w:afterAutospacing="0"/>
        <w:rPr>
          <w:sz w:val="20"/>
          <w:szCs w:val="20"/>
        </w:rPr>
      </w:pPr>
      <w:r>
        <w:rPr>
          <w:sz w:val="20"/>
          <w:szCs w:val="20"/>
        </w:rPr>
        <w:t> </w:t>
      </w:r>
    </w:p>
    <w:p w14:paraId="0A4D9A73" w14:textId="77777777" w:rsidR="00000000" w:rsidRDefault="00632532">
      <w:pPr>
        <w:pStyle w:val="a3"/>
        <w:spacing w:before="0" w:beforeAutospacing="0" w:after="0" w:afterAutospacing="0"/>
        <w:divId w:val="1299534825"/>
        <w:rPr>
          <w:sz w:val="20"/>
          <w:szCs w:val="20"/>
        </w:rPr>
      </w:pPr>
      <w:r>
        <w:rPr>
          <w:b/>
          <w:bCs/>
          <w:sz w:val="20"/>
          <w:szCs w:val="20"/>
        </w:rPr>
        <w:t>Note 1. Overview and Basis of Presentatio</w:t>
      </w:r>
      <w:r>
        <w:rPr>
          <w:b/>
          <w:bCs/>
          <w:sz w:val="20"/>
          <w:szCs w:val="20"/>
        </w:rPr>
        <w:t>n</w:t>
      </w:r>
    </w:p>
    <w:p w14:paraId="5E2AD81C" w14:textId="77777777" w:rsidR="00000000" w:rsidRDefault="00632532">
      <w:pPr>
        <w:pStyle w:val="a3"/>
        <w:spacing w:before="120" w:beforeAutospacing="0" w:after="0" w:afterAutospacing="0"/>
        <w:ind w:firstLine="555"/>
        <w:divId w:val="1299534825"/>
        <w:rPr>
          <w:sz w:val="20"/>
          <w:szCs w:val="20"/>
        </w:rPr>
      </w:pPr>
      <w:r>
        <w:rPr>
          <w:sz w:val="20"/>
          <w:szCs w:val="20"/>
        </w:rPr>
        <w:t xml:space="preserve">The accompanying condensed consolidated financial statements have been prepared in </w:t>
      </w:r>
      <w:r>
        <w:rPr>
          <w:sz w:val="20"/>
          <w:szCs w:val="20"/>
        </w:rPr>
        <w:t>accordance with accounting principles generally accepted in the United States of America, or U.S. GAAP. These financial statements include the assets, liabilities, revenues and expenses of all subsidiaries and entities in which the Company has a controllin</w:t>
      </w:r>
      <w:r>
        <w:rPr>
          <w:sz w:val="20"/>
          <w:szCs w:val="20"/>
        </w:rPr>
        <w:t>g financial interest or is deemed to be the primary beneficiary. In determining whether the Company is the primary beneficiary of an entity, the Company applies a qualitative approach that determines whether it has both (i) the power to direct the economic</w:t>
      </w:r>
      <w:r>
        <w:rPr>
          <w:sz w:val="20"/>
          <w:szCs w:val="20"/>
        </w:rPr>
        <w:t>ally significant activities of the entity and (ii) the obligation to absorb losses of, or the right to receive benefits from, the entity that could potentially be significant to that entity. The Company uses the equity method to account for its investments</w:t>
      </w:r>
      <w:r>
        <w:rPr>
          <w:sz w:val="20"/>
          <w:szCs w:val="20"/>
        </w:rPr>
        <w:t xml:space="preserve"> in entities that it does not control, but in which it has the ability to exercise significant influence over operating and financial policies. All significant intercompany accounts and transactions are eliminated from the accompanying condensed consolidat</w:t>
      </w:r>
      <w:r>
        <w:rPr>
          <w:sz w:val="20"/>
          <w:szCs w:val="20"/>
        </w:rPr>
        <w:t>ed financial statements</w:t>
      </w:r>
      <w:r>
        <w:rPr>
          <w:sz w:val="20"/>
          <w:szCs w:val="20"/>
        </w:rPr>
        <w:t>.</w:t>
      </w:r>
    </w:p>
    <w:p w14:paraId="2CB19C10" w14:textId="77777777" w:rsidR="00000000" w:rsidRDefault="00632532">
      <w:pPr>
        <w:pStyle w:val="a3"/>
        <w:spacing w:before="360" w:beforeAutospacing="0" w:after="0" w:afterAutospacing="0"/>
        <w:divId w:val="1299534825"/>
        <w:rPr>
          <w:sz w:val="20"/>
          <w:szCs w:val="20"/>
        </w:rPr>
      </w:pPr>
      <w:r>
        <w:rPr>
          <w:b/>
          <w:bCs/>
          <w:i/>
          <w:iCs/>
          <w:sz w:val="20"/>
          <w:szCs w:val="20"/>
        </w:rPr>
        <w:t>Nature of the Busines</w:t>
      </w:r>
      <w:r>
        <w:rPr>
          <w:b/>
          <w:bCs/>
          <w:i/>
          <w:iCs/>
          <w:sz w:val="20"/>
          <w:szCs w:val="20"/>
        </w:rPr>
        <w:t>s</w:t>
      </w:r>
    </w:p>
    <w:p w14:paraId="34BCEF40" w14:textId="77777777" w:rsidR="00000000" w:rsidRDefault="00632532">
      <w:pPr>
        <w:pStyle w:val="a3"/>
        <w:spacing w:before="120" w:beforeAutospacing="0" w:after="0" w:afterAutospacing="0"/>
        <w:ind w:firstLine="555"/>
        <w:divId w:val="1299534825"/>
        <w:rPr>
          <w:sz w:val="20"/>
          <w:szCs w:val="20"/>
        </w:rPr>
      </w:pPr>
      <w:r>
        <w:rPr>
          <w:sz w:val="20"/>
          <w:szCs w:val="20"/>
        </w:rPr>
        <w:t>Fulgent Genetics, Inc., together with its subsidiaries and affiliated professional corporations, or PCs, collectively referred to as the Company, unless otherwise noted or the context otherwise requires, is a</w:t>
      </w:r>
      <w:r>
        <w:rPr>
          <w:sz w:val="20"/>
          <w:szCs w:val="20"/>
        </w:rPr>
        <w:t xml:space="preserve"> technology company offering large-scale COVID-19 testing services, molecular diagnostic testing services and comprehensive genetic testing designed to provide physicians with clinically actionable diagnostic information to improve the quality of patient c</w:t>
      </w:r>
      <w:r>
        <w:rPr>
          <w:sz w:val="20"/>
          <w:szCs w:val="20"/>
        </w:rPr>
        <w:t>are. A cornerstone of the Company’s business is its ability to provide expansive options and flexibility for all clients’ unique testing needs. To this end, the Company has developed a proprietary technology platform allowing it to offer a broad and flexib</w:t>
      </w:r>
      <w:r>
        <w:rPr>
          <w:sz w:val="20"/>
          <w:szCs w:val="20"/>
        </w:rPr>
        <w:t xml:space="preserve">le test menu and to continually expand and improve its proprietary genetic reference library, while maintaining accessible pricing, high accuracy and competitive turnaround times. Combining next generation sequencing, or NGS, with its technology platform, </w:t>
      </w:r>
      <w:r>
        <w:rPr>
          <w:sz w:val="20"/>
          <w:szCs w:val="20"/>
        </w:rPr>
        <w:t>the Company performs full-gene sequencing with deletion/duplication analysis in single-gene tests; pre-established, multi-gene, disease-specific panels; and customized panels that can be tailored to meet specific customer needs</w:t>
      </w:r>
      <w:r>
        <w:rPr>
          <w:sz w:val="20"/>
          <w:szCs w:val="20"/>
        </w:rPr>
        <w:t>.</w:t>
      </w:r>
      <w:r>
        <w:rPr>
          <w:sz w:val="20"/>
          <w:szCs w:val="20"/>
        </w:rPr>
        <w:t xml:space="preserve"> </w:t>
      </w:r>
    </w:p>
    <w:p w14:paraId="4F333122" w14:textId="77777777" w:rsidR="00000000" w:rsidRDefault="00632532">
      <w:pPr>
        <w:pStyle w:val="a3"/>
        <w:spacing w:before="360" w:beforeAutospacing="0" w:after="0" w:afterAutospacing="0"/>
        <w:divId w:val="1299534825"/>
        <w:rPr>
          <w:sz w:val="20"/>
          <w:szCs w:val="20"/>
        </w:rPr>
      </w:pPr>
      <w:r>
        <w:rPr>
          <w:b/>
          <w:bCs/>
          <w:i/>
          <w:iCs/>
          <w:sz w:val="20"/>
          <w:szCs w:val="20"/>
        </w:rPr>
        <w:t>Unaudited Interim Financia</w:t>
      </w:r>
      <w:r>
        <w:rPr>
          <w:b/>
          <w:bCs/>
          <w:i/>
          <w:iCs/>
          <w:sz w:val="20"/>
          <w:szCs w:val="20"/>
        </w:rPr>
        <w:t>l Informatio</w:t>
      </w:r>
      <w:r>
        <w:rPr>
          <w:b/>
          <w:bCs/>
          <w:i/>
          <w:iCs/>
          <w:sz w:val="20"/>
          <w:szCs w:val="20"/>
        </w:rPr>
        <w:t>n</w:t>
      </w:r>
      <w:r>
        <w:rPr>
          <w:b/>
          <w:bCs/>
          <w:i/>
          <w:iCs/>
          <w:sz w:val="20"/>
          <w:szCs w:val="20"/>
        </w:rPr>
        <w:t xml:space="preserve"> </w:t>
      </w:r>
    </w:p>
    <w:p w14:paraId="79F0B8BE" w14:textId="77777777" w:rsidR="00000000" w:rsidRDefault="00632532">
      <w:pPr>
        <w:pStyle w:val="a3"/>
        <w:spacing w:before="120" w:beforeAutospacing="0" w:after="0" w:afterAutospacing="0"/>
        <w:ind w:firstLine="555"/>
        <w:divId w:val="1299534825"/>
        <w:rPr>
          <w:sz w:val="20"/>
          <w:szCs w:val="20"/>
        </w:rPr>
      </w:pPr>
      <w:r>
        <w:rPr>
          <w:sz w:val="20"/>
          <w:szCs w:val="20"/>
        </w:rPr>
        <w:t>The accompanying unaudited interim condensed consolidated financial statements have been prepared on the same basis as the Company’s audited consolidated financial statements as of and for the fiscal year ended December 31, 2021, which are i</w:t>
      </w:r>
      <w:r>
        <w:rPr>
          <w:sz w:val="20"/>
          <w:szCs w:val="20"/>
        </w:rPr>
        <w:t>ncluded in the Company’s annual report on Form 10-K filed with the Securities and Exchange Commission, or SEC, on February 28, 2022, or the 2021 Annual Report, and, in the opinion of management, include all adjustments, which are normal and recurring in na</w:t>
      </w:r>
      <w:r>
        <w:rPr>
          <w:sz w:val="20"/>
          <w:szCs w:val="20"/>
        </w:rPr>
        <w:t xml:space="preserve">ture, necessary for a fair presentation of the Company’s financial position and results of operations. Operating results for interim periods are not necessarily indicative of the results that may be expected for a full fiscal year or any other period. The </w:t>
      </w:r>
      <w:r>
        <w:rPr>
          <w:sz w:val="20"/>
          <w:szCs w:val="20"/>
        </w:rPr>
        <w:t>accompanying Condensed Consolidated Balance Sheet as of December 31, 2021 has been derived from the Company’s audited consolidated financial statements at that date but does not include all of the disclosures required by U.S. GAAP. As such, the information</w:t>
      </w:r>
      <w:r>
        <w:rPr>
          <w:sz w:val="20"/>
          <w:szCs w:val="20"/>
        </w:rPr>
        <w:t xml:space="preserve"> included in this quarterly report on Form 10-Q should be read in conjunction with the Company’s audited consolidated financial statements included in the 2021 Annual Report, including the notes thereto</w:t>
      </w:r>
      <w:r>
        <w:rPr>
          <w:sz w:val="20"/>
          <w:szCs w:val="20"/>
        </w:rPr>
        <w:t>.</w:t>
      </w:r>
    </w:p>
    <w:p w14:paraId="22EC5799" w14:textId="77777777" w:rsidR="00000000" w:rsidRDefault="00632532">
      <w:pPr>
        <w:pStyle w:val="a3"/>
        <w:spacing w:before="360" w:beforeAutospacing="0" w:after="0" w:afterAutospacing="0"/>
        <w:divId w:val="383333622"/>
        <w:rPr>
          <w:sz w:val="20"/>
          <w:szCs w:val="20"/>
        </w:rPr>
      </w:pPr>
      <w:r>
        <w:rPr>
          <w:b/>
          <w:bCs/>
          <w:sz w:val="20"/>
          <w:szCs w:val="20"/>
        </w:rPr>
        <w:t>Note 2. Summary of Significant Accounting Policie</w:t>
      </w:r>
      <w:r>
        <w:rPr>
          <w:b/>
          <w:bCs/>
          <w:sz w:val="20"/>
          <w:szCs w:val="20"/>
        </w:rPr>
        <w:t>s</w:t>
      </w:r>
    </w:p>
    <w:p w14:paraId="5FE944BF" w14:textId="77777777" w:rsidR="00000000" w:rsidRDefault="00632532">
      <w:pPr>
        <w:pStyle w:val="a3"/>
        <w:spacing w:before="120" w:beforeAutospacing="0" w:after="240" w:afterAutospacing="0"/>
        <w:ind w:firstLine="555"/>
        <w:divId w:val="383333622"/>
        <w:rPr>
          <w:sz w:val="20"/>
          <w:szCs w:val="20"/>
        </w:rPr>
      </w:pPr>
      <w:r>
        <w:rPr>
          <w:sz w:val="20"/>
          <w:szCs w:val="20"/>
        </w:rPr>
        <w:t>S</w:t>
      </w:r>
      <w:r>
        <w:rPr>
          <w:sz w:val="20"/>
          <w:szCs w:val="20"/>
        </w:rPr>
        <w:t>ee the summary of the Company’s significant accounting policies set forth in the notes to its consolidated financial statements included in the 2021 Annual Report</w:t>
      </w:r>
      <w:r>
        <w:rPr>
          <w:sz w:val="20"/>
          <w:szCs w:val="20"/>
        </w:rPr>
        <w:t>.</w:t>
      </w:r>
    </w:p>
    <w:p w14:paraId="12FF4E1F" w14:textId="77777777" w:rsidR="00000000" w:rsidRDefault="00632532">
      <w:pPr>
        <w:pStyle w:val="a3"/>
        <w:spacing w:before="120" w:beforeAutospacing="0" w:after="0" w:afterAutospacing="0"/>
        <w:divId w:val="903374219"/>
        <w:rPr>
          <w:sz w:val="20"/>
          <w:szCs w:val="20"/>
        </w:rPr>
      </w:pPr>
      <w:r>
        <w:rPr>
          <w:b/>
          <w:bCs/>
          <w:i/>
          <w:iCs/>
          <w:sz w:val="20"/>
          <w:szCs w:val="20"/>
        </w:rPr>
        <w:t>Use of Estimate</w:t>
      </w:r>
      <w:r>
        <w:rPr>
          <w:b/>
          <w:bCs/>
          <w:i/>
          <w:iCs/>
          <w:sz w:val="20"/>
          <w:szCs w:val="20"/>
        </w:rPr>
        <w:t>s</w:t>
      </w:r>
    </w:p>
    <w:p w14:paraId="6764C2F7" w14:textId="77777777" w:rsidR="00000000" w:rsidRDefault="00632532">
      <w:pPr>
        <w:pStyle w:val="a3"/>
        <w:spacing w:before="120" w:beforeAutospacing="0" w:after="0" w:afterAutospacing="0"/>
        <w:ind w:firstLine="555"/>
        <w:divId w:val="903374219"/>
        <w:rPr>
          <w:sz w:val="20"/>
          <w:szCs w:val="20"/>
        </w:rPr>
      </w:pPr>
      <w:r>
        <w:rPr>
          <w:sz w:val="20"/>
          <w:szCs w:val="20"/>
        </w:rPr>
        <w:t>The preparation of condensed consolidated financial statements in conformit</w:t>
      </w:r>
      <w:r>
        <w:rPr>
          <w:sz w:val="20"/>
          <w:szCs w:val="20"/>
        </w:rPr>
        <w:t>y with U.S. GAAP requires management to make certain estimates, judgments and assumptions that affect the reported amounts of assets and liabilities at the date of the financial statements, as well as the reported amounts of revenue and expenses during the</w:t>
      </w:r>
      <w:r>
        <w:rPr>
          <w:sz w:val="20"/>
          <w:szCs w:val="20"/>
        </w:rPr>
        <w:t xml:space="preserve"> reporting periods. These estimates, judgments and assumptions are based on historical data and experience available at the date of the accompanying condensed consolidated financial statements, as well as various other factors management believes to be rea</w:t>
      </w:r>
      <w:r>
        <w:rPr>
          <w:sz w:val="20"/>
          <w:szCs w:val="20"/>
        </w:rPr>
        <w:t>sonable under the circumstances, including but not limited to the potential impacts arising from the recent global pandemic related to COVID-19. As the extent and duration of the impacts from COVID-19 remain unclear, the Company’s estimates and assumptions</w:t>
      </w:r>
      <w:r>
        <w:rPr>
          <w:sz w:val="20"/>
          <w:szCs w:val="20"/>
        </w:rPr>
        <w:t xml:space="preserve"> may evolve as conditions change. Actual results could differ significantly from these estimates</w:t>
      </w:r>
      <w:r>
        <w:rPr>
          <w:sz w:val="20"/>
          <w:szCs w:val="20"/>
        </w:rPr>
        <w:t>.</w:t>
      </w:r>
    </w:p>
    <w:p w14:paraId="1F98776B" w14:textId="77777777" w:rsidR="00000000" w:rsidRDefault="00632532">
      <w:pPr>
        <w:pStyle w:val="a3"/>
        <w:spacing w:before="240" w:beforeAutospacing="0" w:after="0" w:afterAutospacing="0"/>
        <w:ind w:firstLine="555"/>
        <w:divId w:val="903374219"/>
        <w:rPr>
          <w:sz w:val="20"/>
          <w:szCs w:val="20"/>
        </w:rPr>
      </w:pPr>
      <w:r>
        <w:rPr>
          <w:sz w:val="20"/>
          <w:szCs w:val="20"/>
        </w:rPr>
        <w:t>On an on-going basis, management evaluates its estimates, primarily those related to: (i) revenue recognition criteria; (ii) accounts receivable and allowance</w:t>
      </w:r>
      <w:r>
        <w:rPr>
          <w:sz w:val="20"/>
          <w:szCs w:val="20"/>
        </w:rPr>
        <w:t>s for credit losses; (iii) the useful lives of fixed assets and intangible assets; (iv) estimates of tax liabilities; and (v) valuation of intangible assets and goodwill</w:t>
      </w:r>
      <w:r>
        <w:rPr>
          <w:sz w:val="20"/>
          <w:szCs w:val="20"/>
        </w:rPr>
        <w:t>.</w:t>
      </w:r>
    </w:p>
    <w:p w14:paraId="3729F6C0" w14:textId="77777777" w:rsidR="00000000" w:rsidRDefault="00632532">
      <w:pPr>
        <w:pStyle w:val="a3"/>
        <w:spacing w:before="240" w:beforeAutospacing="0" w:after="0" w:afterAutospacing="0"/>
        <w:jc w:val="center"/>
        <w:divId w:val="903374219"/>
        <w:rPr>
          <w:sz w:val="20"/>
          <w:szCs w:val="20"/>
        </w:rPr>
      </w:pPr>
      <w:r>
        <w:rPr>
          <w:sz w:val="20"/>
          <w:szCs w:val="20"/>
        </w:rPr>
        <w:t>7</w:t>
      </w:r>
    </w:p>
    <w:p w14:paraId="5FEBE409" w14:textId="77777777" w:rsidR="00000000" w:rsidRDefault="00632532">
      <w:pPr>
        <w:divId w:val="903374219"/>
        <w:rPr>
          <w:rFonts w:eastAsia="Times New Roman"/>
          <w:sz w:val="20"/>
          <w:szCs w:val="20"/>
        </w:rPr>
      </w:pPr>
      <w:r>
        <w:rPr>
          <w:rFonts w:eastAsia="Times New Roman"/>
          <w:sz w:val="20"/>
          <w:szCs w:val="20"/>
        </w:rPr>
        <w:pict w14:anchorId="3B22C3E6">
          <v:rect id="_x0000_i1033" style="width:0;height:1.5pt" o:hralign="center" o:hrstd="t" o:hr="t" fillcolor="#a0a0a0" stroked="f"/>
        </w:pict>
      </w:r>
    </w:p>
    <w:p w14:paraId="779827A0" w14:textId="77777777" w:rsidR="00000000" w:rsidRDefault="00632532">
      <w:pPr>
        <w:pStyle w:val="a3"/>
        <w:spacing w:before="360" w:beforeAutospacing="0" w:after="0" w:afterAutospacing="0"/>
        <w:divId w:val="559638957"/>
        <w:rPr>
          <w:sz w:val="20"/>
          <w:szCs w:val="20"/>
        </w:rPr>
      </w:pPr>
      <w:r>
        <w:rPr>
          <w:b/>
          <w:bCs/>
          <w:i/>
          <w:iCs/>
          <w:sz w:val="20"/>
          <w:szCs w:val="20"/>
        </w:rPr>
        <w:t>Marketable Securitie</w:t>
      </w:r>
      <w:r>
        <w:rPr>
          <w:b/>
          <w:bCs/>
          <w:i/>
          <w:iCs/>
          <w:sz w:val="20"/>
          <w:szCs w:val="20"/>
        </w:rPr>
        <w:t>s</w:t>
      </w:r>
    </w:p>
    <w:p w14:paraId="233516B8" w14:textId="77777777" w:rsidR="00000000" w:rsidRDefault="00632532">
      <w:pPr>
        <w:pStyle w:val="a3"/>
        <w:spacing w:before="120" w:beforeAutospacing="0" w:after="0" w:afterAutospacing="0"/>
        <w:ind w:firstLine="555"/>
        <w:divId w:val="559638957"/>
        <w:rPr>
          <w:sz w:val="20"/>
          <w:szCs w:val="20"/>
        </w:rPr>
      </w:pPr>
      <w:r>
        <w:rPr>
          <w:sz w:val="20"/>
          <w:szCs w:val="20"/>
        </w:rPr>
        <w:t>All marketable debt securities, which consist of corporate debt securities, municipal bonds, U.S. government and agency debt securities, U.S. treasury bills, and Yankee debt securities issued by foreign governments or entities and denominated in U.S. dolla</w:t>
      </w:r>
      <w:r>
        <w:rPr>
          <w:sz w:val="20"/>
          <w:szCs w:val="20"/>
        </w:rPr>
        <w:t>rs have been classified as “available-for-sale,” and are carried at fair value. Net unrealized gains and losses, net of any related tax effects, are excluded from earnings and are included in other comprehensive income (loss) and reported as a separate com</w:t>
      </w:r>
      <w:r>
        <w:rPr>
          <w:sz w:val="20"/>
          <w:szCs w:val="20"/>
        </w:rPr>
        <w:t>ponent of stockholders’ equity until realized. Realized gains and losses on marketable debt securities are included in interest and other income, net, in the accompanying Condensed Consolidated Statements of Income. The cost of any marketable debt securiti</w:t>
      </w:r>
      <w:r>
        <w:rPr>
          <w:sz w:val="20"/>
          <w:szCs w:val="20"/>
        </w:rPr>
        <w:t>es sold is based on the specific-identification method. The amortized cost of marketable debt securities is adjusted for amortization of premiums and accretion of discounts to maturity. Interest on marketable debt securities is included in interest and oth</w:t>
      </w:r>
      <w:r>
        <w:rPr>
          <w:sz w:val="20"/>
          <w:szCs w:val="20"/>
        </w:rPr>
        <w:t>er income, net. In accordance with the Company’s investment policy, management invests to diversify credit risk and only invests in securities with high credit quality, including U.S. government securities</w:t>
      </w:r>
      <w:r>
        <w:rPr>
          <w:sz w:val="20"/>
          <w:szCs w:val="20"/>
        </w:rPr>
        <w:t>.</w:t>
      </w:r>
    </w:p>
    <w:p w14:paraId="46B55268" w14:textId="77777777" w:rsidR="00000000" w:rsidRDefault="00632532">
      <w:pPr>
        <w:pStyle w:val="a3"/>
        <w:spacing w:before="240" w:beforeAutospacing="0" w:after="0" w:afterAutospacing="0"/>
        <w:ind w:firstLine="555"/>
        <w:divId w:val="559638957"/>
        <w:rPr>
          <w:sz w:val="20"/>
          <w:szCs w:val="20"/>
        </w:rPr>
      </w:pPr>
      <w:r>
        <w:rPr>
          <w:sz w:val="20"/>
          <w:szCs w:val="20"/>
        </w:rPr>
        <w:t>The Company’s investments in marketable equity se</w:t>
      </w:r>
      <w:r>
        <w:rPr>
          <w:sz w:val="20"/>
          <w:szCs w:val="20"/>
        </w:rPr>
        <w:t>curities are measured at fair value with the related gains and losses, realized and unrealized, recognized in interest and other income, net, in the accompanying Condensed Consolidated Statements of Income. The cost of any marketable equity securities sold</w:t>
      </w:r>
      <w:r>
        <w:rPr>
          <w:sz w:val="20"/>
          <w:szCs w:val="20"/>
        </w:rPr>
        <w:t xml:space="preserve"> is based on the specific-identification method</w:t>
      </w:r>
      <w:r>
        <w:rPr>
          <w:sz w:val="20"/>
          <w:szCs w:val="20"/>
        </w:rPr>
        <w:t>.</w:t>
      </w:r>
    </w:p>
    <w:p w14:paraId="35273726" w14:textId="77777777" w:rsidR="00000000" w:rsidRDefault="00632532">
      <w:pPr>
        <w:pStyle w:val="a3"/>
        <w:spacing w:before="240" w:beforeAutospacing="0" w:after="0" w:afterAutospacing="0"/>
        <w:ind w:firstLine="555"/>
        <w:divId w:val="559638957"/>
        <w:rPr>
          <w:sz w:val="20"/>
          <w:szCs w:val="20"/>
        </w:rPr>
      </w:pPr>
      <w:r>
        <w:rPr>
          <w:sz w:val="20"/>
          <w:szCs w:val="20"/>
        </w:rPr>
        <w:t>For available-for-sale debt securities, in an unrealized loss, the Company determines whether a credit loss exists. The credit loss is estimated by considering available information relevant to the collectab</w:t>
      </w:r>
      <w:r>
        <w:rPr>
          <w:sz w:val="20"/>
          <w:szCs w:val="20"/>
        </w:rPr>
        <w:t>ility of the security and information about past events, current conditions, and reasonable and supportable forecasts. The Company compares the present value of cash flows expected to be collected from the security with the amortized cost basis of the secu</w:t>
      </w:r>
      <w:r>
        <w:rPr>
          <w:sz w:val="20"/>
          <w:szCs w:val="20"/>
        </w:rPr>
        <w:t>rity. If the present value of cash flows to be collected is less than the amortized basis of the security, a credit loss exists, and any credit loss is recorded as a charge to interest and other income, net, not to exceed the amount of the unrealized loss.</w:t>
      </w:r>
      <w:r>
        <w:rPr>
          <w:sz w:val="20"/>
          <w:szCs w:val="20"/>
        </w:rPr>
        <w:t xml:space="preserve"> If the Company has an intent to sell, or if it is more likely than not that the Company will be required to sell a debt security in an unrealized loss position before recovery of its amortized cost basis, the Company will write down the security to its fa</w:t>
      </w:r>
      <w:r>
        <w:rPr>
          <w:sz w:val="20"/>
          <w:szCs w:val="20"/>
        </w:rPr>
        <w:t>ir value and record the corresponding charge as a component of interest and other income, net</w:t>
      </w:r>
      <w:r>
        <w:rPr>
          <w:sz w:val="20"/>
          <w:szCs w:val="20"/>
        </w:rPr>
        <w:t>.</w:t>
      </w:r>
      <w:r>
        <w:rPr>
          <w:sz w:val="20"/>
          <w:szCs w:val="20"/>
        </w:rPr>
        <w:t xml:space="preserve"> </w:t>
      </w:r>
    </w:p>
    <w:p w14:paraId="3C7B7EB4" w14:textId="77777777" w:rsidR="00000000" w:rsidRDefault="00632532">
      <w:pPr>
        <w:pStyle w:val="a3"/>
        <w:spacing w:before="360" w:beforeAutospacing="0" w:after="0" w:afterAutospacing="0"/>
        <w:divId w:val="1146900672"/>
        <w:rPr>
          <w:sz w:val="20"/>
          <w:szCs w:val="20"/>
        </w:rPr>
      </w:pPr>
      <w:r>
        <w:rPr>
          <w:b/>
          <w:bCs/>
          <w:i/>
          <w:iCs/>
          <w:sz w:val="20"/>
          <w:szCs w:val="20"/>
        </w:rPr>
        <w:t>Trade Accounts Receivable and Allowance for Credit Losse</w:t>
      </w:r>
      <w:r>
        <w:rPr>
          <w:b/>
          <w:bCs/>
          <w:i/>
          <w:iCs/>
          <w:sz w:val="20"/>
          <w:szCs w:val="20"/>
        </w:rPr>
        <w:t>s</w:t>
      </w:r>
      <w:r>
        <w:rPr>
          <w:b/>
          <w:bCs/>
          <w:i/>
          <w:iCs/>
          <w:sz w:val="20"/>
          <w:szCs w:val="20"/>
        </w:rPr>
        <w:t xml:space="preserve"> </w:t>
      </w:r>
    </w:p>
    <w:p w14:paraId="68B88752" w14:textId="77777777" w:rsidR="00000000" w:rsidRDefault="00632532">
      <w:pPr>
        <w:pStyle w:val="a3"/>
        <w:spacing w:before="120" w:beforeAutospacing="0" w:after="0" w:afterAutospacing="0"/>
        <w:ind w:firstLine="555"/>
        <w:divId w:val="1146900672"/>
        <w:rPr>
          <w:sz w:val="20"/>
          <w:szCs w:val="20"/>
        </w:rPr>
      </w:pPr>
      <w:r>
        <w:rPr>
          <w:sz w:val="20"/>
          <w:szCs w:val="20"/>
        </w:rPr>
        <w:t>Trade accounts receivable are stated at the amount the Company expects to collect. The Company mainta</w:t>
      </w:r>
      <w:r>
        <w:rPr>
          <w:sz w:val="20"/>
          <w:szCs w:val="20"/>
        </w:rPr>
        <w:t>ins an allowance for credit losses for expected uncollectible trade accounts receivable, which is recorded as an offset to trade accounts receivable, and changes in allowance for credit losses are classified as a general and administrative expense in the a</w:t>
      </w:r>
      <w:r>
        <w:rPr>
          <w:sz w:val="20"/>
          <w:szCs w:val="20"/>
        </w:rPr>
        <w:t>ccompanying Condensed Consolidated Statements of Income. The Company assesses collectability by reviewing trade accounts receivable on a collective basis where similar risk characteristics exist and on an individual basis when it identifies specific custom</w:t>
      </w:r>
      <w:r>
        <w:rPr>
          <w:sz w:val="20"/>
          <w:szCs w:val="20"/>
        </w:rPr>
        <w:t>ers that have deterioration in credit quality such that they may no longer share similar risk characteristics with the other receivables. In determining the amount of the allowance for credit losses, the Company uses a probability-of-default and loss given</w:t>
      </w:r>
      <w:r>
        <w:rPr>
          <w:sz w:val="20"/>
          <w:szCs w:val="20"/>
        </w:rPr>
        <w:t xml:space="preserve"> default model, which allows the ability to define a point of default and measure credit losses for receivables that have reached the point of default for purposes of calculating the allowance for credit losses. Loss given default represents the likelihood</w:t>
      </w:r>
      <w:r>
        <w:rPr>
          <w:sz w:val="20"/>
          <w:szCs w:val="20"/>
        </w:rPr>
        <w:t xml:space="preserve"> that a receivable that has reached the point of default will not be collected in full. The Company updates its probability-of-default and loss given default factors annually to incorporate the most recent historical data and adjusts the quantitative porti</w:t>
      </w:r>
      <w:r>
        <w:rPr>
          <w:sz w:val="20"/>
          <w:szCs w:val="20"/>
        </w:rPr>
        <w:t>on of the reserve through its qualitative reserve overlay. The Company looks at qualitative factors such as general economic conditions in determining expected credit losses. During the three and six months ended June 30, 2022, the Company recorded</w:t>
      </w:r>
      <w:r>
        <w:rPr>
          <w:sz w:val="20"/>
          <w:szCs w:val="20"/>
        </w:rPr>
        <w:t xml:space="preserve"> </w:t>
      </w:r>
      <w:r>
        <w:rPr>
          <w:sz w:val="20"/>
          <w:szCs w:val="20"/>
        </w:rPr>
        <w:t>$</w:t>
      </w:r>
      <w:r>
        <w:rPr>
          <w:sz w:val="20"/>
          <w:szCs w:val="20"/>
        </w:rPr>
        <w:t>7.</w:t>
      </w:r>
      <w:r>
        <w:rPr>
          <w:sz w:val="20"/>
          <w:szCs w:val="20"/>
        </w:rPr>
        <w:t>2</w:t>
      </w:r>
      <w:r>
        <w:rPr>
          <w:sz w:val="20"/>
          <w:szCs w:val="20"/>
        </w:rPr>
        <w:t xml:space="preserve"> mi</w:t>
      </w:r>
      <w:r>
        <w:rPr>
          <w:sz w:val="20"/>
          <w:szCs w:val="20"/>
        </w:rPr>
        <w:t>llio</w:t>
      </w:r>
      <w:r>
        <w:rPr>
          <w:sz w:val="20"/>
          <w:szCs w:val="20"/>
        </w:rPr>
        <w:t>n</w:t>
      </w:r>
      <w:r>
        <w:rPr>
          <w:sz w:val="20"/>
          <w:szCs w:val="20"/>
        </w:rPr>
        <w:t xml:space="preserve"> and</w:t>
      </w:r>
      <w:r>
        <w:rPr>
          <w:sz w:val="20"/>
          <w:szCs w:val="20"/>
        </w:rPr>
        <w:t xml:space="preserve"> </w:t>
      </w:r>
      <w:r>
        <w:rPr>
          <w:sz w:val="20"/>
          <w:szCs w:val="20"/>
        </w:rPr>
        <w:t>$</w:t>
      </w:r>
      <w:r>
        <w:rPr>
          <w:sz w:val="20"/>
          <w:szCs w:val="20"/>
        </w:rPr>
        <w:t>18.</w:t>
      </w:r>
      <w:r>
        <w:rPr>
          <w:sz w:val="20"/>
          <w:szCs w:val="20"/>
        </w:rPr>
        <w:t>7</w:t>
      </w:r>
      <w:r>
        <w:rPr>
          <w:sz w:val="20"/>
          <w:szCs w:val="20"/>
        </w:rPr>
        <w:t xml:space="preserve"> millio</w:t>
      </w:r>
      <w:r>
        <w:rPr>
          <w:sz w:val="20"/>
          <w:szCs w:val="20"/>
        </w:rPr>
        <w:t>n</w:t>
      </w:r>
      <w:r>
        <w:rPr>
          <w:sz w:val="20"/>
          <w:szCs w:val="20"/>
        </w:rPr>
        <w:t xml:space="preserve"> of provision for credit losses for trade accounts receivable, respectively. During the three and six months ended June 30, 2021, the Company recorded </w:t>
      </w:r>
      <w:r>
        <w:rPr>
          <w:sz w:val="20"/>
          <w:szCs w:val="20"/>
        </w:rPr>
        <w:t>$</w:t>
      </w:r>
      <w:r>
        <w:rPr>
          <w:sz w:val="20"/>
          <w:szCs w:val="20"/>
        </w:rPr>
        <w:t>2.</w:t>
      </w:r>
      <w:r>
        <w:rPr>
          <w:sz w:val="20"/>
          <w:szCs w:val="20"/>
        </w:rPr>
        <w:t>2</w:t>
      </w:r>
      <w:r>
        <w:rPr>
          <w:sz w:val="20"/>
          <w:szCs w:val="20"/>
        </w:rPr>
        <w:t xml:space="preserve"> million and </w:t>
      </w:r>
      <w:r>
        <w:rPr>
          <w:sz w:val="20"/>
          <w:szCs w:val="20"/>
        </w:rPr>
        <w:t>$</w:t>
      </w:r>
      <w:r>
        <w:rPr>
          <w:sz w:val="20"/>
          <w:szCs w:val="20"/>
        </w:rPr>
        <w:t>3.</w:t>
      </w:r>
      <w:r>
        <w:rPr>
          <w:sz w:val="20"/>
          <w:szCs w:val="20"/>
        </w:rPr>
        <w:t>3</w:t>
      </w:r>
      <w:r>
        <w:rPr>
          <w:sz w:val="20"/>
          <w:szCs w:val="20"/>
        </w:rPr>
        <w:t xml:space="preserve"> million of provision for credit losses for trade accounts re</w:t>
      </w:r>
      <w:r>
        <w:rPr>
          <w:sz w:val="20"/>
          <w:szCs w:val="20"/>
        </w:rPr>
        <w:t>ceivable, respectively</w:t>
      </w:r>
      <w:r>
        <w:rPr>
          <w:sz w:val="20"/>
          <w:szCs w:val="20"/>
        </w:rPr>
        <w:t>.</w:t>
      </w:r>
    </w:p>
    <w:p w14:paraId="0A2C3D05" w14:textId="77777777" w:rsidR="00000000" w:rsidRDefault="00632532">
      <w:pPr>
        <w:pStyle w:val="a3"/>
        <w:spacing w:before="360" w:beforeAutospacing="0" w:after="0" w:afterAutospacing="0"/>
        <w:divId w:val="1813910934"/>
        <w:rPr>
          <w:sz w:val="20"/>
          <w:szCs w:val="20"/>
        </w:rPr>
      </w:pPr>
      <w:r>
        <w:rPr>
          <w:b/>
          <w:bCs/>
          <w:i/>
          <w:iCs/>
          <w:sz w:val="20"/>
          <w:szCs w:val="20"/>
        </w:rPr>
        <w:t>Redeemable Preferred Stock Investmen</w:t>
      </w:r>
      <w:r>
        <w:rPr>
          <w:b/>
          <w:bCs/>
          <w:i/>
          <w:iCs/>
          <w:sz w:val="20"/>
          <w:szCs w:val="20"/>
        </w:rPr>
        <w:t>t</w:t>
      </w:r>
    </w:p>
    <w:p w14:paraId="5E2D8F54" w14:textId="77777777" w:rsidR="00000000" w:rsidRDefault="00632532">
      <w:pPr>
        <w:pStyle w:val="a3"/>
        <w:spacing w:before="120" w:beforeAutospacing="0" w:after="0" w:afterAutospacing="0"/>
        <w:ind w:firstLine="555"/>
        <w:divId w:val="1813910934"/>
        <w:rPr>
          <w:sz w:val="20"/>
          <w:szCs w:val="20"/>
        </w:rPr>
      </w:pPr>
      <w:r>
        <w:rPr>
          <w:sz w:val="20"/>
          <w:szCs w:val="20"/>
        </w:rPr>
        <w:t>The redeemable preferred stock investment of</w:t>
      </w:r>
      <w:r>
        <w:rPr>
          <w:sz w:val="20"/>
          <w:szCs w:val="20"/>
        </w:rPr>
        <w:t xml:space="preserve"> </w:t>
      </w:r>
      <w:r>
        <w:rPr>
          <w:sz w:val="20"/>
          <w:szCs w:val="20"/>
        </w:rPr>
        <w:t>$</w:t>
      </w:r>
      <w:r>
        <w:rPr>
          <w:sz w:val="20"/>
          <w:szCs w:val="20"/>
        </w:rPr>
        <w:t>12.</w:t>
      </w:r>
      <w:r>
        <w:rPr>
          <w:sz w:val="20"/>
          <w:szCs w:val="20"/>
        </w:rPr>
        <w:t>0</w:t>
      </w:r>
      <w:r>
        <w:rPr>
          <w:sz w:val="20"/>
          <w:szCs w:val="20"/>
        </w:rPr>
        <w:t xml:space="preserve"> millio</w:t>
      </w:r>
      <w:r>
        <w:rPr>
          <w:sz w:val="20"/>
          <w:szCs w:val="20"/>
        </w:rPr>
        <w:t>n</w:t>
      </w:r>
      <w:r>
        <w:rPr>
          <w:sz w:val="20"/>
          <w:szCs w:val="20"/>
        </w:rPr>
        <w:t xml:space="preserve"> as of June 30, 2022 represents the fair value of redeemable preferred stock of a private company, that the Company purchased in July 20</w:t>
      </w:r>
      <w:r>
        <w:rPr>
          <w:sz w:val="20"/>
          <w:szCs w:val="20"/>
        </w:rPr>
        <w:t>21. The investment is classified as available-for-sale debt securities. The fair value of available-for-sale debt security is included in the Consolidated Statement of Balance Sheets. Unrealized loss of</w:t>
      </w:r>
      <w:r>
        <w:rPr>
          <w:sz w:val="20"/>
          <w:szCs w:val="20"/>
        </w:rPr>
        <w:t xml:space="preserve"> </w:t>
      </w:r>
      <w:r>
        <w:rPr>
          <w:sz w:val="20"/>
          <w:szCs w:val="20"/>
        </w:rPr>
        <w:t>$</w:t>
      </w:r>
      <w:r>
        <w:rPr>
          <w:sz w:val="20"/>
          <w:szCs w:val="20"/>
        </w:rPr>
        <w:t>8.</w:t>
      </w:r>
      <w:r>
        <w:rPr>
          <w:sz w:val="20"/>
          <w:szCs w:val="20"/>
        </w:rPr>
        <w:t>0</w:t>
      </w:r>
      <w:r>
        <w:rPr>
          <w:sz w:val="20"/>
          <w:szCs w:val="20"/>
        </w:rPr>
        <w:t xml:space="preserve"> millio</w:t>
      </w:r>
      <w:r>
        <w:rPr>
          <w:sz w:val="20"/>
          <w:szCs w:val="20"/>
        </w:rPr>
        <w:t>n</w:t>
      </w:r>
      <w:r>
        <w:rPr>
          <w:sz w:val="20"/>
          <w:szCs w:val="20"/>
        </w:rPr>
        <w:t xml:space="preserve"> is excluded from earnings and reported i</w:t>
      </w:r>
      <w:r>
        <w:rPr>
          <w:sz w:val="20"/>
          <w:szCs w:val="20"/>
        </w:rPr>
        <w:t>n other comprehensive income (loss) as of June 30, 2022. Since the Company intends on holding the preferred stock, and the preferred stock is not redeemable until</w:t>
      </w:r>
      <w:r>
        <w:rPr>
          <w:sz w:val="20"/>
          <w:szCs w:val="20"/>
        </w:rPr>
        <w:t xml:space="preserve"> </w:t>
      </w:r>
      <w:r>
        <w:rPr>
          <w:sz w:val="20"/>
          <w:szCs w:val="20"/>
        </w:rPr>
        <w:t>July 202</w:t>
      </w:r>
      <w:r>
        <w:rPr>
          <w:sz w:val="20"/>
          <w:szCs w:val="20"/>
        </w:rPr>
        <w:t>7</w:t>
      </w:r>
      <w:r>
        <w:rPr>
          <w:sz w:val="20"/>
          <w:szCs w:val="20"/>
        </w:rPr>
        <w:t>, the investment is recorded as a long-term investment</w:t>
      </w:r>
      <w:r>
        <w:rPr>
          <w:sz w:val="20"/>
          <w:szCs w:val="20"/>
        </w:rPr>
        <w:t>.</w:t>
      </w:r>
    </w:p>
    <w:p w14:paraId="14E0714B" w14:textId="77777777" w:rsidR="00000000" w:rsidRDefault="00632532">
      <w:pPr>
        <w:pStyle w:val="a3"/>
        <w:spacing w:before="360" w:beforeAutospacing="0" w:after="0" w:afterAutospacing="0"/>
        <w:divId w:val="974992902"/>
        <w:rPr>
          <w:sz w:val="20"/>
          <w:szCs w:val="20"/>
        </w:rPr>
      </w:pPr>
      <w:r>
        <w:rPr>
          <w:b/>
          <w:bCs/>
          <w:i/>
          <w:iCs/>
          <w:sz w:val="20"/>
          <w:szCs w:val="20"/>
        </w:rPr>
        <w:t>Foreign Currency Translation</w:t>
      </w:r>
      <w:r>
        <w:rPr>
          <w:b/>
          <w:bCs/>
          <w:i/>
          <w:iCs/>
          <w:sz w:val="20"/>
          <w:szCs w:val="20"/>
        </w:rPr>
        <w:t xml:space="preserve"> and Foreign Currency Transaction</w:t>
      </w:r>
      <w:r>
        <w:rPr>
          <w:b/>
          <w:bCs/>
          <w:i/>
          <w:iCs/>
          <w:sz w:val="20"/>
          <w:szCs w:val="20"/>
        </w:rPr>
        <w:t>s</w:t>
      </w:r>
    </w:p>
    <w:p w14:paraId="016713AE" w14:textId="77777777" w:rsidR="00000000" w:rsidRDefault="00632532">
      <w:pPr>
        <w:pStyle w:val="a3"/>
        <w:spacing w:before="120" w:beforeAutospacing="0" w:after="0" w:afterAutospacing="0"/>
        <w:ind w:firstLine="555"/>
        <w:divId w:val="974992902"/>
        <w:rPr>
          <w:sz w:val="20"/>
          <w:szCs w:val="20"/>
        </w:rPr>
      </w:pPr>
      <w:r>
        <w:rPr>
          <w:sz w:val="20"/>
          <w:szCs w:val="20"/>
        </w:rPr>
        <w:t>The Company translates the assets and liabilities of its non-U.S. dollar functional currency subsidiaries into U.S. dollars using exchange rates in effect at the end of each period. Expenses for these subsidiaries are tra</w:t>
      </w:r>
      <w:r>
        <w:rPr>
          <w:sz w:val="20"/>
          <w:szCs w:val="20"/>
        </w:rPr>
        <w:t>nslated using rates that approximate those in effect during the period. Gains and losses from these translations are recognized in foreign currency translation included in accumulated other comprehensive income (loss) in the accompanying Condensed Consolid</w:t>
      </w:r>
      <w:r>
        <w:rPr>
          <w:sz w:val="20"/>
          <w:szCs w:val="20"/>
        </w:rPr>
        <w:t>ated Statements of Stockholders’ Equity. Loss from these translations were</w:t>
      </w:r>
      <w:r>
        <w:rPr>
          <w:sz w:val="20"/>
          <w:szCs w:val="20"/>
        </w:rPr>
        <w:t xml:space="preserve"> </w:t>
      </w:r>
      <w:r>
        <w:rPr>
          <w:sz w:val="20"/>
          <w:szCs w:val="20"/>
        </w:rPr>
        <w:t>$</w:t>
      </w:r>
      <w:r>
        <w:rPr>
          <w:sz w:val="20"/>
          <w:szCs w:val="20"/>
        </w:rPr>
        <w:t>1.</w:t>
      </w:r>
      <w:r>
        <w:rPr>
          <w:sz w:val="20"/>
          <w:szCs w:val="20"/>
        </w:rPr>
        <w:t>9</w:t>
      </w:r>
      <w:r>
        <w:rPr>
          <w:sz w:val="20"/>
          <w:szCs w:val="20"/>
        </w:rPr>
        <w:t xml:space="preserve"> millio</w:t>
      </w:r>
      <w:r>
        <w:rPr>
          <w:sz w:val="20"/>
          <w:szCs w:val="20"/>
        </w:rPr>
        <w:t>n</w:t>
      </w:r>
      <w:r>
        <w:rPr>
          <w:sz w:val="20"/>
          <w:szCs w:val="20"/>
        </w:rPr>
        <w:t xml:space="preserve"> and</w:t>
      </w:r>
      <w:r>
        <w:rPr>
          <w:sz w:val="20"/>
          <w:szCs w:val="20"/>
        </w:rPr>
        <w:t xml:space="preserve"> </w:t>
      </w:r>
      <w:r>
        <w:rPr>
          <w:sz w:val="20"/>
          <w:szCs w:val="20"/>
        </w:rPr>
        <w:t>$</w:t>
      </w:r>
      <w:r>
        <w:rPr>
          <w:sz w:val="20"/>
          <w:szCs w:val="20"/>
        </w:rPr>
        <w:t>1.</w:t>
      </w:r>
      <w:r>
        <w:rPr>
          <w:sz w:val="20"/>
          <w:szCs w:val="20"/>
        </w:rPr>
        <w:t>8</w:t>
      </w:r>
      <w:r>
        <w:rPr>
          <w:sz w:val="20"/>
          <w:szCs w:val="20"/>
        </w:rPr>
        <w:t xml:space="preserve"> millio</w:t>
      </w:r>
      <w:r>
        <w:rPr>
          <w:sz w:val="20"/>
          <w:szCs w:val="20"/>
        </w:rPr>
        <w:t>n</w:t>
      </w:r>
      <w:r>
        <w:rPr>
          <w:sz w:val="20"/>
          <w:szCs w:val="20"/>
        </w:rPr>
        <w:t xml:space="preserve"> in</w:t>
      </w:r>
      <w:r>
        <w:rPr>
          <w:sz w:val="20"/>
          <w:szCs w:val="20"/>
        </w:rPr>
        <w:t xml:space="preserve"> </w:t>
      </w:r>
      <w:r>
        <w:rPr>
          <w:sz w:val="20"/>
          <w:szCs w:val="20"/>
        </w:rPr>
        <w:t>the three and six months ended June 30, 2022, respectively. Gai</w:t>
      </w:r>
      <w:r>
        <w:rPr>
          <w:sz w:val="20"/>
          <w:szCs w:val="20"/>
        </w:rPr>
        <w:t>n</w:t>
      </w:r>
      <w:r>
        <w:rPr>
          <w:sz w:val="20"/>
          <w:szCs w:val="20"/>
        </w:rPr>
        <w:t xml:space="preserve"> </w:t>
      </w:r>
    </w:p>
    <w:p w14:paraId="6A6AADFC" w14:textId="77777777" w:rsidR="00000000" w:rsidRDefault="00632532">
      <w:pPr>
        <w:pStyle w:val="a3"/>
        <w:spacing w:before="240" w:beforeAutospacing="0" w:after="0" w:afterAutospacing="0"/>
        <w:jc w:val="center"/>
        <w:divId w:val="974992902"/>
        <w:rPr>
          <w:sz w:val="20"/>
          <w:szCs w:val="20"/>
        </w:rPr>
      </w:pPr>
      <w:r>
        <w:rPr>
          <w:sz w:val="20"/>
          <w:szCs w:val="20"/>
        </w:rPr>
        <w:t>8</w:t>
      </w:r>
    </w:p>
    <w:p w14:paraId="19A18A19" w14:textId="77777777" w:rsidR="00000000" w:rsidRDefault="00632532">
      <w:pPr>
        <w:divId w:val="974992902"/>
        <w:rPr>
          <w:rFonts w:eastAsia="Times New Roman"/>
          <w:sz w:val="20"/>
          <w:szCs w:val="20"/>
        </w:rPr>
      </w:pPr>
      <w:r>
        <w:rPr>
          <w:rFonts w:eastAsia="Times New Roman"/>
          <w:sz w:val="20"/>
          <w:szCs w:val="20"/>
        </w:rPr>
        <w:pict w14:anchorId="3FC23116">
          <v:rect id="_x0000_i1034" style="width:0;height:1.5pt" o:hralign="center" o:hrstd="t" o:hr="t" fillcolor="#a0a0a0" stroked="f"/>
        </w:pict>
      </w:r>
    </w:p>
    <w:p w14:paraId="653B8F16" w14:textId="77777777" w:rsidR="00000000" w:rsidRDefault="00632532">
      <w:pPr>
        <w:pStyle w:val="a3"/>
        <w:spacing w:before="120" w:beforeAutospacing="0" w:after="0" w:afterAutospacing="0"/>
        <w:divId w:val="974992902"/>
        <w:rPr>
          <w:sz w:val="20"/>
          <w:szCs w:val="20"/>
        </w:rPr>
      </w:pPr>
      <w:r>
        <w:rPr>
          <w:sz w:val="20"/>
          <w:szCs w:val="20"/>
        </w:rPr>
        <w:t>from</w:t>
      </w:r>
      <w:r>
        <w:rPr>
          <w:sz w:val="20"/>
          <w:szCs w:val="20"/>
        </w:rPr>
        <w:t xml:space="preserve"> </w:t>
      </w:r>
      <w:r>
        <w:rPr>
          <w:sz w:val="20"/>
          <w:szCs w:val="20"/>
        </w:rPr>
        <w:t>these translations were not significant</w:t>
      </w:r>
      <w:r>
        <w:rPr>
          <w:sz w:val="20"/>
          <w:szCs w:val="20"/>
        </w:rPr>
        <w:t xml:space="preserve"> in the three and six months ended June 30, 2021. The Company and its subsidiaries that use the U.S. dollar as their functional currency remeasure monetary assets and liabilities at exchange rates in effect at the end of each period, whereas reagents and s</w:t>
      </w:r>
      <w:r>
        <w:rPr>
          <w:sz w:val="20"/>
          <w:szCs w:val="20"/>
        </w:rPr>
        <w:t>upplies, property and nonmonetary assets and liabilities are measured at historical rates. Losses from these remeasurements were not significant in the three and six months ended June 30, 2022 and 2021</w:t>
      </w:r>
      <w:r>
        <w:rPr>
          <w:sz w:val="20"/>
          <w:szCs w:val="20"/>
        </w:rPr>
        <w:t>.</w:t>
      </w:r>
    </w:p>
    <w:p w14:paraId="38ED2D10" w14:textId="77777777" w:rsidR="00000000" w:rsidRDefault="00632532">
      <w:pPr>
        <w:pStyle w:val="a3"/>
        <w:spacing w:before="360" w:beforeAutospacing="0" w:after="0" w:afterAutospacing="0"/>
        <w:divId w:val="764572131"/>
        <w:rPr>
          <w:sz w:val="20"/>
          <w:szCs w:val="20"/>
        </w:rPr>
      </w:pPr>
      <w:r>
        <w:rPr>
          <w:b/>
          <w:bCs/>
          <w:i/>
          <w:iCs/>
          <w:sz w:val="20"/>
          <w:szCs w:val="20"/>
        </w:rPr>
        <w:t>Comprehensive Income (Loss</w:t>
      </w:r>
      <w:r>
        <w:rPr>
          <w:b/>
          <w:bCs/>
          <w:i/>
          <w:iCs/>
          <w:sz w:val="20"/>
          <w:szCs w:val="20"/>
        </w:rPr>
        <w:t>)</w:t>
      </w:r>
    </w:p>
    <w:p w14:paraId="7DE69221" w14:textId="77777777" w:rsidR="00000000" w:rsidRDefault="00632532">
      <w:pPr>
        <w:pStyle w:val="a3"/>
        <w:spacing w:before="120" w:beforeAutospacing="0" w:after="0" w:afterAutospacing="0"/>
        <w:ind w:firstLine="555"/>
        <w:divId w:val="764572131"/>
        <w:rPr>
          <w:sz w:val="20"/>
          <w:szCs w:val="20"/>
        </w:rPr>
      </w:pPr>
      <w:r>
        <w:rPr>
          <w:sz w:val="20"/>
          <w:szCs w:val="20"/>
        </w:rPr>
        <w:t>Comprehensive income (los</w:t>
      </w:r>
      <w:r>
        <w:rPr>
          <w:sz w:val="20"/>
          <w:szCs w:val="20"/>
        </w:rPr>
        <w:t>s) is comprised of net income (loss) and other comprehensive income (loss). Other comprehensive income (loss) consists of net unrealized gain or loss on available-for-sale debt securities, net of tax, and foreign currency translation adjustments from the C</w:t>
      </w:r>
      <w:r>
        <w:rPr>
          <w:sz w:val="20"/>
          <w:szCs w:val="20"/>
        </w:rPr>
        <w:t>ompany's subsidiaries not using the U.S. dollar as their fu</w:t>
      </w:r>
      <w:r>
        <w:rPr>
          <w:sz w:val="20"/>
          <w:szCs w:val="20"/>
        </w:rPr>
        <w:t>n</w:t>
      </w:r>
      <w:r>
        <w:rPr>
          <w:sz w:val="20"/>
          <w:szCs w:val="20"/>
        </w:rPr>
        <w:t>ctional currency. Reclassifications from other comprehensive income (loss) to net earnings were not significant in the three and six months ended June 30, 2022 and 2021. The tax effects related to</w:t>
      </w:r>
      <w:r>
        <w:rPr>
          <w:sz w:val="20"/>
          <w:szCs w:val="20"/>
        </w:rPr>
        <w:t xml:space="preserve"> net unrealized loss on available-for-sale debt securities were </w:t>
      </w:r>
      <w:r>
        <w:rPr>
          <w:sz w:val="20"/>
          <w:szCs w:val="20"/>
        </w:rPr>
        <w:t>$</w:t>
      </w:r>
      <w:r>
        <w:rPr>
          <w:sz w:val="20"/>
          <w:szCs w:val="20"/>
        </w:rPr>
        <w:t>1.</w:t>
      </w:r>
      <w:r>
        <w:rPr>
          <w:sz w:val="20"/>
          <w:szCs w:val="20"/>
        </w:rPr>
        <w:t>3</w:t>
      </w:r>
      <w:r>
        <w:rPr>
          <w:sz w:val="20"/>
          <w:szCs w:val="20"/>
        </w:rPr>
        <w:t xml:space="preserve"> million and </w:t>
      </w:r>
      <w:r>
        <w:rPr>
          <w:sz w:val="20"/>
          <w:szCs w:val="20"/>
        </w:rPr>
        <w:t>$</w:t>
      </w:r>
      <w:r>
        <w:rPr>
          <w:sz w:val="20"/>
          <w:szCs w:val="20"/>
        </w:rPr>
        <w:t>5.</w:t>
      </w:r>
      <w:r>
        <w:rPr>
          <w:sz w:val="20"/>
          <w:szCs w:val="20"/>
        </w:rPr>
        <w:t>8</w:t>
      </w:r>
      <w:r>
        <w:rPr>
          <w:sz w:val="20"/>
          <w:szCs w:val="20"/>
        </w:rPr>
        <w:t xml:space="preserve"> million in the three and six months ended June 30, 2022, respectively. The tax effects were</w:t>
      </w:r>
      <w:r>
        <w:rPr>
          <w:sz w:val="20"/>
          <w:szCs w:val="20"/>
        </w:rPr>
        <w:t xml:space="preserve"> </w:t>
      </w:r>
      <w:r>
        <w:rPr>
          <w:sz w:val="20"/>
          <w:szCs w:val="20"/>
        </w:rPr>
        <w:t>n</w:t>
      </w:r>
      <w:r>
        <w:rPr>
          <w:sz w:val="20"/>
          <w:szCs w:val="20"/>
        </w:rPr>
        <w:t>o</w:t>
      </w:r>
      <w:r>
        <w:rPr>
          <w:sz w:val="20"/>
          <w:szCs w:val="20"/>
        </w:rPr>
        <w:t>t significant in the three and six months ended June 30, 202</w:t>
      </w:r>
      <w:r>
        <w:rPr>
          <w:sz w:val="20"/>
          <w:szCs w:val="20"/>
        </w:rPr>
        <w:t>1</w:t>
      </w:r>
      <w:r>
        <w:rPr>
          <w:sz w:val="20"/>
          <w:szCs w:val="20"/>
        </w:rPr>
        <w:t>.</w:t>
      </w:r>
    </w:p>
    <w:p w14:paraId="1180FB98" w14:textId="77777777" w:rsidR="00000000" w:rsidRDefault="00632532">
      <w:pPr>
        <w:pStyle w:val="a3"/>
        <w:spacing w:before="360" w:beforeAutospacing="0" w:after="0" w:afterAutospacing="0"/>
        <w:divId w:val="1028987787"/>
        <w:rPr>
          <w:sz w:val="20"/>
          <w:szCs w:val="20"/>
        </w:rPr>
      </w:pPr>
      <w:r>
        <w:rPr>
          <w:b/>
          <w:bCs/>
          <w:i/>
          <w:iCs/>
          <w:sz w:val="20"/>
          <w:szCs w:val="20"/>
        </w:rPr>
        <w:t>Lease</w:t>
      </w:r>
      <w:r>
        <w:rPr>
          <w:b/>
          <w:bCs/>
          <w:i/>
          <w:iCs/>
          <w:sz w:val="20"/>
          <w:szCs w:val="20"/>
        </w:rPr>
        <w:t>s</w:t>
      </w:r>
    </w:p>
    <w:p w14:paraId="1C40B696" w14:textId="77777777" w:rsidR="00000000" w:rsidRDefault="00632532">
      <w:pPr>
        <w:pStyle w:val="a3"/>
        <w:spacing w:before="120" w:beforeAutospacing="0" w:after="0" w:afterAutospacing="0"/>
        <w:ind w:firstLine="555"/>
        <w:divId w:val="1028987787"/>
        <w:rPr>
          <w:sz w:val="20"/>
          <w:szCs w:val="20"/>
        </w:rPr>
      </w:pPr>
      <w:r>
        <w:rPr>
          <w:sz w:val="20"/>
          <w:szCs w:val="20"/>
        </w:rPr>
        <w:t>The Co</w:t>
      </w:r>
      <w:r>
        <w:rPr>
          <w:sz w:val="20"/>
          <w:szCs w:val="20"/>
        </w:rPr>
        <w:t xml:space="preserve">mpany determines if an arrangement is a lease at inception by evaluating whether the arrangement conveys the right to use an identified asset and whether the Company obtains substantially all of the economic benefits from and has the ability to direct the </w:t>
      </w:r>
      <w:r>
        <w:rPr>
          <w:sz w:val="20"/>
          <w:szCs w:val="20"/>
        </w:rPr>
        <w:t>use of the asset. Operating and finance lease right-of-use assets, or ROU assets, short-term lease liabilities, and long-term lease liabilities are included in other long-term assets, accrued liabilities, and other long-term liabilities, respectively, in t</w:t>
      </w:r>
      <w:r>
        <w:rPr>
          <w:sz w:val="20"/>
          <w:szCs w:val="20"/>
        </w:rPr>
        <w:t>he accompanying Condensed Consolidated Balance Sheets</w:t>
      </w:r>
      <w:r>
        <w:rPr>
          <w:sz w:val="20"/>
          <w:szCs w:val="20"/>
        </w:rPr>
        <w:t>.</w:t>
      </w:r>
    </w:p>
    <w:p w14:paraId="79A94D17" w14:textId="77777777" w:rsidR="00000000" w:rsidRDefault="00632532">
      <w:pPr>
        <w:pStyle w:val="a3"/>
        <w:spacing w:before="240" w:beforeAutospacing="0" w:after="0" w:afterAutospacing="0"/>
        <w:ind w:firstLine="555"/>
        <w:divId w:val="1028987787"/>
        <w:rPr>
          <w:sz w:val="20"/>
          <w:szCs w:val="20"/>
        </w:rPr>
      </w:pPr>
      <w:r>
        <w:rPr>
          <w:sz w:val="20"/>
          <w:szCs w:val="20"/>
        </w:rPr>
        <w:t>Lease ROU assets represent the Company’s right to use an underlying asset for the lease term. Lease liabilities represent the Company’s obligation to make lease payments arising from the lease. Lease R</w:t>
      </w:r>
      <w:r>
        <w:rPr>
          <w:sz w:val="20"/>
          <w:szCs w:val="20"/>
        </w:rPr>
        <w:t xml:space="preserve">OU assets and liabilities are recognized at the commencement date based on the present value of lease payments over the lease term, including options to extend the lease when it is reasonably certain that the Company will exercise that option. The Company </w:t>
      </w:r>
      <w:r>
        <w:rPr>
          <w:sz w:val="20"/>
          <w:szCs w:val="20"/>
        </w:rPr>
        <w:t>uses its incremental borrowing rate based on the information available at the commencement date, including inquiries with its bank, in determining the present value of lease payments since its leases do not provide an implicit rate. Lease ROU assets consis</w:t>
      </w:r>
      <w:r>
        <w:rPr>
          <w:sz w:val="20"/>
          <w:szCs w:val="20"/>
        </w:rPr>
        <w:t xml:space="preserve">t of initial measurement of lease liabilities, any lease payments made to lessor on or before the lease commencement date, minus any lease incentive received, and any initial direct costs incurred by the Company. Operating lease expense for lease payments </w:t>
      </w:r>
      <w:r>
        <w:rPr>
          <w:sz w:val="20"/>
          <w:szCs w:val="20"/>
        </w:rPr>
        <w:t>is recognized on a straight-line basis over the lease term. For finance lease, ROU assets are amortized on a straight-line basis from the commencement date to the earlier of the end of useful life of the ROU assets or the end of the lease term. Amortizatio</w:t>
      </w:r>
      <w:r>
        <w:rPr>
          <w:sz w:val="20"/>
          <w:szCs w:val="20"/>
        </w:rPr>
        <w:t>n of ROU assets and interest on the lease liability for finance leases are included as charges to the accompanying Condensed Consolidated Statements of Income</w:t>
      </w:r>
      <w:r>
        <w:rPr>
          <w:sz w:val="20"/>
          <w:szCs w:val="20"/>
        </w:rPr>
        <w:t>.</w:t>
      </w:r>
    </w:p>
    <w:p w14:paraId="6EFF58D3" w14:textId="77777777" w:rsidR="00000000" w:rsidRDefault="00632532">
      <w:pPr>
        <w:pStyle w:val="a3"/>
        <w:spacing w:before="240" w:beforeAutospacing="0" w:after="0" w:afterAutospacing="0"/>
        <w:ind w:firstLine="555"/>
        <w:divId w:val="1028987787"/>
        <w:rPr>
          <w:sz w:val="20"/>
          <w:szCs w:val="20"/>
        </w:rPr>
      </w:pPr>
      <w:r>
        <w:rPr>
          <w:sz w:val="20"/>
          <w:szCs w:val="20"/>
        </w:rPr>
        <w:t xml:space="preserve">Lease ROU assets and liabilities arising from business combinations are recognized and measured </w:t>
      </w:r>
      <w:r>
        <w:rPr>
          <w:sz w:val="20"/>
          <w:szCs w:val="20"/>
        </w:rPr>
        <w:t>at the acquisition dates as if an acquired lease were a new lease at the date of acquisition using the Company’s incremental borrowing rate unless the discount rate is implicit in the lease. The Company elects to not to recognize assets or liabilities as o</w:t>
      </w:r>
      <w:r>
        <w:rPr>
          <w:sz w:val="20"/>
          <w:szCs w:val="20"/>
        </w:rPr>
        <w:t>f the acquisition dates for leases that, on the acquisition dates, have a remaining lease term of 12 months or less. The Company also retains the acquirees’ classification of the leases if there are no modifications as part of the business combinations</w:t>
      </w:r>
      <w:r>
        <w:rPr>
          <w:sz w:val="20"/>
          <w:szCs w:val="20"/>
        </w:rPr>
        <w:t>.</w:t>
      </w:r>
    </w:p>
    <w:p w14:paraId="54FF7F07" w14:textId="77777777" w:rsidR="00000000" w:rsidRDefault="00632532">
      <w:pPr>
        <w:pStyle w:val="a3"/>
        <w:spacing w:before="240" w:beforeAutospacing="0" w:after="0" w:afterAutospacing="0"/>
        <w:ind w:firstLine="555"/>
        <w:divId w:val="1028987787"/>
        <w:rPr>
          <w:sz w:val="20"/>
          <w:szCs w:val="20"/>
        </w:rPr>
      </w:pPr>
      <w:r>
        <w:rPr>
          <w:sz w:val="20"/>
          <w:szCs w:val="20"/>
        </w:rPr>
        <w:t>Th</w:t>
      </w:r>
      <w:r>
        <w:rPr>
          <w:sz w:val="20"/>
          <w:szCs w:val="20"/>
        </w:rPr>
        <w:t xml:space="preserve">e Company leases and subleases out space in buildings it owns or leases to third-party tenants or subtenants under noncancelable operating leases. The Company recognizes lease payments as income over the lease terms on a straight-line basis and recognizes </w:t>
      </w:r>
      <w:r>
        <w:rPr>
          <w:sz w:val="20"/>
          <w:szCs w:val="20"/>
        </w:rPr>
        <w:t>variable lease payments as income in the period in which the changes in facts and circumstances on which the variable lease payments are based occur. The net rental income is included in the interest and other income, net, in the accompanying Condensed Con</w:t>
      </w:r>
      <w:r>
        <w:rPr>
          <w:sz w:val="20"/>
          <w:szCs w:val="20"/>
        </w:rPr>
        <w:t>solidated Statement of Income</w:t>
      </w:r>
      <w:r>
        <w:rPr>
          <w:sz w:val="20"/>
          <w:szCs w:val="20"/>
        </w:rPr>
        <w:t>.</w:t>
      </w:r>
    </w:p>
    <w:p w14:paraId="68B90A6E" w14:textId="77777777" w:rsidR="00000000" w:rsidRDefault="00632532">
      <w:pPr>
        <w:pStyle w:val="a3"/>
        <w:spacing w:before="360" w:beforeAutospacing="0" w:after="0" w:afterAutospacing="0"/>
        <w:divId w:val="1053192031"/>
        <w:rPr>
          <w:sz w:val="20"/>
          <w:szCs w:val="20"/>
        </w:rPr>
      </w:pPr>
      <w:r>
        <w:rPr>
          <w:b/>
          <w:bCs/>
          <w:i/>
          <w:iCs/>
          <w:sz w:val="20"/>
          <w:szCs w:val="20"/>
        </w:rPr>
        <w:t>Concentration of Customer</w:t>
      </w:r>
      <w:r>
        <w:rPr>
          <w:b/>
          <w:bCs/>
          <w:i/>
          <w:iCs/>
          <w:sz w:val="20"/>
          <w:szCs w:val="20"/>
        </w:rPr>
        <w:t>s</w:t>
      </w:r>
    </w:p>
    <w:p w14:paraId="1DD20477" w14:textId="77777777" w:rsidR="00000000" w:rsidRDefault="00632532">
      <w:pPr>
        <w:pStyle w:val="a3"/>
        <w:spacing w:before="120" w:beforeAutospacing="0" w:after="0" w:afterAutospacing="0"/>
        <w:ind w:firstLine="555"/>
        <w:divId w:val="1053192031"/>
        <w:rPr>
          <w:sz w:val="20"/>
          <w:szCs w:val="20"/>
        </w:rPr>
      </w:pPr>
      <w:r>
        <w:rPr>
          <w:sz w:val="20"/>
          <w:szCs w:val="20"/>
        </w:rPr>
        <w:t>In certain periods, a small number of customers has accounted for a significant portion of the Company’s revenue. After aggregating customers that are under common control or affiliation,</w:t>
      </w:r>
      <w:r>
        <w:rPr>
          <w:sz w:val="20"/>
          <w:szCs w:val="20"/>
        </w:rPr>
        <w:t xml:space="preserve"> </w:t>
      </w:r>
      <w:r>
        <w:rPr>
          <w:sz w:val="20"/>
          <w:szCs w:val="20"/>
        </w:rPr>
        <w:t>tw</w:t>
      </w:r>
      <w:r>
        <w:rPr>
          <w:sz w:val="20"/>
          <w:szCs w:val="20"/>
        </w:rPr>
        <w:t>o</w:t>
      </w:r>
      <w:r>
        <w:rPr>
          <w:sz w:val="20"/>
          <w:szCs w:val="20"/>
        </w:rPr>
        <w:t xml:space="preserve"> custom</w:t>
      </w:r>
      <w:r>
        <w:rPr>
          <w:sz w:val="20"/>
          <w:szCs w:val="20"/>
        </w:rPr>
        <w:t>ers contributed</w:t>
      </w:r>
      <w:r>
        <w:rPr>
          <w:sz w:val="20"/>
          <w:szCs w:val="20"/>
        </w:rPr>
        <w:t xml:space="preserve"> </w:t>
      </w:r>
      <w:r>
        <w:rPr>
          <w:sz w:val="20"/>
          <w:szCs w:val="20"/>
        </w:rPr>
        <w:t>1</w:t>
      </w:r>
      <w:r>
        <w:rPr>
          <w:sz w:val="20"/>
          <w:szCs w:val="20"/>
        </w:rPr>
        <w:t>5</w:t>
      </w:r>
      <w:r>
        <w:rPr>
          <w:sz w:val="20"/>
          <w:szCs w:val="20"/>
        </w:rPr>
        <w:t>% and</w:t>
      </w:r>
      <w:r>
        <w:rPr>
          <w:sz w:val="20"/>
          <w:szCs w:val="20"/>
        </w:rPr>
        <w:t xml:space="preserve"> </w:t>
      </w:r>
      <w:r>
        <w:rPr>
          <w:sz w:val="20"/>
          <w:szCs w:val="20"/>
        </w:rPr>
        <w:t>1</w:t>
      </w:r>
      <w:r>
        <w:rPr>
          <w:sz w:val="20"/>
          <w:szCs w:val="20"/>
        </w:rPr>
        <w:t>2</w:t>
      </w:r>
      <w:r>
        <w:rPr>
          <w:sz w:val="20"/>
          <w:szCs w:val="20"/>
        </w:rPr>
        <w:t>%</w:t>
      </w:r>
      <w:r>
        <w:rPr>
          <w:sz w:val="20"/>
          <w:szCs w:val="20"/>
        </w:rPr>
        <w:t xml:space="preserve"> of the Company's revenue for the three months ended June 30, 2022, respectively, and</w:t>
      </w:r>
      <w:r>
        <w:rPr>
          <w:sz w:val="20"/>
          <w:szCs w:val="20"/>
        </w:rPr>
        <w:t xml:space="preserve"> </w:t>
      </w:r>
      <w:r>
        <w:rPr>
          <w:sz w:val="20"/>
          <w:szCs w:val="20"/>
        </w:rPr>
        <w:t>on</w:t>
      </w:r>
      <w:r>
        <w:rPr>
          <w:sz w:val="20"/>
          <w:szCs w:val="20"/>
        </w:rPr>
        <w:t>e</w:t>
      </w:r>
      <w:r>
        <w:rPr>
          <w:sz w:val="20"/>
          <w:szCs w:val="20"/>
        </w:rPr>
        <w:t xml:space="preserve"> customer contributed</w:t>
      </w:r>
      <w:r>
        <w:rPr>
          <w:sz w:val="20"/>
          <w:szCs w:val="20"/>
        </w:rPr>
        <w:t xml:space="preserve"> </w:t>
      </w:r>
      <w:r>
        <w:rPr>
          <w:sz w:val="20"/>
          <w:szCs w:val="20"/>
        </w:rPr>
        <w:t>2</w:t>
      </w:r>
      <w:r>
        <w:rPr>
          <w:sz w:val="20"/>
          <w:szCs w:val="20"/>
        </w:rPr>
        <w:t>3</w:t>
      </w:r>
      <w:r>
        <w:rPr>
          <w:sz w:val="20"/>
          <w:szCs w:val="20"/>
        </w:rPr>
        <w:t>%</w:t>
      </w:r>
      <w:r>
        <w:rPr>
          <w:sz w:val="20"/>
          <w:szCs w:val="20"/>
        </w:rPr>
        <w:t xml:space="preserve"> of the Company's revenue for the six months ended June 30, 2022.</w:t>
      </w:r>
      <w:r>
        <w:rPr>
          <w:sz w:val="20"/>
          <w:szCs w:val="20"/>
        </w:rPr>
        <w:t xml:space="preserve"> </w:t>
      </w:r>
      <w:r>
        <w:rPr>
          <w:sz w:val="20"/>
          <w:szCs w:val="20"/>
        </w:rPr>
        <w:t>Tw</w:t>
      </w:r>
      <w:r>
        <w:rPr>
          <w:sz w:val="20"/>
          <w:szCs w:val="20"/>
        </w:rPr>
        <w:t>o</w:t>
      </w:r>
      <w:r>
        <w:rPr>
          <w:sz w:val="20"/>
          <w:szCs w:val="20"/>
        </w:rPr>
        <w:t xml:space="preserve"> customers contributed</w:t>
      </w:r>
      <w:r>
        <w:rPr>
          <w:sz w:val="20"/>
          <w:szCs w:val="20"/>
        </w:rPr>
        <w:t xml:space="preserve"> </w:t>
      </w:r>
      <w:r>
        <w:rPr>
          <w:sz w:val="20"/>
          <w:szCs w:val="20"/>
        </w:rPr>
        <w:t>2</w:t>
      </w:r>
      <w:r>
        <w:rPr>
          <w:sz w:val="20"/>
          <w:szCs w:val="20"/>
        </w:rPr>
        <w:t>0</w:t>
      </w:r>
      <w:r>
        <w:rPr>
          <w:sz w:val="20"/>
          <w:szCs w:val="20"/>
        </w:rPr>
        <w:t>% and</w:t>
      </w:r>
      <w:r>
        <w:rPr>
          <w:sz w:val="20"/>
          <w:szCs w:val="20"/>
        </w:rPr>
        <w:t xml:space="preserve"> </w:t>
      </w:r>
      <w:r>
        <w:rPr>
          <w:sz w:val="20"/>
          <w:szCs w:val="20"/>
        </w:rPr>
        <w:t>1</w:t>
      </w:r>
      <w:r>
        <w:rPr>
          <w:sz w:val="20"/>
          <w:szCs w:val="20"/>
        </w:rPr>
        <w:t>6</w:t>
      </w:r>
      <w:r>
        <w:rPr>
          <w:sz w:val="20"/>
          <w:szCs w:val="20"/>
        </w:rPr>
        <w:t>% of the Comp</w:t>
      </w:r>
      <w:r>
        <w:rPr>
          <w:sz w:val="20"/>
          <w:szCs w:val="20"/>
        </w:rPr>
        <w:t>any’s revenue for the three months ended June 30, 2021, respectively, and</w:t>
      </w:r>
      <w:r>
        <w:rPr>
          <w:sz w:val="20"/>
          <w:szCs w:val="20"/>
        </w:rPr>
        <w:t xml:space="preserve"> </w:t>
      </w:r>
      <w:r>
        <w:rPr>
          <w:sz w:val="20"/>
          <w:szCs w:val="20"/>
        </w:rPr>
        <w:t>tw</w:t>
      </w:r>
      <w:r>
        <w:rPr>
          <w:sz w:val="20"/>
          <w:szCs w:val="20"/>
        </w:rPr>
        <w:t>o</w:t>
      </w:r>
      <w:r>
        <w:rPr>
          <w:sz w:val="20"/>
          <w:szCs w:val="20"/>
        </w:rPr>
        <w:t xml:space="preserve"> customers contributed</w:t>
      </w:r>
      <w:r>
        <w:rPr>
          <w:sz w:val="20"/>
          <w:szCs w:val="20"/>
        </w:rPr>
        <w:t xml:space="preserve"> </w:t>
      </w:r>
      <w:r>
        <w:rPr>
          <w:sz w:val="20"/>
          <w:szCs w:val="20"/>
        </w:rPr>
        <w:t>2</w:t>
      </w:r>
      <w:r>
        <w:rPr>
          <w:sz w:val="20"/>
          <w:szCs w:val="20"/>
        </w:rPr>
        <w:t>4</w:t>
      </w:r>
      <w:r>
        <w:rPr>
          <w:sz w:val="20"/>
          <w:szCs w:val="20"/>
        </w:rPr>
        <w:t>% and</w:t>
      </w:r>
      <w:r>
        <w:rPr>
          <w:sz w:val="20"/>
          <w:szCs w:val="20"/>
        </w:rPr>
        <w:t xml:space="preserve"> </w:t>
      </w:r>
      <w:r>
        <w:rPr>
          <w:sz w:val="20"/>
          <w:szCs w:val="20"/>
        </w:rPr>
        <w:t>1</w:t>
      </w:r>
      <w:r>
        <w:rPr>
          <w:sz w:val="20"/>
          <w:szCs w:val="20"/>
        </w:rPr>
        <w:t>1</w:t>
      </w:r>
      <w:r>
        <w:rPr>
          <w:sz w:val="20"/>
          <w:szCs w:val="20"/>
        </w:rPr>
        <w:t>% of the Company’s revenue for the six months ended June 30, 2021, respectively.</w:t>
      </w:r>
      <w:r>
        <w:rPr>
          <w:sz w:val="20"/>
          <w:szCs w:val="20"/>
        </w:rPr>
        <w:t xml:space="preserve"> </w:t>
      </w:r>
      <w:r>
        <w:rPr>
          <w:sz w:val="20"/>
          <w:szCs w:val="20"/>
        </w:rPr>
        <w:t>N</w:t>
      </w:r>
      <w:r>
        <w:rPr>
          <w:sz w:val="20"/>
          <w:szCs w:val="20"/>
        </w:rPr>
        <w:t>o</w:t>
      </w:r>
      <w:r>
        <w:rPr>
          <w:sz w:val="20"/>
          <w:szCs w:val="20"/>
        </w:rPr>
        <w:t xml:space="preserve"> customer comprised</w:t>
      </w:r>
      <w:r>
        <w:rPr>
          <w:sz w:val="20"/>
          <w:szCs w:val="20"/>
        </w:rPr>
        <w:t xml:space="preserve"> </w:t>
      </w:r>
      <w:r>
        <w:rPr>
          <w:sz w:val="20"/>
          <w:szCs w:val="20"/>
        </w:rPr>
        <w:t>1</w:t>
      </w:r>
      <w:r>
        <w:rPr>
          <w:sz w:val="20"/>
          <w:szCs w:val="20"/>
        </w:rPr>
        <w:t>0</w:t>
      </w:r>
      <w:r>
        <w:rPr>
          <w:sz w:val="20"/>
          <w:szCs w:val="20"/>
        </w:rPr>
        <w:t>% or more of total accounts receivable as</w:t>
      </w:r>
      <w:r>
        <w:rPr>
          <w:sz w:val="20"/>
          <w:szCs w:val="20"/>
        </w:rPr>
        <w:t xml:space="preserve"> of June 30, 2022 and December 31, 2021</w:t>
      </w:r>
      <w:r>
        <w:rPr>
          <w:sz w:val="20"/>
          <w:szCs w:val="20"/>
        </w:rPr>
        <w:t>.</w:t>
      </w:r>
    </w:p>
    <w:p w14:paraId="1D020F4A" w14:textId="77777777" w:rsidR="00000000" w:rsidRDefault="00632532">
      <w:pPr>
        <w:pStyle w:val="a3"/>
        <w:spacing w:before="240" w:beforeAutospacing="0" w:after="0" w:afterAutospacing="0"/>
        <w:jc w:val="center"/>
        <w:divId w:val="383333622"/>
        <w:rPr>
          <w:sz w:val="20"/>
          <w:szCs w:val="20"/>
        </w:rPr>
      </w:pPr>
      <w:r>
        <w:rPr>
          <w:sz w:val="20"/>
          <w:szCs w:val="20"/>
        </w:rPr>
        <w:t>9</w:t>
      </w:r>
    </w:p>
    <w:p w14:paraId="73115D5A" w14:textId="77777777" w:rsidR="00000000" w:rsidRDefault="00632532">
      <w:pPr>
        <w:divId w:val="383333622"/>
        <w:rPr>
          <w:rFonts w:eastAsia="Times New Roman"/>
        </w:rPr>
      </w:pPr>
      <w:r>
        <w:rPr>
          <w:rFonts w:eastAsia="Times New Roman"/>
        </w:rPr>
        <w:pict w14:anchorId="17E1ED5D">
          <v:rect id="_x0000_i1035" style="width:0;height:1.5pt" o:hralign="center" o:hrstd="t" o:hr="t" fillcolor="#a0a0a0" stroked="f"/>
        </w:pict>
      </w:r>
    </w:p>
    <w:p w14:paraId="7C372CDE" w14:textId="77777777" w:rsidR="00000000" w:rsidRDefault="00632532">
      <w:pPr>
        <w:pStyle w:val="a3"/>
        <w:spacing w:before="360" w:beforeAutospacing="0" w:after="0" w:afterAutospacing="0"/>
        <w:divId w:val="1283416983"/>
        <w:rPr>
          <w:sz w:val="20"/>
          <w:szCs w:val="20"/>
        </w:rPr>
      </w:pPr>
      <w:r>
        <w:rPr>
          <w:b/>
          <w:bCs/>
          <w:i/>
          <w:iCs/>
          <w:sz w:val="20"/>
          <w:szCs w:val="20"/>
        </w:rPr>
        <w:t>Disaggregation of Revenu</w:t>
      </w:r>
      <w:r>
        <w:rPr>
          <w:b/>
          <w:bCs/>
          <w:i/>
          <w:iCs/>
          <w:sz w:val="20"/>
          <w:szCs w:val="20"/>
        </w:rPr>
        <w:t>e</w:t>
      </w:r>
    </w:p>
    <w:p w14:paraId="6BC1457E" w14:textId="77777777" w:rsidR="00000000" w:rsidRDefault="00632532">
      <w:pPr>
        <w:pStyle w:val="a3"/>
        <w:spacing w:before="120" w:beforeAutospacing="0" w:after="0" w:afterAutospacing="0"/>
        <w:ind w:firstLine="555"/>
        <w:divId w:val="1283416983"/>
        <w:rPr>
          <w:sz w:val="20"/>
          <w:szCs w:val="20"/>
        </w:rPr>
      </w:pPr>
      <w:r>
        <w:rPr>
          <w:sz w:val="20"/>
          <w:szCs w:val="20"/>
        </w:rPr>
        <w:t xml:space="preserve">The Company classifies its customers into three payor types: (i) Insurance, including claim reimbursement from the U.S. Health Resources and Services Administration, or </w:t>
      </w:r>
      <w:r>
        <w:rPr>
          <w:sz w:val="20"/>
          <w:szCs w:val="20"/>
        </w:rPr>
        <w:t>H</w:t>
      </w:r>
      <w:r>
        <w:rPr>
          <w:sz w:val="20"/>
          <w:szCs w:val="20"/>
        </w:rPr>
        <w:t>RSA, for uninsured indiv</w:t>
      </w:r>
      <w:r>
        <w:rPr>
          <w:sz w:val="20"/>
          <w:szCs w:val="20"/>
        </w:rPr>
        <w:t>iduals, (ii) Institutional customers, including hospitals, medical institutions, other laboratories, governmental bodies, municipalities and large corporations, or (iii) Patients who pay directly, as the Company believes this best depicts how the nature, a</w:t>
      </w:r>
      <w:r>
        <w:rPr>
          <w:sz w:val="20"/>
          <w:szCs w:val="20"/>
        </w:rPr>
        <w:t>mount, timing, and uncertainty of its revenue and cash flows are affected by economic factors.</w:t>
      </w:r>
      <w:r>
        <w:rPr>
          <w:sz w:val="20"/>
          <w:szCs w:val="20"/>
        </w:rPr>
        <w:t xml:space="preserve"> </w:t>
      </w:r>
      <w:r>
        <w:rPr>
          <w:sz w:val="20"/>
          <w:szCs w:val="20"/>
        </w:rPr>
        <w:t>The following table summarizes revenue from contracts with customers by payor type for the three and six months ended June 30, 2022 and 2021</w:t>
      </w:r>
      <w:r>
        <w:rPr>
          <w:sz w:val="20"/>
          <w:szCs w:val="20"/>
        </w:rPr>
        <w:t>.</w:t>
      </w:r>
    </w:p>
    <w:p w14:paraId="7093F4EC" w14:textId="77777777" w:rsidR="00000000" w:rsidRDefault="00632532">
      <w:pPr>
        <w:pStyle w:val="a3"/>
        <w:spacing w:before="0" w:beforeAutospacing="0" w:after="0" w:afterAutospacing="0"/>
        <w:divId w:val="8949720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4"/>
        <w:gridCol w:w="160"/>
        <w:gridCol w:w="807"/>
        <w:gridCol w:w="110"/>
        <w:gridCol w:w="110"/>
        <w:gridCol w:w="160"/>
        <w:gridCol w:w="872"/>
        <w:gridCol w:w="110"/>
        <w:gridCol w:w="142"/>
        <w:gridCol w:w="160"/>
        <w:gridCol w:w="839"/>
        <w:gridCol w:w="110"/>
        <w:gridCol w:w="110"/>
        <w:gridCol w:w="160"/>
        <w:gridCol w:w="1097"/>
        <w:gridCol w:w="125"/>
      </w:tblGrid>
      <w:tr w:rsidR="00000000" w14:paraId="5A8A62E1" w14:textId="77777777">
        <w:trPr>
          <w:divId w:val="894972029"/>
          <w:tblCellSpacing w:w="15" w:type="dxa"/>
        </w:trPr>
        <w:tc>
          <w:tcPr>
            <w:tcW w:w="2064" w:type="pct"/>
            <w:vAlign w:val="center"/>
            <w:hideMark/>
          </w:tcPr>
          <w:p w14:paraId="7727EF34" w14:textId="77777777" w:rsidR="00000000" w:rsidRDefault="00632532">
            <w:pPr>
              <w:rPr>
                <w:sz w:val="20"/>
                <w:szCs w:val="20"/>
              </w:rPr>
            </w:pPr>
          </w:p>
        </w:tc>
        <w:tc>
          <w:tcPr>
            <w:tcW w:w="50" w:type="pct"/>
            <w:vAlign w:val="center"/>
            <w:hideMark/>
          </w:tcPr>
          <w:p w14:paraId="52108644" w14:textId="77777777" w:rsidR="00000000" w:rsidRDefault="00632532">
            <w:pPr>
              <w:rPr>
                <w:rFonts w:eastAsia="Times New Roman"/>
                <w:sz w:val="20"/>
                <w:szCs w:val="20"/>
              </w:rPr>
            </w:pPr>
          </w:p>
        </w:tc>
        <w:tc>
          <w:tcPr>
            <w:tcW w:w="518" w:type="pct"/>
            <w:vAlign w:val="center"/>
            <w:hideMark/>
          </w:tcPr>
          <w:p w14:paraId="5EFBB997" w14:textId="77777777" w:rsidR="00000000" w:rsidRDefault="00632532">
            <w:pPr>
              <w:rPr>
                <w:rFonts w:eastAsia="Times New Roman"/>
                <w:sz w:val="20"/>
                <w:szCs w:val="20"/>
              </w:rPr>
            </w:pPr>
          </w:p>
        </w:tc>
        <w:tc>
          <w:tcPr>
            <w:tcW w:w="50" w:type="pct"/>
            <w:vAlign w:val="center"/>
            <w:hideMark/>
          </w:tcPr>
          <w:p w14:paraId="7A0BBC5B" w14:textId="77777777" w:rsidR="00000000" w:rsidRDefault="00632532">
            <w:pPr>
              <w:rPr>
                <w:rFonts w:eastAsia="Times New Roman"/>
                <w:sz w:val="20"/>
                <w:szCs w:val="20"/>
              </w:rPr>
            </w:pPr>
          </w:p>
        </w:tc>
        <w:tc>
          <w:tcPr>
            <w:tcW w:w="70" w:type="pct"/>
            <w:vAlign w:val="center"/>
            <w:hideMark/>
          </w:tcPr>
          <w:p w14:paraId="2F45DB7B" w14:textId="77777777" w:rsidR="00000000" w:rsidRDefault="00632532">
            <w:pPr>
              <w:rPr>
                <w:rFonts w:eastAsia="Times New Roman"/>
                <w:sz w:val="20"/>
                <w:szCs w:val="20"/>
              </w:rPr>
            </w:pPr>
          </w:p>
        </w:tc>
        <w:tc>
          <w:tcPr>
            <w:tcW w:w="50" w:type="pct"/>
            <w:vAlign w:val="center"/>
            <w:hideMark/>
          </w:tcPr>
          <w:p w14:paraId="2601D13B" w14:textId="77777777" w:rsidR="00000000" w:rsidRDefault="00632532">
            <w:pPr>
              <w:rPr>
                <w:rFonts w:eastAsia="Times New Roman"/>
                <w:sz w:val="20"/>
                <w:szCs w:val="20"/>
              </w:rPr>
            </w:pPr>
          </w:p>
        </w:tc>
        <w:tc>
          <w:tcPr>
            <w:tcW w:w="561" w:type="pct"/>
            <w:vAlign w:val="center"/>
            <w:hideMark/>
          </w:tcPr>
          <w:p w14:paraId="2EC48C37" w14:textId="77777777" w:rsidR="00000000" w:rsidRDefault="00632532">
            <w:pPr>
              <w:rPr>
                <w:rFonts w:eastAsia="Times New Roman"/>
                <w:sz w:val="20"/>
                <w:szCs w:val="20"/>
              </w:rPr>
            </w:pPr>
          </w:p>
        </w:tc>
        <w:tc>
          <w:tcPr>
            <w:tcW w:w="50" w:type="pct"/>
            <w:vAlign w:val="center"/>
            <w:hideMark/>
          </w:tcPr>
          <w:p w14:paraId="4543F445" w14:textId="77777777" w:rsidR="00000000" w:rsidRDefault="00632532">
            <w:pPr>
              <w:rPr>
                <w:rFonts w:eastAsia="Times New Roman"/>
                <w:sz w:val="20"/>
                <w:szCs w:val="20"/>
              </w:rPr>
            </w:pPr>
          </w:p>
        </w:tc>
        <w:tc>
          <w:tcPr>
            <w:tcW w:w="92" w:type="pct"/>
            <w:vAlign w:val="center"/>
            <w:hideMark/>
          </w:tcPr>
          <w:p w14:paraId="5AFED02F" w14:textId="77777777" w:rsidR="00000000" w:rsidRDefault="00632532">
            <w:pPr>
              <w:rPr>
                <w:rFonts w:eastAsia="Times New Roman"/>
                <w:sz w:val="20"/>
                <w:szCs w:val="20"/>
              </w:rPr>
            </w:pPr>
          </w:p>
        </w:tc>
        <w:tc>
          <w:tcPr>
            <w:tcW w:w="50" w:type="pct"/>
            <w:vAlign w:val="center"/>
            <w:hideMark/>
          </w:tcPr>
          <w:p w14:paraId="7C858219" w14:textId="77777777" w:rsidR="00000000" w:rsidRDefault="00632532">
            <w:pPr>
              <w:rPr>
                <w:rFonts w:eastAsia="Times New Roman"/>
                <w:sz w:val="20"/>
                <w:szCs w:val="20"/>
              </w:rPr>
            </w:pPr>
          </w:p>
        </w:tc>
        <w:tc>
          <w:tcPr>
            <w:tcW w:w="539" w:type="pct"/>
            <w:vAlign w:val="center"/>
            <w:hideMark/>
          </w:tcPr>
          <w:p w14:paraId="28DCEFEC" w14:textId="77777777" w:rsidR="00000000" w:rsidRDefault="00632532">
            <w:pPr>
              <w:rPr>
                <w:rFonts w:eastAsia="Times New Roman"/>
                <w:sz w:val="20"/>
                <w:szCs w:val="20"/>
              </w:rPr>
            </w:pPr>
          </w:p>
        </w:tc>
        <w:tc>
          <w:tcPr>
            <w:tcW w:w="50" w:type="pct"/>
            <w:vAlign w:val="center"/>
            <w:hideMark/>
          </w:tcPr>
          <w:p w14:paraId="3EECE782" w14:textId="77777777" w:rsidR="00000000" w:rsidRDefault="00632532">
            <w:pPr>
              <w:rPr>
                <w:rFonts w:eastAsia="Times New Roman"/>
                <w:sz w:val="20"/>
                <w:szCs w:val="20"/>
              </w:rPr>
            </w:pPr>
          </w:p>
        </w:tc>
        <w:tc>
          <w:tcPr>
            <w:tcW w:w="49" w:type="pct"/>
            <w:vAlign w:val="center"/>
            <w:hideMark/>
          </w:tcPr>
          <w:p w14:paraId="217A379A" w14:textId="77777777" w:rsidR="00000000" w:rsidRDefault="00632532">
            <w:pPr>
              <w:rPr>
                <w:rFonts w:eastAsia="Times New Roman"/>
                <w:sz w:val="20"/>
                <w:szCs w:val="20"/>
              </w:rPr>
            </w:pPr>
          </w:p>
        </w:tc>
        <w:tc>
          <w:tcPr>
            <w:tcW w:w="50" w:type="pct"/>
            <w:vAlign w:val="center"/>
            <w:hideMark/>
          </w:tcPr>
          <w:p w14:paraId="68B3CC76" w14:textId="77777777" w:rsidR="00000000" w:rsidRDefault="00632532">
            <w:pPr>
              <w:rPr>
                <w:rFonts w:eastAsia="Times New Roman"/>
                <w:sz w:val="20"/>
                <w:szCs w:val="20"/>
              </w:rPr>
            </w:pPr>
          </w:p>
        </w:tc>
        <w:tc>
          <w:tcPr>
            <w:tcW w:w="704" w:type="pct"/>
            <w:vAlign w:val="center"/>
            <w:hideMark/>
          </w:tcPr>
          <w:p w14:paraId="54B7A993" w14:textId="77777777" w:rsidR="00000000" w:rsidRDefault="00632532">
            <w:pPr>
              <w:rPr>
                <w:rFonts w:eastAsia="Times New Roman"/>
                <w:sz w:val="20"/>
                <w:szCs w:val="20"/>
              </w:rPr>
            </w:pPr>
          </w:p>
        </w:tc>
        <w:tc>
          <w:tcPr>
            <w:tcW w:w="50" w:type="pct"/>
            <w:vAlign w:val="center"/>
            <w:hideMark/>
          </w:tcPr>
          <w:p w14:paraId="24F15D06" w14:textId="77777777" w:rsidR="00000000" w:rsidRDefault="00632532">
            <w:pPr>
              <w:rPr>
                <w:rFonts w:eastAsia="Times New Roman"/>
                <w:sz w:val="20"/>
                <w:szCs w:val="20"/>
              </w:rPr>
            </w:pPr>
          </w:p>
        </w:tc>
      </w:tr>
      <w:tr w:rsidR="00000000" w14:paraId="7577F7BC" w14:textId="77777777">
        <w:trPr>
          <w:divId w:val="894972029"/>
          <w:trHeight w:val="160"/>
          <w:tblCellSpacing w:w="15" w:type="dxa"/>
        </w:trPr>
        <w:tc>
          <w:tcPr>
            <w:tcW w:w="0" w:type="auto"/>
            <w:vAlign w:val="bottom"/>
            <w:hideMark/>
          </w:tcPr>
          <w:p w14:paraId="0A003852" w14:textId="77777777" w:rsidR="00000000" w:rsidRDefault="00632532">
            <w:pPr>
              <w:pStyle w:val="a3"/>
              <w:spacing w:before="0" w:beforeAutospacing="0" w:after="0" w:afterAutospacing="0"/>
              <w:rPr>
                <w:sz w:val="20"/>
                <w:szCs w:val="20"/>
              </w:rPr>
            </w:pPr>
            <w:r>
              <w:rPr>
                <w:sz w:val="20"/>
                <w:szCs w:val="20"/>
              </w:rPr>
              <w:t> </w:t>
            </w:r>
          </w:p>
        </w:tc>
        <w:tc>
          <w:tcPr>
            <w:tcW w:w="0" w:type="auto"/>
            <w:gridSpan w:val="6"/>
            <w:vAlign w:val="bottom"/>
            <w:hideMark/>
          </w:tcPr>
          <w:p w14:paraId="457D4874" w14:textId="77777777" w:rsidR="00000000" w:rsidRDefault="00632532">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7251597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5E2F7F6" w14:textId="77777777" w:rsidR="00000000" w:rsidRDefault="00632532">
            <w:pPr>
              <w:pStyle w:val="a3"/>
              <w:spacing w:before="0" w:beforeAutospacing="0" w:after="0" w:afterAutospacing="0"/>
              <w:rPr>
                <w:sz w:val="22"/>
                <w:szCs w:val="22"/>
              </w:rPr>
            </w:pPr>
            <w:r>
              <w:rPr>
                <w:sz w:val="22"/>
                <w:szCs w:val="22"/>
              </w:rPr>
              <w:t> </w:t>
            </w:r>
          </w:p>
        </w:tc>
        <w:tc>
          <w:tcPr>
            <w:tcW w:w="0" w:type="auto"/>
            <w:gridSpan w:val="6"/>
            <w:vAlign w:val="bottom"/>
            <w:hideMark/>
          </w:tcPr>
          <w:p w14:paraId="5F4F7367"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060B2ADC"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9D06E9B" w14:textId="77777777">
        <w:trPr>
          <w:divId w:val="894972029"/>
          <w:trHeight w:val="160"/>
          <w:tblCellSpacing w:w="15" w:type="dxa"/>
        </w:trPr>
        <w:tc>
          <w:tcPr>
            <w:tcW w:w="0" w:type="auto"/>
            <w:vAlign w:val="bottom"/>
            <w:hideMark/>
          </w:tcPr>
          <w:p w14:paraId="1667E1E2"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A5154DF"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D31CA9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A3541E4"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82DB585"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C99AC86"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E7C583C" w14:textId="77777777" w:rsidR="00000000" w:rsidRDefault="00632532">
            <w:pPr>
              <w:pStyle w:val="a3"/>
              <w:spacing w:before="0" w:beforeAutospacing="0" w:after="0" w:afterAutospacing="0"/>
              <w:rPr>
                <w:sz w:val="22"/>
                <w:szCs w:val="22"/>
              </w:rPr>
            </w:pPr>
            <w:r>
              <w:rPr>
                <w:sz w:val="22"/>
                <w:szCs w:val="22"/>
              </w:rPr>
              <w:t> </w:t>
            </w:r>
          </w:p>
        </w:tc>
        <w:tc>
          <w:tcPr>
            <w:tcW w:w="0" w:type="auto"/>
            <w:gridSpan w:val="2"/>
            <w:vAlign w:val="bottom"/>
            <w:hideMark/>
          </w:tcPr>
          <w:p w14:paraId="0351E18C"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7467320"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4BB8677"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9226D1C"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8C0718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117F600F" w14:textId="77777777">
        <w:trPr>
          <w:divId w:val="894972029"/>
          <w:trHeight w:val="160"/>
          <w:tblCellSpacing w:w="15" w:type="dxa"/>
        </w:trPr>
        <w:tc>
          <w:tcPr>
            <w:tcW w:w="0" w:type="auto"/>
            <w:vAlign w:val="bottom"/>
            <w:hideMark/>
          </w:tcPr>
          <w:p w14:paraId="2C302858" w14:textId="77777777" w:rsidR="00000000" w:rsidRDefault="00632532">
            <w:pPr>
              <w:pStyle w:val="a3"/>
              <w:spacing w:before="0" w:beforeAutospacing="0" w:after="0" w:afterAutospacing="0"/>
              <w:rPr>
                <w:sz w:val="20"/>
                <w:szCs w:val="20"/>
              </w:rPr>
            </w:pPr>
            <w:r>
              <w:rPr>
                <w:sz w:val="20"/>
                <w:szCs w:val="20"/>
              </w:rPr>
              <w:t> </w:t>
            </w:r>
          </w:p>
        </w:tc>
        <w:tc>
          <w:tcPr>
            <w:tcW w:w="0" w:type="auto"/>
            <w:gridSpan w:val="14"/>
            <w:hideMark/>
          </w:tcPr>
          <w:p w14:paraId="4E88915C"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14:paraId="683D44A5"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08EECBB" w14:textId="77777777">
        <w:trPr>
          <w:divId w:val="894972029"/>
          <w:trHeight w:val="200"/>
          <w:tblCellSpacing w:w="15" w:type="dxa"/>
        </w:trPr>
        <w:tc>
          <w:tcPr>
            <w:tcW w:w="0" w:type="auto"/>
            <w:vAlign w:val="bottom"/>
            <w:hideMark/>
          </w:tcPr>
          <w:p w14:paraId="5E94EB6D" w14:textId="77777777" w:rsidR="00000000" w:rsidRDefault="00632532">
            <w:pPr>
              <w:pStyle w:val="a3"/>
              <w:spacing w:before="0" w:beforeAutospacing="0" w:after="0" w:afterAutospacing="0"/>
              <w:rPr>
                <w:sz w:val="20"/>
                <w:szCs w:val="20"/>
              </w:rPr>
            </w:pPr>
            <w:r>
              <w:rPr>
                <w:b/>
                <w:bCs/>
                <w:sz w:val="20"/>
                <w:szCs w:val="20"/>
              </w:rPr>
              <w:t>Testing Services by payo</w:t>
            </w:r>
            <w:r>
              <w:rPr>
                <w:b/>
                <w:bCs/>
                <w:sz w:val="20"/>
                <w:szCs w:val="20"/>
              </w:rPr>
              <w:t>r</w:t>
            </w:r>
          </w:p>
        </w:tc>
        <w:tc>
          <w:tcPr>
            <w:tcW w:w="0" w:type="auto"/>
            <w:gridSpan w:val="2"/>
            <w:vAlign w:val="bottom"/>
            <w:hideMark/>
          </w:tcPr>
          <w:p w14:paraId="1218957C"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542B6434"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1FAFF489"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3C44F6D9"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3CBEBCD2"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7C5EA3E5"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55C27FB3"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21A9EB71"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0EBA19BB"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1479DFF2"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2291058E" w14:textId="77777777" w:rsidR="00000000" w:rsidRDefault="00632532">
            <w:pPr>
              <w:pStyle w:val="a3"/>
              <w:spacing w:before="0" w:beforeAutospacing="0" w:after="0" w:afterAutospacing="0"/>
              <w:jc w:val="center"/>
              <w:rPr>
                <w:sz w:val="20"/>
                <w:szCs w:val="20"/>
              </w:rPr>
            </w:pPr>
            <w:r>
              <w:rPr>
                <w:sz w:val="20"/>
                <w:szCs w:val="20"/>
              </w:rPr>
              <w:t> </w:t>
            </w:r>
          </w:p>
        </w:tc>
      </w:tr>
      <w:tr w:rsidR="00000000" w14:paraId="0C3EC3BB" w14:textId="77777777">
        <w:trPr>
          <w:divId w:val="894972029"/>
          <w:trHeight w:val="200"/>
          <w:tblCellSpacing w:w="15" w:type="dxa"/>
        </w:trPr>
        <w:tc>
          <w:tcPr>
            <w:tcW w:w="0" w:type="auto"/>
            <w:vAlign w:val="bottom"/>
            <w:hideMark/>
          </w:tcPr>
          <w:p w14:paraId="761C9B18" w14:textId="77777777" w:rsidR="00000000" w:rsidRDefault="00632532">
            <w:pPr>
              <w:pStyle w:val="a3"/>
              <w:spacing w:before="0" w:beforeAutospacing="0" w:after="0" w:afterAutospacing="0"/>
              <w:ind w:left="200"/>
              <w:rPr>
                <w:sz w:val="20"/>
                <w:szCs w:val="20"/>
              </w:rPr>
            </w:pPr>
            <w:r>
              <w:rPr>
                <w:sz w:val="20"/>
                <w:szCs w:val="20"/>
              </w:rPr>
              <w:t>Insuranc</w:t>
            </w:r>
            <w:r>
              <w:rPr>
                <w:sz w:val="20"/>
                <w:szCs w:val="20"/>
              </w:rPr>
              <w:t>e</w:t>
            </w:r>
          </w:p>
        </w:tc>
        <w:tc>
          <w:tcPr>
            <w:tcW w:w="0" w:type="auto"/>
            <w:noWrap/>
            <w:vAlign w:val="bottom"/>
            <w:hideMark/>
          </w:tcPr>
          <w:p w14:paraId="4276EDC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78C5064" w14:textId="77777777" w:rsidR="00000000" w:rsidRDefault="00632532">
            <w:pPr>
              <w:pStyle w:val="a3"/>
              <w:spacing w:before="0" w:beforeAutospacing="0" w:after="0" w:afterAutospacing="0"/>
              <w:jc w:val="right"/>
              <w:rPr>
                <w:sz w:val="20"/>
                <w:szCs w:val="20"/>
              </w:rPr>
            </w:pPr>
            <w:r>
              <w:rPr>
                <w:sz w:val="20"/>
                <w:szCs w:val="20"/>
              </w:rPr>
              <w:t>63,79</w:t>
            </w:r>
            <w:r>
              <w:rPr>
                <w:sz w:val="20"/>
                <w:szCs w:val="20"/>
              </w:rPr>
              <w:t>0</w:t>
            </w:r>
          </w:p>
        </w:tc>
        <w:tc>
          <w:tcPr>
            <w:tcW w:w="0" w:type="auto"/>
            <w:noWrap/>
            <w:vAlign w:val="bottom"/>
            <w:hideMark/>
          </w:tcPr>
          <w:p w14:paraId="0CF5048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BAFCE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685895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BF3348F" w14:textId="77777777" w:rsidR="00000000" w:rsidRDefault="00632532">
            <w:pPr>
              <w:pStyle w:val="a3"/>
              <w:spacing w:before="0" w:beforeAutospacing="0" w:after="0" w:afterAutospacing="0"/>
              <w:jc w:val="right"/>
              <w:rPr>
                <w:sz w:val="20"/>
                <w:szCs w:val="20"/>
              </w:rPr>
            </w:pPr>
            <w:r>
              <w:rPr>
                <w:sz w:val="20"/>
                <w:szCs w:val="20"/>
              </w:rPr>
              <w:t>49,52</w:t>
            </w:r>
            <w:r>
              <w:rPr>
                <w:sz w:val="20"/>
                <w:szCs w:val="20"/>
              </w:rPr>
              <w:t>0</w:t>
            </w:r>
          </w:p>
        </w:tc>
        <w:tc>
          <w:tcPr>
            <w:tcW w:w="0" w:type="auto"/>
            <w:noWrap/>
            <w:vAlign w:val="bottom"/>
            <w:hideMark/>
          </w:tcPr>
          <w:p w14:paraId="1C343D4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B1E77E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AEB70F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55AE5CA" w14:textId="77777777" w:rsidR="00000000" w:rsidRDefault="00632532">
            <w:pPr>
              <w:pStyle w:val="a3"/>
              <w:spacing w:before="0" w:beforeAutospacing="0" w:after="0" w:afterAutospacing="0"/>
              <w:jc w:val="right"/>
              <w:rPr>
                <w:sz w:val="20"/>
                <w:szCs w:val="20"/>
              </w:rPr>
            </w:pPr>
            <w:r>
              <w:rPr>
                <w:sz w:val="20"/>
                <w:szCs w:val="20"/>
              </w:rPr>
              <w:t>274,46</w:t>
            </w:r>
            <w:r>
              <w:rPr>
                <w:sz w:val="20"/>
                <w:szCs w:val="20"/>
              </w:rPr>
              <w:t>7</w:t>
            </w:r>
          </w:p>
        </w:tc>
        <w:tc>
          <w:tcPr>
            <w:tcW w:w="0" w:type="auto"/>
            <w:noWrap/>
            <w:vAlign w:val="bottom"/>
            <w:hideMark/>
          </w:tcPr>
          <w:p w14:paraId="7B2E59A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329C1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C9ABCD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74BCE43" w14:textId="77777777" w:rsidR="00000000" w:rsidRDefault="00632532">
            <w:pPr>
              <w:pStyle w:val="a3"/>
              <w:spacing w:before="0" w:beforeAutospacing="0" w:after="0" w:afterAutospacing="0"/>
              <w:jc w:val="right"/>
              <w:rPr>
                <w:sz w:val="20"/>
                <w:szCs w:val="20"/>
              </w:rPr>
            </w:pPr>
            <w:r>
              <w:rPr>
                <w:sz w:val="20"/>
                <w:szCs w:val="20"/>
              </w:rPr>
              <w:t>257,07</w:t>
            </w:r>
            <w:r>
              <w:rPr>
                <w:sz w:val="20"/>
                <w:szCs w:val="20"/>
              </w:rPr>
              <w:t>8</w:t>
            </w:r>
          </w:p>
        </w:tc>
        <w:tc>
          <w:tcPr>
            <w:tcW w:w="0" w:type="auto"/>
            <w:noWrap/>
            <w:vAlign w:val="bottom"/>
            <w:hideMark/>
          </w:tcPr>
          <w:p w14:paraId="1234BCE1" w14:textId="77777777" w:rsidR="00000000" w:rsidRDefault="00632532">
            <w:pPr>
              <w:pStyle w:val="a3"/>
              <w:spacing w:before="0" w:beforeAutospacing="0" w:after="0" w:afterAutospacing="0"/>
              <w:rPr>
                <w:sz w:val="20"/>
                <w:szCs w:val="20"/>
              </w:rPr>
            </w:pPr>
            <w:r>
              <w:rPr>
                <w:sz w:val="20"/>
                <w:szCs w:val="20"/>
              </w:rPr>
              <w:t> </w:t>
            </w:r>
          </w:p>
        </w:tc>
      </w:tr>
      <w:tr w:rsidR="00000000" w14:paraId="12282DDA" w14:textId="77777777">
        <w:trPr>
          <w:divId w:val="894972029"/>
          <w:trHeight w:val="200"/>
          <w:tblCellSpacing w:w="15" w:type="dxa"/>
        </w:trPr>
        <w:tc>
          <w:tcPr>
            <w:tcW w:w="0" w:type="auto"/>
            <w:vAlign w:val="bottom"/>
            <w:hideMark/>
          </w:tcPr>
          <w:p w14:paraId="5EE7950E" w14:textId="77777777" w:rsidR="00000000" w:rsidRDefault="00632532">
            <w:pPr>
              <w:pStyle w:val="a3"/>
              <w:spacing w:before="0" w:beforeAutospacing="0" w:after="0" w:afterAutospacing="0"/>
              <w:ind w:left="200"/>
              <w:rPr>
                <w:sz w:val="20"/>
                <w:szCs w:val="20"/>
              </w:rPr>
            </w:pPr>
            <w:r>
              <w:rPr>
                <w:sz w:val="20"/>
                <w:szCs w:val="20"/>
              </w:rPr>
              <w:t>Institutional customer</w:t>
            </w:r>
            <w:r>
              <w:rPr>
                <w:sz w:val="20"/>
                <w:szCs w:val="20"/>
              </w:rPr>
              <w:t>s</w:t>
            </w:r>
          </w:p>
        </w:tc>
        <w:tc>
          <w:tcPr>
            <w:tcW w:w="0" w:type="auto"/>
            <w:noWrap/>
            <w:vAlign w:val="bottom"/>
            <w:hideMark/>
          </w:tcPr>
          <w:p w14:paraId="754E15C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FA71989" w14:textId="77777777" w:rsidR="00000000" w:rsidRDefault="00632532">
            <w:pPr>
              <w:pStyle w:val="a3"/>
              <w:spacing w:before="0" w:beforeAutospacing="0" w:after="0" w:afterAutospacing="0"/>
              <w:jc w:val="right"/>
              <w:rPr>
                <w:sz w:val="20"/>
                <w:szCs w:val="20"/>
              </w:rPr>
            </w:pPr>
            <w:r>
              <w:rPr>
                <w:sz w:val="20"/>
                <w:szCs w:val="20"/>
              </w:rPr>
              <w:t>61,23</w:t>
            </w:r>
            <w:r>
              <w:rPr>
                <w:sz w:val="20"/>
                <w:szCs w:val="20"/>
              </w:rPr>
              <w:t>2</w:t>
            </w:r>
          </w:p>
        </w:tc>
        <w:tc>
          <w:tcPr>
            <w:tcW w:w="0" w:type="auto"/>
            <w:noWrap/>
            <w:vAlign w:val="bottom"/>
            <w:hideMark/>
          </w:tcPr>
          <w:p w14:paraId="588B824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127C2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F32604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A54C5B" w14:textId="77777777" w:rsidR="00000000" w:rsidRDefault="00632532">
            <w:pPr>
              <w:pStyle w:val="a3"/>
              <w:spacing w:before="0" w:beforeAutospacing="0" w:after="0" w:afterAutospacing="0"/>
              <w:jc w:val="right"/>
              <w:rPr>
                <w:sz w:val="20"/>
                <w:szCs w:val="20"/>
              </w:rPr>
            </w:pPr>
            <w:r>
              <w:rPr>
                <w:sz w:val="20"/>
                <w:szCs w:val="20"/>
              </w:rPr>
              <w:t>103,60</w:t>
            </w:r>
            <w:r>
              <w:rPr>
                <w:sz w:val="20"/>
                <w:szCs w:val="20"/>
              </w:rPr>
              <w:t>2</w:t>
            </w:r>
          </w:p>
        </w:tc>
        <w:tc>
          <w:tcPr>
            <w:tcW w:w="0" w:type="auto"/>
            <w:noWrap/>
            <w:vAlign w:val="bottom"/>
            <w:hideMark/>
          </w:tcPr>
          <w:p w14:paraId="526F057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3282B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4CDC5C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294394" w14:textId="77777777" w:rsidR="00000000" w:rsidRDefault="00632532">
            <w:pPr>
              <w:pStyle w:val="a3"/>
              <w:spacing w:before="0" w:beforeAutospacing="0" w:after="0" w:afterAutospacing="0"/>
              <w:jc w:val="right"/>
              <w:rPr>
                <w:sz w:val="20"/>
                <w:szCs w:val="20"/>
              </w:rPr>
            </w:pPr>
            <w:r>
              <w:rPr>
                <w:sz w:val="20"/>
                <w:szCs w:val="20"/>
              </w:rPr>
              <w:t>170,70</w:t>
            </w:r>
            <w:r>
              <w:rPr>
                <w:sz w:val="20"/>
                <w:szCs w:val="20"/>
              </w:rPr>
              <w:t>0</w:t>
            </w:r>
          </w:p>
        </w:tc>
        <w:tc>
          <w:tcPr>
            <w:tcW w:w="0" w:type="auto"/>
            <w:noWrap/>
            <w:vAlign w:val="bottom"/>
            <w:hideMark/>
          </w:tcPr>
          <w:p w14:paraId="0B1247E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75D392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E66EEB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DE03F31" w14:textId="77777777" w:rsidR="00000000" w:rsidRDefault="00632532">
            <w:pPr>
              <w:pStyle w:val="a3"/>
              <w:spacing w:before="0" w:beforeAutospacing="0" w:after="0" w:afterAutospacing="0"/>
              <w:jc w:val="right"/>
              <w:rPr>
                <w:sz w:val="20"/>
                <w:szCs w:val="20"/>
              </w:rPr>
            </w:pPr>
            <w:r>
              <w:rPr>
                <w:sz w:val="20"/>
                <w:szCs w:val="20"/>
              </w:rPr>
              <w:t>255,17</w:t>
            </w:r>
            <w:r>
              <w:rPr>
                <w:sz w:val="20"/>
                <w:szCs w:val="20"/>
              </w:rPr>
              <w:t>1</w:t>
            </w:r>
          </w:p>
        </w:tc>
        <w:tc>
          <w:tcPr>
            <w:tcW w:w="0" w:type="auto"/>
            <w:noWrap/>
            <w:vAlign w:val="bottom"/>
            <w:hideMark/>
          </w:tcPr>
          <w:p w14:paraId="5EE4FF6F" w14:textId="77777777" w:rsidR="00000000" w:rsidRDefault="00632532">
            <w:pPr>
              <w:pStyle w:val="a3"/>
              <w:spacing w:before="0" w:beforeAutospacing="0" w:after="0" w:afterAutospacing="0"/>
              <w:rPr>
                <w:sz w:val="20"/>
                <w:szCs w:val="20"/>
              </w:rPr>
            </w:pPr>
            <w:r>
              <w:rPr>
                <w:sz w:val="20"/>
                <w:szCs w:val="20"/>
              </w:rPr>
              <w:t> </w:t>
            </w:r>
          </w:p>
        </w:tc>
      </w:tr>
      <w:tr w:rsidR="00000000" w14:paraId="53E7CF64" w14:textId="77777777">
        <w:trPr>
          <w:divId w:val="894972029"/>
          <w:trHeight w:val="200"/>
          <w:tblCellSpacing w:w="15" w:type="dxa"/>
        </w:trPr>
        <w:tc>
          <w:tcPr>
            <w:tcW w:w="0" w:type="auto"/>
            <w:vAlign w:val="bottom"/>
            <w:hideMark/>
          </w:tcPr>
          <w:p w14:paraId="2A73C695" w14:textId="77777777" w:rsidR="00000000" w:rsidRDefault="00632532">
            <w:pPr>
              <w:pStyle w:val="a3"/>
              <w:spacing w:before="0" w:beforeAutospacing="0" w:after="0" w:afterAutospacing="0"/>
              <w:ind w:left="200"/>
              <w:rPr>
                <w:sz w:val="20"/>
                <w:szCs w:val="20"/>
              </w:rPr>
            </w:pPr>
            <w:r>
              <w:rPr>
                <w:sz w:val="20"/>
                <w:szCs w:val="20"/>
              </w:rPr>
              <w:t>Patient</w:t>
            </w:r>
            <w:r>
              <w:rPr>
                <w:sz w:val="20"/>
                <w:szCs w:val="20"/>
              </w:rPr>
              <w:t>s</w:t>
            </w:r>
          </w:p>
        </w:tc>
        <w:tc>
          <w:tcPr>
            <w:tcW w:w="0" w:type="auto"/>
            <w:noWrap/>
            <w:vAlign w:val="bottom"/>
            <w:hideMark/>
          </w:tcPr>
          <w:p w14:paraId="3696196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75A0F2A" w14:textId="77777777" w:rsidR="00000000" w:rsidRDefault="00632532">
            <w:pPr>
              <w:pStyle w:val="a3"/>
              <w:spacing w:before="0" w:beforeAutospacing="0" w:after="0" w:afterAutospacing="0"/>
              <w:jc w:val="right"/>
              <w:rPr>
                <w:sz w:val="20"/>
                <w:szCs w:val="20"/>
              </w:rPr>
            </w:pPr>
            <w:r>
              <w:rPr>
                <w:sz w:val="20"/>
                <w:szCs w:val="20"/>
              </w:rPr>
              <w:t>31</w:t>
            </w:r>
            <w:r>
              <w:rPr>
                <w:sz w:val="20"/>
                <w:szCs w:val="20"/>
              </w:rPr>
              <w:t>9</w:t>
            </w:r>
          </w:p>
        </w:tc>
        <w:tc>
          <w:tcPr>
            <w:tcW w:w="0" w:type="auto"/>
            <w:noWrap/>
            <w:vAlign w:val="bottom"/>
            <w:hideMark/>
          </w:tcPr>
          <w:p w14:paraId="15048A5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3AE08C"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FC5519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D916C7" w14:textId="77777777" w:rsidR="00000000" w:rsidRDefault="00632532">
            <w:pPr>
              <w:pStyle w:val="a3"/>
              <w:spacing w:before="0" w:beforeAutospacing="0" w:after="0" w:afterAutospacing="0"/>
              <w:jc w:val="right"/>
              <w:rPr>
                <w:sz w:val="20"/>
                <w:szCs w:val="20"/>
              </w:rPr>
            </w:pPr>
            <w:r>
              <w:rPr>
                <w:sz w:val="20"/>
                <w:szCs w:val="20"/>
              </w:rPr>
              <w:t>49</w:t>
            </w:r>
            <w:r>
              <w:rPr>
                <w:sz w:val="20"/>
                <w:szCs w:val="20"/>
              </w:rPr>
              <w:t>4</w:t>
            </w:r>
          </w:p>
        </w:tc>
        <w:tc>
          <w:tcPr>
            <w:tcW w:w="0" w:type="auto"/>
            <w:noWrap/>
            <w:vAlign w:val="bottom"/>
            <w:hideMark/>
          </w:tcPr>
          <w:p w14:paraId="464BBE3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CD0970"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EEFF62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C27E80" w14:textId="77777777" w:rsidR="00000000" w:rsidRDefault="00632532">
            <w:pPr>
              <w:pStyle w:val="a3"/>
              <w:spacing w:before="0" w:beforeAutospacing="0" w:after="0" w:afterAutospacing="0"/>
              <w:jc w:val="right"/>
              <w:rPr>
                <w:sz w:val="20"/>
                <w:szCs w:val="20"/>
              </w:rPr>
            </w:pPr>
            <w:r>
              <w:rPr>
                <w:sz w:val="20"/>
                <w:szCs w:val="20"/>
              </w:rPr>
              <w:t>44</w:t>
            </w:r>
            <w:r>
              <w:rPr>
                <w:sz w:val="20"/>
                <w:szCs w:val="20"/>
              </w:rPr>
              <w:t>2</w:t>
            </w:r>
          </w:p>
        </w:tc>
        <w:tc>
          <w:tcPr>
            <w:tcW w:w="0" w:type="auto"/>
            <w:noWrap/>
            <w:vAlign w:val="bottom"/>
            <w:hideMark/>
          </w:tcPr>
          <w:p w14:paraId="6E7BA99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92730A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F821BC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6FB7F2" w14:textId="77777777" w:rsidR="00000000" w:rsidRDefault="00632532">
            <w:pPr>
              <w:pStyle w:val="a3"/>
              <w:spacing w:before="0" w:beforeAutospacing="0" w:after="0" w:afterAutospacing="0"/>
              <w:jc w:val="right"/>
              <w:rPr>
                <w:sz w:val="20"/>
                <w:szCs w:val="20"/>
              </w:rPr>
            </w:pPr>
            <w:r>
              <w:rPr>
                <w:sz w:val="20"/>
                <w:szCs w:val="20"/>
              </w:rPr>
              <w:t>79</w:t>
            </w:r>
            <w:r>
              <w:rPr>
                <w:sz w:val="20"/>
                <w:szCs w:val="20"/>
              </w:rPr>
              <w:t>6</w:t>
            </w:r>
          </w:p>
        </w:tc>
        <w:tc>
          <w:tcPr>
            <w:tcW w:w="0" w:type="auto"/>
            <w:noWrap/>
            <w:vAlign w:val="bottom"/>
            <w:hideMark/>
          </w:tcPr>
          <w:p w14:paraId="11F089EC" w14:textId="77777777" w:rsidR="00000000" w:rsidRDefault="00632532">
            <w:pPr>
              <w:pStyle w:val="a3"/>
              <w:spacing w:before="0" w:beforeAutospacing="0" w:after="0" w:afterAutospacing="0"/>
              <w:rPr>
                <w:sz w:val="20"/>
                <w:szCs w:val="20"/>
              </w:rPr>
            </w:pPr>
            <w:r>
              <w:rPr>
                <w:sz w:val="20"/>
                <w:szCs w:val="20"/>
              </w:rPr>
              <w:t> </w:t>
            </w:r>
          </w:p>
        </w:tc>
      </w:tr>
      <w:tr w:rsidR="00000000" w14:paraId="36D0A2D3" w14:textId="77777777">
        <w:trPr>
          <w:divId w:val="894972029"/>
          <w:trHeight w:val="200"/>
          <w:tblCellSpacing w:w="15" w:type="dxa"/>
        </w:trPr>
        <w:tc>
          <w:tcPr>
            <w:tcW w:w="0" w:type="auto"/>
            <w:vAlign w:val="bottom"/>
            <w:hideMark/>
          </w:tcPr>
          <w:p w14:paraId="7F0C130E" w14:textId="77777777" w:rsidR="00000000" w:rsidRDefault="00632532">
            <w:pPr>
              <w:pStyle w:val="a3"/>
              <w:spacing w:before="0" w:beforeAutospacing="0" w:after="0" w:afterAutospacing="0"/>
              <w:rPr>
                <w:sz w:val="20"/>
                <w:szCs w:val="20"/>
              </w:rPr>
            </w:pPr>
            <w:r>
              <w:rPr>
                <w:b/>
                <w:bCs/>
                <w:sz w:val="20"/>
                <w:szCs w:val="20"/>
              </w:rPr>
              <w:t>Total Revenu</w:t>
            </w:r>
            <w:r>
              <w:rPr>
                <w:b/>
                <w:bCs/>
                <w:sz w:val="20"/>
                <w:szCs w:val="20"/>
              </w:rPr>
              <w:t>e</w:t>
            </w:r>
          </w:p>
        </w:tc>
        <w:tc>
          <w:tcPr>
            <w:tcW w:w="0" w:type="auto"/>
            <w:noWrap/>
            <w:vAlign w:val="bottom"/>
            <w:hideMark/>
          </w:tcPr>
          <w:p w14:paraId="0D43F73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370185B" w14:textId="77777777" w:rsidR="00000000" w:rsidRDefault="00632532">
            <w:pPr>
              <w:pStyle w:val="a3"/>
              <w:spacing w:before="0" w:beforeAutospacing="0" w:after="0" w:afterAutospacing="0"/>
              <w:jc w:val="right"/>
              <w:rPr>
                <w:sz w:val="20"/>
                <w:szCs w:val="20"/>
              </w:rPr>
            </w:pPr>
            <w:r>
              <w:rPr>
                <w:sz w:val="20"/>
                <w:szCs w:val="20"/>
              </w:rPr>
              <w:t>125,34</w:t>
            </w:r>
            <w:r>
              <w:rPr>
                <w:sz w:val="20"/>
                <w:szCs w:val="20"/>
              </w:rPr>
              <w:t>1</w:t>
            </w:r>
          </w:p>
        </w:tc>
        <w:tc>
          <w:tcPr>
            <w:tcW w:w="0" w:type="auto"/>
            <w:noWrap/>
            <w:vAlign w:val="bottom"/>
            <w:hideMark/>
          </w:tcPr>
          <w:p w14:paraId="7E631BF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33F84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3C925F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6C18071" w14:textId="77777777" w:rsidR="00000000" w:rsidRDefault="00632532">
            <w:pPr>
              <w:pStyle w:val="a3"/>
              <w:spacing w:before="0" w:beforeAutospacing="0" w:after="0" w:afterAutospacing="0"/>
              <w:jc w:val="right"/>
              <w:rPr>
                <w:sz w:val="20"/>
                <w:szCs w:val="20"/>
              </w:rPr>
            </w:pPr>
            <w:r>
              <w:rPr>
                <w:sz w:val="20"/>
                <w:szCs w:val="20"/>
              </w:rPr>
              <w:t>153,61</w:t>
            </w:r>
            <w:r>
              <w:rPr>
                <w:sz w:val="20"/>
                <w:szCs w:val="20"/>
              </w:rPr>
              <w:t>6</w:t>
            </w:r>
          </w:p>
        </w:tc>
        <w:tc>
          <w:tcPr>
            <w:tcW w:w="0" w:type="auto"/>
            <w:noWrap/>
            <w:vAlign w:val="bottom"/>
            <w:hideMark/>
          </w:tcPr>
          <w:p w14:paraId="28694C7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A81E4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E9EF6A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368D1C9" w14:textId="77777777" w:rsidR="00000000" w:rsidRDefault="00632532">
            <w:pPr>
              <w:pStyle w:val="a3"/>
              <w:spacing w:before="0" w:beforeAutospacing="0" w:after="0" w:afterAutospacing="0"/>
              <w:jc w:val="right"/>
              <w:rPr>
                <w:sz w:val="20"/>
                <w:szCs w:val="20"/>
              </w:rPr>
            </w:pPr>
            <w:r>
              <w:rPr>
                <w:sz w:val="20"/>
                <w:szCs w:val="20"/>
              </w:rPr>
              <w:t>445,60</w:t>
            </w:r>
            <w:r>
              <w:rPr>
                <w:sz w:val="20"/>
                <w:szCs w:val="20"/>
              </w:rPr>
              <w:t>9</w:t>
            </w:r>
          </w:p>
        </w:tc>
        <w:tc>
          <w:tcPr>
            <w:tcW w:w="0" w:type="auto"/>
            <w:noWrap/>
            <w:vAlign w:val="bottom"/>
            <w:hideMark/>
          </w:tcPr>
          <w:p w14:paraId="2744EE8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806B9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BAC6DE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101F06B" w14:textId="77777777" w:rsidR="00000000" w:rsidRDefault="00632532">
            <w:pPr>
              <w:pStyle w:val="a3"/>
              <w:spacing w:before="0" w:beforeAutospacing="0" w:after="0" w:afterAutospacing="0"/>
              <w:jc w:val="right"/>
              <w:rPr>
                <w:sz w:val="20"/>
                <w:szCs w:val="20"/>
              </w:rPr>
            </w:pPr>
            <w:r>
              <w:rPr>
                <w:sz w:val="20"/>
                <w:szCs w:val="20"/>
              </w:rPr>
              <w:t>513,04</w:t>
            </w:r>
            <w:r>
              <w:rPr>
                <w:sz w:val="20"/>
                <w:szCs w:val="20"/>
              </w:rPr>
              <w:t>5</w:t>
            </w:r>
          </w:p>
        </w:tc>
        <w:tc>
          <w:tcPr>
            <w:tcW w:w="0" w:type="auto"/>
            <w:noWrap/>
            <w:vAlign w:val="bottom"/>
            <w:hideMark/>
          </w:tcPr>
          <w:p w14:paraId="3271121D" w14:textId="77777777" w:rsidR="00000000" w:rsidRDefault="00632532">
            <w:pPr>
              <w:pStyle w:val="a3"/>
              <w:spacing w:before="0" w:beforeAutospacing="0" w:after="0" w:afterAutospacing="0"/>
              <w:rPr>
                <w:sz w:val="20"/>
                <w:szCs w:val="20"/>
              </w:rPr>
            </w:pPr>
            <w:r>
              <w:rPr>
                <w:sz w:val="20"/>
                <w:szCs w:val="20"/>
              </w:rPr>
              <w:t> </w:t>
            </w:r>
          </w:p>
        </w:tc>
      </w:tr>
    </w:tbl>
    <w:p w14:paraId="7D034CA5" w14:textId="77777777" w:rsidR="00000000" w:rsidRDefault="00632532">
      <w:pPr>
        <w:pStyle w:val="a3"/>
        <w:spacing w:before="240" w:beforeAutospacing="0" w:after="0" w:afterAutospacing="0"/>
        <w:ind w:firstLine="555"/>
        <w:divId w:val="1283416983"/>
        <w:rPr>
          <w:sz w:val="20"/>
          <w:szCs w:val="20"/>
        </w:rPr>
      </w:pPr>
      <w:r>
        <w:rPr>
          <w:sz w:val="20"/>
          <w:szCs w:val="20"/>
        </w:rPr>
        <w:t>The insurance revenue category above includes</w:t>
      </w:r>
      <w:r>
        <w:rPr>
          <w:sz w:val="20"/>
          <w:szCs w:val="20"/>
        </w:rPr>
        <w:t xml:space="preserve"> </w:t>
      </w:r>
      <w:r>
        <w:rPr>
          <w:sz w:val="20"/>
          <w:szCs w:val="20"/>
        </w:rPr>
        <w:t>zer</w:t>
      </w:r>
      <w:r>
        <w:rPr>
          <w:sz w:val="20"/>
          <w:szCs w:val="20"/>
        </w:rPr>
        <w:t>o</w:t>
      </w:r>
      <w:r>
        <w:rPr>
          <w:sz w:val="20"/>
          <w:szCs w:val="20"/>
        </w:rPr>
        <w:t xml:space="preserve"> and </w:t>
      </w:r>
      <w:r>
        <w:rPr>
          <w:sz w:val="20"/>
          <w:szCs w:val="20"/>
        </w:rPr>
        <w:t>$</w:t>
      </w:r>
      <w:r>
        <w:rPr>
          <w:sz w:val="20"/>
          <w:szCs w:val="20"/>
        </w:rPr>
        <w:t>37.</w:t>
      </w:r>
      <w:r>
        <w:rPr>
          <w:sz w:val="20"/>
          <w:szCs w:val="20"/>
        </w:rPr>
        <w:t>1</w:t>
      </w:r>
      <w:r>
        <w:rPr>
          <w:sz w:val="20"/>
          <w:szCs w:val="20"/>
        </w:rPr>
        <w:t xml:space="preserve"> million for the three months ended June 30, 2022 and 2021, respectively, and </w:t>
      </w:r>
      <w:r>
        <w:rPr>
          <w:sz w:val="20"/>
          <w:szCs w:val="20"/>
        </w:rPr>
        <w:t>$</w:t>
      </w:r>
      <w:r>
        <w:rPr>
          <w:sz w:val="20"/>
          <w:szCs w:val="20"/>
        </w:rPr>
        <w:t>106.</w:t>
      </w:r>
      <w:r>
        <w:rPr>
          <w:sz w:val="20"/>
          <w:szCs w:val="20"/>
        </w:rPr>
        <w:t>7</w:t>
      </w:r>
      <w:r>
        <w:rPr>
          <w:sz w:val="20"/>
          <w:szCs w:val="20"/>
        </w:rPr>
        <w:t xml:space="preserve"> million and </w:t>
      </w:r>
      <w:r>
        <w:rPr>
          <w:sz w:val="20"/>
          <w:szCs w:val="20"/>
        </w:rPr>
        <w:t>$</w:t>
      </w:r>
      <w:r>
        <w:rPr>
          <w:sz w:val="20"/>
          <w:szCs w:val="20"/>
        </w:rPr>
        <w:t>149.</w:t>
      </w:r>
      <w:r>
        <w:rPr>
          <w:sz w:val="20"/>
          <w:szCs w:val="20"/>
        </w:rPr>
        <w:t>9</w:t>
      </w:r>
      <w:r>
        <w:rPr>
          <w:sz w:val="20"/>
          <w:szCs w:val="20"/>
        </w:rPr>
        <w:t xml:space="preserve"> million for the six months ended June 30, 2022 and 2021, respectively, for services related </w:t>
      </w:r>
      <w:r>
        <w:rPr>
          <w:sz w:val="20"/>
          <w:szCs w:val="20"/>
        </w:rPr>
        <w:t>to claims covered by the HRSA COVID-19 Uninsured Program. The HRSA program stopped accepting claims at 11:59 p.m. on March 22, 2022</w:t>
      </w:r>
      <w:r>
        <w:rPr>
          <w:sz w:val="20"/>
          <w:szCs w:val="20"/>
        </w:rPr>
        <w:t>.</w:t>
      </w:r>
    </w:p>
    <w:p w14:paraId="02A04789" w14:textId="77777777" w:rsidR="00000000" w:rsidRDefault="00632532">
      <w:pPr>
        <w:pStyle w:val="a3"/>
        <w:spacing w:before="240" w:beforeAutospacing="0" w:after="0" w:afterAutospacing="0"/>
        <w:ind w:firstLine="555"/>
        <w:divId w:val="1283416983"/>
        <w:rPr>
          <w:sz w:val="20"/>
          <w:szCs w:val="20"/>
        </w:rPr>
      </w:pPr>
      <w:r>
        <w:rPr>
          <w:sz w:val="20"/>
          <w:szCs w:val="20"/>
        </w:rPr>
        <w:t>There was no material variable consideration recognized in the current period that relates to performance obligations that were completed in the prior period</w:t>
      </w:r>
      <w:r>
        <w:rPr>
          <w:sz w:val="20"/>
          <w:szCs w:val="20"/>
        </w:rPr>
        <w:t>.</w:t>
      </w:r>
      <w:r>
        <w:rPr>
          <w:sz w:val="20"/>
          <w:szCs w:val="20"/>
        </w:rPr>
        <w:t xml:space="preserve"> </w:t>
      </w:r>
    </w:p>
    <w:p w14:paraId="59E51455" w14:textId="77777777" w:rsidR="00000000" w:rsidRDefault="00632532">
      <w:pPr>
        <w:pStyle w:val="a3"/>
        <w:spacing w:before="240" w:beforeAutospacing="0" w:after="0" w:afterAutospacing="0"/>
        <w:ind w:firstLine="555"/>
        <w:divId w:val="1283416983"/>
        <w:rPr>
          <w:sz w:val="20"/>
          <w:szCs w:val="20"/>
        </w:rPr>
      </w:pPr>
      <w:r>
        <w:rPr>
          <w:sz w:val="20"/>
          <w:szCs w:val="20"/>
        </w:rPr>
        <w:t>Collection of the Company’s net revenues from insurers is normally a function of providing compl</w:t>
      </w:r>
      <w:r>
        <w:rPr>
          <w:sz w:val="20"/>
          <w:szCs w:val="20"/>
        </w:rPr>
        <w:t xml:space="preserve">ete and correct billing information within the various filing deadlines. Provided the Company has billed insurers accurately with complete information prior to the established filing deadline, there has historically been little to no credit risk. If there </w:t>
      </w:r>
      <w:r>
        <w:rPr>
          <w:sz w:val="20"/>
          <w:szCs w:val="20"/>
        </w:rPr>
        <w:t>has been a delay in billing, the Company determines if the amounts in question will likely go past the filing deadline, and if so, the Company will reserve accordingly for the billing</w:t>
      </w:r>
      <w:r>
        <w:rPr>
          <w:sz w:val="20"/>
          <w:szCs w:val="20"/>
        </w:rPr>
        <w:t>.</w:t>
      </w:r>
    </w:p>
    <w:p w14:paraId="4449D83F" w14:textId="77777777" w:rsidR="00000000" w:rsidRDefault="00632532">
      <w:pPr>
        <w:pStyle w:val="a3"/>
        <w:spacing w:before="360" w:beforeAutospacing="0" w:after="0" w:afterAutospacing="0"/>
        <w:divId w:val="1283416983"/>
        <w:rPr>
          <w:sz w:val="20"/>
          <w:szCs w:val="20"/>
        </w:rPr>
      </w:pPr>
      <w:r>
        <w:rPr>
          <w:b/>
          <w:bCs/>
          <w:i/>
          <w:iCs/>
          <w:sz w:val="20"/>
          <w:szCs w:val="20"/>
        </w:rPr>
        <w:t>Contract Balance</w:t>
      </w:r>
      <w:r>
        <w:rPr>
          <w:b/>
          <w:bCs/>
          <w:i/>
          <w:iCs/>
          <w:sz w:val="20"/>
          <w:szCs w:val="20"/>
        </w:rPr>
        <w:t>s</w:t>
      </w:r>
    </w:p>
    <w:p w14:paraId="5FF9D1C9" w14:textId="77777777" w:rsidR="00000000" w:rsidRDefault="00632532">
      <w:pPr>
        <w:pStyle w:val="a3"/>
        <w:spacing w:before="120" w:beforeAutospacing="0" w:after="0" w:afterAutospacing="0"/>
        <w:ind w:firstLine="555"/>
        <w:divId w:val="1283416983"/>
        <w:rPr>
          <w:sz w:val="20"/>
          <w:szCs w:val="20"/>
        </w:rPr>
      </w:pPr>
      <w:r>
        <w:rPr>
          <w:i/>
          <w:iCs/>
          <w:sz w:val="20"/>
          <w:szCs w:val="20"/>
        </w:rPr>
        <w:t>Receivables from contracts with customers -</w:t>
      </w:r>
      <w:r>
        <w:rPr>
          <w:i/>
          <w:iCs/>
          <w:sz w:val="20"/>
          <w:szCs w:val="20"/>
        </w:rPr>
        <w:t xml:space="preserve"> </w:t>
      </w:r>
      <w:r>
        <w:rPr>
          <w:sz w:val="20"/>
          <w:szCs w:val="20"/>
        </w:rPr>
        <w:t>Receivabl</w:t>
      </w:r>
      <w:r>
        <w:rPr>
          <w:sz w:val="20"/>
          <w:szCs w:val="20"/>
        </w:rPr>
        <w:t>es from contracts with customers are included within trade accounts receivable on the Condensed Consolidated Balance Sheets. Net receivable from Insurance and Institutional customers represented</w:t>
      </w:r>
      <w:r>
        <w:rPr>
          <w:sz w:val="20"/>
          <w:szCs w:val="20"/>
        </w:rPr>
        <w:t xml:space="preserve"> </w:t>
      </w:r>
      <w:r>
        <w:rPr>
          <w:sz w:val="20"/>
          <w:szCs w:val="20"/>
        </w:rPr>
        <w:t>7</w:t>
      </w:r>
      <w:r>
        <w:rPr>
          <w:sz w:val="20"/>
          <w:szCs w:val="20"/>
        </w:rPr>
        <w:t>6</w:t>
      </w:r>
      <w:r>
        <w:rPr>
          <w:sz w:val="20"/>
          <w:szCs w:val="20"/>
        </w:rPr>
        <w:t>% and</w:t>
      </w:r>
      <w:r>
        <w:rPr>
          <w:sz w:val="20"/>
          <w:szCs w:val="20"/>
        </w:rPr>
        <w:t xml:space="preserve"> </w:t>
      </w:r>
      <w:r>
        <w:rPr>
          <w:sz w:val="20"/>
          <w:szCs w:val="20"/>
        </w:rPr>
        <w:t>2</w:t>
      </w:r>
      <w:r>
        <w:rPr>
          <w:sz w:val="20"/>
          <w:szCs w:val="20"/>
        </w:rPr>
        <w:t>4</w:t>
      </w:r>
      <w:r>
        <w:rPr>
          <w:sz w:val="20"/>
          <w:szCs w:val="20"/>
        </w:rPr>
        <w:t>%, respectively, as of June 30, 2022. Net receivabl</w:t>
      </w:r>
      <w:r>
        <w:rPr>
          <w:sz w:val="20"/>
          <w:szCs w:val="20"/>
        </w:rPr>
        <w:t>e from Insurance and Institutional customers represented</w:t>
      </w:r>
      <w:r>
        <w:rPr>
          <w:sz w:val="20"/>
          <w:szCs w:val="20"/>
        </w:rPr>
        <w:t xml:space="preserve"> </w:t>
      </w:r>
      <w:r>
        <w:rPr>
          <w:sz w:val="20"/>
          <w:szCs w:val="20"/>
        </w:rPr>
        <w:t>4</w:t>
      </w:r>
      <w:r>
        <w:rPr>
          <w:sz w:val="20"/>
          <w:szCs w:val="20"/>
        </w:rPr>
        <w:t>7</w:t>
      </w:r>
      <w:r>
        <w:rPr>
          <w:sz w:val="20"/>
          <w:szCs w:val="20"/>
        </w:rPr>
        <w:t>% and</w:t>
      </w:r>
      <w:r>
        <w:rPr>
          <w:sz w:val="20"/>
          <w:szCs w:val="20"/>
        </w:rPr>
        <w:t xml:space="preserve"> </w:t>
      </w:r>
      <w:r>
        <w:rPr>
          <w:sz w:val="20"/>
          <w:szCs w:val="20"/>
        </w:rPr>
        <w:t>5</w:t>
      </w:r>
      <w:r>
        <w:rPr>
          <w:sz w:val="20"/>
          <w:szCs w:val="20"/>
        </w:rPr>
        <w:t>3</w:t>
      </w:r>
      <w:r>
        <w:rPr>
          <w:sz w:val="20"/>
          <w:szCs w:val="20"/>
        </w:rPr>
        <w:t>%, respectively, as of December 31, 2021</w:t>
      </w:r>
      <w:r>
        <w:rPr>
          <w:sz w:val="20"/>
          <w:szCs w:val="20"/>
        </w:rPr>
        <w:t>.</w:t>
      </w:r>
    </w:p>
    <w:p w14:paraId="0DF1F140" w14:textId="77777777" w:rsidR="00000000" w:rsidRDefault="00632532">
      <w:pPr>
        <w:pStyle w:val="a3"/>
        <w:spacing w:before="240" w:beforeAutospacing="0" w:after="0" w:afterAutospacing="0"/>
        <w:ind w:firstLine="555"/>
        <w:divId w:val="1283416983"/>
        <w:rPr>
          <w:sz w:val="20"/>
          <w:szCs w:val="20"/>
        </w:rPr>
      </w:pPr>
      <w:r>
        <w:rPr>
          <w:i/>
          <w:iCs/>
          <w:sz w:val="20"/>
          <w:szCs w:val="20"/>
        </w:rPr>
        <w:t>Contracts assets and liabilitie</w:t>
      </w:r>
      <w:r>
        <w:rPr>
          <w:i/>
          <w:iCs/>
          <w:sz w:val="20"/>
          <w:szCs w:val="20"/>
        </w:rPr>
        <w:t>s</w:t>
      </w:r>
      <w:r>
        <w:rPr>
          <w:sz w:val="20"/>
          <w:szCs w:val="20"/>
        </w:rPr>
        <w:t xml:space="preserve"> - Contract assets from contracts with customers associated with contract execution and certain costs to fulfill a </w:t>
      </w:r>
      <w:r>
        <w:rPr>
          <w:sz w:val="20"/>
          <w:szCs w:val="20"/>
        </w:rPr>
        <w:t>contract are included in other current assets in the accompanying Condensed Consolidated Balance Sheets. Contract liabilities are recorded when the Company receives payment prior to completing its obligation to transfer goods or services to a customer. Con</w:t>
      </w:r>
      <w:r>
        <w:rPr>
          <w:sz w:val="20"/>
          <w:szCs w:val="20"/>
        </w:rPr>
        <w:t xml:space="preserve">tract liabilities are included in the Condensed Consolidated Balance Sheets. Revenues of </w:t>
      </w:r>
      <w:r>
        <w:rPr>
          <w:sz w:val="20"/>
          <w:szCs w:val="20"/>
        </w:rPr>
        <w:t>$</w:t>
      </w:r>
      <w:r>
        <w:rPr>
          <w:sz w:val="20"/>
          <w:szCs w:val="20"/>
        </w:rPr>
        <w:t>4.</w:t>
      </w:r>
      <w:r>
        <w:rPr>
          <w:sz w:val="20"/>
          <w:szCs w:val="20"/>
        </w:rPr>
        <w:t>7</w:t>
      </w:r>
      <w:r>
        <w:rPr>
          <w:sz w:val="20"/>
          <w:szCs w:val="20"/>
        </w:rPr>
        <w:t xml:space="preserve"> million and </w:t>
      </w:r>
      <w:r>
        <w:rPr>
          <w:sz w:val="20"/>
          <w:szCs w:val="20"/>
        </w:rPr>
        <w:t>$</w:t>
      </w:r>
      <w:r>
        <w:rPr>
          <w:sz w:val="20"/>
          <w:szCs w:val="20"/>
        </w:rPr>
        <w:t>1.</w:t>
      </w:r>
      <w:r>
        <w:rPr>
          <w:sz w:val="20"/>
          <w:szCs w:val="20"/>
        </w:rPr>
        <w:t>7</w:t>
      </w:r>
      <w:r>
        <w:rPr>
          <w:sz w:val="20"/>
          <w:szCs w:val="20"/>
        </w:rPr>
        <w:t xml:space="preserve"> million were recognized for the three months ended June 30, 2022 and 2021, respectively, and </w:t>
      </w:r>
      <w:r>
        <w:rPr>
          <w:sz w:val="20"/>
          <w:szCs w:val="20"/>
        </w:rPr>
        <w:t>$</w:t>
      </w:r>
      <w:r>
        <w:rPr>
          <w:sz w:val="20"/>
          <w:szCs w:val="20"/>
        </w:rPr>
        <w:t>14.</w:t>
      </w:r>
      <w:r>
        <w:rPr>
          <w:sz w:val="20"/>
          <w:szCs w:val="20"/>
        </w:rPr>
        <w:t>4</w:t>
      </w:r>
      <w:r>
        <w:rPr>
          <w:sz w:val="20"/>
          <w:szCs w:val="20"/>
        </w:rPr>
        <w:t xml:space="preserve"> million and </w:t>
      </w:r>
      <w:r>
        <w:rPr>
          <w:sz w:val="20"/>
          <w:szCs w:val="20"/>
        </w:rPr>
        <w:t>$</w:t>
      </w:r>
      <w:r>
        <w:rPr>
          <w:sz w:val="20"/>
          <w:szCs w:val="20"/>
        </w:rPr>
        <w:t>25.</w:t>
      </w:r>
      <w:r>
        <w:rPr>
          <w:sz w:val="20"/>
          <w:szCs w:val="20"/>
        </w:rPr>
        <w:t>5</w:t>
      </w:r>
      <w:r>
        <w:rPr>
          <w:sz w:val="20"/>
          <w:szCs w:val="20"/>
        </w:rPr>
        <w:t xml:space="preserve"> million for the six months w</w:t>
      </w:r>
      <w:r>
        <w:rPr>
          <w:sz w:val="20"/>
          <w:szCs w:val="20"/>
        </w:rPr>
        <w:t>ere recognized for the six months ended June 30, 2022 and 2021, respectively, related to contract liabilities at the beginning of the respective periods</w:t>
      </w:r>
      <w:r>
        <w:rPr>
          <w:sz w:val="20"/>
          <w:szCs w:val="20"/>
        </w:rPr>
        <w:t>.</w:t>
      </w:r>
    </w:p>
    <w:p w14:paraId="15C0E6F0" w14:textId="77777777" w:rsidR="00000000" w:rsidRDefault="00632532">
      <w:pPr>
        <w:pStyle w:val="a3"/>
        <w:spacing w:before="360" w:beforeAutospacing="0" w:after="0" w:afterAutospacing="0"/>
        <w:divId w:val="1135483561"/>
        <w:rPr>
          <w:sz w:val="20"/>
          <w:szCs w:val="20"/>
        </w:rPr>
      </w:pPr>
      <w:r>
        <w:rPr>
          <w:b/>
          <w:bCs/>
          <w:i/>
          <w:iCs/>
          <w:sz w:val="20"/>
          <w:szCs w:val="20"/>
        </w:rPr>
        <w:t>Reagents and Supplie</w:t>
      </w:r>
      <w:r>
        <w:rPr>
          <w:b/>
          <w:bCs/>
          <w:i/>
          <w:iCs/>
          <w:sz w:val="20"/>
          <w:szCs w:val="20"/>
        </w:rPr>
        <w:t>s</w:t>
      </w:r>
    </w:p>
    <w:p w14:paraId="246851FE" w14:textId="77777777" w:rsidR="00000000" w:rsidRDefault="00632532">
      <w:pPr>
        <w:pStyle w:val="a3"/>
        <w:spacing w:before="120" w:beforeAutospacing="0" w:after="0" w:afterAutospacing="0"/>
        <w:ind w:firstLine="555"/>
        <w:divId w:val="1135483561"/>
        <w:rPr>
          <w:sz w:val="20"/>
          <w:szCs w:val="20"/>
        </w:rPr>
      </w:pPr>
      <w:r>
        <w:rPr>
          <w:sz w:val="20"/>
          <w:szCs w:val="20"/>
        </w:rPr>
        <w:t>The Company maintains reagents and other consumables primarily used in sample co</w:t>
      </w:r>
      <w:r>
        <w:rPr>
          <w:sz w:val="20"/>
          <w:szCs w:val="20"/>
        </w:rPr>
        <w:t>llections and testing which are valued at the lower of cost or net realizable value. Cost is determined using actual costs on a first-in, first-out basis. The reagents and supplies were included in other current assets in the accompanying Condensed Consoli</w:t>
      </w:r>
      <w:r>
        <w:rPr>
          <w:sz w:val="20"/>
          <w:szCs w:val="20"/>
        </w:rPr>
        <w:t>dated Balance Sheets</w:t>
      </w:r>
      <w:r>
        <w:rPr>
          <w:sz w:val="20"/>
          <w:szCs w:val="20"/>
        </w:rPr>
        <w:t>.</w:t>
      </w:r>
    </w:p>
    <w:p w14:paraId="511E37B7" w14:textId="77777777" w:rsidR="00000000" w:rsidRDefault="00632532">
      <w:pPr>
        <w:pStyle w:val="a3"/>
        <w:spacing w:before="360" w:beforeAutospacing="0" w:after="0" w:afterAutospacing="0"/>
        <w:divId w:val="1683166793"/>
        <w:rPr>
          <w:sz w:val="20"/>
          <w:szCs w:val="20"/>
        </w:rPr>
      </w:pPr>
      <w:r>
        <w:rPr>
          <w:b/>
          <w:bCs/>
          <w:i/>
          <w:iCs/>
          <w:sz w:val="20"/>
          <w:szCs w:val="20"/>
        </w:rPr>
        <w:t>Customer Deposi</w:t>
      </w:r>
      <w:r>
        <w:rPr>
          <w:b/>
          <w:bCs/>
          <w:i/>
          <w:iCs/>
          <w:sz w:val="20"/>
          <w:szCs w:val="20"/>
        </w:rPr>
        <w:t>t</w:t>
      </w:r>
    </w:p>
    <w:p w14:paraId="0F4C5B66" w14:textId="77777777" w:rsidR="00000000" w:rsidRDefault="00632532">
      <w:pPr>
        <w:pStyle w:val="a3"/>
        <w:spacing w:before="120" w:beforeAutospacing="0" w:after="0" w:afterAutospacing="0"/>
        <w:ind w:firstLine="555"/>
        <w:divId w:val="1683166793"/>
        <w:rPr>
          <w:sz w:val="20"/>
          <w:szCs w:val="20"/>
        </w:rPr>
      </w:pPr>
      <w:r>
        <w:rPr>
          <w:sz w:val="20"/>
          <w:szCs w:val="20"/>
        </w:rPr>
        <w:t>Customer deposit in the accompanying Condensed Consolidated Balance Sheets consists primarily of payments received from customers in excess of their outstanding trade accounts receivable balances, and the excess payme</w:t>
      </w:r>
      <w:r>
        <w:rPr>
          <w:sz w:val="20"/>
          <w:szCs w:val="20"/>
        </w:rPr>
        <w:t>nts will be refunded to the customers or offset against future testing receivables</w:t>
      </w:r>
      <w:r>
        <w:rPr>
          <w:sz w:val="20"/>
          <w:szCs w:val="20"/>
        </w:rPr>
        <w:t>.</w:t>
      </w:r>
    </w:p>
    <w:p w14:paraId="7F5B0B74" w14:textId="77777777" w:rsidR="00000000" w:rsidRDefault="00632532">
      <w:pPr>
        <w:pStyle w:val="a3"/>
        <w:spacing w:before="240" w:beforeAutospacing="0" w:after="0" w:afterAutospacing="0"/>
        <w:jc w:val="center"/>
        <w:divId w:val="383333622"/>
        <w:rPr>
          <w:sz w:val="20"/>
          <w:szCs w:val="20"/>
        </w:rPr>
      </w:pPr>
      <w:r>
        <w:rPr>
          <w:sz w:val="20"/>
          <w:szCs w:val="20"/>
        </w:rPr>
        <w:t>1</w:t>
      </w:r>
      <w:r>
        <w:rPr>
          <w:sz w:val="20"/>
          <w:szCs w:val="20"/>
        </w:rPr>
        <w:t>0</w:t>
      </w:r>
    </w:p>
    <w:p w14:paraId="62D35235" w14:textId="77777777" w:rsidR="00000000" w:rsidRDefault="00632532">
      <w:pPr>
        <w:divId w:val="383333622"/>
        <w:rPr>
          <w:rFonts w:eastAsia="Times New Roman"/>
        </w:rPr>
      </w:pPr>
      <w:r>
        <w:rPr>
          <w:rFonts w:eastAsia="Times New Roman"/>
        </w:rPr>
        <w:pict w14:anchorId="515BD07E">
          <v:rect id="_x0000_i1036" style="width:0;height:1.5pt" o:hralign="center" o:hrstd="t" o:hr="t" fillcolor="#a0a0a0" stroked="f"/>
        </w:pict>
      </w:r>
    </w:p>
    <w:p w14:paraId="600598D6" w14:textId="77777777" w:rsidR="00000000" w:rsidRDefault="00632532">
      <w:pPr>
        <w:pStyle w:val="a3"/>
        <w:spacing w:before="360" w:beforeAutospacing="0" w:after="0" w:afterAutospacing="0"/>
        <w:divId w:val="61680901"/>
        <w:rPr>
          <w:sz w:val="20"/>
          <w:szCs w:val="20"/>
        </w:rPr>
      </w:pPr>
      <w:r>
        <w:rPr>
          <w:b/>
          <w:bCs/>
          <w:i/>
          <w:iCs/>
          <w:sz w:val="20"/>
          <w:szCs w:val="20"/>
        </w:rPr>
        <w:t>Business Combinatio</w:t>
      </w:r>
      <w:r>
        <w:rPr>
          <w:b/>
          <w:bCs/>
          <w:i/>
          <w:iCs/>
          <w:sz w:val="20"/>
          <w:szCs w:val="20"/>
        </w:rPr>
        <w:t>n</w:t>
      </w:r>
    </w:p>
    <w:p w14:paraId="51C544EC" w14:textId="77777777" w:rsidR="00000000" w:rsidRDefault="00632532">
      <w:pPr>
        <w:pStyle w:val="a3"/>
        <w:spacing w:before="120" w:beforeAutospacing="0" w:after="0" w:afterAutospacing="0"/>
        <w:ind w:firstLine="555"/>
        <w:divId w:val="61680901"/>
        <w:rPr>
          <w:sz w:val="20"/>
          <w:szCs w:val="20"/>
        </w:rPr>
      </w:pPr>
      <w:r>
        <w:rPr>
          <w:sz w:val="20"/>
          <w:szCs w:val="20"/>
        </w:rPr>
        <w:t>The Company uses the acquisition method of accounting and allocates the fair value of purchase consideration to</w:t>
      </w:r>
      <w:r>
        <w:rPr>
          <w:sz w:val="20"/>
          <w:szCs w:val="20"/>
        </w:rPr>
        <w:t xml:space="preserve"> the assets acquired and liabilities assumed from an acquiree based on their respective fair values as of the acquisition date. The excess of the fair value of purchase consideration over the fair value of these assets acquired and liabilities assumed is r</w:t>
      </w:r>
      <w:r>
        <w:rPr>
          <w:sz w:val="20"/>
          <w:szCs w:val="20"/>
        </w:rPr>
        <w:t>ecorded as goodwill. When determining the fair values of assets acquired and liabilities assumed, management makes significant estimates and assumptions, especially with respect to intangible assets. Critical estimates in valuing intangible assets include,</w:t>
      </w:r>
      <w:r>
        <w:rPr>
          <w:sz w:val="20"/>
          <w:szCs w:val="20"/>
        </w:rPr>
        <w:t xml:space="preserve"> but are not limited to, expected future cash flows, which includes consideration of future growth and margins, future changes in technology, expected cost and time to develop in-process research and development, brand awareness and discount rates. Fair va</w:t>
      </w:r>
      <w:r>
        <w:rPr>
          <w:sz w:val="20"/>
          <w:szCs w:val="20"/>
        </w:rPr>
        <w:t>lue estimates are based on the assumptions that management believes a market participant would use in pricing the asset or liability</w:t>
      </w:r>
      <w:r>
        <w:rPr>
          <w:sz w:val="20"/>
          <w:szCs w:val="20"/>
        </w:rPr>
        <w:t>.</w:t>
      </w:r>
    </w:p>
    <w:p w14:paraId="17F20341" w14:textId="77777777" w:rsidR="00000000" w:rsidRDefault="00632532">
      <w:pPr>
        <w:pStyle w:val="a3"/>
        <w:spacing w:before="360" w:beforeAutospacing="0" w:after="0" w:afterAutospacing="0"/>
        <w:divId w:val="792598809"/>
        <w:rPr>
          <w:sz w:val="20"/>
          <w:szCs w:val="20"/>
        </w:rPr>
      </w:pPr>
      <w:r>
        <w:rPr>
          <w:b/>
          <w:bCs/>
          <w:i/>
          <w:iCs/>
          <w:sz w:val="20"/>
          <w:szCs w:val="20"/>
        </w:rPr>
        <w:t>Goodwil</w:t>
      </w:r>
      <w:r>
        <w:rPr>
          <w:b/>
          <w:bCs/>
          <w:i/>
          <w:iCs/>
          <w:sz w:val="20"/>
          <w:szCs w:val="20"/>
        </w:rPr>
        <w:t>l</w:t>
      </w:r>
    </w:p>
    <w:p w14:paraId="3A738F35" w14:textId="77777777" w:rsidR="00000000" w:rsidRDefault="00632532">
      <w:pPr>
        <w:pStyle w:val="a3"/>
        <w:spacing w:before="120" w:beforeAutospacing="0" w:after="0" w:afterAutospacing="0"/>
        <w:ind w:firstLine="555"/>
        <w:divId w:val="792598809"/>
        <w:rPr>
          <w:sz w:val="20"/>
          <w:szCs w:val="20"/>
        </w:rPr>
      </w:pPr>
      <w:r>
        <w:rPr>
          <w:sz w:val="20"/>
          <w:szCs w:val="20"/>
        </w:rPr>
        <w:t>Goodwill is not amortized but is subject to impairment tests on an annual basis, or more frequently if indicators</w:t>
      </w:r>
      <w:r>
        <w:rPr>
          <w:sz w:val="20"/>
          <w:szCs w:val="20"/>
        </w:rPr>
        <w:t xml:space="preserve"> of potential impairment exist, and goodwill is written down when it is determined to be impaired. The Company typically performs an annual impairment review in the fourth quarter of each fiscal year unless one had been performed previously within the past</w:t>
      </w:r>
      <w:r>
        <w:rPr>
          <w:sz w:val="20"/>
          <w:szCs w:val="20"/>
        </w:rPr>
        <w:t xml:space="preserve"> 12 months and compares the fair value of the reporting unit in which the goodwill resides to its carrying value</w:t>
      </w:r>
      <w:r>
        <w:rPr>
          <w:sz w:val="20"/>
          <w:szCs w:val="20"/>
        </w:rPr>
        <w:t>.</w:t>
      </w:r>
      <w:r>
        <w:rPr>
          <w:sz w:val="20"/>
          <w:szCs w:val="20"/>
        </w:rPr>
        <w:t xml:space="preserve"> </w:t>
      </w:r>
    </w:p>
    <w:p w14:paraId="7E49BFBD" w14:textId="77777777" w:rsidR="00000000" w:rsidRDefault="00632532">
      <w:pPr>
        <w:pStyle w:val="a3"/>
        <w:spacing w:before="360" w:beforeAutospacing="0" w:after="0" w:afterAutospacing="0"/>
        <w:divId w:val="1769888404"/>
        <w:rPr>
          <w:sz w:val="20"/>
          <w:szCs w:val="20"/>
        </w:rPr>
      </w:pPr>
      <w:r>
        <w:rPr>
          <w:b/>
          <w:bCs/>
          <w:i/>
          <w:iCs/>
          <w:sz w:val="20"/>
          <w:szCs w:val="20"/>
        </w:rPr>
        <w:t>Restructuring Cost</w:t>
      </w:r>
      <w:r>
        <w:rPr>
          <w:b/>
          <w:bCs/>
          <w:i/>
          <w:iCs/>
          <w:sz w:val="20"/>
          <w:szCs w:val="20"/>
        </w:rPr>
        <w:t>s</w:t>
      </w:r>
    </w:p>
    <w:p w14:paraId="6E4DAD8B" w14:textId="77777777" w:rsidR="00000000" w:rsidRDefault="00632532">
      <w:pPr>
        <w:pStyle w:val="a3"/>
        <w:spacing w:before="120" w:beforeAutospacing="0" w:after="0" w:afterAutospacing="0"/>
        <w:ind w:firstLine="555"/>
        <w:divId w:val="1769888404"/>
        <w:rPr>
          <w:sz w:val="20"/>
          <w:szCs w:val="20"/>
        </w:rPr>
      </w:pPr>
      <w:r>
        <w:rPr>
          <w:sz w:val="20"/>
          <w:szCs w:val="20"/>
        </w:rPr>
        <w:t>Restructuring costs represent one-time employee termination benefits provided to employees associated with a newly acquir</w:t>
      </w:r>
      <w:r>
        <w:rPr>
          <w:sz w:val="20"/>
          <w:szCs w:val="20"/>
        </w:rPr>
        <w:t>ed entity that were involuntarily terminated. A plan of termination was approved and authorized by management in the second quarter of 2022. The plan identified specific employees to be terminated and established terms of benefits those employees would rec</w:t>
      </w:r>
      <w:r>
        <w:rPr>
          <w:sz w:val="20"/>
          <w:szCs w:val="20"/>
        </w:rPr>
        <w:t>eive upon termination. Total restructuring costs incurred in the three and six months ended June 30, 2022 were</w:t>
      </w:r>
      <w:r>
        <w:rPr>
          <w:sz w:val="20"/>
          <w:szCs w:val="20"/>
        </w:rPr>
        <w:t xml:space="preserve"> </w:t>
      </w:r>
      <w:r>
        <w:rPr>
          <w:sz w:val="20"/>
          <w:szCs w:val="20"/>
        </w:rPr>
        <w:t>$</w:t>
      </w:r>
      <w:r>
        <w:rPr>
          <w:sz w:val="20"/>
          <w:szCs w:val="20"/>
        </w:rPr>
        <w:t>2.</w:t>
      </w:r>
      <w:r>
        <w:rPr>
          <w:sz w:val="20"/>
          <w:szCs w:val="20"/>
        </w:rPr>
        <w:t>9</w:t>
      </w:r>
      <w:r>
        <w:rPr>
          <w:sz w:val="20"/>
          <w:szCs w:val="20"/>
        </w:rPr>
        <w:t xml:space="preserve"> millio</w:t>
      </w:r>
      <w:r>
        <w:rPr>
          <w:sz w:val="20"/>
          <w:szCs w:val="20"/>
        </w:rPr>
        <w:t>n</w:t>
      </w:r>
      <w:r>
        <w:rPr>
          <w:sz w:val="20"/>
          <w:szCs w:val="20"/>
        </w:rPr>
        <w:t xml:space="preserve">, and payable balance as of June 30, 2022 was </w:t>
      </w:r>
      <w:r>
        <w:rPr>
          <w:sz w:val="20"/>
          <w:szCs w:val="20"/>
        </w:rPr>
        <w:t>$</w:t>
      </w:r>
      <w:r>
        <w:rPr>
          <w:sz w:val="20"/>
          <w:szCs w:val="20"/>
        </w:rPr>
        <w:t>2.</w:t>
      </w:r>
      <w:r>
        <w:rPr>
          <w:sz w:val="20"/>
          <w:szCs w:val="20"/>
        </w:rPr>
        <w:t>7</w:t>
      </w:r>
      <w:r>
        <w:rPr>
          <w:sz w:val="20"/>
          <w:szCs w:val="20"/>
        </w:rPr>
        <w:t xml:space="preserve"> million, which is included in accrued liabilities in the accompanying Condensed Co</w:t>
      </w:r>
      <w:r>
        <w:rPr>
          <w:sz w:val="20"/>
          <w:szCs w:val="20"/>
        </w:rPr>
        <w:t>nsolidated Balance Sheets. The plan of termination is expected to be completed by September 2022. There were no such costs prior to the second quarter of 2022</w:t>
      </w:r>
      <w:r>
        <w:rPr>
          <w:sz w:val="20"/>
          <w:szCs w:val="20"/>
        </w:rPr>
        <w:t>.</w:t>
      </w:r>
    </w:p>
    <w:p w14:paraId="35079F50" w14:textId="77777777" w:rsidR="00000000" w:rsidRDefault="00632532">
      <w:pPr>
        <w:pStyle w:val="a3"/>
        <w:spacing w:before="360" w:beforeAutospacing="0" w:after="0" w:afterAutospacing="0"/>
        <w:divId w:val="87889478"/>
        <w:rPr>
          <w:sz w:val="20"/>
          <w:szCs w:val="20"/>
        </w:rPr>
      </w:pPr>
      <w:r>
        <w:rPr>
          <w:b/>
          <w:bCs/>
          <w:i/>
          <w:iCs/>
          <w:sz w:val="20"/>
          <w:szCs w:val="20"/>
        </w:rPr>
        <w:t>Recent Accounting Pronouncement</w:t>
      </w:r>
      <w:r>
        <w:rPr>
          <w:b/>
          <w:bCs/>
          <w:i/>
          <w:iCs/>
          <w:sz w:val="20"/>
          <w:szCs w:val="20"/>
        </w:rPr>
        <w:t>s</w:t>
      </w:r>
    </w:p>
    <w:p w14:paraId="0077969C" w14:textId="77777777" w:rsidR="00000000" w:rsidRDefault="00632532">
      <w:pPr>
        <w:pStyle w:val="a3"/>
        <w:spacing w:before="120" w:beforeAutospacing="0" w:after="0" w:afterAutospacing="0"/>
        <w:ind w:firstLine="555"/>
        <w:divId w:val="87889478"/>
        <w:rPr>
          <w:sz w:val="20"/>
          <w:szCs w:val="20"/>
        </w:rPr>
      </w:pPr>
      <w:r>
        <w:rPr>
          <w:sz w:val="20"/>
          <w:szCs w:val="20"/>
        </w:rPr>
        <w:t>The Company evaluates all Accounting Standards Updates, or ASUs, issued by the Financial Accounting Standards Board, or FASB, for consideration of their applicability. ASUs not included in the Company’s disclosures were assessed and determined to be either</w:t>
      </w:r>
      <w:r>
        <w:rPr>
          <w:sz w:val="20"/>
          <w:szCs w:val="20"/>
        </w:rPr>
        <w:t xml:space="preserve"> not applicable or are not expected to have a material impact on the Company’s condensed consolidated financial statements</w:t>
      </w:r>
      <w:r>
        <w:rPr>
          <w:sz w:val="20"/>
          <w:szCs w:val="20"/>
        </w:rPr>
        <w:t>.</w:t>
      </w:r>
    </w:p>
    <w:p w14:paraId="06D98A49" w14:textId="77777777" w:rsidR="00000000" w:rsidRDefault="00632532">
      <w:pPr>
        <w:pStyle w:val="a3"/>
        <w:spacing w:before="240" w:beforeAutospacing="0" w:after="0" w:afterAutospacing="0"/>
        <w:jc w:val="center"/>
        <w:rPr>
          <w:sz w:val="20"/>
          <w:szCs w:val="20"/>
        </w:rPr>
      </w:pPr>
      <w:r>
        <w:rPr>
          <w:sz w:val="20"/>
          <w:szCs w:val="20"/>
        </w:rPr>
        <w:t>1</w:t>
      </w:r>
      <w:r>
        <w:rPr>
          <w:sz w:val="20"/>
          <w:szCs w:val="20"/>
        </w:rPr>
        <w:t>1</w:t>
      </w:r>
    </w:p>
    <w:p w14:paraId="629ABB0E" w14:textId="77777777" w:rsidR="00000000" w:rsidRDefault="00632532">
      <w:pPr>
        <w:rPr>
          <w:rFonts w:eastAsia="Times New Roman"/>
        </w:rPr>
      </w:pPr>
      <w:r>
        <w:rPr>
          <w:rFonts w:eastAsia="Times New Roman"/>
        </w:rPr>
        <w:pict w14:anchorId="4A5A4518">
          <v:rect id="_x0000_i1037" style="width:0;height:1.5pt" o:hralign="center" o:hrstd="t" o:hr="t" fillcolor="#a0a0a0" stroked="f"/>
        </w:pict>
      </w:r>
    </w:p>
    <w:p w14:paraId="6506F7B1" w14:textId="77777777" w:rsidR="00000000" w:rsidRDefault="00632532">
      <w:pPr>
        <w:pStyle w:val="a3"/>
        <w:spacing w:before="360" w:beforeAutospacing="0" w:after="0" w:afterAutospacing="0"/>
        <w:divId w:val="1208303206"/>
        <w:rPr>
          <w:sz w:val="20"/>
          <w:szCs w:val="20"/>
        </w:rPr>
      </w:pPr>
      <w:r>
        <w:rPr>
          <w:b/>
          <w:bCs/>
          <w:sz w:val="20"/>
          <w:szCs w:val="20"/>
        </w:rPr>
        <w:t>Note 3. Equity and Debt Securitie</w:t>
      </w:r>
      <w:r>
        <w:rPr>
          <w:b/>
          <w:bCs/>
          <w:sz w:val="20"/>
          <w:szCs w:val="20"/>
        </w:rPr>
        <w:t>s</w:t>
      </w:r>
    </w:p>
    <w:p w14:paraId="57591D29" w14:textId="77777777" w:rsidR="00000000" w:rsidRDefault="00632532">
      <w:pPr>
        <w:pStyle w:val="a3"/>
        <w:spacing w:before="120" w:beforeAutospacing="0" w:after="0" w:afterAutospacing="0"/>
        <w:ind w:firstLine="539"/>
        <w:divId w:val="749043429"/>
        <w:rPr>
          <w:sz w:val="20"/>
          <w:szCs w:val="20"/>
        </w:rPr>
      </w:pPr>
      <w:r>
        <w:rPr>
          <w:sz w:val="20"/>
          <w:szCs w:val="20"/>
        </w:rPr>
        <w:t>The Company’s equity and debt securities consisted of the</w:t>
      </w:r>
      <w:r>
        <w:rPr>
          <w:sz w:val="20"/>
          <w:szCs w:val="20"/>
        </w:rPr>
        <w:t xml:space="preserve"> following</w:t>
      </w:r>
      <w:r>
        <w:rPr>
          <w:sz w:val="20"/>
          <w:szCs w:val="20"/>
        </w:rPr>
        <w:t>:</w:t>
      </w:r>
    </w:p>
    <w:p w14:paraId="10C0A243" w14:textId="77777777" w:rsidR="00000000" w:rsidRDefault="00632532">
      <w:pPr>
        <w:pStyle w:val="a3"/>
        <w:spacing w:before="0" w:beforeAutospacing="0" w:after="0" w:afterAutospacing="0"/>
        <w:divId w:val="7490434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3"/>
        <w:gridCol w:w="160"/>
        <w:gridCol w:w="831"/>
        <w:gridCol w:w="127"/>
        <w:gridCol w:w="110"/>
        <w:gridCol w:w="161"/>
        <w:gridCol w:w="929"/>
        <w:gridCol w:w="110"/>
        <w:gridCol w:w="110"/>
        <w:gridCol w:w="160"/>
        <w:gridCol w:w="866"/>
        <w:gridCol w:w="127"/>
        <w:gridCol w:w="110"/>
        <w:gridCol w:w="160"/>
        <w:gridCol w:w="1000"/>
        <w:gridCol w:w="142"/>
      </w:tblGrid>
      <w:tr w:rsidR="00000000" w14:paraId="20FF27B3" w14:textId="77777777">
        <w:trPr>
          <w:divId w:val="749043429"/>
          <w:tblCellSpacing w:w="15" w:type="dxa"/>
        </w:trPr>
        <w:tc>
          <w:tcPr>
            <w:tcW w:w="2046" w:type="pct"/>
            <w:vAlign w:val="center"/>
            <w:hideMark/>
          </w:tcPr>
          <w:p w14:paraId="491D9B30" w14:textId="77777777" w:rsidR="00000000" w:rsidRDefault="00632532">
            <w:pPr>
              <w:rPr>
                <w:sz w:val="20"/>
                <w:szCs w:val="20"/>
              </w:rPr>
            </w:pPr>
          </w:p>
        </w:tc>
        <w:tc>
          <w:tcPr>
            <w:tcW w:w="50" w:type="pct"/>
            <w:vAlign w:val="center"/>
            <w:hideMark/>
          </w:tcPr>
          <w:p w14:paraId="0FD758C8" w14:textId="77777777" w:rsidR="00000000" w:rsidRDefault="00632532">
            <w:pPr>
              <w:rPr>
                <w:rFonts w:eastAsia="Times New Roman"/>
                <w:sz w:val="20"/>
                <w:szCs w:val="20"/>
              </w:rPr>
            </w:pPr>
          </w:p>
        </w:tc>
        <w:tc>
          <w:tcPr>
            <w:tcW w:w="535" w:type="pct"/>
            <w:vAlign w:val="center"/>
            <w:hideMark/>
          </w:tcPr>
          <w:p w14:paraId="5375AA0D" w14:textId="77777777" w:rsidR="00000000" w:rsidRDefault="00632532">
            <w:pPr>
              <w:rPr>
                <w:rFonts w:eastAsia="Times New Roman"/>
                <w:sz w:val="20"/>
                <w:szCs w:val="20"/>
              </w:rPr>
            </w:pPr>
          </w:p>
        </w:tc>
        <w:tc>
          <w:tcPr>
            <w:tcW w:w="50" w:type="pct"/>
            <w:vAlign w:val="center"/>
            <w:hideMark/>
          </w:tcPr>
          <w:p w14:paraId="640993CE" w14:textId="77777777" w:rsidR="00000000" w:rsidRDefault="00632532">
            <w:pPr>
              <w:rPr>
                <w:rFonts w:eastAsia="Times New Roman"/>
                <w:sz w:val="20"/>
                <w:szCs w:val="20"/>
              </w:rPr>
            </w:pPr>
          </w:p>
        </w:tc>
        <w:tc>
          <w:tcPr>
            <w:tcW w:w="68" w:type="pct"/>
            <w:vAlign w:val="center"/>
            <w:hideMark/>
          </w:tcPr>
          <w:p w14:paraId="5E7832EE" w14:textId="77777777" w:rsidR="00000000" w:rsidRDefault="00632532">
            <w:pPr>
              <w:rPr>
                <w:rFonts w:eastAsia="Times New Roman"/>
                <w:sz w:val="20"/>
                <w:szCs w:val="20"/>
              </w:rPr>
            </w:pPr>
          </w:p>
        </w:tc>
        <w:tc>
          <w:tcPr>
            <w:tcW w:w="50" w:type="pct"/>
            <w:vAlign w:val="center"/>
            <w:hideMark/>
          </w:tcPr>
          <w:p w14:paraId="4446C048" w14:textId="77777777" w:rsidR="00000000" w:rsidRDefault="00632532">
            <w:pPr>
              <w:rPr>
                <w:rFonts w:eastAsia="Times New Roman"/>
                <w:sz w:val="20"/>
                <w:szCs w:val="20"/>
              </w:rPr>
            </w:pPr>
          </w:p>
        </w:tc>
        <w:tc>
          <w:tcPr>
            <w:tcW w:w="602" w:type="pct"/>
            <w:vAlign w:val="center"/>
            <w:hideMark/>
          </w:tcPr>
          <w:p w14:paraId="694B729B" w14:textId="77777777" w:rsidR="00000000" w:rsidRDefault="00632532">
            <w:pPr>
              <w:rPr>
                <w:rFonts w:eastAsia="Times New Roman"/>
                <w:sz w:val="20"/>
                <w:szCs w:val="20"/>
              </w:rPr>
            </w:pPr>
          </w:p>
        </w:tc>
        <w:tc>
          <w:tcPr>
            <w:tcW w:w="50" w:type="pct"/>
            <w:vAlign w:val="center"/>
            <w:hideMark/>
          </w:tcPr>
          <w:p w14:paraId="0E788618" w14:textId="77777777" w:rsidR="00000000" w:rsidRDefault="00632532">
            <w:pPr>
              <w:rPr>
                <w:rFonts w:eastAsia="Times New Roman"/>
                <w:sz w:val="20"/>
                <w:szCs w:val="20"/>
              </w:rPr>
            </w:pPr>
          </w:p>
        </w:tc>
        <w:tc>
          <w:tcPr>
            <w:tcW w:w="68" w:type="pct"/>
            <w:vAlign w:val="center"/>
            <w:hideMark/>
          </w:tcPr>
          <w:p w14:paraId="40BCFBC5" w14:textId="77777777" w:rsidR="00000000" w:rsidRDefault="00632532">
            <w:pPr>
              <w:rPr>
                <w:rFonts w:eastAsia="Times New Roman"/>
                <w:sz w:val="20"/>
                <w:szCs w:val="20"/>
              </w:rPr>
            </w:pPr>
          </w:p>
        </w:tc>
        <w:tc>
          <w:tcPr>
            <w:tcW w:w="50" w:type="pct"/>
            <w:vAlign w:val="center"/>
            <w:hideMark/>
          </w:tcPr>
          <w:p w14:paraId="2D137F1F" w14:textId="77777777" w:rsidR="00000000" w:rsidRDefault="00632532">
            <w:pPr>
              <w:rPr>
                <w:rFonts w:eastAsia="Times New Roman"/>
                <w:sz w:val="20"/>
                <w:szCs w:val="20"/>
              </w:rPr>
            </w:pPr>
          </w:p>
        </w:tc>
        <w:tc>
          <w:tcPr>
            <w:tcW w:w="562" w:type="pct"/>
            <w:vAlign w:val="center"/>
            <w:hideMark/>
          </w:tcPr>
          <w:p w14:paraId="600097D5" w14:textId="77777777" w:rsidR="00000000" w:rsidRDefault="00632532">
            <w:pPr>
              <w:rPr>
                <w:rFonts w:eastAsia="Times New Roman"/>
                <w:sz w:val="20"/>
                <w:szCs w:val="20"/>
              </w:rPr>
            </w:pPr>
          </w:p>
        </w:tc>
        <w:tc>
          <w:tcPr>
            <w:tcW w:w="50" w:type="pct"/>
            <w:vAlign w:val="center"/>
            <w:hideMark/>
          </w:tcPr>
          <w:p w14:paraId="11CDC2D7" w14:textId="77777777" w:rsidR="00000000" w:rsidRDefault="00632532">
            <w:pPr>
              <w:rPr>
                <w:rFonts w:eastAsia="Times New Roman"/>
                <w:sz w:val="20"/>
                <w:szCs w:val="20"/>
              </w:rPr>
            </w:pPr>
          </w:p>
        </w:tc>
        <w:tc>
          <w:tcPr>
            <w:tcW w:w="68" w:type="pct"/>
            <w:vAlign w:val="center"/>
            <w:hideMark/>
          </w:tcPr>
          <w:p w14:paraId="1DB85A45" w14:textId="77777777" w:rsidR="00000000" w:rsidRDefault="00632532">
            <w:pPr>
              <w:rPr>
                <w:rFonts w:eastAsia="Times New Roman"/>
                <w:sz w:val="20"/>
                <w:szCs w:val="20"/>
              </w:rPr>
            </w:pPr>
          </w:p>
        </w:tc>
        <w:tc>
          <w:tcPr>
            <w:tcW w:w="50" w:type="pct"/>
            <w:vAlign w:val="center"/>
            <w:hideMark/>
          </w:tcPr>
          <w:p w14:paraId="446BCA54" w14:textId="77777777" w:rsidR="00000000" w:rsidRDefault="00632532">
            <w:pPr>
              <w:rPr>
                <w:rFonts w:eastAsia="Times New Roman"/>
                <w:sz w:val="20"/>
                <w:szCs w:val="20"/>
              </w:rPr>
            </w:pPr>
          </w:p>
        </w:tc>
        <w:tc>
          <w:tcPr>
            <w:tcW w:w="648" w:type="pct"/>
            <w:vAlign w:val="center"/>
            <w:hideMark/>
          </w:tcPr>
          <w:p w14:paraId="763DDA5E" w14:textId="77777777" w:rsidR="00000000" w:rsidRDefault="00632532">
            <w:pPr>
              <w:rPr>
                <w:rFonts w:eastAsia="Times New Roman"/>
                <w:sz w:val="20"/>
                <w:szCs w:val="20"/>
              </w:rPr>
            </w:pPr>
          </w:p>
        </w:tc>
        <w:tc>
          <w:tcPr>
            <w:tcW w:w="50" w:type="pct"/>
            <w:vAlign w:val="center"/>
            <w:hideMark/>
          </w:tcPr>
          <w:p w14:paraId="3DEF50E5" w14:textId="77777777" w:rsidR="00000000" w:rsidRDefault="00632532">
            <w:pPr>
              <w:rPr>
                <w:rFonts w:eastAsia="Times New Roman"/>
                <w:sz w:val="20"/>
                <w:szCs w:val="20"/>
              </w:rPr>
            </w:pPr>
          </w:p>
        </w:tc>
      </w:tr>
      <w:tr w:rsidR="00000000" w14:paraId="385D8AE6" w14:textId="77777777">
        <w:trPr>
          <w:divId w:val="749043429"/>
          <w:trHeight w:val="160"/>
          <w:tblCellSpacing w:w="15" w:type="dxa"/>
        </w:trPr>
        <w:tc>
          <w:tcPr>
            <w:tcW w:w="0" w:type="auto"/>
            <w:vAlign w:val="center"/>
            <w:hideMark/>
          </w:tcPr>
          <w:p w14:paraId="77A2D4F1"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vAlign w:val="center"/>
            <w:hideMark/>
          </w:tcPr>
          <w:p w14:paraId="3CD0165D" w14:textId="77777777" w:rsidR="00000000" w:rsidRDefault="00632532">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center"/>
            <w:hideMark/>
          </w:tcPr>
          <w:p w14:paraId="15F6CE85"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A055A39" w14:textId="77777777">
        <w:trPr>
          <w:divId w:val="749043429"/>
          <w:trHeight w:val="160"/>
          <w:tblCellSpacing w:w="15" w:type="dxa"/>
        </w:trPr>
        <w:tc>
          <w:tcPr>
            <w:tcW w:w="0" w:type="auto"/>
            <w:vAlign w:val="bottom"/>
            <w:hideMark/>
          </w:tcPr>
          <w:p w14:paraId="77A67770"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4840F461" w14:textId="77777777" w:rsidR="00000000" w:rsidRDefault="00632532">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14:paraId="7EEC0E4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0EC4F86"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4B3953B" w14:textId="77777777" w:rsidR="00000000" w:rsidRDefault="00632532">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14:paraId="3870D233"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B3CB93B"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39AE9F2" w14:textId="77777777" w:rsidR="00000000" w:rsidRDefault="00632532">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14:paraId="290DB6C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E294C7B"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167C4E7" w14:textId="77777777" w:rsidR="00000000" w:rsidRDefault="00632532">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14:paraId="64F9B0ED"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60E7827" w14:textId="77777777">
        <w:trPr>
          <w:divId w:val="749043429"/>
          <w:trHeight w:val="160"/>
          <w:tblCellSpacing w:w="15" w:type="dxa"/>
        </w:trPr>
        <w:tc>
          <w:tcPr>
            <w:tcW w:w="0" w:type="auto"/>
            <w:vAlign w:val="bottom"/>
            <w:hideMark/>
          </w:tcPr>
          <w:p w14:paraId="1A632CA7"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vAlign w:val="bottom"/>
            <w:hideMark/>
          </w:tcPr>
          <w:p w14:paraId="69B4C461"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56DEA28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B5CEFA8" w14:textId="77777777">
        <w:trPr>
          <w:divId w:val="749043429"/>
          <w:trHeight w:val="200"/>
          <w:tblCellSpacing w:w="15" w:type="dxa"/>
        </w:trPr>
        <w:tc>
          <w:tcPr>
            <w:tcW w:w="0" w:type="auto"/>
            <w:vAlign w:val="bottom"/>
            <w:hideMark/>
          </w:tcPr>
          <w:p w14:paraId="642438D9" w14:textId="77777777" w:rsidR="00000000" w:rsidRDefault="00632532">
            <w:pPr>
              <w:pStyle w:val="a3"/>
              <w:spacing w:before="0" w:beforeAutospacing="0" w:after="0" w:afterAutospacing="0"/>
              <w:rPr>
                <w:sz w:val="20"/>
                <w:szCs w:val="20"/>
              </w:rPr>
            </w:pPr>
            <w:r>
              <w:rPr>
                <w:b/>
                <w:bCs/>
                <w:sz w:val="20"/>
                <w:szCs w:val="20"/>
              </w:rPr>
              <w:t>Equity securities</w:t>
            </w:r>
            <w:r>
              <w:rPr>
                <w:b/>
                <w:bCs/>
                <w:sz w:val="20"/>
                <w:szCs w:val="20"/>
              </w:rPr>
              <w:t>:</w:t>
            </w:r>
          </w:p>
        </w:tc>
        <w:tc>
          <w:tcPr>
            <w:tcW w:w="0" w:type="auto"/>
            <w:gridSpan w:val="2"/>
            <w:vAlign w:val="bottom"/>
            <w:hideMark/>
          </w:tcPr>
          <w:p w14:paraId="5CA5BE0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D77697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9167F35"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7F1AE0D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30174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F9FF25"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71BE0E0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2DD9D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0C0F10"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36AAA47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753AC8" w14:textId="77777777" w:rsidR="00000000" w:rsidRDefault="00632532">
            <w:pPr>
              <w:pStyle w:val="a3"/>
              <w:spacing w:before="0" w:beforeAutospacing="0" w:after="0" w:afterAutospacing="0"/>
              <w:rPr>
                <w:sz w:val="20"/>
                <w:szCs w:val="20"/>
              </w:rPr>
            </w:pPr>
            <w:r>
              <w:rPr>
                <w:sz w:val="20"/>
                <w:szCs w:val="20"/>
              </w:rPr>
              <w:t> </w:t>
            </w:r>
          </w:p>
        </w:tc>
      </w:tr>
      <w:tr w:rsidR="00000000" w14:paraId="230AF48B" w14:textId="77777777">
        <w:trPr>
          <w:divId w:val="749043429"/>
          <w:trHeight w:val="200"/>
          <w:tblCellSpacing w:w="15" w:type="dxa"/>
        </w:trPr>
        <w:tc>
          <w:tcPr>
            <w:tcW w:w="0" w:type="auto"/>
            <w:vAlign w:val="bottom"/>
            <w:hideMark/>
          </w:tcPr>
          <w:p w14:paraId="6762FA89" w14:textId="77777777" w:rsidR="00000000" w:rsidRDefault="00632532">
            <w:pPr>
              <w:pStyle w:val="a3"/>
              <w:spacing w:before="0" w:beforeAutospacing="0" w:after="0" w:afterAutospacing="0"/>
              <w:ind w:left="200"/>
              <w:rPr>
                <w:sz w:val="20"/>
                <w:szCs w:val="20"/>
              </w:rPr>
            </w:pPr>
            <w:r>
              <w:rPr>
                <w:sz w:val="20"/>
                <w:szCs w:val="20"/>
              </w:rPr>
              <w:t>Long-ter</w:t>
            </w:r>
            <w:r>
              <w:rPr>
                <w:sz w:val="20"/>
                <w:szCs w:val="20"/>
              </w:rPr>
              <w:t>m</w:t>
            </w:r>
          </w:p>
        </w:tc>
        <w:tc>
          <w:tcPr>
            <w:tcW w:w="0" w:type="auto"/>
            <w:gridSpan w:val="2"/>
            <w:vAlign w:val="bottom"/>
            <w:hideMark/>
          </w:tcPr>
          <w:p w14:paraId="5B32595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9B782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5DB741"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E4C03D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3C370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180545"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E8F205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3D7FE7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04943A3"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5B4B77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0EEC511" w14:textId="77777777" w:rsidR="00000000" w:rsidRDefault="00632532">
            <w:pPr>
              <w:pStyle w:val="a3"/>
              <w:spacing w:before="0" w:beforeAutospacing="0" w:after="0" w:afterAutospacing="0"/>
              <w:rPr>
                <w:sz w:val="20"/>
                <w:szCs w:val="20"/>
              </w:rPr>
            </w:pPr>
            <w:r>
              <w:rPr>
                <w:sz w:val="20"/>
                <w:szCs w:val="20"/>
              </w:rPr>
              <w:t> </w:t>
            </w:r>
          </w:p>
        </w:tc>
      </w:tr>
      <w:tr w:rsidR="00000000" w14:paraId="24E3ECAD" w14:textId="77777777">
        <w:trPr>
          <w:divId w:val="749043429"/>
          <w:trHeight w:val="200"/>
          <w:tblCellSpacing w:w="15" w:type="dxa"/>
        </w:trPr>
        <w:tc>
          <w:tcPr>
            <w:tcW w:w="0" w:type="auto"/>
            <w:vAlign w:val="bottom"/>
            <w:hideMark/>
          </w:tcPr>
          <w:p w14:paraId="76544A64" w14:textId="77777777" w:rsidR="00000000" w:rsidRDefault="00632532">
            <w:pPr>
              <w:pStyle w:val="a3"/>
              <w:spacing w:before="0" w:beforeAutospacing="0" w:after="0" w:afterAutospacing="0"/>
              <w:ind w:left="400"/>
              <w:rPr>
                <w:sz w:val="20"/>
                <w:szCs w:val="20"/>
              </w:rPr>
            </w:pPr>
            <w:r>
              <w:rPr>
                <w:sz w:val="20"/>
                <w:szCs w:val="20"/>
              </w:rPr>
              <w:t>Investment in private equity securitie</w:t>
            </w:r>
            <w:r>
              <w:rPr>
                <w:sz w:val="20"/>
                <w:szCs w:val="20"/>
              </w:rPr>
              <w:t>s</w:t>
            </w:r>
          </w:p>
        </w:tc>
        <w:tc>
          <w:tcPr>
            <w:tcW w:w="0" w:type="auto"/>
            <w:noWrap/>
            <w:vAlign w:val="bottom"/>
            <w:hideMark/>
          </w:tcPr>
          <w:p w14:paraId="1AB6CCA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1D4D7FC" w14:textId="77777777" w:rsidR="00000000" w:rsidRDefault="00632532">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14:paraId="0D6ED1C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72F3F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805624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1983633"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7643EC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C8789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4C7D44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128BA28"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27A7A1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AB351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620F16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D8BBEE" w14:textId="77777777" w:rsidR="00000000" w:rsidRDefault="00632532">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14:paraId="7DAE5AF2" w14:textId="77777777" w:rsidR="00000000" w:rsidRDefault="00632532">
            <w:pPr>
              <w:pStyle w:val="a3"/>
              <w:spacing w:before="0" w:beforeAutospacing="0" w:after="0" w:afterAutospacing="0"/>
              <w:rPr>
                <w:sz w:val="20"/>
                <w:szCs w:val="20"/>
              </w:rPr>
            </w:pPr>
            <w:r>
              <w:rPr>
                <w:sz w:val="20"/>
                <w:szCs w:val="20"/>
              </w:rPr>
              <w:t> </w:t>
            </w:r>
          </w:p>
        </w:tc>
      </w:tr>
      <w:tr w:rsidR="00000000" w14:paraId="0A718E84" w14:textId="77777777">
        <w:trPr>
          <w:divId w:val="749043429"/>
          <w:trHeight w:val="200"/>
          <w:tblCellSpacing w:w="15" w:type="dxa"/>
        </w:trPr>
        <w:tc>
          <w:tcPr>
            <w:tcW w:w="0" w:type="auto"/>
            <w:vAlign w:val="bottom"/>
            <w:hideMark/>
          </w:tcPr>
          <w:p w14:paraId="56FB7EF0" w14:textId="77777777" w:rsidR="00000000" w:rsidRDefault="00632532">
            <w:pPr>
              <w:pStyle w:val="a3"/>
              <w:spacing w:before="0" w:beforeAutospacing="0" w:after="0" w:afterAutospacing="0"/>
              <w:ind w:left="600"/>
              <w:rPr>
                <w:sz w:val="20"/>
                <w:szCs w:val="20"/>
              </w:rPr>
            </w:pPr>
            <w:r>
              <w:rPr>
                <w:sz w:val="20"/>
                <w:szCs w:val="20"/>
              </w:rPr>
              <w:t>Total equity securitie</w:t>
            </w:r>
            <w:r>
              <w:rPr>
                <w:sz w:val="20"/>
                <w:szCs w:val="20"/>
              </w:rPr>
              <w:t>s</w:t>
            </w:r>
          </w:p>
        </w:tc>
        <w:tc>
          <w:tcPr>
            <w:tcW w:w="0" w:type="auto"/>
            <w:noWrap/>
            <w:vAlign w:val="bottom"/>
            <w:hideMark/>
          </w:tcPr>
          <w:p w14:paraId="0941B21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596A87" w14:textId="77777777" w:rsidR="00000000" w:rsidRDefault="00632532">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14:paraId="59589EE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7D4BFF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7D4209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FF443B6"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8D66FC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58A731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B6E1EE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A3A2AA"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2A4101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B098B3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82E561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4A937B4" w14:textId="77777777" w:rsidR="00000000" w:rsidRDefault="00632532">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14:paraId="3ACAA039" w14:textId="77777777" w:rsidR="00000000" w:rsidRDefault="00632532">
            <w:pPr>
              <w:pStyle w:val="a3"/>
              <w:spacing w:before="0" w:beforeAutospacing="0" w:after="0" w:afterAutospacing="0"/>
              <w:rPr>
                <w:sz w:val="20"/>
                <w:szCs w:val="20"/>
              </w:rPr>
            </w:pPr>
            <w:r>
              <w:rPr>
                <w:sz w:val="20"/>
                <w:szCs w:val="20"/>
              </w:rPr>
              <w:t> </w:t>
            </w:r>
          </w:p>
        </w:tc>
      </w:tr>
      <w:tr w:rsidR="00000000" w14:paraId="4BEBD99B" w14:textId="77777777">
        <w:trPr>
          <w:divId w:val="749043429"/>
          <w:trHeight w:val="200"/>
          <w:tblCellSpacing w:w="15" w:type="dxa"/>
        </w:trPr>
        <w:tc>
          <w:tcPr>
            <w:tcW w:w="0" w:type="auto"/>
            <w:vAlign w:val="bottom"/>
            <w:hideMark/>
          </w:tcPr>
          <w:p w14:paraId="41750F55" w14:textId="77777777" w:rsidR="00000000" w:rsidRDefault="00632532">
            <w:pPr>
              <w:pStyle w:val="a3"/>
              <w:spacing w:before="0" w:beforeAutospacing="0" w:after="0" w:afterAutospacing="0"/>
              <w:rPr>
                <w:sz w:val="20"/>
                <w:szCs w:val="20"/>
              </w:rPr>
            </w:pPr>
            <w:r>
              <w:rPr>
                <w:b/>
                <w:bCs/>
                <w:sz w:val="20"/>
                <w:szCs w:val="20"/>
              </w:rPr>
              <w:t>Available-for-sale debt securitie</w:t>
            </w:r>
            <w:r>
              <w:rPr>
                <w:b/>
                <w:bCs/>
                <w:sz w:val="20"/>
                <w:szCs w:val="20"/>
              </w:rPr>
              <w:t>s</w:t>
            </w:r>
          </w:p>
        </w:tc>
        <w:tc>
          <w:tcPr>
            <w:tcW w:w="0" w:type="auto"/>
            <w:gridSpan w:val="2"/>
            <w:vAlign w:val="bottom"/>
            <w:hideMark/>
          </w:tcPr>
          <w:p w14:paraId="42D9FE4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FFBDD4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65BD12"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6133D2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1E8E7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E4C17A9"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7834A39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674684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D0CA27"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6E7FEA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212742" w14:textId="77777777" w:rsidR="00000000" w:rsidRDefault="00632532">
            <w:pPr>
              <w:pStyle w:val="a3"/>
              <w:spacing w:before="0" w:beforeAutospacing="0" w:after="0" w:afterAutospacing="0"/>
              <w:rPr>
                <w:sz w:val="20"/>
                <w:szCs w:val="20"/>
              </w:rPr>
            </w:pPr>
            <w:r>
              <w:rPr>
                <w:sz w:val="20"/>
                <w:szCs w:val="20"/>
              </w:rPr>
              <w:t> </w:t>
            </w:r>
          </w:p>
        </w:tc>
      </w:tr>
      <w:tr w:rsidR="00000000" w14:paraId="17472F8F" w14:textId="77777777">
        <w:trPr>
          <w:divId w:val="749043429"/>
          <w:trHeight w:val="200"/>
          <w:tblCellSpacing w:w="15" w:type="dxa"/>
        </w:trPr>
        <w:tc>
          <w:tcPr>
            <w:tcW w:w="0" w:type="auto"/>
            <w:vAlign w:val="bottom"/>
            <w:hideMark/>
          </w:tcPr>
          <w:p w14:paraId="3207E5DA" w14:textId="77777777" w:rsidR="00000000" w:rsidRDefault="00632532">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14:paraId="7409AE2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6B768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AEB07E"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BB5CC5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86D9F3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080F65D"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E78264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61392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D95777"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AFD5E1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0EE3D5" w14:textId="77777777" w:rsidR="00000000" w:rsidRDefault="00632532">
            <w:pPr>
              <w:pStyle w:val="a3"/>
              <w:spacing w:before="0" w:beforeAutospacing="0" w:after="0" w:afterAutospacing="0"/>
              <w:rPr>
                <w:sz w:val="20"/>
                <w:szCs w:val="20"/>
              </w:rPr>
            </w:pPr>
            <w:r>
              <w:rPr>
                <w:sz w:val="20"/>
                <w:szCs w:val="20"/>
              </w:rPr>
              <w:t> </w:t>
            </w:r>
          </w:p>
        </w:tc>
      </w:tr>
      <w:tr w:rsidR="00000000" w14:paraId="7D6982E6" w14:textId="77777777">
        <w:trPr>
          <w:divId w:val="749043429"/>
          <w:trHeight w:val="200"/>
          <w:tblCellSpacing w:w="15" w:type="dxa"/>
        </w:trPr>
        <w:tc>
          <w:tcPr>
            <w:tcW w:w="0" w:type="auto"/>
            <w:vAlign w:val="bottom"/>
            <w:hideMark/>
          </w:tcPr>
          <w:p w14:paraId="20F837E0" w14:textId="77777777" w:rsidR="00000000" w:rsidRDefault="00632532">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14:paraId="6D84455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64366E" w14:textId="77777777" w:rsidR="00000000" w:rsidRDefault="00632532">
            <w:pPr>
              <w:pStyle w:val="a3"/>
              <w:spacing w:before="0" w:beforeAutospacing="0" w:after="0" w:afterAutospacing="0"/>
              <w:jc w:val="right"/>
              <w:rPr>
                <w:sz w:val="20"/>
                <w:szCs w:val="20"/>
              </w:rPr>
            </w:pPr>
            <w:r>
              <w:rPr>
                <w:sz w:val="20"/>
                <w:szCs w:val="20"/>
              </w:rPr>
              <w:t>142,43</w:t>
            </w:r>
            <w:r>
              <w:rPr>
                <w:sz w:val="20"/>
                <w:szCs w:val="20"/>
              </w:rPr>
              <w:t>4</w:t>
            </w:r>
          </w:p>
        </w:tc>
        <w:tc>
          <w:tcPr>
            <w:tcW w:w="0" w:type="auto"/>
            <w:noWrap/>
            <w:vAlign w:val="bottom"/>
            <w:hideMark/>
          </w:tcPr>
          <w:p w14:paraId="4D88D32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518898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960F98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508E33"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56C072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5C429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A7323E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35EDBF" w14:textId="77777777" w:rsidR="00000000" w:rsidRDefault="00632532">
            <w:pPr>
              <w:pStyle w:val="a3"/>
              <w:spacing w:before="0" w:beforeAutospacing="0" w:after="0" w:afterAutospacing="0"/>
              <w:jc w:val="right"/>
              <w:rPr>
                <w:sz w:val="20"/>
                <w:szCs w:val="20"/>
              </w:rPr>
            </w:pPr>
            <w:r>
              <w:rPr>
                <w:sz w:val="20"/>
                <w:szCs w:val="20"/>
              </w:rPr>
              <w:t>(</w:t>
            </w:r>
            <w:r>
              <w:rPr>
                <w:sz w:val="20"/>
                <w:szCs w:val="20"/>
              </w:rPr>
              <w:t>1,37</w:t>
            </w:r>
            <w:r>
              <w:rPr>
                <w:sz w:val="20"/>
                <w:szCs w:val="20"/>
              </w:rPr>
              <w:t>5</w:t>
            </w:r>
          </w:p>
        </w:tc>
        <w:tc>
          <w:tcPr>
            <w:tcW w:w="0" w:type="auto"/>
            <w:noWrap/>
            <w:vAlign w:val="bottom"/>
            <w:hideMark/>
          </w:tcPr>
          <w:p w14:paraId="55EEB07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0F5D87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27F4A3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4FF8A6" w14:textId="77777777" w:rsidR="00000000" w:rsidRDefault="00632532">
            <w:pPr>
              <w:pStyle w:val="a3"/>
              <w:spacing w:before="0" w:beforeAutospacing="0" w:after="0" w:afterAutospacing="0"/>
              <w:jc w:val="right"/>
              <w:rPr>
                <w:sz w:val="20"/>
                <w:szCs w:val="20"/>
              </w:rPr>
            </w:pPr>
            <w:r>
              <w:rPr>
                <w:sz w:val="20"/>
                <w:szCs w:val="20"/>
              </w:rPr>
              <w:t>141,05</w:t>
            </w:r>
            <w:r>
              <w:rPr>
                <w:sz w:val="20"/>
                <w:szCs w:val="20"/>
              </w:rPr>
              <w:t>9</w:t>
            </w:r>
          </w:p>
        </w:tc>
        <w:tc>
          <w:tcPr>
            <w:tcW w:w="0" w:type="auto"/>
            <w:noWrap/>
            <w:vAlign w:val="bottom"/>
            <w:hideMark/>
          </w:tcPr>
          <w:p w14:paraId="0F02E720" w14:textId="77777777" w:rsidR="00000000" w:rsidRDefault="00632532">
            <w:pPr>
              <w:pStyle w:val="a3"/>
              <w:spacing w:before="0" w:beforeAutospacing="0" w:after="0" w:afterAutospacing="0"/>
              <w:rPr>
                <w:sz w:val="20"/>
                <w:szCs w:val="20"/>
              </w:rPr>
            </w:pPr>
            <w:r>
              <w:rPr>
                <w:sz w:val="20"/>
                <w:szCs w:val="20"/>
              </w:rPr>
              <w:t> </w:t>
            </w:r>
          </w:p>
        </w:tc>
      </w:tr>
      <w:tr w:rsidR="00000000" w14:paraId="1658336F" w14:textId="77777777">
        <w:trPr>
          <w:divId w:val="749043429"/>
          <w:trHeight w:val="200"/>
          <w:tblCellSpacing w:w="15" w:type="dxa"/>
        </w:trPr>
        <w:tc>
          <w:tcPr>
            <w:tcW w:w="0" w:type="auto"/>
            <w:vAlign w:val="bottom"/>
            <w:hideMark/>
          </w:tcPr>
          <w:p w14:paraId="53CFAE4F" w14:textId="77777777" w:rsidR="00000000" w:rsidRDefault="00632532">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14:paraId="615EF72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33D3119" w14:textId="77777777" w:rsidR="00000000" w:rsidRDefault="00632532">
            <w:pPr>
              <w:pStyle w:val="a3"/>
              <w:spacing w:before="0" w:beforeAutospacing="0" w:after="0" w:afterAutospacing="0"/>
              <w:jc w:val="right"/>
              <w:rPr>
                <w:sz w:val="20"/>
                <w:szCs w:val="20"/>
              </w:rPr>
            </w:pPr>
            <w:r>
              <w:rPr>
                <w:sz w:val="20"/>
                <w:szCs w:val="20"/>
              </w:rPr>
              <w:t>127,70</w:t>
            </w:r>
            <w:r>
              <w:rPr>
                <w:sz w:val="20"/>
                <w:szCs w:val="20"/>
              </w:rPr>
              <w:t>6</w:t>
            </w:r>
          </w:p>
        </w:tc>
        <w:tc>
          <w:tcPr>
            <w:tcW w:w="0" w:type="auto"/>
            <w:noWrap/>
            <w:vAlign w:val="bottom"/>
            <w:hideMark/>
          </w:tcPr>
          <w:p w14:paraId="2D9144F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0F194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34ACF4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7FEBFF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3184E0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675A1A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9C7785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60279A" w14:textId="77777777" w:rsidR="00000000" w:rsidRDefault="00632532">
            <w:pPr>
              <w:pStyle w:val="a3"/>
              <w:spacing w:before="0" w:beforeAutospacing="0" w:after="0" w:afterAutospacing="0"/>
              <w:jc w:val="right"/>
              <w:rPr>
                <w:sz w:val="20"/>
                <w:szCs w:val="20"/>
              </w:rPr>
            </w:pPr>
            <w:r>
              <w:rPr>
                <w:sz w:val="20"/>
                <w:szCs w:val="20"/>
              </w:rPr>
              <w:t>(</w:t>
            </w:r>
            <w:r>
              <w:rPr>
                <w:sz w:val="20"/>
                <w:szCs w:val="20"/>
              </w:rPr>
              <w:t>1,75</w:t>
            </w:r>
            <w:r>
              <w:rPr>
                <w:sz w:val="20"/>
                <w:szCs w:val="20"/>
              </w:rPr>
              <w:t>5</w:t>
            </w:r>
          </w:p>
        </w:tc>
        <w:tc>
          <w:tcPr>
            <w:tcW w:w="0" w:type="auto"/>
            <w:noWrap/>
            <w:vAlign w:val="bottom"/>
            <w:hideMark/>
          </w:tcPr>
          <w:p w14:paraId="67DC06C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EFDC7B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8E421E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2F68EF1" w14:textId="77777777" w:rsidR="00000000" w:rsidRDefault="00632532">
            <w:pPr>
              <w:pStyle w:val="a3"/>
              <w:spacing w:before="0" w:beforeAutospacing="0" w:after="0" w:afterAutospacing="0"/>
              <w:jc w:val="right"/>
              <w:rPr>
                <w:sz w:val="20"/>
                <w:szCs w:val="20"/>
              </w:rPr>
            </w:pPr>
            <w:r>
              <w:rPr>
                <w:sz w:val="20"/>
                <w:szCs w:val="20"/>
              </w:rPr>
              <w:t>125,95</w:t>
            </w:r>
            <w:r>
              <w:rPr>
                <w:sz w:val="20"/>
                <w:szCs w:val="20"/>
              </w:rPr>
              <w:t>1</w:t>
            </w:r>
          </w:p>
        </w:tc>
        <w:tc>
          <w:tcPr>
            <w:tcW w:w="0" w:type="auto"/>
            <w:noWrap/>
            <w:vAlign w:val="bottom"/>
            <w:hideMark/>
          </w:tcPr>
          <w:p w14:paraId="17D6611C" w14:textId="77777777" w:rsidR="00000000" w:rsidRDefault="00632532">
            <w:pPr>
              <w:pStyle w:val="a3"/>
              <w:spacing w:before="0" w:beforeAutospacing="0" w:after="0" w:afterAutospacing="0"/>
              <w:rPr>
                <w:sz w:val="20"/>
                <w:szCs w:val="20"/>
              </w:rPr>
            </w:pPr>
            <w:r>
              <w:rPr>
                <w:sz w:val="20"/>
                <w:szCs w:val="20"/>
              </w:rPr>
              <w:t> </w:t>
            </w:r>
          </w:p>
        </w:tc>
      </w:tr>
      <w:tr w:rsidR="00000000" w14:paraId="279F10EE" w14:textId="77777777">
        <w:trPr>
          <w:divId w:val="749043429"/>
          <w:trHeight w:val="200"/>
          <w:tblCellSpacing w:w="15" w:type="dxa"/>
        </w:trPr>
        <w:tc>
          <w:tcPr>
            <w:tcW w:w="0" w:type="auto"/>
            <w:vAlign w:val="bottom"/>
            <w:hideMark/>
          </w:tcPr>
          <w:p w14:paraId="50B9EF02" w14:textId="77777777" w:rsidR="00000000" w:rsidRDefault="00632532">
            <w:pPr>
              <w:pStyle w:val="a3"/>
              <w:spacing w:before="0" w:beforeAutospacing="0" w:after="0" w:afterAutospacing="0"/>
              <w:ind w:left="400"/>
              <w:rPr>
                <w:sz w:val="20"/>
                <w:szCs w:val="20"/>
              </w:rPr>
            </w:pPr>
            <w:r>
              <w:rPr>
                <w:sz w:val="20"/>
                <w:szCs w:val="20"/>
              </w:rPr>
              <w:t>U.S. treasury bill</w:t>
            </w:r>
            <w:r>
              <w:rPr>
                <w:sz w:val="20"/>
                <w:szCs w:val="20"/>
              </w:rPr>
              <w:t>s</w:t>
            </w:r>
          </w:p>
        </w:tc>
        <w:tc>
          <w:tcPr>
            <w:tcW w:w="0" w:type="auto"/>
            <w:noWrap/>
            <w:vAlign w:val="bottom"/>
            <w:hideMark/>
          </w:tcPr>
          <w:p w14:paraId="0812F6B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A8FC643" w14:textId="77777777" w:rsidR="00000000" w:rsidRDefault="00632532">
            <w:pPr>
              <w:pStyle w:val="a3"/>
              <w:spacing w:before="0" w:beforeAutospacing="0" w:after="0" w:afterAutospacing="0"/>
              <w:jc w:val="right"/>
              <w:rPr>
                <w:sz w:val="20"/>
                <w:szCs w:val="20"/>
              </w:rPr>
            </w:pPr>
            <w:r>
              <w:rPr>
                <w:sz w:val="20"/>
                <w:szCs w:val="20"/>
              </w:rPr>
              <w:t>59,47</w:t>
            </w:r>
            <w:r>
              <w:rPr>
                <w:sz w:val="20"/>
                <w:szCs w:val="20"/>
              </w:rPr>
              <w:t>9</w:t>
            </w:r>
          </w:p>
        </w:tc>
        <w:tc>
          <w:tcPr>
            <w:tcW w:w="0" w:type="auto"/>
            <w:noWrap/>
            <w:vAlign w:val="bottom"/>
            <w:hideMark/>
          </w:tcPr>
          <w:p w14:paraId="58B5D4E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B47BB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0FB6D0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938DCC"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FB3B18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AEBA4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92DD42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31584E" w14:textId="77777777" w:rsidR="00000000" w:rsidRDefault="00632532">
            <w:pPr>
              <w:pStyle w:val="a3"/>
              <w:spacing w:before="0" w:beforeAutospacing="0" w:after="0" w:afterAutospacing="0"/>
              <w:jc w:val="right"/>
              <w:rPr>
                <w:sz w:val="20"/>
                <w:szCs w:val="20"/>
              </w:rPr>
            </w:pPr>
            <w:r>
              <w:rPr>
                <w:sz w:val="20"/>
                <w:szCs w:val="20"/>
              </w:rPr>
              <w:t>(</w:t>
            </w:r>
            <w:r>
              <w:rPr>
                <w:sz w:val="20"/>
                <w:szCs w:val="20"/>
              </w:rPr>
              <w:t>21</w:t>
            </w:r>
            <w:r>
              <w:rPr>
                <w:sz w:val="20"/>
                <w:szCs w:val="20"/>
              </w:rPr>
              <w:t>8</w:t>
            </w:r>
          </w:p>
        </w:tc>
        <w:tc>
          <w:tcPr>
            <w:tcW w:w="0" w:type="auto"/>
            <w:noWrap/>
            <w:vAlign w:val="bottom"/>
            <w:hideMark/>
          </w:tcPr>
          <w:p w14:paraId="3615644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DB4DD9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EA6F0D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571EDB9" w14:textId="77777777" w:rsidR="00000000" w:rsidRDefault="00632532">
            <w:pPr>
              <w:pStyle w:val="a3"/>
              <w:spacing w:before="0" w:beforeAutospacing="0" w:after="0" w:afterAutospacing="0"/>
              <w:jc w:val="right"/>
              <w:rPr>
                <w:sz w:val="20"/>
                <w:szCs w:val="20"/>
              </w:rPr>
            </w:pPr>
            <w:r>
              <w:rPr>
                <w:sz w:val="20"/>
                <w:szCs w:val="20"/>
              </w:rPr>
              <w:t>59,26</w:t>
            </w:r>
            <w:r>
              <w:rPr>
                <w:sz w:val="20"/>
                <w:szCs w:val="20"/>
              </w:rPr>
              <w:t>1</w:t>
            </w:r>
          </w:p>
        </w:tc>
        <w:tc>
          <w:tcPr>
            <w:tcW w:w="0" w:type="auto"/>
            <w:noWrap/>
            <w:vAlign w:val="bottom"/>
            <w:hideMark/>
          </w:tcPr>
          <w:p w14:paraId="2EB9C3F3" w14:textId="77777777" w:rsidR="00000000" w:rsidRDefault="00632532">
            <w:pPr>
              <w:pStyle w:val="a3"/>
              <w:spacing w:before="0" w:beforeAutospacing="0" w:after="0" w:afterAutospacing="0"/>
              <w:rPr>
                <w:sz w:val="20"/>
                <w:szCs w:val="20"/>
              </w:rPr>
            </w:pPr>
            <w:r>
              <w:rPr>
                <w:sz w:val="20"/>
                <w:szCs w:val="20"/>
              </w:rPr>
              <w:t> </w:t>
            </w:r>
          </w:p>
        </w:tc>
      </w:tr>
      <w:tr w:rsidR="00000000" w14:paraId="0AB5CC9C" w14:textId="77777777">
        <w:trPr>
          <w:divId w:val="749043429"/>
          <w:trHeight w:val="200"/>
          <w:tblCellSpacing w:w="15" w:type="dxa"/>
        </w:trPr>
        <w:tc>
          <w:tcPr>
            <w:tcW w:w="0" w:type="auto"/>
            <w:vAlign w:val="bottom"/>
            <w:hideMark/>
          </w:tcPr>
          <w:p w14:paraId="1C593129" w14:textId="77777777" w:rsidR="00000000" w:rsidRDefault="00632532">
            <w:pPr>
              <w:pStyle w:val="a3"/>
              <w:spacing w:before="0" w:beforeAutospacing="0" w:after="0" w:afterAutospacing="0"/>
              <w:ind w:left="400"/>
              <w:rPr>
                <w:sz w:val="20"/>
                <w:szCs w:val="20"/>
              </w:rPr>
            </w:pPr>
            <w:r>
              <w:rPr>
                <w:sz w:val="20"/>
                <w:szCs w:val="20"/>
              </w:rPr>
              <w:t>Money market account</w:t>
            </w:r>
            <w:r>
              <w:rPr>
                <w:sz w:val="20"/>
                <w:szCs w:val="20"/>
              </w:rPr>
              <w:t>s</w:t>
            </w:r>
          </w:p>
        </w:tc>
        <w:tc>
          <w:tcPr>
            <w:tcW w:w="0" w:type="auto"/>
            <w:noWrap/>
            <w:vAlign w:val="bottom"/>
            <w:hideMark/>
          </w:tcPr>
          <w:p w14:paraId="24BFBC4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A7979C" w14:textId="77777777" w:rsidR="00000000" w:rsidRDefault="00632532">
            <w:pPr>
              <w:pStyle w:val="a3"/>
              <w:spacing w:before="0" w:beforeAutospacing="0" w:after="0" w:afterAutospacing="0"/>
              <w:jc w:val="right"/>
              <w:rPr>
                <w:sz w:val="20"/>
                <w:szCs w:val="20"/>
              </w:rPr>
            </w:pPr>
            <w:r>
              <w:rPr>
                <w:sz w:val="20"/>
                <w:szCs w:val="20"/>
              </w:rPr>
              <w:t>44,20</w:t>
            </w:r>
            <w:r>
              <w:rPr>
                <w:sz w:val="20"/>
                <w:szCs w:val="20"/>
              </w:rPr>
              <w:t>9</w:t>
            </w:r>
          </w:p>
        </w:tc>
        <w:tc>
          <w:tcPr>
            <w:tcW w:w="0" w:type="auto"/>
            <w:noWrap/>
            <w:vAlign w:val="bottom"/>
            <w:hideMark/>
          </w:tcPr>
          <w:p w14:paraId="3A701A0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A28C8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BF4F92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07CB67"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612EDB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370B6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DBE556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9DF0D1D"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1D06C9F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7E8D3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9FCC00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5F1A0B" w14:textId="77777777" w:rsidR="00000000" w:rsidRDefault="00632532">
            <w:pPr>
              <w:pStyle w:val="a3"/>
              <w:spacing w:before="0" w:beforeAutospacing="0" w:after="0" w:afterAutospacing="0"/>
              <w:jc w:val="right"/>
              <w:rPr>
                <w:sz w:val="20"/>
                <w:szCs w:val="20"/>
              </w:rPr>
            </w:pPr>
            <w:r>
              <w:rPr>
                <w:sz w:val="20"/>
                <w:szCs w:val="20"/>
              </w:rPr>
              <w:t>44,20</w:t>
            </w:r>
            <w:r>
              <w:rPr>
                <w:sz w:val="20"/>
                <w:szCs w:val="20"/>
              </w:rPr>
              <w:t>9</w:t>
            </w:r>
          </w:p>
        </w:tc>
        <w:tc>
          <w:tcPr>
            <w:tcW w:w="0" w:type="auto"/>
            <w:noWrap/>
            <w:vAlign w:val="bottom"/>
            <w:hideMark/>
          </w:tcPr>
          <w:p w14:paraId="2B76E181" w14:textId="77777777" w:rsidR="00000000" w:rsidRDefault="00632532">
            <w:pPr>
              <w:pStyle w:val="a3"/>
              <w:spacing w:before="0" w:beforeAutospacing="0" w:after="0" w:afterAutospacing="0"/>
              <w:rPr>
                <w:sz w:val="20"/>
                <w:szCs w:val="20"/>
              </w:rPr>
            </w:pPr>
            <w:r>
              <w:rPr>
                <w:sz w:val="20"/>
                <w:szCs w:val="20"/>
              </w:rPr>
              <w:t> </w:t>
            </w:r>
          </w:p>
        </w:tc>
      </w:tr>
      <w:tr w:rsidR="00000000" w14:paraId="63935AFE" w14:textId="77777777">
        <w:trPr>
          <w:divId w:val="749043429"/>
          <w:trHeight w:val="200"/>
          <w:tblCellSpacing w:w="15" w:type="dxa"/>
        </w:trPr>
        <w:tc>
          <w:tcPr>
            <w:tcW w:w="0" w:type="auto"/>
            <w:vAlign w:val="bottom"/>
            <w:hideMark/>
          </w:tcPr>
          <w:p w14:paraId="7B773FBB" w14:textId="77777777" w:rsidR="00000000" w:rsidRDefault="00632532">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noWrap/>
            <w:vAlign w:val="bottom"/>
            <w:hideMark/>
          </w:tcPr>
          <w:p w14:paraId="28D4D89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85721F" w14:textId="77777777" w:rsidR="00000000" w:rsidRDefault="00632532">
            <w:pPr>
              <w:pStyle w:val="a3"/>
              <w:spacing w:before="0" w:beforeAutospacing="0" w:after="0" w:afterAutospacing="0"/>
              <w:jc w:val="right"/>
              <w:rPr>
                <w:sz w:val="20"/>
                <w:szCs w:val="20"/>
              </w:rPr>
            </w:pPr>
            <w:r>
              <w:rPr>
                <w:sz w:val="20"/>
                <w:szCs w:val="20"/>
              </w:rPr>
              <w:t>32,50</w:t>
            </w:r>
            <w:r>
              <w:rPr>
                <w:sz w:val="20"/>
                <w:szCs w:val="20"/>
              </w:rPr>
              <w:t>7</w:t>
            </w:r>
          </w:p>
        </w:tc>
        <w:tc>
          <w:tcPr>
            <w:tcW w:w="0" w:type="auto"/>
            <w:noWrap/>
            <w:vAlign w:val="bottom"/>
            <w:hideMark/>
          </w:tcPr>
          <w:p w14:paraId="0277C64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7FDB84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B926D2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7181D2"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C8E58C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F10ED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9D2C5F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60069D1" w14:textId="77777777" w:rsidR="00000000" w:rsidRDefault="00632532">
            <w:pPr>
              <w:pStyle w:val="a3"/>
              <w:spacing w:before="0" w:beforeAutospacing="0" w:after="0" w:afterAutospacing="0"/>
              <w:jc w:val="right"/>
              <w:rPr>
                <w:sz w:val="20"/>
                <w:szCs w:val="20"/>
              </w:rPr>
            </w:pPr>
            <w:r>
              <w:rPr>
                <w:sz w:val="20"/>
                <w:szCs w:val="20"/>
              </w:rPr>
              <w:t>(</w:t>
            </w:r>
            <w:r>
              <w:rPr>
                <w:sz w:val="20"/>
                <w:szCs w:val="20"/>
              </w:rPr>
              <w:t>44</w:t>
            </w:r>
            <w:r>
              <w:rPr>
                <w:sz w:val="20"/>
                <w:szCs w:val="20"/>
              </w:rPr>
              <w:t>8</w:t>
            </w:r>
          </w:p>
        </w:tc>
        <w:tc>
          <w:tcPr>
            <w:tcW w:w="0" w:type="auto"/>
            <w:noWrap/>
            <w:vAlign w:val="bottom"/>
            <w:hideMark/>
          </w:tcPr>
          <w:p w14:paraId="68E86AC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754B40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78A32D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BCCA5CA" w14:textId="77777777" w:rsidR="00000000" w:rsidRDefault="00632532">
            <w:pPr>
              <w:pStyle w:val="a3"/>
              <w:spacing w:before="0" w:beforeAutospacing="0" w:after="0" w:afterAutospacing="0"/>
              <w:jc w:val="right"/>
              <w:rPr>
                <w:sz w:val="20"/>
                <w:szCs w:val="20"/>
              </w:rPr>
            </w:pPr>
            <w:r>
              <w:rPr>
                <w:sz w:val="20"/>
                <w:szCs w:val="20"/>
              </w:rPr>
              <w:t>32,05</w:t>
            </w:r>
            <w:r>
              <w:rPr>
                <w:sz w:val="20"/>
                <w:szCs w:val="20"/>
              </w:rPr>
              <w:t>9</w:t>
            </w:r>
          </w:p>
        </w:tc>
        <w:tc>
          <w:tcPr>
            <w:tcW w:w="0" w:type="auto"/>
            <w:noWrap/>
            <w:vAlign w:val="bottom"/>
            <w:hideMark/>
          </w:tcPr>
          <w:p w14:paraId="150107C2" w14:textId="77777777" w:rsidR="00000000" w:rsidRDefault="00632532">
            <w:pPr>
              <w:pStyle w:val="a3"/>
              <w:spacing w:before="0" w:beforeAutospacing="0" w:after="0" w:afterAutospacing="0"/>
              <w:rPr>
                <w:sz w:val="20"/>
                <w:szCs w:val="20"/>
              </w:rPr>
            </w:pPr>
            <w:r>
              <w:rPr>
                <w:sz w:val="20"/>
                <w:szCs w:val="20"/>
              </w:rPr>
              <w:t> </w:t>
            </w:r>
          </w:p>
        </w:tc>
      </w:tr>
      <w:tr w:rsidR="00000000" w14:paraId="7364AC8C" w14:textId="77777777">
        <w:trPr>
          <w:divId w:val="749043429"/>
          <w:trHeight w:val="200"/>
          <w:tblCellSpacing w:w="15" w:type="dxa"/>
        </w:trPr>
        <w:tc>
          <w:tcPr>
            <w:tcW w:w="0" w:type="auto"/>
            <w:vAlign w:val="bottom"/>
            <w:hideMark/>
          </w:tcPr>
          <w:p w14:paraId="2716A0FC" w14:textId="77777777" w:rsidR="00000000" w:rsidRDefault="00632532">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14:paraId="2A2AADC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5A6B89" w14:textId="77777777" w:rsidR="00000000" w:rsidRDefault="00632532">
            <w:pPr>
              <w:pStyle w:val="a3"/>
              <w:spacing w:before="0" w:beforeAutospacing="0" w:after="0" w:afterAutospacing="0"/>
              <w:jc w:val="right"/>
              <w:rPr>
                <w:sz w:val="20"/>
                <w:szCs w:val="20"/>
              </w:rPr>
            </w:pPr>
            <w:r>
              <w:rPr>
                <w:sz w:val="20"/>
                <w:szCs w:val="20"/>
              </w:rPr>
              <w:t>11,28</w:t>
            </w:r>
            <w:r>
              <w:rPr>
                <w:sz w:val="20"/>
                <w:szCs w:val="20"/>
              </w:rPr>
              <w:t>6</w:t>
            </w:r>
          </w:p>
        </w:tc>
        <w:tc>
          <w:tcPr>
            <w:tcW w:w="0" w:type="auto"/>
            <w:noWrap/>
            <w:vAlign w:val="bottom"/>
            <w:hideMark/>
          </w:tcPr>
          <w:p w14:paraId="21DC4D5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B901C5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29CC4C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335A11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B72D6C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A6DA8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F1A2A0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CB6F90" w14:textId="77777777" w:rsidR="00000000" w:rsidRDefault="00632532">
            <w:pPr>
              <w:pStyle w:val="a3"/>
              <w:spacing w:before="0" w:beforeAutospacing="0" w:after="0" w:afterAutospacing="0"/>
              <w:jc w:val="right"/>
              <w:rPr>
                <w:sz w:val="20"/>
                <w:szCs w:val="20"/>
              </w:rPr>
            </w:pPr>
            <w:r>
              <w:rPr>
                <w:sz w:val="20"/>
                <w:szCs w:val="20"/>
              </w:rPr>
              <w:t>(</w:t>
            </w:r>
            <w:r>
              <w:rPr>
                <w:sz w:val="20"/>
                <w:szCs w:val="20"/>
              </w:rPr>
              <w:t>15</w:t>
            </w:r>
            <w:r>
              <w:rPr>
                <w:sz w:val="20"/>
                <w:szCs w:val="20"/>
              </w:rPr>
              <w:t>9</w:t>
            </w:r>
          </w:p>
        </w:tc>
        <w:tc>
          <w:tcPr>
            <w:tcW w:w="0" w:type="auto"/>
            <w:noWrap/>
            <w:vAlign w:val="bottom"/>
            <w:hideMark/>
          </w:tcPr>
          <w:p w14:paraId="0C83CE6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7928FF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CA9362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8EED40" w14:textId="77777777" w:rsidR="00000000" w:rsidRDefault="00632532">
            <w:pPr>
              <w:pStyle w:val="a3"/>
              <w:spacing w:before="0" w:beforeAutospacing="0" w:after="0" w:afterAutospacing="0"/>
              <w:jc w:val="right"/>
              <w:rPr>
                <w:sz w:val="20"/>
                <w:szCs w:val="20"/>
              </w:rPr>
            </w:pPr>
            <w:r>
              <w:rPr>
                <w:sz w:val="20"/>
                <w:szCs w:val="20"/>
              </w:rPr>
              <w:t>11,12</w:t>
            </w:r>
            <w:r>
              <w:rPr>
                <w:sz w:val="20"/>
                <w:szCs w:val="20"/>
              </w:rPr>
              <w:t>7</w:t>
            </w:r>
          </w:p>
        </w:tc>
        <w:tc>
          <w:tcPr>
            <w:tcW w:w="0" w:type="auto"/>
            <w:noWrap/>
            <w:vAlign w:val="bottom"/>
            <w:hideMark/>
          </w:tcPr>
          <w:p w14:paraId="503098D9" w14:textId="77777777" w:rsidR="00000000" w:rsidRDefault="00632532">
            <w:pPr>
              <w:pStyle w:val="a3"/>
              <w:spacing w:before="0" w:beforeAutospacing="0" w:after="0" w:afterAutospacing="0"/>
              <w:rPr>
                <w:sz w:val="20"/>
                <w:szCs w:val="20"/>
              </w:rPr>
            </w:pPr>
            <w:r>
              <w:rPr>
                <w:sz w:val="20"/>
                <w:szCs w:val="20"/>
              </w:rPr>
              <w:t> </w:t>
            </w:r>
          </w:p>
        </w:tc>
      </w:tr>
      <w:tr w:rsidR="00000000" w14:paraId="7FB7CEF3" w14:textId="77777777">
        <w:trPr>
          <w:divId w:val="749043429"/>
          <w:trHeight w:val="200"/>
          <w:tblCellSpacing w:w="15" w:type="dxa"/>
        </w:trPr>
        <w:tc>
          <w:tcPr>
            <w:tcW w:w="0" w:type="auto"/>
            <w:vAlign w:val="bottom"/>
            <w:hideMark/>
          </w:tcPr>
          <w:p w14:paraId="783C7064" w14:textId="77777777" w:rsidR="00000000" w:rsidRDefault="00632532">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14:paraId="41B09E2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FAFC7FC" w14:textId="77777777" w:rsidR="00000000" w:rsidRDefault="00632532">
            <w:pPr>
              <w:pStyle w:val="a3"/>
              <w:spacing w:before="0" w:beforeAutospacing="0" w:after="0" w:afterAutospacing="0"/>
              <w:jc w:val="right"/>
              <w:rPr>
                <w:sz w:val="20"/>
                <w:szCs w:val="20"/>
              </w:rPr>
            </w:pPr>
            <w:r>
              <w:rPr>
                <w:sz w:val="20"/>
                <w:szCs w:val="20"/>
              </w:rPr>
              <w:t>7,22</w:t>
            </w:r>
            <w:r>
              <w:rPr>
                <w:sz w:val="20"/>
                <w:szCs w:val="20"/>
              </w:rPr>
              <w:t>8</w:t>
            </w:r>
          </w:p>
        </w:tc>
        <w:tc>
          <w:tcPr>
            <w:tcW w:w="0" w:type="auto"/>
            <w:noWrap/>
            <w:vAlign w:val="bottom"/>
            <w:hideMark/>
          </w:tcPr>
          <w:p w14:paraId="0597E08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8D1D3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6A6AB1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2FE383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1DC086D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023B6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6AEA37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C197D8" w14:textId="77777777" w:rsidR="00000000" w:rsidRDefault="00632532">
            <w:pPr>
              <w:pStyle w:val="a3"/>
              <w:spacing w:before="0" w:beforeAutospacing="0" w:after="0" w:afterAutospacing="0"/>
              <w:jc w:val="right"/>
              <w:rPr>
                <w:sz w:val="20"/>
                <w:szCs w:val="20"/>
              </w:rPr>
            </w:pPr>
            <w:r>
              <w:rPr>
                <w:sz w:val="20"/>
                <w:szCs w:val="20"/>
              </w:rPr>
              <w:t>(</w:t>
            </w:r>
            <w:r>
              <w:rPr>
                <w:sz w:val="20"/>
                <w:szCs w:val="20"/>
              </w:rPr>
              <w:t>6</w:t>
            </w:r>
            <w:r>
              <w:rPr>
                <w:sz w:val="20"/>
                <w:szCs w:val="20"/>
              </w:rPr>
              <w:t>3</w:t>
            </w:r>
          </w:p>
        </w:tc>
        <w:tc>
          <w:tcPr>
            <w:tcW w:w="0" w:type="auto"/>
            <w:noWrap/>
            <w:vAlign w:val="bottom"/>
            <w:hideMark/>
          </w:tcPr>
          <w:p w14:paraId="71EB193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333A52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F53B65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986F408" w14:textId="77777777" w:rsidR="00000000" w:rsidRDefault="00632532">
            <w:pPr>
              <w:pStyle w:val="a3"/>
              <w:spacing w:before="0" w:beforeAutospacing="0" w:after="0" w:afterAutospacing="0"/>
              <w:jc w:val="right"/>
              <w:rPr>
                <w:sz w:val="20"/>
                <w:szCs w:val="20"/>
              </w:rPr>
            </w:pPr>
            <w:r>
              <w:rPr>
                <w:sz w:val="20"/>
                <w:szCs w:val="20"/>
              </w:rPr>
              <w:t>7,16</w:t>
            </w:r>
            <w:r>
              <w:rPr>
                <w:sz w:val="20"/>
                <w:szCs w:val="20"/>
              </w:rPr>
              <w:t>5</w:t>
            </w:r>
          </w:p>
        </w:tc>
        <w:tc>
          <w:tcPr>
            <w:tcW w:w="0" w:type="auto"/>
            <w:noWrap/>
            <w:vAlign w:val="bottom"/>
            <w:hideMark/>
          </w:tcPr>
          <w:p w14:paraId="294CBB3D" w14:textId="77777777" w:rsidR="00000000" w:rsidRDefault="00632532">
            <w:pPr>
              <w:pStyle w:val="a3"/>
              <w:spacing w:before="0" w:beforeAutospacing="0" w:after="0" w:afterAutospacing="0"/>
              <w:rPr>
                <w:sz w:val="20"/>
                <w:szCs w:val="20"/>
              </w:rPr>
            </w:pPr>
            <w:r>
              <w:rPr>
                <w:sz w:val="20"/>
                <w:szCs w:val="20"/>
              </w:rPr>
              <w:t> </w:t>
            </w:r>
          </w:p>
        </w:tc>
      </w:tr>
      <w:tr w:rsidR="00000000" w14:paraId="21E9D149" w14:textId="77777777">
        <w:trPr>
          <w:divId w:val="749043429"/>
          <w:trHeight w:val="200"/>
          <w:tblCellSpacing w:w="15" w:type="dxa"/>
        </w:trPr>
        <w:tc>
          <w:tcPr>
            <w:tcW w:w="0" w:type="auto"/>
            <w:vAlign w:val="bottom"/>
            <w:hideMark/>
          </w:tcPr>
          <w:p w14:paraId="498B3E88" w14:textId="77777777" w:rsidR="00000000" w:rsidRDefault="00632532">
            <w:pPr>
              <w:pStyle w:val="a3"/>
              <w:spacing w:before="0" w:beforeAutospacing="0" w:after="0" w:afterAutospacing="0"/>
              <w:ind w:left="400"/>
              <w:rPr>
                <w:sz w:val="20"/>
                <w:szCs w:val="20"/>
              </w:rPr>
            </w:pPr>
            <w:r>
              <w:rPr>
                <w:sz w:val="20"/>
                <w:szCs w:val="20"/>
              </w:rPr>
              <w:t>Less: Cash equivalent</w:t>
            </w:r>
            <w:r>
              <w:rPr>
                <w:sz w:val="20"/>
                <w:szCs w:val="20"/>
              </w:rPr>
              <w:t>s</w:t>
            </w:r>
          </w:p>
        </w:tc>
        <w:tc>
          <w:tcPr>
            <w:tcW w:w="0" w:type="auto"/>
            <w:noWrap/>
            <w:vAlign w:val="bottom"/>
            <w:hideMark/>
          </w:tcPr>
          <w:p w14:paraId="7DEAC3C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661B2A" w14:textId="77777777" w:rsidR="00000000" w:rsidRDefault="00632532">
            <w:pPr>
              <w:pStyle w:val="a3"/>
              <w:spacing w:before="0" w:beforeAutospacing="0" w:after="0" w:afterAutospacing="0"/>
              <w:jc w:val="right"/>
              <w:rPr>
                <w:sz w:val="20"/>
                <w:szCs w:val="20"/>
              </w:rPr>
            </w:pPr>
            <w:r>
              <w:rPr>
                <w:sz w:val="20"/>
                <w:szCs w:val="20"/>
              </w:rPr>
              <w:t>(</w:t>
            </w:r>
            <w:r>
              <w:rPr>
                <w:sz w:val="20"/>
                <w:szCs w:val="20"/>
              </w:rPr>
              <w:t>44,20</w:t>
            </w:r>
            <w:r>
              <w:rPr>
                <w:sz w:val="20"/>
                <w:szCs w:val="20"/>
              </w:rPr>
              <w:t>9</w:t>
            </w:r>
          </w:p>
        </w:tc>
        <w:tc>
          <w:tcPr>
            <w:tcW w:w="0" w:type="auto"/>
            <w:noWrap/>
            <w:vAlign w:val="bottom"/>
            <w:hideMark/>
          </w:tcPr>
          <w:p w14:paraId="122CDAA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DCBE0B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17906A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020326"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73F9CA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E696FF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DF8FA2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3A2409B"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2952CE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FE7CB3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A6CEE0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F36617" w14:textId="77777777" w:rsidR="00000000" w:rsidRDefault="00632532">
            <w:pPr>
              <w:pStyle w:val="a3"/>
              <w:spacing w:before="0" w:beforeAutospacing="0" w:after="0" w:afterAutospacing="0"/>
              <w:jc w:val="right"/>
              <w:rPr>
                <w:sz w:val="20"/>
                <w:szCs w:val="20"/>
              </w:rPr>
            </w:pPr>
            <w:r>
              <w:rPr>
                <w:sz w:val="20"/>
                <w:szCs w:val="20"/>
              </w:rPr>
              <w:t>(</w:t>
            </w:r>
            <w:r>
              <w:rPr>
                <w:sz w:val="20"/>
                <w:szCs w:val="20"/>
              </w:rPr>
              <w:t>44,20</w:t>
            </w:r>
            <w:r>
              <w:rPr>
                <w:sz w:val="20"/>
                <w:szCs w:val="20"/>
              </w:rPr>
              <w:t>9</w:t>
            </w:r>
          </w:p>
        </w:tc>
        <w:tc>
          <w:tcPr>
            <w:tcW w:w="0" w:type="auto"/>
            <w:noWrap/>
            <w:vAlign w:val="bottom"/>
            <w:hideMark/>
          </w:tcPr>
          <w:p w14:paraId="37A0765E" w14:textId="77777777" w:rsidR="00000000" w:rsidRDefault="00632532">
            <w:pPr>
              <w:pStyle w:val="a3"/>
              <w:spacing w:before="0" w:beforeAutospacing="0" w:after="0" w:afterAutospacing="0"/>
              <w:rPr>
                <w:sz w:val="20"/>
                <w:szCs w:val="20"/>
              </w:rPr>
            </w:pPr>
            <w:r>
              <w:rPr>
                <w:sz w:val="20"/>
                <w:szCs w:val="20"/>
              </w:rPr>
              <w:t>)</w:t>
            </w:r>
          </w:p>
        </w:tc>
      </w:tr>
      <w:tr w:rsidR="00000000" w14:paraId="12B28F75" w14:textId="77777777">
        <w:trPr>
          <w:divId w:val="749043429"/>
          <w:trHeight w:val="200"/>
          <w:tblCellSpacing w:w="15" w:type="dxa"/>
        </w:trPr>
        <w:tc>
          <w:tcPr>
            <w:tcW w:w="0" w:type="auto"/>
            <w:vAlign w:val="bottom"/>
            <w:hideMark/>
          </w:tcPr>
          <w:p w14:paraId="220EAEE5" w14:textId="77777777" w:rsidR="00000000" w:rsidRDefault="00632532">
            <w:pPr>
              <w:pStyle w:val="a3"/>
              <w:spacing w:before="0" w:beforeAutospacing="0" w:after="0" w:afterAutospacing="0"/>
              <w:ind w:left="600"/>
              <w:rPr>
                <w:sz w:val="20"/>
                <w:szCs w:val="20"/>
              </w:rPr>
            </w:pPr>
            <w:r>
              <w:rPr>
                <w:sz w:val="20"/>
                <w:szCs w:val="20"/>
              </w:rPr>
              <w:t>Total debt securities due within 1 yea</w:t>
            </w:r>
            <w:r>
              <w:rPr>
                <w:sz w:val="20"/>
                <w:szCs w:val="20"/>
              </w:rPr>
              <w:t>r</w:t>
            </w:r>
          </w:p>
        </w:tc>
        <w:tc>
          <w:tcPr>
            <w:tcW w:w="0" w:type="auto"/>
            <w:noWrap/>
            <w:vAlign w:val="bottom"/>
            <w:hideMark/>
          </w:tcPr>
          <w:p w14:paraId="285844B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D50B276" w14:textId="77777777" w:rsidR="00000000" w:rsidRDefault="00632532">
            <w:pPr>
              <w:pStyle w:val="a3"/>
              <w:spacing w:before="0" w:beforeAutospacing="0" w:after="0" w:afterAutospacing="0"/>
              <w:jc w:val="right"/>
              <w:rPr>
                <w:sz w:val="20"/>
                <w:szCs w:val="20"/>
              </w:rPr>
            </w:pPr>
            <w:r>
              <w:rPr>
                <w:sz w:val="20"/>
                <w:szCs w:val="20"/>
              </w:rPr>
              <w:t>380,64</w:t>
            </w:r>
            <w:r>
              <w:rPr>
                <w:sz w:val="20"/>
                <w:szCs w:val="20"/>
              </w:rPr>
              <w:t>0</w:t>
            </w:r>
          </w:p>
        </w:tc>
        <w:tc>
          <w:tcPr>
            <w:tcW w:w="0" w:type="auto"/>
            <w:noWrap/>
            <w:vAlign w:val="bottom"/>
            <w:hideMark/>
          </w:tcPr>
          <w:p w14:paraId="7BDB497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69EF41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B07BCE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E69E85"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45C1B6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94E68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75CE99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7B0FC4" w14:textId="77777777" w:rsidR="00000000" w:rsidRDefault="00632532">
            <w:pPr>
              <w:pStyle w:val="a3"/>
              <w:spacing w:before="0" w:beforeAutospacing="0" w:after="0" w:afterAutospacing="0"/>
              <w:jc w:val="right"/>
              <w:rPr>
                <w:sz w:val="20"/>
                <w:szCs w:val="20"/>
              </w:rPr>
            </w:pPr>
            <w:r>
              <w:rPr>
                <w:sz w:val="20"/>
                <w:szCs w:val="20"/>
              </w:rPr>
              <w:t>(</w:t>
            </w:r>
            <w:r>
              <w:rPr>
                <w:sz w:val="20"/>
                <w:szCs w:val="20"/>
              </w:rPr>
              <w:t>4,01</w:t>
            </w:r>
            <w:r>
              <w:rPr>
                <w:sz w:val="20"/>
                <w:szCs w:val="20"/>
              </w:rPr>
              <w:t>8</w:t>
            </w:r>
          </w:p>
        </w:tc>
        <w:tc>
          <w:tcPr>
            <w:tcW w:w="0" w:type="auto"/>
            <w:noWrap/>
            <w:vAlign w:val="bottom"/>
            <w:hideMark/>
          </w:tcPr>
          <w:p w14:paraId="3618A2F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A31235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A24B3B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104747" w14:textId="77777777" w:rsidR="00000000" w:rsidRDefault="00632532">
            <w:pPr>
              <w:pStyle w:val="a3"/>
              <w:spacing w:before="0" w:beforeAutospacing="0" w:after="0" w:afterAutospacing="0"/>
              <w:jc w:val="right"/>
              <w:rPr>
                <w:sz w:val="20"/>
                <w:szCs w:val="20"/>
              </w:rPr>
            </w:pPr>
            <w:r>
              <w:rPr>
                <w:sz w:val="20"/>
                <w:szCs w:val="20"/>
              </w:rPr>
              <w:t>376,62</w:t>
            </w:r>
            <w:r>
              <w:rPr>
                <w:sz w:val="20"/>
                <w:szCs w:val="20"/>
              </w:rPr>
              <w:t>2</w:t>
            </w:r>
          </w:p>
        </w:tc>
        <w:tc>
          <w:tcPr>
            <w:tcW w:w="0" w:type="auto"/>
            <w:noWrap/>
            <w:vAlign w:val="bottom"/>
            <w:hideMark/>
          </w:tcPr>
          <w:p w14:paraId="248B651B" w14:textId="77777777" w:rsidR="00000000" w:rsidRDefault="00632532">
            <w:pPr>
              <w:pStyle w:val="a3"/>
              <w:spacing w:before="0" w:beforeAutospacing="0" w:after="0" w:afterAutospacing="0"/>
              <w:rPr>
                <w:sz w:val="20"/>
                <w:szCs w:val="20"/>
              </w:rPr>
            </w:pPr>
            <w:r>
              <w:rPr>
                <w:sz w:val="20"/>
                <w:szCs w:val="20"/>
              </w:rPr>
              <w:t> </w:t>
            </w:r>
          </w:p>
        </w:tc>
      </w:tr>
      <w:tr w:rsidR="00000000" w14:paraId="745447F5" w14:textId="77777777">
        <w:trPr>
          <w:divId w:val="749043429"/>
          <w:trHeight w:val="200"/>
          <w:tblCellSpacing w:w="15" w:type="dxa"/>
        </w:trPr>
        <w:tc>
          <w:tcPr>
            <w:tcW w:w="0" w:type="auto"/>
            <w:vAlign w:val="bottom"/>
            <w:hideMark/>
          </w:tcPr>
          <w:p w14:paraId="67363C64" w14:textId="77777777" w:rsidR="00000000" w:rsidRDefault="00632532">
            <w:pPr>
              <w:pStyle w:val="a3"/>
              <w:spacing w:before="0" w:beforeAutospacing="0" w:after="0" w:afterAutospacing="0"/>
              <w:ind w:left="200"/>
              <w:rPr>
                <w:sz w:val="20"/>
                <w:szCs w:val="20"/>
              </w:rPr>
            </w:pPr>
            <w:r>
              <w:rPr>
                <w:sz w:val="20"/>
                <w:szCs w:val="20"/>
              </w:rPr>
              <w:t>After 1 year through 5 year</w:t>
            </w:r>
            <w:r>
              <w:rPr>
                <w:sz w:val="20"/>
                <w:szCs w:val="20"/>
              </w:rPr>
              <w:t>s</w:t>
            </w:r>
          </w:p>
        </w:tc>
        <w:tc>
          <w:tcPr>
            <w:tcW w:w="0" w:type="auto"/>
            <w:gridSpan w:val="2"/>
            <w:vAlign w:val="bottom"/>
            <w:hideMark/>
          </w:tcPr>
          <w:p w14:paraId="26B7AD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8FC96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A2D52CB"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37CE3DB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236F9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7C342B"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7EA207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ECAD6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C53464"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577B05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B5463B" w14:textId="77777777" w:rsidR="00000000" w:rsidRDefault="00632532">
            <w:pPr>
              <w:pStyle w:val="a3"/>
              <w:spacing w:before="0" w:beforeAutospacing="0" w:after="0" w:afterAutospacing="0"/>
              <w:rPr>
                <w:sz w:val="20"/>
                <w:szCs w:val="20"/>
              </w:rPr>
            </w:pPr>
            <w:r>
              <w:rPr>
                <w:sz w:val="20"/>
                <w:szCs w:val="20"/>
              </w:rPr>
              <w:t> </w:t>
            </w:r>
          </w:p>
        </w:tc>
      </w:tr>
      <w:tr w:rsidR="00000000" w14:paraId="06464BB4" w14:textId="77777777">
        <w:trPr>
          <w:divId w:val="749043429"/>
          <w:trHeight w:val="200"/>
          <w:tblCellSpacing w:w="15" w:type="dxa"/>
        </w:trPr>
        <w:tc>
          <w:tcPr>
            <w:tcW w:w="0" w:type="auto"/>
            <w:vAlign w:val="bottom"/>
            <w:hideMark/>
          </w:tcPr>
          <w:p w14:paraId="60596C07" w14:textId="77777777" w:rsidR="00000000" w:rsidRDefault="00632532">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14:paraId="6192234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E6059B9" w14:textId="77777777" w:rsidR="00000000" w:rsidRDefault="00632532">
            <w:pPr>
              <w:pStyle w:val="a3"/>
              <w:spacing w:before="0" w:beforeAutospacing="0" w:after="0" w:afterAutospacing="0"/>
              <w:jc w:val="right"/>
              <w:rPr>
                <w:sz w:val="20"/>
                <w:szCs w:val="20"/>
              </w:rPr>
            </w:pPr>
            <w:r>
              <w:rPr>
                <w:sz w:val="20"/>
                <w:szCs w:val="20"/>
              </w:rPr>
              <w:t>223,05</w:t>
            </w:r>
            <w:r>
              <w:rPr>
                <w:sz w:val="20"/>
                <w:szCs w:val="20"/>
              </w:rPr>
              <w:t>0</w:t>
            </w:r>
          </w:p>
        </w:tc>
        <w:tc>
          <w:tcPr>
            <w:tcW w:w="0" w:type="auto"/>
            <w:noWrap/>
            <w:vAlign w:val="bottom"/>
            <w:hideMark/>
          </w:tcPr>
          <w:p w14:paraId="115EDC8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3E39F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141E72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4CE4AF" w14:textId="77777777" w:rsidR="00000000" w:rsidRDefault="00632532">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14:paraId="28EDE58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98BC26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1AE29D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87BB99" w14:textId="77777777" w:rsidR="00000000" w:rsidRDefault="00632532">
            <w:pPr>
              <w:pStyle w:val="a3"/>
              <w:spacing w:before="0" w:beforeAutospacing="0" w:after="0" w:afterAutospacing="0"/>
              <w:jc w:val="right"/>
              <w:rPr>
                <w:sz w:val="20"/>
                <w:szCs w:val="20"/>
              </w:rPr>
            </w:pPr>
            <w:r>
              <w:rPr>
                <w:sz w:val="20"/>
                <w:szCs w:val="20"/>
              </w:rPr>
              <w:t>(</w:t>
            </w:r>
            <w:r>
              <w:rPr>
                <w:sz w:val="20"/>
                <w:szCs w:val="20"/>
              </w:rPr>
              <w:t>6,55</w:t>
            </w:r>
            <w:r>
              <w:rPr>
                <w:sz w:val="20"/>
                <w:szCs w:val="20"/>
              </w:rPr>
              <w:t>1</w:t>
            </w:r>
          </w:p>
        </w:tc>
        <w:tc>
          <w:tcPr>
            <w:tcW w:w="0" w:type="auto"/>
            <w:noWrap/>
            <w:vAlign w:val="bottom"/>
            <w:hideMark/>
          </w:tcPr>
          <w:p w14:paraId="2F34DA0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99C817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41FFDB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A55FC05" w14:textId="77777777" w:rsidR="00000000" w:rsidRDefault="00632532">
            <w:pPr>
              <w:pStyle w:val="a3"/>
              <w:spacing w:before="0" w:beforeAutospacing="0" w:after="0" w:afterAutospacing="0"/>
              <w:jc w:val="right"/>
              <w:rPr>
                <w:sz w:val="20"/>
                <w:szCs w:val="20"/>
              </w:rPr>
            </w:pPr>
            <w:r>
              <w:rPr>
                <w:sz w:val="20"/>
                <w:szCs w:val="20"/>
              </w:rPr>
              <w:t>216,51</w:t>
            </w:r>
            <w:r>
              <w:rPr>
                <w:sz w:val="20"/>
                <w:szCs w:val="20"/>
              </w:rPr>
              <w:t>4</w:t>
            </w:r>
          </w:p>
        </w:tc>
        <w:tc>
          <w:tcPr>
            <w:tcW w:w="0" w:type="auto"/>
            <w:noWrap/>
            <w:vAlign w:val="bottom"/>
            <w:hideMark/>
          </w:tcPr>
          <w:p w14:paraId="4FB24D24" w14:textId="77777777" w:rsidR="00000000" w:rsidRDefault="00632532">
            <w:pPr>
              <w:pStyle w:val="a3"/>
              <w:spacing w:before="0" w:beforeAutospacing="0" w:after="0" w:afterAutospacing="0"/>
              <w:rPr>
                <w:sz w:val="20"/>
                <w:szCs w:val="20"/>
              </w:rPr>
            </w:pPr>
            <w:r>
              <w:rPr>
                <w:sz w:val="20"/>
                <w:szCs w:val="20"/>
              </w:rPr>
              <w:t> </w:t>
            </w:r>
          </w:p>
        </w:tc>
      </w:tr>
      <w:tr w:rsidR="00000000" w14:paraId="44AE37A3" w14:textId="77777777">
        <w:trPr>
          <w:divId w:val="749043429"/>
          <w:trHeight w:val="200"/>
          <w:tblCellSpacing w:w="15" w:type="dxa"/>
        </w:trPr>
        <w:tc>
          <w:tcPr>
            <w:tcW w:w="0" w:type="auto"/>
            <w:vAlign w:val="bottom"/>
            <w:hideMark/>
          </w:tcPr>
          <w:p w14:paraId="51D2E1E6" w14:textId="77777777" w:rsidR="00000000" w:rsidRDefault="00632532">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14:paraId="2231268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9FA0B8" w14:textId="77777777" w:rsidR="00000000" w:rsidRDefault="00632532">
            <w:pPr>
              <w:pStyle w:val="a3"/>
              <w:spacing w:before="0" w:beforeAutospacing="0" w:after="0" w:afterAutospacing="0"/>
              <w:jc w:val="right"/>
              <w:rPr>
                <w:sz w:val="20"/>
                <w:szCs w:val="20"/>
              </w:rPr>
            </w:pPr>
            <w:r>
              <w:rPr>
                <w:sz w:val="20"/>
                <w:szCs w:val="20"/>
              </w:rPr>
              <w:t>137,74</w:t>
            </w:r>
            <w:r>
              <w:rPr>
                <w:sz w:val="20"/>
                <w:szCs w:val="20"/>
              </w:rPr>
              <w:t>2</w:t>
            </w:r>
          </w:p>
        </w:tc>
        <w:tc>
          <w:tcPr>
            <w:tcW w:w="0" w:type="auto"/>
            <w:noWrap/>
            <w:vAlign w:val="bottom"/>
            <w:hideMark/>
          </w:tcPr>
          <w:p w14:paraId="50E59BF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39D4CD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49A96F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99E9C63"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4E231D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49F07E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40014D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2C8514" w14:textId="77777777" w:rsidR="00000000" w:rsidRDefault="00632532">
            <w:pPr>
              <w:pStyle w:val="a3"/>
              <w:spacing w:before="0" w:beforeAutospacing="0" w:after="0" w:afterAutospacing="0"/>
              <w:jc w:val="right"/>
              <w:rPr>
                <w:sz w:val="20"/>
                <w:szCs w:val="20"/>
              </w:rPr>
            </w:pPr>
            <w:r>
              <w:rPr>
                <w:sz w:val="20"/>
                <w:szCs w:val="20"/>
              </w:rPr>
              <w:t>(</w:t>
            </w:r>
            <w:r>
              <w:rPr>
                <w:sz w:val="20"/>
                <w:szCs w:val="20"/>
              </w:rPr>
              <w:t>5,97</w:t>
            </w:r>
            <w:r>
              <w:rPr>
                <w:sz w:val="20"/>
                <w:szCs w:val="20"/>
              </w:rPr>
              <w:t>7</w:t>
            </w:r>
          </w:p>
        </w:tc>
        <w:tc>
          <w:tcPr>
            <w:tcW w:w="0" w:type="auto"/>
            <w:noWrap/>
            <w:vAlign w:val="bottom"/>
            <w:hideMark/>
          </w:tcPr>
          <w:p w14:paraId="00FA053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2A7DF1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D271FD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0FE412C" w14:textId="77777777" w:rsidR="00000000" w:rsidRDefault="00632532">
            <w:pPr>
              <w:pStyle w:val="a3"/>
              <w:spacing w:before="0" w:beforeAutospacing="0" w:after="0" w:afterAutospacing="0"/>
              <w:jc w:val="right"/>
              <w:rPr>
                <w:sz w:val="20"/>
                <w:szCs w:val="20"/>
              </w:rPr>
            </w:pPr>
            <w:r>
              <w:rPr>
                <w:sz w:val="20"/>
                <w:szCs w:val="20"/>
              </w:rPr>
              <w:t>131,76</w:t>
            </w:r>
            <w:r>
              <w:rPr>
                <w:sz w:val="20"/>
                <w:szCs w:val="20"/>
              </w:rPr>
              <w:t>5</w:t>
            </w:r>
          </w:p>
        </w:tc>
        <w:tc>
          <w:tcPr>
            <w:tcW w:w="0" w:type="auto"/>
            <w:noWrap/>
            <w:vAlign w:val="bottom"/>
            <w:hideMark/>
          </w:tcPr>
          <w:p w14:paraId="651729DF" w14:textId="77777777" w:rsidR="00000000" w:rsidRDefault="00632532">
            <w:pPr>
              <w:pStyle w:val="a3"/>
              <w:spacing w:before="0" w:beforeAutospacing="0" w:after="0" w:afterAutospacing="0"/>
              <w:rPr>
                <w:sz w:val="20"/>
                <w:szCs w:val="20"/>
              </w:rPr>
            </w:pPr>
            <w:r>
              <w:rPr>
                <w:sz w:val="20"/>
                <w:szCs w:val="20"/>
              </w:rPr>
              <w:t> </w:t>
            </w:r>
          </w:p>
        </w:tc>
      </w:tr>
      <w:tr w:rsidR="00000000" w14:paraId="3E536492" w14:textId="77777777">
        <w:trPr>
          <w:divId w:val="749043429"/>
          <w:trHeight w:val="200"/>
          <w:tblCellSpacing w:w="15" w:type="dxa"/>
        </w:trPr>
        <w:tc>
          <w:tcPr>
            <w:tcW w:w="0" w:type="auto"/>
            <w:vAlign w:val="bottom"/>
            <w:hideMark/>
          </w:tcPr>
          <w:p w14:paraId="6A994A12" w14:textId="77777777" w:rsidR="00000000" w:rsidRDefault="00632532">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noWrap/>
            <w:vAlign w:val="bottom"/>
            <w:hideMark/>
          </w:tcPr>
          <w:p w14:paraId="15BB76E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3CE022B" w14:textId="77777777" w:rsidR="00000000" w:rsidRDefault="00632532">
            <w:pPr>
              <w:pStyle w:val="a3"/>
              <w:spacing w:before="0" w:beforeAutospacing="0" w:after="0" w:afterAutospacing="0"/>
              <w:jc w:val="right"/>
              <w:rPr>
                <w:sz w:val="20"/>
                <w:szCs w:val="20"/>
              </w:rPr>
            </w:pPr>
            <w:r>
              <w:rPr>
                <w:sz w:val="20"/>
                <w:szCs w:val="20"/>
              </w:rPr>
              <w:t>52,34</w:t>
            </w:r>
            <w:r>
              <w:rPr>
                <w:sz w:val="20"/>
                <w:szCs w:val="20"/>
              </w:rPr>
              <w:t>0</w:t>
            </w:r>
          </w:p>
        </w:tc>
        <w:tc>
          <w:tcPr>
            <w:tcW w:w="0" w:type="auto"/>
            <w:noWrap/>
            <w:vAlign w:val="bottom"/>
            <w:hideMark/>
          </w:tcPr>
          <w:p w14:paraId="2135FB9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F00E29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0025AF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5682C25"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872315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FDB2B9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6245C6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BF8E03D" w14:textId="77777777" w:rsidR="00000000" w:rsidRDefault="00632532">
            <w:pPr>
              <w:pStyle w:val="a3"/>
              <w:spacing w:before="0" w:beforeAutospacing="0" w:after="0" w:afterAutospacing="0"/>
              <w:jc w:val="right"/>
              <w:rPr>
                <w:sz w:val="20"/>
                <w:szCs w:val="20"/>
              </w:rPr>
            </w:pPr>
            <w:r>
              <w:rPr>
                <w:sz w:val="20"/>
                <w:szCs w:val="20"/>
              </w:rPr>
              <w:t>(</w:t>
            </w:r>
            <w:r>
              <w:rPr>
                <w:sz w:val="20"/>
                <w:szCs w:val="20"/>
              </w:rPr>
              <w:t>2,56</w:t>
            </w:r>
            <w:r>
              <w:rPr>
                <w:sz w:val="20"/>
                <w:szCs w:val="20"/>
              </w:rPr>
              <w:t>7</w:t>
            </w:r>
          </w:p>
        </w:tc>
        <w:tc>
          <w:tcPr>
            <w:tcW w:w="0" w:type="auto"/>
            <w:noWrap/>
            <w:vAlign w:val="bottom"/>
            <w:hideMark/>
          </w:tcPr>
          <w:p w14:paraId="05BF465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5F9A08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490A56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C271186" w14:textId="77777777" w:rsidR="00000000" w:rsidRDefault="00632532">
            <w:pPr>
              <w:pStyle w:val="a3"/>
              <w:spacing w:before="0" w:beforeAutospacing="0" w:after="0" w:afterAutospacing="0"/>
              <w:jc w:val="right"/>
              <w:rPr>
                <w:sz w:val="20"/>
                <w:szCs w:val="20"/>
              </w:rPr>
            </w:pPr>
            <w:r>
              <w:rPr>
                <w:sz w:val="20"/>
                <w:szCs w:val="20"/>
              </w:rPr>
              <w:t>49,77</w:t>
            </w:r>
            <w:r>
              <w:rPr>
                <w:sz w:val="20"/>
                <w:szCs w:val="20"/>
              </w:rPr>
              <w:t>3</w:t>
            </w:r>
          </w:p>
        </w:tc>
        <w:tc>
          <w:tcPr>
            <w:tcW w:w="0" w:type="auto"/>
            <w:noWrap/>
            <w:vAlign w:val="bottom"/>
            <w:hideMark/>
          </w:tcPr>
          <w:p w14:paraId="61D83418" w14:textId="77777777" w:rsidR="00000000" w:rsidRDefault="00632532">
            <w:pPr>
              <w:pStyle w:val="a3"/>
              <w:spacing w:before="0" w:beforeAutospacing="0" w:after="0" w:afterAutospacing="0"/>
              <w:rPr>
                <w:sz w:val="20"/>
                <w:szCs w:val="20"/>
              </w:rPr>
            </w:pPr>
            <w:r>
              <w:rPr>
                <w:sz w:val="20"/>
                <w:szCs w:val="20"/>
              </w:rPr>
              <w:t> </w:t>
            </w:r>
          </w:p>
        </w:tc>
      </w:tr>
      <w:tr w:rsidR="00000000" w14:paraId="65119053" w14:textId="77777777">
        <w:trPr>
          <w:divId w:val="749043429"/>
          <w:trHeight w:val="200"/>
          <w:tblCellSpacing w:w="15" w:type="dxa"/>
        </w:trPr>
        <w:tc>
          <w:tcPr>
            <w:tcW w:w="0" w:type="auto"/>
            <w:vAlign w:val="bottom"/>
            <w:hideMark/>
          </w:tcPr>
          <w:p w14:paraId="20460570" w14:textId="77777777" w:rsidR="00000000" w:rsidRDefault="00632532">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14:paraId="394B6F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093A50" w14:textId="77777777" w:rsidR="00000000" w:rsidRDefault="00632532">
            <w:pPr>
              <w:pStyle w:val="a3"/>
              <w:spacing w:before="0" w:beforeAutospacing="0" w:after="0" w:afterAutospacing="0"/>
              <w:jc w:val="right"/>
              <w:rPr>
                <w:sz w:val="20"/>
                <w:szCs w:val="20"/>
              </w:rPr>
            </w:pPr>
            <w:r>
              <w:rPr>
                <w:sz w:val="20"/>
                <w:szCs w:val="20"/>
              </w:rPr>
              <w:t>11,09</w:t>
            </w:r>
            <w:r>
              <w:rPr>
                <w:sz w:val="20"/>
                <w:szCs w:val="20"/>
              </w:rPr>
              <w:t>7</w:t>
            </w:r>
          </w:p>
        </w:tc>
        <w:tc>
          <w:tcPr>
            <w:tcW w:w="0" w:type="auto"/>
            <w:noWrap/>
            <w:vAlign w:val="bottom"/>
            <w:hideMark/>
          </w:tcPr>
          <w:p w14:paraId="630ED47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F8FAE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CBE091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6FB8C2" w14:textId="77777777" w:rsidR="00000000" w:rsidRDefault="00632532">
            <w:pPr>
              <w:pStyle w:val="a3"/>
              <w:spacing w:before="0" w:beforeAutospacing="0" w:after="0" w:afterAutospacing="0"/>
              <w:jc w:val="right"/>
              <w:rPr>
                <w:sz w:val="20"/>
                <w:szCs w:val="20"/>
              </w:rPr>
            </w:pPr>
            <w:r>
              <w:rPr>
                <w:sz w:val="20"/>
                <w:szCs w:val="20"/>
              </w:rPr>
              <w:t>6</w:t>
            </w:r>
          </w:p>
        </w:tc>
        <w:tc>
          <w:tcPr>
            <w:tcW w:w="0" w:type="auto"/>
            <w:noWrap/>
            <w:vAlign w:val="bottom"/>
            <w:hideMark/>
          </w:tcPr>
          <w:p w14:paraId="260FB88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427DD6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8658CA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AD12958" w14:textId="77777777" w:rsidR="00000000" w:rsidRDefault="00632532">
            <w:pPr>
              <w:pStyle w:val="a3"/>
              <w:spacing w:before="0" w:beforeAutospacing="0" w:after="0" w:afterAutospacing="0"/>
              <w:jc w:val="right"/>
              <w:rPr>
                <w:sz w:val="20"/>
                <w:szCs w:val="20"/>
              </w:rPr>
            </w:pPr>
            <w:r>
              <w:rPr>
                <w:sz w:val="20"/>
                <w:szCs w:val="20"/>
              </w:rPr>
              <w:t>(</w:t>
            </w:r>
            <w:r>
              <w:rPr>
                <w:sz w:val="20"/>
                <w:szCs w:val="20"/>
              </w:rPr>
              <w:t>20</w:t>
            </w:r>
            <w:r>
              <w:rPr>
                <w:sz w:val="20"/>
                <w:szCs w:val="20"/>
              </w:rPr>
              <w:t>8</w:t>
            </w:r>
          </w:p>
        </w:tc>
        <w:tc>
          <w:tcPr>
            <w:tcW w:w="0" w:type="auto"/>
            <w:noWrap/>
            <w:vAlign w:val="bottom"/>
            <w:hideMark/>
          </w:tcPr>
          <w:p w14:paraId="452C16E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77727D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13FEBA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C400DE7" w14:textId="77777777" w:rsidR="00000000" w:rsidRDefault="00632532">
            <w:pPr>
              <w:pStyle w:val="a3"/>
              <w:spacing w:before="0" w:beforeAutospacing="0" w:after="0" w:afterAutospacing="0"/>
              <w:jc w:val="right"/>
              <w:rPr>
                <w:sz w:val="20"/>
                <w:szCs w:val="20"/>
              </w:rPr>
            </w:pPr>
            <w:r>
              <w:rPr>
                <w:sz w:val="20"/>
                <w:szCs w:val="20"/>
              </w:rPr>
              <w:t>10,89</w:t>
            </w:r>
            <w:r>
              <w:rPr>
                <w:sz w:val="20"/>
                <w:szCs w:val="20"/>
              </w:rPr>
              <w:t>5</w:t>
            </w:r>
          </w:p>
        </w:tc>
        <w:tc>
          <w:tcPr>
            <w:tcW w:w="0" w:type="auto"/>
            <w:noWrap/>
            <w:vAlign w:val="bottom"/>
            <w:hideMark/>
          </w:tcPr>
          <w:p w14:paraId="50624583" w14:textId="77777777" w:rsidR="00000000" w:rsidRDefault="00632532">
            <w:pPr>
              <w:pStyle w:val="a3"/>
              <w:spacing w:before="0" w:beforeAutospacing="0" w:after="0" w:afterAutospacing="0"/>
              <w:rPr>
                <w:sz w:val="20"/>
                <w:szCs w:val="20"/>
              </w:rPr>
            </w:pPr>
            <w:r>
              <w:rPr>
                <w:sz w:val="20"/>
                <w:szCs w:val="20"/>
              </w:rPr>
              <w:t> </w:t>
            </w:r>
          </w:p>
        </w:tc>
      </w:tr>
      <w:tr w:rsidR="00000000" w14:paraId="555EB3AD" w14:textId="77777777">
        <w:trPr>
          <w:divId w:val="749043429"/>
          <w:trHeight w:val="200"/>
          <w:tblCellSpacing w:w="15" w:type="dxa"/>
        </w:trPr>
        <w:tc>
          <w:tcPr>
            <w:tcW w:w="0" w:type="auto"/>
            <w:vAlign w:val="bottom"/>
            <w:hideMark/>
          </w:tcPr>
          <w:p w14:paraId="6DDAA2E8" w14:textId="77777777" w:rsidR="00000000" w:rsidRDefault="00632532">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14:paraId="77A8878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65345F" w14:textId="77777777" w:rsidR="00000000" w:rsidRDefault="00632532">
            <w:pPr>
              <w:pStyle w:val="a3"/>
              <w:spacing w:before="0" w:beforeAutospacing="0" w:after="0" w:afterAutospacing="0"/>
              <w:jc w:val="right"/>
              <w:rPr>
                <w:sz w:val="20"/>
                <w:szCs w:val="20"/>
              </w:rPr>
            </w:pPr>
            <w:r>
              <w:rPr>
                <w:sz w:val="20"/>
                <w:szCs w:val="20"/>
              </w:rPr>
              <w:t>75</w:t>
            </w:r>
            <w:r>
              <w:rPr>
                <w:sz w:val="20"/>
                <w:szCs w:val="20"/>
              </w:rPr>
              <w:t>4</w:t>
            </w:r>
          </w:p>
        </w:tc>
        <w:tc>
          <w:tcPr>
            <w:tcW w:w="0" w:type="auto"/>
            <w:noWrap/>
            <w:vAlign w:val="bottom"/>
            <w:hideMark/>
          </w:tcPr>
          <w:p w14:paraId="2096D5A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58E9FB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B92E11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D2EC01"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2B4AD5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6BC22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904CF5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938079" w14:textId="77777777" w:rsidR="00000000" w:rsidRDefault="00632532">
            <w:pPr>
              <w:pStyle w:val="a3"/>
              <w:spacing w:before="0" w:beforeAutospacing="0" w:after="0" w:afterAutospacing="0"/>
              <w:jc w:val="right"/>
              <w:rPr>
                <w:sz w:val="20"/>
                <w:szCs w:val="20"/>
              </w:rPr>
            </w:pPr>
            <w:r>
              <w:rPr>
                <w:sz w:val="20"/>
                <w:szCs w:val="20"/>
              </w:rPr>
              <w:t>(</w:t>
            </w:r>
            <w:r>
              <w:rPr>
                <w:sz w:val="20"/>
                <w:szCs w:val="20"/>
              </w:rPr>
              <w:t>8</w:t>
            </w:r>
            <w:r>
              <w:rPr>
                <w:sz w:val="20"/>
                <w:szCs w:val="20"/>
              </w:rPr>
              <w:t>0</w:t>
            </w:r>
          </w:p>
        </w:tc>
        <w:tc>
          <w:tcPr>
            <w:tcW w:w="0" w:type="auto"/>
            <w:noWrap/>
            <w:vAlign w:val="bottom"/>
            <w:hideMark/>
          </w:tcPr>
          <w:p w14:paraId="1DB44E1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924A1A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D5B0AB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B7EAE6" w14:textId="77777777" w:rsidR="00000000" w:rsidRDefault="00632532">
            <w:pPr>
              <w:pStyle w:val="a3"/>
              <w:spacing w:before="0" w:beforeAutospacing="0" w:after="0" w:afterAutospacing="0"/>
              <w:jc w:val="right"/>
              <w:rPr>
                <w:sz w:val="20"/>
                <w:szCs w:val="20"/>
              </w:rPr>
            </w:pPr>
            <w:r>
              <w:rPr>
                <w:sz w:val="20"/>
                <w:szCs w:val="20"/>
              </w:rPr>
              <w:t>67</w:t>
            </w:r>
            <w:r>
              <w:rPr>
                <w:sz w:val="20"/>
                <w:szCs w:val="20"/>
              </w:rPr>
              <w:t>4</w:t>
            </w:r>
          </w:p>
        </w:tc>
        <w:tc>
          <w:tcPr>
            <w:tcW w:w="0" w:type="auto"/>
            <w:noWrap/>
            <w:vAlign w:val="bottom"/>
            <w:hideMark/>
          </w:tcPr>
          <w:p w14:paraId="32BB454F" w14:textId="77777777" w:rsidR="00000000" w:rsidRDefault="00632532">
            <w:pPr>
              <w:pStyle w:val="a3"/>
              <w:spacing w:before="0" w:beforeAutospacing="0" w:after="0" w:afterAutospacing="0"/>
              <w:rPr>
                <w:sz w:val="20"/>
                <w:szCs w:val="20"/>
              </w:rPr>
            </w:pPr>
            <w:r>
              <w:rPr>
                <w:sz w:val="20"/>
                <w:szCs w:val="20"/>
              </w:rPr>
              <w:t> </w:t>
            </w:r>
          </w:p>
        </w:tc>
      </w:tr>
      <w:tr w:rsidR="00000000" w14:paraId="6B2FC2B8" w14:textId="77777777">
        <w:trPr>
          <w:divId w:val="749043429"/>
          <w:trHeight w:val="200"/>
          <w:tblCellSpacing w:w="15" w:type="dxa"/>
        </w:trPr>
        <w:tc>
          <w:tcPr>
            <w:tcW w:w="0" w:type="auto"/>
            <w:vAlign w:val="bottom"/>
            <w:hideMark/>
          </w:tcPr>
          <w:p w14:paraId="2D1FD4BB" w14:textId="77777777" w:rsidR="00000000" w:rsidRDefault="00632532">
            <w:pPr>
              <w:pStyle w:val="a3"/>
              <w:spacing w:before="0" w:beforeAutospacing="0" w:after="0" w:afterAutospacing="0"/>
              <w:ind w:left="600"/>
              <w:rPr>
                <w:sz w:val="20"/>
                <w:szCs w:val="20"/>
              </w:rPr>
            </w:pPr>
            <w:r>
              <w:rPr>
                <w:sz w:val="20"/>
                <w:szCs w:val="20"/>
              </w:rPr>
              <w:t>Total debt securities due after 1 year through 5 year</w:t>
            </w:r>
            <w:r>
              <w:rPr>
                <w:sz w:val="20"/>
                <w:szCs w:val="20"/>
              </w:rPr>
              <w:t>s</w:t>
            </w:r>
          </w:p>
        </w:tc>
        <w:tc>
          <w:tcPr>
            <w:tcW w:w="0" w:type="auto"/>
            <w:noWrap/>
            <w:vAlign w:val="bottom"/>
            <w:hideMark/>
          </w:tcPr>
          <w:p w14:paraId="3930DE7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2D2DDC9" w14:textId="77777777" w:rsidR="00000000" w:rsidRDefault="00632532">
            <w:pPr>
              <w:pStyle w:val="a3"/>
              <w:spacing w:before="0" w:beforeAutospacing="0" w:after="0" w:afterAutospacing="0"/>
              <w:jc w:val="right"/>
              <w:rPr>
                <w:sz w:val="20"/>
                <w:szCs w:val="20"/>
              </w:rPr>
            </w:pPr>
            <w:r>
              <w:rPr>
                <w:sz w:val="20"/>
                <w:szCs w:val="20"/>
              </w:rPr>
              <w:t>424,98</w:t>
            </w:r>
            <w:r>
              <w:rPr>
                <w:sz w:val="20"/>
                <w:szCs w:val="20"/>
              </w:rPr>
              <w:t>3</w:t>
            </w:r>
          </w:p>
        </w:tc>
        <w:tc>
          <w:tcPr>
            <w:tcW w:w="0" w:type="auto"/>
            <w:noWrap/>
            <w:vAlign w:val="bottom"/>
            <w:hideMark/>
          </w:tcPr>
          <w:p w14:paraId="0E93331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01C201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207322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1BACF4" w14:textId="77777777" w:rsidR="00000000" w:rsidRDefault="00632532">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14:paraId="75C6DB9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8E4011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E0B586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4A4678" w14:textId="77777777" w:rsidR="00000000" w:rsidRDefault="00632532">
            <w:pPr>
              <w:pStyle w:val="a3"/>
              <w:spacing w:before="0" w:beforeAutospacing="0" w:after="0" w:afterAutospacing="0"/>
              <w:jc w:val="right"/>
              <w:rPr>
                <w:sz w:val="20"/>
                <w:szCs w:val="20"/>
              </w:rPr>
            </w:pPr>
            <w:r>
              <w:rPr>
                <w:sz w:val="20"/>
                <w:szCs w:val="20"/>
              </w:rPr>
              <w:t>(</w:t>
            </w:r>
            <w:r>
              <w:rPr>
                <w:sz w:val="20"/>
                <w:szCs w:val="20"/>
              </w:rPr>
              <w:t>15,38</w:t>
            </w:r>
            <w:r>
              <w:rPr>
                <w:sz w:val="20"/>
                <w:szCs w:val="20"/>
              </w:rPr>
              <w:t>3</w:t>
            </w:r>
          </w:p>
        </w:tc>
        <w:tc>
          <w:tcPr>
            <w:tcW w:w="0" w:type="auto"/>
            <w:noWrap/>
            <w:vAlign w:val="bottom"/>
            <w:hideMark/>
          </w:tcPr>
          <w:p w14:paraId="107E638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BBC13A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94A7B3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9665B8E" w14:textId="77777777" w:rsidR="00000000" w:rsidRDefault="00632532">
            <w:pPr>
              <w:pStyle w:val="a3"/>
              <w:spacing w:before="0" w:beforeAutospacing="0" w:after="0" w:afterAutospacing="0"/>
              <w:jc w:val="right"/>
              <w:rPr>
                <w:sz w:val="20"/>
                <w:szCs w:val="20"/>
              </w:rPr>
            </w:pPr>
            <w:r>
              <w:rPr>
                <w:sz w:val="20"/>
                <w:szCs w:val="20"/>
              </w:rPr>
              <w:t>409,62</w:t>
            </w:r>
            <w:r>
              <w:rPr>
                <w:sz w:val="20"/>
                <w:szCs w:val="20"/>
              </w:rPr>
              <w:t>1</w:t>
            </w:r>
          </w:p>
        </w:tc>
        <w:tc>
          <w:tcPr>
            <w:tcW w:w="0" w:type="auto"/>
            <w:noWrap/>
            <w:vAlign w:val="bottom"/>
            <w:hideMark/>
          </w:tcPr>
          <w:p w14:paraId="06D31741" w14:textId="77777777" w:rsidR="00000000" w:rsidRDefault="00632532">
            <w:pPr>
              <w:pStyle w:val="a3"/>
              <w:spacing w:before="0" w:beforeAutospacing="0" w:after="0" w:afterAutospacing="0"/>
              <w:rPr>
                <w:sz w:val="20"/>
                <w:szCs w:val="20"/>
              </w:rPr>
            </w:pPr>
            <w:r>
              <w:rPr>
                <w:sz w:val="20"/>
                <w:szCs w:val="20"/>
              </w:rPr>
              <w:t> </w:t>
            </w:r>
          </w:p>
        </w:tc>
      </w:tr>
      <w:tr w:rsidR="00000000" w14:paraId="0564D9EE" w14:textId="77777777">
        <w:trPr>
          <w:divId w:val="749043429"/>
          <w:trHeight w:val="200"/>
          <w:tblCellSpacing w:w="15" w:type="dxa"/>
        </w:trPr>
        <w:tc>
          <w:tcPr>
            <w:tcW w:w="0" w:type="auto"/>
            <w:vAlign w:val="bottom"/>
            <w:hideMark/>
          </w:tcPr>
          <w:p w14:paraId="224E1032" w14:textId="77777777" w:rsidR="00000000" w:rsidRDefault="00632532">
            <w:pPr>
              <w:pStyle w:val="a3"/>
              <w:spacing w:before="0" w:beforeAutospacing="0" w:after="0" w:afterAutospacing="0"/>
              <w:ind w:left="200"/>
              <w:rPr>
                <w:sz w:val="20"/>
                <w:szCs w:val="20"/>
              </w:rPr>
            </w:pPr>
            <w:r>
              <w:rPr>
                <w:sz w:val="20"/>
                <w:szCs w:val="20"/>
              </w:rPr>
              <w:t>After 5 years through 10 year</w:t>
            </w:r>
            <w:r>
              <w:rPr>
                <w:sz w:val="20"/>
                <w:szCs w:val="20"/>
              </w:rPr>
              <w:t>s</w:t>
            </w:r>
          </w:p>
        </w:tc>
        <w:tc>
          <w:tcPr>
            <w:tcW w:w="0" w:type="auto"/>
            <w:gridSpan w:val="2"/>
            <w:vAlign w:val="bottom"/>
            <w:hideMark/>
          </w:tcPr>
          <w:p w14:paraId="27D011A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42E69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946F3E"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A7C6F4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C58A6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F5C41B4"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151628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3D50C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508836"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5863B2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997F37C" w14:textId="77777777" w:rsidR="00000000" w:rsidRDefault="00632532">
            <w:pPr>
              <w:pStyle w:val="a3"/>
              <w:spacing w:before="0" w:beforeAutospacing="0" w:after="0" w:afterAutospacing="0"/>
              <w:rPr>
                <w:sz w:val="20"/>
                <w:szCs w:val="20"/>
              </w:rPr>
            </w:pPr>
            <w:r>
              <w:rPr>
                <w:sz w:val="20"/>
                <w:szCs w:val="20"/>
              </w:rPr>
              <w:t> </w:t>
            </w:r>
          </w:p>
        </w:tc>
      </w:tr>
      <w:tr w:rsidR="00000000" w14:paraId="0A957AC9" w14:textId="77777777">
        <w:trPr>
          <w:divId w:val="749043429"/>
          <w:trHeight w:val="200"/>
          <w:tblCellSpacing w:w="15" w:type="dxa"/>
        </w:trPr>
        <w:tc>
          <w:tcPr>
            <w:tcW w:w="0" w:type="auto"/>
            <w:vAlign w:val="bottom"/>
            <w:hideMark/>
          </w:tcPr>
          <w:p w14:paraId="090938EF" w14:textId="77777777" w:rsidR="00000000" w:rsidRDefault="00632532">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14:paraId="41D9E88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B9D290" w14:textId="77777777" w:rsidR="00000000" w:rsidRDefault="00632532">
            <w:pPr>
              <w:pStyle w:val="a3"/>
              <w:spacing w:before="0" w:beforeAutospacing="0" w:after="0" w:afterAutospacing="0"/>
              <w:jc w:val="right"/>
              <w:rPr>
                <w:sz w:val="20"/>
                <w:szCs w:val="20"/>
              </w:rPr>
            </w:pPr>
            <w:r>
              <w:rPr>
                <w:sz w:val="20"/>
                <w:szCs w:val="20"/>
              </w:rPr>
              <w:t>6,17</w:t>
            </w:r>
            <w:r>
              <w:rPr>
                <w:sz w:val="20"/>
                <w:szCs w:val="20"/>
              </w:rPr>
              <w:t>2</w:t>
            </w:r>
          </w:p>
        </w:tc>
        <w:tc>
          <w:tcPr>
            <w:tcW w:w="0" w:type="auto"/>
            <w:noWrap/>
            <w:vAlign w:val="bottom"/>
            <w:hideMark/>
          </w:tcPr>
          <w:p w14:paraId="76CFCA8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C98C22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B5D45C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4AEDE9"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995DED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926D6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D7B714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B512AD" w14:textId="77777777" w:rsidR="00000000" w:rsidRDefault="00632532">
            <w:pPr>
              <w:pStyle w:val="a3"/>
              <w:spacing w:before="0" w:beforeAutospacing="0" w:after="0" w:afterAutospacing="0"/>
              <w:jc w:val="right"/>
              <w:rPr>
                <w:sz w:val="20"/>
                <w:szCs w:val="20"/>
              </w:rPr>
            </w:pPr>
            <w:r>
              <w:rPr>
                <w:sz w:val="20"/>
                <w:szCs w:val="20"/>
              </w:rPr>
              <w:t>(</w:t>
            </w:r>
            <w:r>
              <w:rPr>
                <w:sz w:val="20"/>
                <w:szCs w:val="20"/>
              </w:rPr>
              <w:t>17</w:t>
            </w:r>
            <w:r>
              <w:rPr>
                <w:sz w:val="20"/>
                <w:szCs w:val="20"/>
              </w:rPr>
              <w:t>2</w:t>
            </w:r>
          </w:p>
        </w:tc>
        <w:tc>
          <w:tcPr>
            <w:tcW w:w="0" w:type="auto"/>
            <w:noWrap/>
            <w:vAlign w:val="bottom"/>
            <w:hideMark/>
          </w:tcPr>
          <w:p w14:paraId="749A299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939C51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84BEC2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AEC532" w14:textId="77777777" w:rsidR="00000000" w:rsidRDefault="00632532">
            <w:pPr>
              <w:pStyle w:val="a3"/>
              <w:spacing w:before="0" w:beforeAutospacing="0" w:after="0" w:afterAutospacing="0"/>
              <w:jc w:val="right"/>
              <w:rPr>
                <w:sz w:val="20"/>
                <w:szCs w:val="20"/>
              </w:rPr>
            </w:pPr>
            <w:r>
              <w:rPr>
                <w:sz w:val="20"/>
                <w:szCs w:val="20"/>
              </w:rPr>
              <w:t>6,00</w:t>
            </w:r>
            <w:r>
              <w:rPr>
                <w:sz w:val="20"/>
                <w:szCs w:val="20"/>
              </w:rPr>
              <w:t>0</w:t>
            </w:r>
          </w:p>
        </w:tc>
        <w:tc>
          <w:tcPr>
            <w:tcW w:w="0" w:type="auto"/>
            <w:noWrap/>
            <w:vAlign w:val="bottom"/>
            <w:hideMark/>
          </w:tcPr>
          <w:p w14:paraId="52CFD7C5" w14:textId="77777777" w:rsidR="00000000" w:rsidRDefault="00632532">
            <w:pPr>
              <w:pStyle w:val="a3"/>
              <w:spacing w:before="0" w:beforeAutospacing="0" w:after="0" w:afterAutospacing="0"/>
              <w:rPr>
                <w:sz w:val="20"/>
                <w:szCs w:val="20"/>
              </w:rPr>
            </w:pPr>
            <w:r>
              <w:rPr>
                <w:sz w:val="20"/>
                <w:szCs w:val="20"/>
              </w:rPr>
              <w:t> </w:t>
            </w:r>
          </w:p>
        </w:tc>
      </w:tr>
      <w:tr w:rsidR="00000000" w14:paraId="76D19A2B" w14:textId="77777777">
        <w:trPr>
          <w:divId w:val="749043429"/>
          <w:trHeight w:val="200"/>
          <w:tblCellSpacing w:w="15" w:type="dxa"/>
        </w:trPr>
        <w:tc>
          <w:tcPr>
            <w:tcW w:w="0" w:type="auto"/>
            <w:vAlign w:val="bottom"/>
            <w:hideMark/>
          </w:tcPr>
          <w:p w14:paraId="239418CF" w14:textId="77777777" w:rsidR="00000000" w:rsidRDefault="00632532">
            <w:pPr>
              <w:pStyle w:val="a3"/>
              <w:spacing w:before="0" w:beforeAutospacing="0" w:after="0" w:afterAutospacing="0"/>
              <w:ind w:left="400"/>
              <w:rPr>
                <w:sz w:val="20"/>
                <w:szCs w:val="20"/>
              </w:rPr>
            </w:pPr>
            <w:r>
              <w:rPr>
                <w:sz w:val="20"/>
                <w:szCs w:val="20"/>
              </w:rPr>
              <w:t>Redeemable preferred stock investmen</w:t>
            </w:r>
            <w:r>
              <w:rPr>
                <w:sz w:val="20"/>
                <w:szCs w:val="20"/>
              </w:rPr>
              <w:t>t</w:t>
            </w:r>
          </w:p>
        </w:tc>
        <w:tc>
          <w:tcPr>
            <w:tcW w:w="0" w:type="auto"/>
            <w:noWrap/>
            <w:vAlign w:val="bottom"/>
            <w:hideMark/>
          </w:tcPr>
          <w:p w14:paraId="038881F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6EF70A6" w14:textId="77777777" w:rsidR="00000000" w:rsidRDefault="00632532">
            <w:pPr>
              <w:pStyle w:val="a3"/>
              <w:spacing w:before="0" w:beforeAutospacing="0" w:after="0" w:afterAutospacing="0"/>
              <w:jc w:val="right"/>
              <w:rPr>
                <w:sz w:val="20"/>
                <w:szCs w:val="20"/>
              </w:rPr>
            </w:pPr>
            <w:r>
              <w:rPr>
                <w:sz w:val="20"/>
                <w:szCs w:val="20"/>
              </w:rPr>
              <w:t>20,00</w:t>
            </w:r>
            <w:r>
              <w:rPr>
                <w:sz w:val="20"/>
                <w:szCs w:val="20"/>
              </w:rPr>
              <w:t>0</w:t>
            </w:r>
          </w:p>
        </w:tc>
        <w:tc>
          <w:tcPr>
            <w:tcW w:w="0" w:type="auto"/>
            <w:noWrap/>
            <w:vAlign w:val="bottom"/>
            <w:hideMark/>
          </w:tcPr>
          <w:p w14:paraId="4AC14A7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51F5D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7503D2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47B0B4"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552BC8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18AB9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77C94E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6A41B5" w14:textId="77777777" w:rsidR="00000000" w:rsidRDefault="00632532">
            <w:pPr>
              <w:pStyle w:val="a3"/>
              <w:spacing w:before="0" w:beforeAutospacing="0" w:after="0" w:afterAutospacing="0"/>
              <w:jc w:val="right"/>
              <w:rPr>
                <w:sz w:val="20"/>
                <w:szCs w:val="20"/>
              </w:rPr>
            </w:pPr>
            <w:r>
              <w:rPr>
                <w:sz w:val="20"/>
                <w:szCs w:val="20"/>
              </w:rPr>
              <w:t>(</w:t>
            </w:r>
            <w:r>
              <w:rPr>
                <w:sz w:val="20"/>
                <w:szCs w:val="20"/>
              </w:rPr>
              <w:t>8,01</w:t>
            </w:r>
            <w:r>
              <w:rPr>
                <w:sz w:val="20"/>
                <w:szCs w:val="20"/>
              </w:rPr>
              <w:t>9</w:t>
            </w:r>
          </w:p>
        </w:tc>
        <w:tc>
          <w:tcPr>
            <w:tcW w:w="0" w:type="auto"/>
            <w:noWrap/>
            <w:vAlign w:val="bottom"/>
            <w:hideMark/>
          </w:tcPr>
          <w:p w14:paraId="54678F0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3E6C3F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6F83B4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C064817" w14:textId="77777777" w:rsidR="00000000" w:rsidRDefault="00632532">
            <w:pPr>
              <w:pStyle w:val="a3"/>
              <w:spacing w:before="0" w:beforeAutospacing="0" w:after="0" w:afterAutospacing="0"/>
              <w:jc w:val="right"/>
              <w:rPr>
                <w:sz w:val="20"/>
                <w:szCs w:val="20"/>
              </w:rPr>
            </w:pPr>
            <w:r>
              <w:rPr>
                <w:sz w:val="20"/>
                <w:szCs w:val="20"/>
              </w:rPr>
              <w:t>11,98</w:t>
            </w:r>
            <w:r>
              <w:rPr>
                <w:sz w:val="20"/>
                <w:szCs w:val="20"/>
              </w:rPr>
              <w:t>1</w:t>
            </w:r>
          </w:p>
        </w:tc>
        <w:tc>
          <w:tcPr>
            <w:tcW w:w="0" w:type="auto"/>
            <w:noWrap/>
            <w:vAlign w:val="bottom"/>
            <w:hideMark/>
          </w:tcPr>
          <w:p w14:paraId="78087085" w14:textId="77777777" w:rsidR="00000000" w:rsidRDefault="00632532">
            <w:pPr>
              <w:pStyle w:val="a3"/>
              <w:spacing w:before="0" w:beforeAutospacing="0" w:after="0" w:afterAutospacing="0"/>
              <w:rPr>
                <w:sz w:val="20"/>
                <w:szCs w:val="20"/>
              </w:rPr>
            </w:pPr>
            <w:r>
              <w:rPr>
                <w:sz w:val="20"/>
                <w:szCs w:val="20"/>
              </w:rPr>
              <w:t> </w:t>
            </w:r>
          </w:p>
        </w:tc>
      </w:tr>
      <w:tr w:rsidR="00000000" w14:paraId="637F0D98" w14:textId="77777777">
        <w:trPr>
          <w:divId w:val="749043429"/>
          <w:trHeight w:val="200"/>
          <w:tblCellSpacing w:w="15" w:type="dxa"/>
        </w:trPr>
        <w:tc>
          <w:tcPr>
            <w:tcW w:w="0" w:type="auto"/>
            <w:vAlign w:val="bottom"/>
            <w:hideMark/>
          </w:tcPr>
          <w:p w14:paraId="62146D90" w14:textId="77777777" w:rsidR="00000000" w:rsidRDefault="00632532">
            <w:pPr>
              <w:pStyle w:val="a3"/>
              <w:spacing w:before="0" w:beforeAutospacing="0" w:after="0" w:afterAutospacing="0"/>
              <w:ind w:left="600"/>
              <w:rPr>
                <w:sz w:val="20"/>
                <w:szCs w:val="20"/>
              </w:rPr>
            </w:pPr>
            <w:r>
              <w:rPr>
                <w:sz w:val="20"/>
                <w:szCs w:val="20"/>
              </w:rPr>
              <w:t>Total debt securities due after 5 years through 10 year</w:t>
            </w:r>
            <w:r>
              <w:rPr>
                <w:sz w:val="20"/>
                <w:szCs w:val="20"/>
              </w:rPr>
              <w:t>s</w:t>
            </w:r>
          </w:p>
        </w:tc>
        <w:tc>
          <w:tcPr>
            <w:tcW w:w="0" w:type="auto"/>
            <w:noWrap/>
            <w:vAlign w:val="bottom"/>
            <w:hideMark/>
          </w:tcPr>
          <w:p w14:paraId="44BC169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BB5A32" w14:textId="77777777" w:rsidR="00000000" w:rsidRDefault="00632532">
            <w:pPr>
              <w:pStyle w:val="a3"/>
              <w:spacing w:before="0" w:beforeAutospacing="0" w:after="0" w:afterAutospacing="0"/>
              <w:jc w:val="right"/>
              <w:rPr>
                <w:sz w:val="20"/>
                <w:szCs w:val="20"/>
              </w:rPr>
            </w:pPr>
            <w:r>
              <w:rPr>
                <w:sz w:val="20"/>
                <w:szCs w:val="20"/>
              </w:rPr>
              <w:t>26,17</w:t>
            </w:r>
            <w:r>
              <w:rPr>
                <w:sz w:val="20"/>
                <w:szCs w:val="20"/>
              </w:rPr>
              <w:t>2</w:t>
            </w:r>
          </w:p>
        </w:tc>
        <w:tc>
          <w:tcPr>
            <w:tcW w:w="0" w:type="auto"/>
            <w:noWrap/>
            <w:vAlign w:val="bottom"/>
            <w:hideMark/>
          </w:tcPr>
          <w:p w14:paraId="74802AF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3FD613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A87047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C458AD"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6F8AA4D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E2843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0F780D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173EF4" w14:textId="77777777" w:rsidR="00000000" w:rsidRDefault="00632532">
            <w:pPr>
              <w:pStyle w:val="a3"/>
              <w:spacing w:before="0" w:beforeAutospacing="0" w:after="0" w:afterAutospacing="0"/>
              <w:jc w:val="right"/>
              <w:rPr>
                <w:sz w:val="20"/>
                <w:szCs w:val="20"/>
              </w:rPr>
            </w:pPr>
            <w:r>
              <w:rPr>
                <w:sz w:val="20"/>
                <w:szCs w:val="20"/>
              </w:rPr>
              <w:t>(</w:t>
            </w:r>
            <w:r>
              <w:rPr>
                <w:sz w:val="20"/>
                <w:szCs w:val="20"/>
              </w:rPr>
              <w:t>8,19</w:t>
            </w:r>
            <w:r>
              <w:rPr>
                <w:sz w:val="20"/>
                <w:szCs w:val="20"/>
              </w:rPr>
              <w:t>1</w:t>
            </w:r>
          </w:p>
        </w:tc>
        <w:tc>
          <w:tcPr>
            <w:tcW w:w="0" w:type="auto"/>
            <w:noWrap/>
            <w:vAlign w:val="bottom"/>
            <w:hideMark/>
          </w:tcPr>
          <w:p w14:paraId="30D6F7F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1F3E36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468898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705A47" w14:textId="77777777" w:rsidR="00000000" w:rsidRDefault="00632532">
            <w:pPr>
              <w:pStyle w:val="a3"/>
              <w:spacing w:before="0" w:beforeAutospacing="0" w:after="0" w:afterAutospacing="0"/>
              <w:jc w:val="right"/>
              <w:rPr>
                <w:sz w:val="20"/>
                <w:szCs w:val="20"/>
              </w:rPr>
            </w:pPr>
            <w:r>
              <w:rPr>
                <w:sz w:val="20"/>
                <w:szCs w:val="20"/>
              </w:rPr>
              <w:t>17,98</w:t>
            </w:r>
            <w:r>
              <w:rPr>
                <w:sz w:val="20"/>
                <w:szCs w:val="20"/>
              </w:rPr>
              <w:t>1</w:t>
            </w:r>
          </w:p>
        </w:tc>
        <w:tc>
          <w:tcPr>
            <w:tcW w:w="0" w:type="auto"/>
            <w:noWrap/>
            <w:vAlign w:val="bottom"/>
            <w:hideMark/>
          </w:tcPr>
          <w:p w14:paraId="66444103" w14:textId="77777777" w:rsidR="00000000" w:rsidRDefault="00632532">
            <w:pPr>
              <w:pStyle w:val="a3"/>
              <w:spacing w:before="0" w:beforeAutospacing="0" w:after="0" w:afterAutospacing="0"/>
              <w:rPr>
                <w:sz w:val="20"/>
                <w:szCs w:val="20"/>
              </w:rPr>
            </w:pPr>
            <w:r>
              <w:rPr>
                <w:sz w:val="20"/>
                <w:szCs w:val="20"/>
              </w:rPr>
              <w:t> </w:t>
            </w:r>
          </w:p>
        </w:tc>
      </w:tr>
      <w:tr w:rsidR="00000000" w14:paraId="79052F97" w14:textId="77777777">
        <w:trPr>
          <w:divId w:val="749043429"/>
          <w:trHeight w:val="200"/>
          <w:tblCellSpacing w:w="15" w:type="dxa"/>
        </w:trPr>
        <w:tc>
          <w:tcPr>
            <w:tcW w:w="0" w:type="auto"/>
            <w:vAlign w:val="bottom"/>
            <w:hideMark/>
          </w:tcPr>
          <w:p w14:paraId="1C396394" w14:textId="77777777" w:rsidR="00000000" w:rsidRDefault="00632532">
            <w:pPr>
              <w:pStyle w:val="a3"/>
              <w:spacing w:before="0" w:beforeAutospacing="0" w:after="0" w:afterAutospacing="0"/>
              <w:ind w:left="800"/>
              <w:rPr>
                <w:sz w:val="20"/>
                <w:szCs w:val="20"/>
              </w:rPr>
            </w:pPr>
            <w:r>
              <w:rPr>
                <w:sz w:val="20"/>
                <w:szCs w:val="20"/>
              </w:rPr>
              <w:t>Total available-for-sale debt securitie</w:t>
            </w:r>
            <w:r>
              <w:rPr>
                <w:sz w:val="20"/>
                <w:szCs w:val="20"/>
              </w:rPr>
              <w:t>s</w:t>
            </w:r>
          </w:p>
        </w:tc>
        <w:tc>
          <w:tcPr>
            <w:tcW w:w="0" w:type="auto"/>
            <w:noWrap/>
            <w:vAlign w:val="bottom"/>
            <w:hideMark/>
          </w:tcPr>
          <w:p w14:paraId="60ADD2B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778DDC5" w14:textId="77777777" w:rsidR="00000000" w:rsidRDefault="00632532">
            <w:pPr>
              <w:pStyle w:val="a3"/>
              <w:spacing w:before="0" w:beforeAutospacing="0" w:after="0" w:afterAutospacing="0"/>
              <w:jc w:val="right"/>
              <w:rPr>
                <w:sz w:val="20"/>
                <w:szCs w:val="20"/>
              </w:rPr>
            </w:pPr>
            <w:r>
              <w:rPr>
                <w:sz w:val="20"/>
                <w:szCs w:val="20"/>
              </w:rPr>
              <w:t>831,79</w:t>
            </w:r>
            <w:r>
              <w:rPr>
                <w:sz w:val="20"/>
                <w:szCs w:val="20"/>
              </w:rPr>
              <w:t>5</w:t>
            </w:r>
          </w:p>
        </w:tc>
        <w:tc>
          <w:tcPr>
            <w:tcW w:w="0" w:type="auto"/>
            <w:noWrap/>
            <w:vAlign w:val="bottom"/>
            <w:hideMark/>
          </w:tcPr>
          <w:p w14:paraId="42E07FA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8DB5C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C848A0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3AF5753" w14:textId="77777777" w:rsidR="00000000" w:rsidRDefault="00632532">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14:paraId="08B5FAE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66102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E87A66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5069FC6" w14:textId="77777777" w:rsidR="00000000" w:rsidRDefault="00632532">
            <w:pPr>
              <w:pStyle w:val="a3"/>
              <w:spacing w:before="0" w:beforeAutospacing="0" w:after="0" w:afterAutospacing="0"/>
              <w:jc w:val="right"/>
              <w:rPr>
                <w:sz w:val="20"/>
                <w:szCs w:val="20"/>
              </w:rPr>
            </w:pPr>
            <w:r>
              <w:rPr>
                <w:sz w:val="20"/>
                <w:szCs w:val="20"/>
              </w:rPr>
              <w:t>(</w:t>
            </w:r>
            <w:r>
              <w:rPr>
                <w:sz w:val="20"/>
                <w:szCs w:val="20"/>
              </w:rPr>
              <w:t>27,59</w:t>
            </w:r>
            <w:r>
              <w:rPr>
                <w:sz w:val="20"/>
                <w:szCs w:val="20"/>
              </w:rPr>
              <w:t>2</w:t>
            </w:r>
          </w:p>
        </w:tc>
        <w:tc>
          <w:tcPr>
            <w:tcW w:w="0" w:type="auto"/>
            <w:noWrap/>
            <w:vAlign w:val="bottom"/>
            <w:hideMark/>
          </w:tcPr>
          <w:p w14:paraId="6A2C1BC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933CCD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345F22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D6795C9" w14:textId="77777777" w:rsidR="00000000" w:rsidRDefault="00632532">
            <w:pPr>
              <w:pStyle w:val="a3"/>
              <w:spacing w:before="0" w:beforeAutospacing="0" w:after="0" w:afterAutospacing="0"/>
              <w:jc w:val="right"/>
              <w:rPr>
                <w:sz w:val="20"/>
                <w:szCs w:val="20"/>
              </w:rPr>
            </w:pPr>
            <w:r>
              <w:rPr>
                <w:sz w:val="20"/>
                <w:szCs w:val="20"/>
              </w:rPr>
              <w:t>804,22</w:t>
            </w:r>
            <w:r>
              <w:rPr>
                <w:sz w:val="20"/>
                <w:szCs w:val="20"/>
              </w:rPr>
              <w:t>4</w:t>
            </w:r>
          </w:p>
        </w:tc>
        <w:tc>
          <w:tcPr>
            <w:tcW w:w="0" w:type="auto"/>
            <w:noWrap/>
            <w:vAlign w:val="bottom"/>
            <w:hideMark/>
          </w:tcPr>
          <w:p w14:paraId="09EA3523" w14:textId="77777777" w:rsidR="00000000" w:rsidRDefault="00632532">
            <w:pPr>
              <w:pStyle w:val="a3"/>
              <w:spacing w:before="0" w:beforeAutospacing="0" w:after="0" w:afterAutospacing="0"/>
              <w:rPr>
                <w:sz w:val="20"/>
                <w:szCs w:val="20"/>
              </w:rPr>
            </w:pPr>
            <w:r>
              <w:rPr>
                <w:sz w:val="20"/>
                <w:szCs w:val="20"/>
              </w:rPr>
              <w:t> </w:t>
            </w:r>
          </w:p>
        </w:tc>
      </w:tr>
      <w:tr w:rsidR="00000000" w14:paraId="4021DC9A" w14:textId="77777777">
        <w:trPr>
          <w:divId w:val="749043429"/>
          <w:trHeight w:val="200"/>
          <w:tblCellSpacing w:w="15" w:type="dxa"/>
        </w:trPr>
        <w:tc>
          <w:tcPr>
            <w:tcW w:w="0" w:type="auto"/>
            <w:vAlign w:val="bottom"/>
            <w:hideMark/>
          </w:tcPr>
          <w:p w14:paraId="56FFB6AE" w14:textId="77777777" w:rsidR="00000000" w:rsidRDefault="00632532">
            <w:pPr>
              <w:pStyle w:val="a3"/>
              <w:spacing w:before="0" w:beforeAutospacing="0" w:after="0" w:afterAutospacing="0"/>
              <w:ind w:left="800"/>
              <w:rPr>
                <w:sz w:val="20"/>
                <w:szCs w:val="20"/>
              </w:rPr>
            </w:pPr>
            <w:r>
              <w:rPr>
                <w:sz w:val="20"/>
                <w:szCs w:val="20"/>
              </w:rPr>
              <w:t>Total equity and debt securitie</w:t>
            </w:r>
            <w:r>
              <w:rPr>
                <w:sz w:val="20"/>
                <w:szCs w:val="20"/>
              </w:rPr>
              <w:t>s</w:t>
            </w:r>
          </w:p>
        </w:tc>
        <w:tc>
          <w:tcPr>
            <w:tcW w:w="0" w:type="auto"/>
            <w:noWrap/>
            <w:vAlign w:val="bottom"/>
            <w:hideMark/>
          </w:tcPr>
          <w:p w14:paraId="2B1010B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25F3991" w14:textId="77777777" w:rsidR="00000000" w:rsidRDefault="00632532">
            <w:pPr>
              <w:pStyle w:val="a3"/>
              <w:spacing w:before="0" w:beforeAutospacing="0" w:after="0" w:afterAutospacing="0"/>
              <w:jc w:val="right"/>
              <w:rPr>
                <w:sz w:val="20"/>
                <w:szCs w:val="20"/>
              </w:rPr>
            </w:pPr>
            <w:r>
              <w:rPr>
                <w:sz w:val="20"/>
                <w:szCs w:val="20"/>
              </w:rPr>
              <w:t>846,79</w:t>
            </w:r>
            <w:r>
              <w:rPr>
                <w:sz w:val="20"/>
                <w:szCs w:val="20"/>
              </w:rPr>
              <w:t>5</w:t>
            </w:r>
          </w:p>
        </w:tc>
        <w:tc>
          <w:tcPr>
            <w:tcW w:w="0" w:type="auto"/>
            <w:noWrap/>
            <w:vAlign w:val="bottom"/>
            <w:hideMark/>
          </w:tcPr>
          <w:p w14:paraId="3A3042C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87E6A4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4BF7F5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18598EE" w14:textId="77777777" w:rsidR="00000000" w:rsidRDefault="00632532">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14:paraId="0D48B84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D16EA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28DE83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9132629" w14:textId="77777777" w:rsidR="00000000" w:rsidRDefault="00632532">
            <w:pPr>
              <w:pStyle w:val="a3"/>
              <w:spacing w:before="0" w:beforeAutospacing="0" w:after="0" w:afterAutospacing="0"/>
              <w:jc w:val="right"/>
              <w:rPr>
                <w:sz w:val="20"/>
                <w:szCs w:val="20"/>
              </w:rPr>
            </w:pPr>
            <w:r>
              <w:rPr>
                <w:sz w:val="20"/>
                <w:szCs w:val="20"/>
              </w:rPr>
              <w:t>(</w:t>
            </w:r>
            <w:r>
              <w:rPr>
                <w:sz w:val="20"/>
                <w:szCs w:val="20"/>
              </w:rPr>
              <w:t>27,59</w:t>
            </w:r>
            <w:r>
              <w:rPr>
                <w:sz w:val="20"/>
                <w:szCs w:val="20"/>
              </w:rPr>
              <w:t>2</w:t>
            </w:r>
          </w:p>
        </w:tc>
        <w:tc>
          <w:tcPr>
            <w:tcW w:w="0" w:type="auto"/>
            <w:noWrap/>
            <w:vAlign w:val="bottom"/>
            <w:hideMark/>
          </w:tcPr>
          <w:p w14:paraId="3EAB96A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7BEB75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A8C736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934E8E1" w14:textId="77777777" w:rsidR="00000000" w:rsidRDefault="00632532">
            <w:pPr>
              <w:pStyle w:val="a3"/>
              <w:spacing w:before="0" w:beforeAutospacing="0" w:after="0" w:afterAutospacing="0"/>
              <w:jc w:val="right"/>
              <w:rPr>
                <w:sz w:val="20"/>
                <w:szCs w:val="20"/>
              </w:rPr>
            </w:pPr>
            <w:r>
              <w:rPr>
                <w:sz w:val="20"/>
                <w:szCs w:val="20"/>
              </w:rPr>
              <w:t>819,22</w:t>
            </w:r>
            <w:r>
              <w:rPr>
                <w:sz w:val="20"/>
                <w:szCs w:val="20"/>
              </w:rPr>
              <w:t>4</w:t>
            </w:r>
          </w:p>
        </w:tc>
        <w:tc>
          <w:tcPr>
            <w:tcW w:w="0" w:type="auto"/>
            <w:noWrap/>
            <w:vAlign w:val="bottom"/>
            <w:hideMark/>
          </w:tcPr>
          <w:p w14:paraId="4DD6AFC4" w14:textId="77777777" w:rsidR="00000000" w:rsidRDefault="00632532">
            <w:pPr>
              <w:pStyle w:val="a3"/>
              <w:spacing w:before="0" w:beforeAutospacing="0" w:after="0" w:afterAutospacing="0"/>
              <w:rPr>
                <w:sz w:val="20"/>
                <w:szCs w:val="20"/>
              </w:rPr>
            </w:pPr>
            <w:r>
              <w:rPr>
                <w:sz w:val="20"/>
                <w:szCs w:val="20"/>
              </w:rPr>
              <w:t> </w:t>
            </w:r>
          </w:p>
        </w:tc>
      </w:tr>
    </w:tbl>
    <w:p w14:paraId="6E18D716" w14:textId="77777777" w:rsidR="00000000" w:rsidRDefault="00632532">
      <w:pPr>
        <w:pStyle w:val="a3"/>
        <w:spacing w:before="0" w:beforeAutospacing="0" w:after="0" w:afterAutospacing="0"/>
        <w:divId w:val="749043429"/>
        <w:rPr>
          <w:sz w:val="20"/>
          <w:szCs w:val="20"/>
        </w:rPr>
      </w:pPr>
      <w:r>
        <w:rPr>
          <w:sz w:val="20"/>
          <w:szCs w:val="20"/>
        </w:rPr>
        <w:t> </w:t>
      </w:r>
    </w:p>
    <w:p w14:paraId="4A004A59" w14:textId="77777777" w:rsidR="00000000" w:rsidRDefault="00632532">
      <w:pPr>
        <w:pStyle w:val="a3"/>
        <w:spacing w:before="240" w:beforeAutospacing="0" w:after="0" w:afterAutospacing="0"/>
        <w:jc w:val="center"/>
        <w:divId w:val="749043429"/>
        <w:rPr>
          <w:sz w:val="20"/>
          <w:szCs w:val="20"/>
        </w:rPr>
      </w:pPr>
      <w:r>
        <w:rPr>
          <w:sz w:val="20"/>
          <w:szCs w:val="20"/>
        </w:rPr>
        <w:t>1</w:t>
      </w:r>
      <w:r>
        <w:rPr>
          <w:sz w:val="20"/>
          <w:szCs w:val="20"/>
        </w:rPr>
        <w:t>2</w:t>
      </w:r>
    </w:p>
    <w:p w14:paraId="08310CC8" w14:textId="77777777" w:rsidR="00000000" w:rsidRDefault="00632532">
      <w:pPr>
        <w:divId w:val="749043429"/>
        <w:rPr>
          <w:rFonts w:eastAsia="Times New Roman"/>
          <w:sz w:val="20"/>
          <w:szCs w:val="20"/>
        </w:rPr>
      </w:pPr>
      <w:r>
        <w:rPr>
          <w:rFonts w:eastAsia="Times New Roman"/>
          <w:sz w:val="20"/>
          <w:szCs w:val="20"/>
        </w:rPr>
        <w:pict w14:anchorId="041982F6">
          <v:rect id="_x0000_i1038" style="width:0;height:1.5pt" o:hralign="center" o:hrstd="t" o:hr="t" fillcolor="#a0a0a0" stroked="f"/>
        </w:pict>
      </w:r>
    </w:p>
    <w:p w14:paraId="5CC3FCF7" w14:textId="77777777" w:rsidR="00000000" w:rsidRDefault="00632532">
      <w:pPr>
        <w:pStyle w:val="a3"/>
        <w:spacing w:before="0" w:beforeAutospacing="0" w:after="0" w:afterAutospacing="0"/>
        <w:divId w:val="7490434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8"/>
        <w:gridCol w:w="160"/>
        <w:gridCol w:w="840"/>
        <w:gridCol w:w="127"/>
        <w:gridCol w:w="110"/>
        <w:gridCol w:w="161"/>
        <w:gridCol w:w="843"/>
        <w:gridCol w:w="110"/>
        <w:gridCol w:w="110"/>
        <w:gridCol w:w="161"/>
        <w:gridCol w:w="933"/>
        <w:gridCol w:w="127"/>
        <w:gridCol w:w="110"/>
        <w:gridCol w:w="160"/>
        <w:gridCol w:w="934"/>
        <w:gridCol w:w="142"/>
      </w:tblGrid>
      <w:tr w:rsidR="00000000" w14:paraId="5AFA9217" w14:textId="77777777">
        <w:trPr>
          <w:divId w:val="749043429"/>
          <w:tblCellSpacing w:w="15" w:type="dxa"/>
        </w:trPr>
        <w:tc>
          <w:tcPr>
            <w:tcW w:w="2094" w:type="pct"/>
            <w:vAlign w:val="center"/>
            <w:hideMark/>
          </w:tcPr>
          <w:p w14:paraId="65CC854A" w14:textId="77777777" w:rsidR="00000000" w:rsidRDefault="00632532">
            <w:pPr>
              <w:rPr>
                <w:sz w:val="20"/>
                <w:szCs w:val="20"/>
              </w:rPr>
            </w:pPr>
          </w:p>
        </w:tc>
        <w:tc>
          <w:tcPr>
            <w:tcW w:w="50" w:type="pct"/>
            <w:vAlign w:val="center"/>
            <w:hideMark/>
          </w:tcPr>
          <w:p w14:paraId="722267DC" w14:textId="77777777" w:rsidR="00000000" w:rsidRDefault="00632532">
            <w:pPr>
              <w:rPr>
                <w:rFonts w:eastAsia="Times New Roman"/>
                <w:sz w:val="20"/>
                <w:szCs w:val="20"/>
              </w:rPr>
            </w:pPr>
          </w:p>
        </w:tc>
        <w:tc>
          <w:tcPr>
            <w:tcW w:w="541" w:type="pct"/>
            <w:vAlign w:val="center"/>
            <w:hideMark/>
          </w:tcPr>
          <w:p w14:paraId="2CF7460E" w14:textId="77777777" w:rsidR="00000000" w:rsidRDefault="00632532">
            <w:pPr>
              <w:rPr>
                <w:rFonts w:eastAsia="Times New Roman"/>
                <w:sz w:val="20"/>
                <w:szCs w:val="20"/>
              </w:rPr>
            </w:pPr>
          </w:p>
        </w:tc>
        <w:tc>
          <w:tcPr>
            <w:tcW w:w="50" w:type="pct"/>
            <w:vAlign w:val="center"/>
            <w:hideMark/>
          </w:tcPr>
          <w:p w14:paraId="2547468D" w14:textId="77777777" w:rsidR="00000000" w:rsidRDefault="00632532">
            <w:pPr>
              <w:rPr>
                <w:rFonts w:eastAsia="Times New Roman"/>
                <w:sz w:val="20"/>
                <w:szCs w:val="20"/>
              </w:rPr>
            </w:pPr>
          </w:p>
        </w:tc>
        <w:tc>
          <w:tcPr>
            <w:tcW w:w="64" w:type="pct"/>
            <w:vAlign w:val="center"/>
            <w:hideMark/>
          </w:tcPr>
          <w:p w14:paraId="3A6A634B" w14:textId="77777777" w:rsidR="00000000" w:rsidRDefault="00632532">
            <w:pPr>
              <w:rPr>
                <w:rFonts w:eastAsia="Times New Roman"/>
                <w:sz w:val="20"/>
                <w:szCs w:val="20"/>
              </w:rPr>
            </w:pPr>
          </w:p>
        </w:tc>
        <w:tc>
          <w:tcPr>
            <w:tcW w:w="50" w:type="pct"/>
            <w:vAlign w:val="center"/>
            <w:hideMark/>
          </w:tcPr>
          <w:p w14:paraId="1E700672" w14:textId="77777777" w:rsidR="00000000" w:rsidRDefault="00632532">
            <w:pPr>
              <w:rPr>
                <w:rFonts w:eastAsia="Times New Roman"/>
                <w:sz w:val="20"/>
                <w:szCs w:val="20"/>
              </w:rPr>
            </w:pPr>
          </w:p>
        </w:tc>
        <w:tc>
          <w:tcPr>
            <w:tcW w:w="552" w:type="pct"/>
            <w:vAlign w:val="center"/>
            <w:hideMark/>
          </w:tcPr>
          <w:p w14:paraId="4AB400DB" w14:textId="77777777" w:rsidR="00000000" w:rsidRDefault="00632532">
            <w:pPr>
              <w:rPr>
                <w:rFonts w:eastAsia="Times New Roman"/>
                <w:sz w:val="20"/>
                <w:szCs w:val="20"/>
              </w:rPr>
            </w:pPr>
          </w:p>
        </w:tc>
        <w:tc>
          <w:tcPr>
            <w:tcW w:w="50" w:type="pct"/>
            <w:vAlign w:val="center"/>
            <w:hideMark/>
          </w:tcPr>
          <w:p w14:paraId="7691A94C" w14:textId="77777777" w:rsidR="00000000" w:rsidRDefault="00632532">
            <w:pPr>
              <w:rPr>
                <w:rFonts w:eastAsia="Times New Roman"/>
                <w:sz w:val="20"/>
                <w:szCs w:val="20"/>
              </w:rPr>
            </w:pPr>
          </w:p>
        </w:tc>
        <w:tc>
          <w:tcPr>
            <w:tcW w:w="64" w:type="pct"/>
            <w:vAlign w:val="center"/>
            <w:hideMark/>
          </w:tcPr>
          <w:p w14:paraId="4D18BD59" w14:textId="77777777" w:rsidR="00000000" w:rsidRDefault="00632532">
            <w:pPr>
              <w:rPr>
                <w:rFonts w:eastAsia="Times New Roman"/>
                <w:sz w:val="20"/>
                <w:szCs w:val="20"/>
              </w:rPr>
            </w:pPr>
          </w:p>
        </w:tc>
        <w:tc>
          <w:tcPr>
            <w:tcW w:w="50" w:type="pct"/>
            <w:vAlign w:val="center"/>
            <w:hideMark/>
          </w:tcPr>
          <w:p w14:paraId="4924D92C" w14:textId="77777777" w:rsidR="00000000" w:rsidRDefault="00632532">
            <w:pPr>
              <w:rPr>
                <w:rFonts w:eastAsia="Times New Roman"/>
                <w:sz w:val="20"/>
                <w:szCs w:val="20"/>
              </w:rPr>
            </w:pPr>
          </w:p>
        </w:tc>
        <w:tc>
          <w:tcPr>
            <w:tcW w:w="609" w:type="pct"/>
            <w:vAlign w:val="center"/>
            <w:hideMark/>
          </w:tcPr>
          <w:p w14:paraId="25AC3EA8" w14:textId="77777777" w:rsidR="00000000" w:rsidRDefault="00632532">
            <w:pPr>
              <w:rPr>
                <w:rFonts w:eastAsia="Times New Roman"/>
                <w:sz w:val="20"/>
                <w:szCs w:val="20"/>
              </w:rPr>
            </w:pPr>
          </w:p>
        </w:tc>
        <w:tc>
          <w:tcPr>
            <w:tcW w:w="50" w:type="pct"/>
            <w:vAlign w:val="center"/>
            <w:hideMark/>
          </w:tcPr>
          <w:p w14:paraId="5BEC8C6B" w14:textId="77777777" w:rsidR="00000000" w:rsidRDefault="00632532">
            <w:pPr>
              <w:rPr>
                <w:rFonts w:eastAsia="Times New Roman"/>
                <w:sz w:val="20"/>
                <w:szCs w:val="20"/>
              </w:rPr>
            </w:pPr>
          </w:p>
        </w:tc>
        <w:tc>
          <w:tcPr>
            <w:tcW w:w="64" w:type="pct"/>
            <w:vAlign w:val="center"/>
            <w:hideMark/>
          </w:tcPr>
          <w:p w14:paraId="1CD3D976" w14:textId="77777777" w:rsidR="00000000" w:rsidRDefault="00632532">
            <w:pPr>
              <w:rPr>
                <w:rFonts w:eastAsia="Times New Roman"/>
                <w:sz w:val="20"/>
                <w:szCs w:val="20"/>
              </w:rPr>
            </w:pPr>
          </w:p>
        </w:tc>
        <w:tc>
          <w:tcPr>
            <w:tcW w:w="50" w:type="pct"/>
            <w:vAlign w:val="center"/>
            <w:hideMark/>
          </w:tcPr>
          <w:p w14:paraId="064A4FA0" w14:textId="77777777" w:rsidR="00000000" w:rsidRDefault="00632532">
            <w:pPr>
              <w:rPr>
                <w:rFonts w:eastAsia="Times New Roman"/>
                <w:sz w:val="20"/>
                <w:szCs w:val="20"/>
              </w:rPr>
            </w:pPr>
          </w:p>
        </w:tc>
        <w:tc>
          <w:tcPr>
            <w:tcW w:w="609" w:type="pct"/>
            <w:vAlign w:val="center"/>
            <w:hideMark/>
          </w:tcPr>
          <w:p w14:paraId="6BDD52BD" w14:textId="77777777" w:rsidR="00000000" w:rsidRDefault="00632532">
            <w:pPr>
              <w:rPr>
                <w:rFonts w:eastAsia="Times New Roman"/>
                <w:sz w:val="20"/>
                <w:szCs w:val="20"/>
              </w:rPr>
            </w:pPr>
          </w:p>
        </w:tc>
        <w:tc>
          <w:tcPr>
            <w:tcW w:w="50" w:type="pct"/>
            <w:vAlign w:val="center"/>
            <w:hideMark/>
          </w:tcPr>
          <w:p w14:paraId="24BBFD8B" w14:textId="77777777" w:rsidR="00000000" w:rsidRDefault="00632532">
            <w:pPr>
              <w:rPr>
                <w:rFonts w:eastAsia="Times New Roman"/>
                <w:sz w:val="20"/>
                <w:szCs w:val="20"/>
              </w:rPr>
            </w:pPr>
          </w:p>
        </w:tc>
      </w:tr>
      <w:tr w:rsidR="00000000" w14:paraId="0F929215" w14:textId="77777777">
        <w:trPr>
          <w:divId w:val="749043429"/>
          <w:trHeight w:val="160"/>
          <w:tblCellSpacing w:w="15" w:type="dxa"/>
        </w:trPr>
        <w:tc>
          <w:tcPr>
            <w:tcW w:w="0" w:type="auto"/>
            <w:vAlign w:val="center"/>
            <w:hideMark/>
          </w:tcPr>
          <w:p w14:paraId="59C358F7"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vAlign w:val="center"/>
            <w:hideMark/>
          </w:tcPr>
          <w:p w14:paraId="3638E90D" w14:textId="77777777" w:rsidR="00000000" w:rsidRDefault="00632532">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center"/>
            <w:hideMark/>
          </w:tcPr>
          <w:p w14:paraId="40517216"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14DA37AB" w14:textId="77777777">
        <w:trPr>
          <w:divId w:val="749043429"/>
          <w:trHeight w:val="160"/>
          <w:tblCellSpacing w:w="15" w:type="dxa"/>
        </w:trPr>
        <w:tc>
          <w:tcPr>
            <w:tcW w:w="0" w:type="auto"/>
            <w:vAlign w:val="bottom"/>
            <w:hideMark/>
          </w:tcPr>
          <w:p w14:paraId="04FAEC2D"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294324D5" w14:textId="77777777" w:rsidR="00000000" w:rsidRDefault="00632532">
            <w:pPr>
              <w:pStyle w:val="a3"/>
              <w:spacing w:before="0" w:beforeAutospacing="0" w:after="0" w:afterAutospacing="0"/>
              <w:jc w:val="center"/>
              <w:rPr>
                <w:sz w:val="16"/>
                <w:szCs w:val="16"/>
              </w:rPr>
            </w:pPr>
            <w:r>
              <w:rPr>
                <w:b/>
                <w:bCs/>
                <w:sz w:val="16"/>
                <w:szCs w:val="16"/>
              </w:rPr>
              <w:t>Amortized</w:t>
            </w:r>
            <w:r>
              <w:rPr>
                <w:b/>
                <w:bCs/>
                <w:sz w:val="16"/>
                <w:szCs w:val="16"/>
              </w:rPr>
              <w:br/>
              <w:t>Cost Basi</w:t>
            </w:r>
            <w:r>
              <w:rPr>
                <w:b/>
                <w:bCs/>
                <w:sz w:val="16"/>
                <w:szCs w:val="16"/>
              </w:rPr>
              <w:t>s</w:t>
            </w:r>
          </w:p>
        </w:tc>
        <w:tc>
          <w:tcPr>
            <w:tcW w:w="0" w:type="auto"/>
            <w:vAlign w:val="bottom"/>
            <w:hideMark/>
          </w:tcPr>
          <w:p w14:paraId="0FE8D8D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2D3ABA9"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D6D6064" w14:textId="77777777" w:rsidR="00000000" w:rsidRDefault="00632532">
            <w:pPr>
              <w:pStyle w:val="a3"/>
              <w:spacing w:before="0" w:beforeAutospacing="0" w:after="0" w:afterAutospacing="0"/>
              <w:jc w:val="center"/>
              <w:rPr>
                <w:sz w:val="16"/>
                <w:szCs w:val="16"/>
              </w:rPr>
            </w:pPr>
            <w:r>
              <w:rPr>
                <w:b/>
                <w:bCs/>
                <w:sz w:val="16"/>
                <w:szCs w:val="16"/>
              </w:rPr>
              <w:t>Unrealized</w:t>
            </w:r>
            <w:r>
              <w:rPr>
                <w:b/>
                <w:bCs/>
                <w:sz w:val="16"/>
                <w:szCs w:val="16"/>
              </w:rPr>
              <w:br/>
              <w:t>Gain</w:t>
            </w:r>
            <w:r>
              <w:rPr>
                <w:b/>
                <w:bCs/>
                <w:sz w:val="16"/>
                <w:szCs w:val="16"/>
              </w:rPr>
              <w:t>s</w:t>
            </w:r>
          </w:p>
        </w:tc>
        <w:tc>
          <w:tcPr>
            <w:tcW w:w="0" w:type="auto"/>
            <w:vAlign w:val="bottom"/>
            <w:hideMark/>
          </w:tcPr>
          <w:p w14:paraId="2817A8AF"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EAEF893"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982DF52" w14:textId="77777777" w:rsidR="00000000" w:rsidRDefault="00632532">
            <w:pPr>
              <w:pStyle w:val="a3"/>
              <w:spacing w:before="0" w:beforeAutospacing="0" w:after="0" w:afterAutospacing="0"/>
              <w:jc w:val="center"/>
              <w:rPr>
                <w:sz w:val="16"/>
                <w:szCs w:val="16"/>
              </w:rPr>
            </w:pPr>
            <w:r>
              <w:rPr>
                <w:b/>
                <w:bCs/>
                <w:sz w:val="16"/>
                <w:szCs w:val="16"/>
              </w:rPr>
              <w:t>Unrealized</w:t>
            </w:r>
            <w:r>
              <w:rPr>
                <w:b/>
                <w:bCs/>
                <w:sz w:val="16"/>
                <w:szCs w:val="16"/>
              </w:rPr>
              <w:br/>
              <w:t>Losse</w:t>
            </w:r>
            <w:r>
              <w:rPr>
                <w:b/>
                <w:bCs/>
                <w:sz w:val="16"/>
                <w:szCs w:val="16"/>
              </w:rPr>
              <w:t>s</w:t>
            </w:r>
          </w:p>
        </w:tc>
        <w:tc>
          <w:tcPr>
            <w:tcW w:w="0" w:type="auto"/>
            <w:vAlign w:val="bottom"/>
            <w:hideMark/>
          </w:tcPr>
          <w:p w14:paraId="7CBDFDF0"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FC3E663"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96A23BB" w14:textId="77777777" w:rsidR="00000000" w:rsidRDefault="00632532">
            <w:pPr>
              <w:pStyle w:val="a3"/>
              <w:spacing w:before="0" w:beforeAutospacing="0" w:after="0" w:afterAutospacing="0"/>
              <w:jc w:val="center"/>
              <w:rPr>
                <w:sz w:val="16"/>
                <w:szCs w:val="16"/>
              </w:rPr>
            </w:pPr>
            <w:r>
              <w:rPr>
                <w:b/>
                <w:bCs/>
                <w:sz w:val="16"/>
                <w:szCs w:val="16"/>
              </w:rPr>
              <w:t>Aggregate</w:t>
            </w:r>
            <w:r>
              <w:rPr>
                <w:b/>
                <w:bCs/>
                <w:sz w:val="16"/>
                <w:szCs w:val="16"/>
              </w:rPr>
              <w:br/>
              <w:t>Fair Valu</w:t>
            </w:r>
            <w:r>
              <w:rPr>
                <w:b/>
                <w:bCs/>
                <w:sz w:val="16"/>
                <w:szCs w:val="16"/>
              </w:rPr>
              <w:t>e</w:t>
            </w:r>
          </w:p>
        </w:tc>
        <w:tc>
          <w:tcPr>
            <w:tcW w:w="0" w:type="auto"/>
            <w:vAlign w:val="bottom"/>
            <w:hideMark/>
          </w:tcPr>
          <w:p w14:paraId="37E98684"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0D3B3B9D" w14:textId="77777777">
        <w:trPr>
          <w:divId w:val="749043429"/>
          <w:trHeight w:val="160"/>
          <w:tblCellSpacing w:w="15" w:type="dxa"/>
        </w:trPr>
        <w:tc>
          <w:tcPr>
            <w:tcW w:w="0" w:type="auto"/>
            <w:vAlign w:val="bottom"/>
            <w:hideMark/>
          </w:tcPr>
          <w:p w14:paraId="12965A10"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vAlign w:val="bottom"/>
            <w:hideMark/>
          </w:tcPr>
          <w:p w14:paraId="2D09E178"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6F1B8146"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0977B195" w14:textId="77777777">
        <w:trPr>
          <w:divId w:val="749043429"/>
          <w:trHeight w:val="200"/>
          <w:tblCellSpacing w:w="15" w:type="dxa"/>
        </w:trPr>
        <w:tc>
          <w:tcPr>
            <w:tcW w:w="0" w:type="auto"/>
            <w:vAlign w:val="bottom"/>
            <w:hideMark/>
          </w:tcPr>
          <w:p w14:paraId="346AC024" w14:textId="77777777" w:rsidR="00000000" w:rsidRDefault="00632532">
            <w:pPr>
              <w:pStyle w:val="a3"/>
              <w:spacing w:before="0" w:beforeAutospacing="0" w:after="0" w:afterAutospacing="0"/>
              <w:rPr>
                <w:sz w:val="20"/>
                <w:szCs w:val="20"/>
              </w:rPr>
            </w:pPr>
            <w:r>
              <w:rPr>
                <w:b/>
                <w:bCs/>
                <w:sz w:val="20"/>
                <w:szCs w:val="20"/>
              </w:rPr>
              <w:t>Equity securities</w:t>
            </w:r>
            <w:r>
              <w:rPr>
                <w:b/>
                <w:bCs/>
                <w:sz w:val="20"/>
                <w:szCs w:val="20"/>
              </w:rPr>
              <w:t>:</w:t>
            </w:r>
          </w:p>
        </w:tc>
        <w:tc>
          <w:tcPr>
            <w:tcW w:w="0" w:type="auto"/>
            <w:gridSpan w:val="2"/>
            <w:vAlign w:val="bottom"/>
            <w:hideMark/>
          </w:tcPr>
          <w:p w14:paraId="7E59F13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8746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B08077"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13D58F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98A6F1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D3C4A2"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3D2B2C1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46E21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5B881C"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0815D2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DDFB034" w14:textId="77777777" w:rsidR="00000000" w:rsidRDefault="00632532">
            <w:pPr>
              <w:pStyle w:val="a3"/>
              <w:spacing w:before="0" w:beforeAutospacing="0" w:after="0" w:afterAutospacing="0"/>
              <w:rPr>
                <w:sz w:val="20"/>
                <w:szCs w:val="20"/>
              </w:rPr>
            </w:pPr>
            <w:r>
              <w:rPr>
                <w:sz w:val="20"/>
                <w:szCs w:val="20"/>
              </w:rPr>
              <w:t> </w:t>
            </w:r>
          </w:p>
        </w:tc>
      </w:tr>
      <w:tr w:rsidR="00000000" w14:paraId="0F259649" w14:textId="77777777">
        <w:trPr>
          <w:divId w:val="749043429"/>
          <w:trHeight w:val="200"/>
          <w:tblCellSpacing w:w="15" w:type="dxa"/>
        </w:trPr>
        <w:tc>
          <w:tcPr>
            <w:tcW w:w="0" w:type="auto"/>
            <w:vAlign w:val="bottom"/>
            <w:hideMark/>
          </w:tcPr>
          <w:p w14:paraId="4FE4555A" w14:textId="77777777" w:rsidR="00000000" w:rsidRDefault="00632532">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14:paraId="05AB4EB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F68C7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8781CA7"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2F027E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38B99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33BCED"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CE3B45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8ABBE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356A930"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EA5796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D2FD5B0" w14:textId="77777777" w:rsidR="00000000" w:rsidRDefault="00632532">
            <w:pPr>
              <w:pStyle w:val="a3"/>
              <w:spacing w:before="0" w:beforeAutospacing="0" w:after="0" w:afterAutospacing="0"/>
              <w:rPr>
                <w:sz w:val="20"/>
                <w:szCs w:val="20"/>
              </w:rPr>
            </w:pPr>
            <w:r>
              <w:rPr>
                <w:sz w:val="20"/>
                <w:szCs w:val="20"/>
              </w:rPr>
              <w:t> </w:t>
            </w:r>
          </w:p>
        </w:tc>
      </w:tr>
      <w:tr w:rsidR="00000000" w14:paraId="13322DCD" w14:textId="77777777">
        <w:trPr>
          <w:divId w:val="749043429"/>
          <w:trHeight w:val="200"/>
          <w:tblCellSpacing w:w="15" w:type="dxa"/>
        </w:trPr>
        <w:tc>
          <w:tcPr>
            <w:tcW w:w="0" w:type="auto"/>
            <w:vAlign w:val="bottom"/>
            <w:hideMark/>
          </w:tcPr>
          <w:p w14:paraId="30031DBA" w14:textId="77777777" w:rsidR="00000000" w:rsidRDefault="00632532">
            <w:pPr>
              <w:pStyle w:val="a3"/>
              <w:spacing w:before="0" w:beforeAutospacing="0" w:after="0" w:afterAutospacing="0"/>
              <w:ind w:left="400"/>
              <w:rPr>
                <w:sz w:val="20"/>
                <w:szCs w:val="20"/>
              </w:rPr>
            </w:pPr>
            <w:r>
              <w:rPr>
                <w:sz w:val="20"/>
                <w:szCs w:val="20"/>
              </w:rPr>
              <w:t>Bond fund</w:t>
            </w:r>
            <w:r>
              <w:rPr>
                <w:sz w:val="20"/>
                <w:szCs w:val="20"/>
              </w:rPr>
              <w:t>s</w:t>
            </w:r>
          </w:p>
        </w:tc>
        <w:tc>
          <w:tcPr>
            <w:tcW w:w="0" w:type="auto"/>
            <w:noWrap/>
            <w:vAlign w:val="bottom"/>
            <w:hideMark/>
          </w:tcPr>
          <w:p w14:paraId="02982CA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2F6ED53" w14:textId="77777777" w:rsidR="00000000" w:rsidRDefault="00632532">
            <w:pPr>
              <w:pStyle w:val="a3"/>
              <w:spacing w:before="0" w:beforeAutospacing="0" w:after="0" w:afterAutospacing="0"/>
              <w:jc w:val="right"/>
              <w:rPr>
                <w:sz w:val="20"/>
                <w:szCs w:val="20"/>
              </w:rPr>
            </w:pPr>
            <w:r>
              <w:rPr>
                <w:sz w:val="20"/>
                <w:szCs w:val="20"/>
              </w:rPr>
              <w:t>99,31</w:t>
            </w:r>
            <w:r>
              <w:rPr>
                <w:sz w:val="20"/>
                <w:szCs w:val="20"/>
              </w:rPr>
              <w:t>4</w:t>
            </w:r>
          </w:p>
        </w:tc>
        <w:tc>
          <w:tcPr>
            <w:tcW w:w="0" w:type="auto"/>
            <w:noWrap/>
            <w:vAlign w:val="bottom"/>
            <w:hideMark/>
          </w:tcPr>
          <w:p w14:paraId="75FB420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320CBD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C3944C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C109DA7"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47CBFD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D8B9C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55CE2B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7732A67" w14:textId="77777777" w:rsidR="00000000" w:rsidRDefault="00632532">
            <w:pPr>
              <w:pStyle w:val="a3"/>
              <w:spacing w:before="0" w:beforeAutospacing="0" w:after="0" w:afterAutospacing="0"/>
              <w:jc w:val="right"/>
              <w:rPr>
                <w:sz w:val="20"/>
                <w:szCs w:val="20"/>
              </w:rPr>
            </w:pPr>
            <w:r>
              <w:rPr>
                <w:sz w:val="20"/>
                <w:szCs w:val="20"/>
              </w:rPr>
              <w:t>(</w:t>
            </w:r>
            <w:r>
              <w:rPr>
                <w:sz w:val="20"/>
                <w:szCs w:val="20"/>
              </w:rPr>
              <w:t>51</w:t>
            </w:r>
            <w:r>
              <w:rPr>
                <w:sz w:val="20"/>
                <w:szCs w:val="20"/>
              </w:rPr>
              <w:t>5</w:t>
            </w:r>
          </w:p>
        </w:tc>
        <w:tc>
          <w:tcPr>
            <w:tcW w:w="0" w:type="auto"/>
            <w:noWrap/>
            <w:vAlign w:val="bottom"/>
            <w:hideMark/>
          </w:tcPr>
          <w:p w14:paraId="082E8A2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C77868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0709E4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B74F910" w14:textId="77777777" w:rsidR="00000000" w:rsidRDefault="00632532">
            <w:pPr>
              <w:pStyle w:val="a3"/>
              <w:spacing w:before="0" w:beforeAutospacing="0" w:after="0" w:afterAutospacing="0"/>
              <w:jc w:val="right"/>
              <w:rPr>
                <w:sz w:val="20"/>
                <w:szCs w:val="20"/>
              </w:rPr>
            </w:pPr>
            <w:r>
              <w:rPr>
                <w:sz w:val="20"/>
                <w:szCs w:val="20"/>
              </w:rPr>
              <w:t>98,79</w:t>
            </w:r>
            <w:r>
              <w:rPr>
                <w:sz w:val="20"/>
                <w:szCs w:val="20"/>
              </w:rPr>
              <w:t>9</w:t>
            </w:r>
          </w:p>
        </w:tc>
        <w:tc>
          <w:tcPr>
            <w:tcW w:w="0" w:type="auto"/>
            <w:noWrap/>
            <w:vAlign w:val="bottom"/>
            <w:hideMark/>
          </w:tcPr>
          <w:p w14:paraId="6183AA89" w14:textId="77777777" w:rsidR="00000000" w:rsidRDefault="00632532">
            <w:pPr>
              <w:pStyle w:val="a3"/>
              <w:spacing w:before="0" w:beforeAutospacing="0" w:after="0" w:afterAutospacing="0"/>
              <w:rPr>
                <w:sz w:val="20"/>
                <w:szCs w:val="20"/>
              </w:rPr>
            </w:pPr>
            <w:r>
              <w:rPr>
                <w:sz w:val="20"/>
                <w:szCs w:val="20"/>
              </w:rPr>
              <w:t> </w:t>
            </w:r>
          </w:p>
        </w:tc>
      </w:tr>
      <w:tr w:rsidR="00000000" w14:paraId="6E810C52" w14:textId="77777777">
        <w:trPr>
          <w:divId w:val="749043429"/>
          <w:trHeight w:val="200"/>
          <w:tblCellSpacing w:w="15" w:type="dxa"/>
        </w:trPr>
        <w:tc>
          <w:tcPr>
            <w:tcW w:w="0" w:type="auto"/>
            <w:vAlign w:val="bottom"/>
            <w:hideMark/>
          </w:tcPr>
          <w:p w14:paraId="0713D7C2" w14:textId="77777777" w:rsidR="00000000" w:rsidRDefault="00632532">
            <w:pPr>
              <w:pStyle w:val="a3"/>
              <w:spacing w:before="0" w:beforeAutospacing="0" w:after="0" w:afterAutospacing="0"/>
              <w:ind w:left="400"/>
              <w:rPr>
                <w:sz w:val="20"/>
                <w:szCs w:val="20"/>
              </w:rPr>
            </w:pPr>
            <w:r>
              <w:rPr>
                <w:sz w:val="20"/>
                <w:szCs w:val="20"/>
              </w:rPr>
              <w:t>Exchange traded fund</w:t>
            </w:r>
            <w:r>
              <w:rPr>
                <w:sz w:val="20"/>
                <w:szCs w:val="20"/>
              </w:rPr>
              <w:t>s</w:t>
            </w:r>
          </w:p>
        </w:tc>
        <w:tc>
          <w:tcPr>
            <w:tcW w:w="0" w:type="auto"/>
            <w:noWrap/>
            <w:vAlign w:val="bottom"/>
            <w:hideMark/>
          </w:tcPr>
          <w:p w14:paraId="1F48EF7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C186939" w14:textId="77777777" w:rsidR="00000000" w:rsidRDefault="00632532">
            <w:pPr>
              <w:pStyle w:val="a3"/>
              <w:spacing w:before="0" w:beforeAutospacing="0" w:after="0" w:afterAutospacing="0"/>
              <w:jc w:val="right"/>
              <w:rPr>
                <w:sz w:val="20"/>
                <w:szCs w:val="20"/>
              </w:rPr>
            </w:pPr>
            <w:r>
              <w:rPr>
                <w:sz w:val="20"/>
                <w:szCs w:val="20"/>
              </w:rPr>
              <w:t>35,17</w:t>
            </w:r>
            <w:r>
              <w:rPr>
                <w:sz w:val="20"/>
                <w:szCs w:val="20"/>
              </w:rPr>
              <w:t>4</w:t>
            </w:r>
          </w:p>
        </w:tc>
        <w:tc>
          <w:tcPr>
            <w:tcW w:w="0" w:type="auto"/>
            <w:noWrap/>
            <w:vAlign w:val="bottom"/>
            <w:hideMark/>
          </w:tcPr>
          <w:p w14:paraId="5F898F3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4907B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BB9577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5E1ABF"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534DE0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36F88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FE842A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C52000C" w14:textId="77777777" w:rsidR="00000000" w:rsidRDefault="00632532">
            <w:pPr>
              <w:pStyle w:val="a3"/>
              <w:spacing w:before="0" w:beforeAutospacing="0" w:after="0" w:afterAutospacing="0"/>
              <w:jc w:val="right"/>
              <w:rPr>
                <w:sz w:val="20"/>
                <w:szCs w:val="20"/>
              </w:rPr>
            </w:pPr>
            <w:r>
              <w:rPr>
                <w:sz w:val="20"/>
                <w:szCs w:val="20"/>
              </w:rPr>
              <w:t>(</w:t>
            </w:r>
            <w:r>
              <w:rPr>
                <w:sz w:val="20"/>
                <w:szCs w:val="20"/>
              </w:rPr>
              <w:t>17</w:t>
            </w:r>
            <w:r>
              <w:rPr>
                <w:sz w:val="20"/>
                <w:szCs w:val="20"/>
              </w:rPr>
              <w:t>4</w:t>
            </w:r>
          </w:p>
        </w:tc>
        <w:tc>
          <w:tcPr>
            <w:tcW w:w="0" w:type="auto"/>
            <w:noWrap/>
            <w:vAlign w:val="bottom"/>
            <w:hideMark/>
          </w:tcPr>
          <w:p w14:paraId="10D89E1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136522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BFB05B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8177CB2" w14:textId="77777777" w:rsidR="00000000" w:rsidRDefault="00632532">
            <w:pPr>
              <w:pStyle w:val="a3"/>
              <w:spacing w:before="0" w:beforeAutospacing="0" w:after="0" w:afterAutospacing="0"/>
              <w:jc w:val="right"/>
              <w:rPr>
                <w:sz w:val="20"/>
                <w:szCs w:val="20"/>
              </w:rPr>
            </w:pPr>
            <w:r>
              <w:rPr>
                <w:sz w:val="20"/>
                <w:szCs w:val="20"/>
              </w:rPr>
              <w:t>35,00</w:t>
            </w:r>
            <w:r>
              <w:rPr>
                <w:sz w:val="20"/>
                <w:szCs w:val="20"/>
              </w:rPr>
              <w:t>0</w:t>
            </w:r>
          </w:p>
        </w:tc>
        <w:tc>
          <w:tcPr>
            <w:tcW w:w="0" w:type="auto"/>
            <w:noWrap/>
            <w:vAlign w:val="bottom"/>
            <w:hideMark/>
          </w:tcPr>
          <w:p w14:paraId="6817A77B" w14:textId="77777777" w:rsidR="00000000" w:rsidRDefault="00632532">
            <w:pPr>
              <w:pStyle w:val="a3"/>
              <w:spacing w:before="0" w:beforeAutospacing="0" w:after="0" w:afterAutospacing="0"/>
              <w:rPr>
                <w:sz w:val="20"/>
                <w:szCs w:val="20"/>
              </w:rPr>
            </w:pPr>
            <w:r>
              <w:rPr>
                <w:sz w:val="20"/>
                <w:szCs w:val="20"/>
              </w:rPr>
              <w:t> </w:t>
            </w:r>
          </w:p>
        </w:tc>
      </w:tr>
      <w:tr w:rsidR="00000000" w14:paraId="50240285" w14:textId="77777777">
        <w:trPr>
          <w:divId w:val="749043429"/>
          <w:trHeight w:val="200"/>
          <w:tblCellSpacing w:w="15" w:type="dxa"/>
        </w:trPr>
        <w:tc>
          <w:tcPr>
            <w:tcW w:w="0" w:type="auto"/>
            <w:vAlign w:val="bottom"/>
            <w:hideMark/>
          </w:tcPr>
          <w:p w14:paraId="67C2A28B" w14:textId="77777777" w:rsidR="00000000" w:rsidRDefault="00632532">
            <w:pPr>
              <w:pStyle w:val="a3"/>
              <w:spacing w:before="0" w:beforeAutospacing="0" w:after="0" w:afterAutospacing="0"/>
              <w:ind w:left="600"/>
              <w:rPr>
                <w:sz w:val="20"/>
                <w:szCs w:val="20"/>
              </w:rPr>
            </w:pPr>
            <w:r>
              <w:rPr>
                <w:sz w:val="20"/>
                <w:szCs w:val="20"/>
              </w:rPr>
              <w:t>Total equity securitie</w:t>
            </w:r>
            <w:r>
              <w:rPr>
                <w:sz w:val="20"/>
                <w:szCs w:val="20"/>
              </w:rPr>
              <w:t>s</w:t>
            </w:r>
          </w:p>
        </w:tc>
        <w:tc>
          <w:tcPr>
            <w:tcW w:w="0" w:type="auto"/>
            <w:noWrap/>
            <w:vAlign w:val="bottom"/>
            <w:hideMark/>
          </w:tcPr>
          <w:p w14:paraId="30E298F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134035" w14:textId="77777777" w:rsidR="00000000" w:rsidRDefault="00632532">
            <w:pPr>
              <w:pStyle w:val="a3"/>
              <w:spacing w:before="0" w:beforeAutospacing="0" w:after="0" w:afterAutospacing="0"/>
              <w:jc w:val="right"/>
              <w:rPr>
                <w:sz w:val="20"/>
                <w:szCs w:val="20"/>
              </w:rPr>
            </w:pPr>
            <w:r>
              <w:rPr>
                <w:sz w:val="20"/>
                <w:szCs w:val="20"/>
              </w:rPr>
              <w:t>134,48</w:t>
            </w:r>
            <w:r>
              <w:rPr>
                <w:sz w:val="20"/>
                <w:szCs w:val="20"/>
              </w:rPr>
              <w:t>8</w:t>
            </w:r>
          </w:p>
        </w:tc>
        <w:tc>
          <w:tcPr>
            <w:tcW w:w="0" w:type="auto"/>
            <w:noWrap/>
            <w:vAlign w:val="bottom"/>
            <w:hideMark/>
          </w:tcPr>
          <w:p w14:paraId="7D92EA1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2CA24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35B089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666420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C00F6D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0980B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39B258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1FB5EFE" w14:textId="77777777" w:rsidR="00000000" w:rsidRDefault="00632532">
            <w:pPr>
              <w:pStyle w:val="a3"/>
              <w:spacing w:before="0" w:beforeAutospacing="0" w:after="0" w:afterAutospacing="0"/>
              <w:jc w:val="right"/>
              <w:rPr>
                <w:sz w:val="20"/>
                <w:szCs w:val="20"/>
              </w:rPr>
            </w:pPr>
            <w:r>
              <w:rPr>
                <w:sz w:val="20"/>
                <w:szCs w:val="20"/>
              </w:rPr>
              <w:t>(</w:t>
            </w:r>
            <w:r>
              <w:rPr>
                <w:sz w:val="20"/>
                <w:szCs w:val="20"/>
              </w:rPr>
              <w:t>68</w:t>
            </w:r>
            <w:r>
              <w:rPr>
                <w:sz w:val="20"/>
                <w:szCs w:val="20"/>
              </w:rPr>
              <w:t>9</w:t>
            </w:r>
          </w:p>
        </w:tc>
        <w:tc>
          <w:tcPr>
            <w:tcW w:w="0" w:type="auto"/>
            <w:noWrap/>
            <w:vAlign w:val="bottom"/>
            <w:hideMark/>
          </w:tcPr>
          <w:p w14:paraId="537823E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305D82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241AFA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FC5397" w14:textId="77777777" w:rsidR="00000000" w:rsidRDefault="00632532">
            <w:pPr>
              <w:pStyle w:val="a3"/>
              <w:spacing w:before="0" w:beforeAutospacing="0" w:after="0" w:afterAutospacing="0"/>
              <w:jc w:val="right"/>
              <w:rPr>
                <w:sz w:val="20"/>
                <w:szCs w:val="20"/>
              </w:rPr>
            </w:pPr>
            <w:r>
              <w:rPr>
                <w:sz w:val="20"/>
                <w:szCs w:val="20"/>
              </w:rPr>
              <w:t>133,79</w:t>
            </w:r>
            <w:r>
              <w:rPr>
                <w:sz w:val="20"/>
                <w:szCs w:val="20"/>
              </w:rPr>
              <w:t>9</w:t>
            </w:r>
          </w:p>
        </w:tc>
        <w:tc>
          <w:tcPr>
            <w:tcW w:w="0" w:type="auto"/>
            <w:noWrap/>
            <w:vAlign w:val="bottom"/>
            <w:hideMark/>
          </w:tcPr>
          <w:p w14:paraId="371F8AFE" w14:textId="77777777" w:rsidR="00000000" w:rsidRDefault="00632532">
            <w:pPr>
              <w:pStyle w:val="a3"/>
              <w:spacing w:before="0" w:beforeAutospacing="0" w:after="0" w:afterAutospacing="0"/>
              <w:rPr>
                <w:sz w:val="20"/>
                <w:szCs w:val="20"/>
              </w:rPr>
            </w:pPr>
            <w:r>
              <w:rPr>
                <w:sz w:val="20"/>
                <w:szCs w:val="20"/>
              </w:rPr>
              <w:t> </w:t>
            </w:r>
          </w:p>
        </w:tc>
      </w:tr>
      <w:tr w:rsidR="00000000" w14:paraId="50FD7624" w14:textId="77777777">
        <w:trPr>
          <w:divId w:val="749043429"/>
          <w:trHeight w:val="200"/>
          <w:tblCellSpacing w:w="15" w:type="dxa"/>
        </w:trPr>
        <w:tc>
          <w:tcPr>
            <w:tcW w:w="0" w:type="auto"/>
            <w:vAlign w:val="bottom"/>
            <w:hideMark/>
          </w:tcPr>
          <w:p w14:paraId="108196C4" w14:textId="77777777" w:rsidR="00000000" w:rsidRDefault="00632532">
            <w:pPr>
              <w:pStyle w:val="a3"/>
              <w:spacing w:before="0" w:beforeAutospacing="0" w:after="0" w:afterAutospacing="0"/>
              <w:rPr>
                <w:sz w:val="20"/>
                <w:szCs w:val="20"/>
              </w:rPr>
            </w:pPr>
            <w:r>
              <w:rPr>
                <w:b/>
                <w:bCs/>
                <w:sz w:val="20"/>
                <w:szCs w:val="20"/>
              </w:rPr>
              <w:t>Available-for-sale debt securitie</w:t>
            </w:r>
            <w:r>
              <w:rPr>
                <w:b/>
                <w:bCs/>
                <w:sz w:val="20"/>
                <w:szCs w:val="20"/>
              </w:rPr>
              <w:t>s</w:t>
            </w:r>
          </w:p>
        </w:tc>
        <w:tc>
          <w:tcPr>
            <w:tcW w:w="0" w:type="auto"/>
            <w:gridSpan w:val="2"/>
            <w:vAlign w:val="bottom"/>
            <w:hideMark/>
          </w:tcPr>
          <w:p w14:paraId="568186A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17063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562E25"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D3503D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5E0B34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4BA8B4"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993D46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748A3E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C39926"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12D7194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F27849" w14:textId="77777777" w:rsidR="00000000" w:rsidRDefault="00632532">
            <w:pPr>
              <w:pStyle w:val="a3"/>
              <w:spacing w:before="0" w:beforeAutospacing="0" w:after="0" w:afterAutospacing="0"/>
              <w:rPr>
                <w:sz w:val="20"/>
                <w:szCs w:val="20"/>
              </w:rPr>
            </w:pPr>
            <w:r>
              <w:rPr>
                <w:sz w:val="20"/>
                <w:szCs w:val="20"/>
              </w:rPr>
              <w:t> </w:t>
            </w:r>
          </w:p>
        </w:tc>
      </w:tr>
      <w:tr w:rsidR="00000000" w14:paraId="29ECEE19" w14:textId="77777777">
        <w:trPr>
          <w:divId w:val="749043429"/>
          <w:trHeight w:val="200"/>
          <w:tblCellSpacing w:w="15" w:type="dxa"/>
        </w:trPr>
        <w:tc>
          <w:tcPr>
            <w:tcW w:w="0" w:type="auto"/>
            <w:vAlign w:val="bottom"/>
            <w:hideMark/>
          </w:tcPr>
          <w:p w14:paraId="26AA12F4" w14:textId="77777777" w:rsidR="00000000" w:rsidRDefault="00632532">
            <w:pPr>
              <w:pStyle w:val="a3"/>
              <w:spacing w:before="0" w:beforeAutospacing="0" w:after="0" w:afterAutospacing="0"/>
              <w:ind w:left="200"/>
              <w:rPr>
                <w:sz w:val="20"/>
                <w:szCs w:val="20"/>
              </w:rPr>
            </w:pPr>
            <w:r>
              <w:rPr>
                <w:sz w:val="20"/>
                <w:szCs w:val="20"/>
              </w:rPr>
              <w:t>Short-ter</w:t>
            </w:r>
            <w:r>
              <w:rPr>
                <w:sz w:val="20"/>
                <w:szCs w:val="20"/>
              </w:rPr>
              <w:t>m</w:t>
            </w:r>
          </w:p>
        </w:tc>
        <w:tc>
          <w:tcPr>
            <w:tcW w:w="0" w:type="auto"/>
            <w:gridSpan w:val="2"/>
            <w:vAlign w:val="bottom"/>
            <w:hideMark/>
          </w:tcPr>
          <w:p w14:paraId="65A5E63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7EBCE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22B939"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C28937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AE8C0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3DF6A8"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1E2C3AE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DCD91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81D732"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02972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223F8D" w14:textId="77777777" w:rsidR="00000000" w:rsidRDefault="00632532">
            <w:pPr>
              <w:pStyle w:val="a3"/>
              <w:spacing w:before="0" w:beforeAutospacing="0" w:after="0" w:afterAutospacing="0"/>
              <w:rPr>
                <w:sz w:val="20"/>
                <w:szCs w:val="20"/>
              </w:rPr>
            </w:pPr>
            <w:r>
              <w:rPr>
                <w:sz w:val="20"/>
                <w:szCs w:val="20"/>
              </w:rPr>
              <w:t> </w:t>
            </w:r>
          </w:p>
        </w:tc>
      </w:tr>
      <w:tr w:rsidR="00000000" w14:paraId="3EDC91E3" w14:textId="77777777">
        <w:trPr>
          <w:divId w:val="749043429"/>
          <w:trHeight w:val="200"/>
          <w:tblCellSpacing w:w="15" w:type="dxa"/>
        </w:trPr>
        <w:tc>
          <w:tcPr>
            <w:tcW w:w="0" w:type="auto"/>
            <w:vAlign w:val="bottom"/>
            <w:hideMark/>
          </w:tcPr>
          <w:p w14:paraId="01771033" w14:textId="77777777" w:rsidR="00000000" w:rsidRDefault="00632532">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14:paraId="4FB5233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314884F" w14:textId="77777777" w:rsidR="00000000" w:rsidRDefault="00632532">
            <w:pPr>
              <w:pStyle w:val="a3"/>
              <w:spacing w:before="0" w:beforeAutospacing="0" w:after="0" w:afterAutospacing="0"/>
              <w:jc w:val="right"/>
              <w:rPr>
                <w:sz w:val="20"/>
                <w:szCs w:val="20"/>
              </w:rPr>
            </w:pPr>
            <w:r>
              <w:rPr>
                <w:sz w:val="20"/>
                <w:szCs w:val="20"/>
              </w:rPr>
              <w:t>92,11</w:t>
            </w:r>
            <w:r>
              <w:rPr>
                <w:sz w:val="20"/>
                <w:szCs w:val="20"/>
              </w:rPr>
              <w:t>6</w:t>
            </w:r>
          </w:p>
        </w:tc>
        <w:tc>
          <w:tcPr>
            <w:tcW w:w="0" w:type="auto"/>
            <w:noWrap/>
            <w:vAlign w:val="bottom"/>
            <w:hideMark/>
          </w:tcPr>
          <w:p w14:paraId="75BE451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F6E8B0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ED78FF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BBA298" w14:textId="77777777" w:rsidR="00000000" w:rsidRDefault="00632532">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14:paraId="5F59785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6B44C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C3A5A9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B21398" w14:textId="77777777" w:rsidR="00000000" w:rsidRDefault="00632532">
            <w:pPr>
              <w:pStyle w:val="a3"/>
              <w:spacing w:before="0" w:beforeAutospacing="0" w:after="0" w:afterAutospacing="0"/>
              <w:jc w:val="right"/>
              <w:rPr>
                <w:sz w:val="20"/>
                <w:szCs w:val="20"/>
              </w:rPr>
            </w:pPr>
            <w:r>
              <w:rPr>
                <w:sz w:val="20"/>
                <w:szCs w:val="20"/>
              </w:rPr>
              <w:t>(</w:t>
            </w:r>
            <w:r>
              <w:rPr>
                <w:sz w:val="20"/>
                <w:szCs w:val="20"/>
              </w:rPr>
              <w:t>14</w:t>
            </w:r>
            <w:r>
              <w:rPr>
                <w:sz w:val="20"/>
                <w:szCs w:val="20"/>
              </w:rPr>
              <w:t>8</w:t>
            </w:r>
          </w:p>
        </w:tc>
        <w:tc>
          <w:tcPr>
            <w:tcW w:w="0" w:type="auto"/>
            <w:noWrap/>
            <w:vAlign w:val="bottom"/>
            <w:hideMark/>
          </w:tcPr>
          <w:p w14:paraId="5BA685A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E627D4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36C372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98C9568" w14:textId="77777777" w:rsidR="00000000" w:rsidRDefault="00632532">
            <w:pPr>
              <w:pStyle w:val="a3"/>
              <w:spacing w:before="0" w:beforeAutospacing="0" w:after="0" w:afterAutospacing="0"/>
              <w:jc w:val="right"/>
              <w:rPr>
                <w:sz w:val="20"/>
                <w:szCs w:val="20"/>
              </w:rPr>
            </w:pPr>
            <w:r>
              <w:rPr>
                <w:sz w:val="20"/>
                <w:szCs w:val="20"/>
              </w:rPr>
              <w:t>91,99</w:t>
            </w:r>
            <w:r>
              <w:rPr>
                <w:sz w:val="20"/>
                <w:szCs w:val="20"/>
              </w:rPr>
              <w:t>2</w:t>
            </w:r>
          </w:p>
        </w:tc>
        <w:tc>
          <w:tcPr>
            <w:tcW w:w="0" w:type="auto"/>
            <w:noWrap/>
            <w:vAlign w:val="bottom"/>
            <w:hideMark/>
          </w:tcPr>
          <w:p w14:paraId="114C8024" w14:textId="77777777" w:rsidR="00000000" w:rsidRDefault="00632532">
            <w:pPr>
              <w:pStyle w:val="a3"/>
              <w:spacing w:before="0" w:beforeAutospacing="0" w:after="0" w:afterAutospacing="0"/>
              <w:rPr>
                <w:sz w:val="20"/>
                <w:szCs w:val="20"/>
              </w:rPr>
            </w:pPr>
            <w:r>
              <w:rPr>
                <w:sz w:val="20"/>
                <w:szCs w:val="20"/>
              </w:rPr>
              <w:t> </w:t>
            </w:r>
          </w:p>
        </w:tc>
      </w:tr>
      <w:tr w:rsidR="00000000" w14:paraId="2FD147FE" w14:textId="77777777">
        <w:trPr>
          <w:divId w:val="749043429"/>
          <w:trHeight w:val="200"/>
          <w:tblCellSpacing w:w="15" w:type="dxa"/>
        </w:trPr>
        <w:tc>
          <w:tcPr>
            <w:tcW w:w="0" w:type="auto"/>
            <w:vAlign w:val="bottom"/>
            <w:hideMark/>
          </w:tcPr>
          <w:p w14:paraId="2ED57CC5" w14:textId="77777777" w:rsidR="00000000" w:rsidRDefault="00632532">
            <w:pPr>
              <w:pStyle w:val="a3"/>
              <w:spacing w:before="0" w:beforeAutospacing="0" w:after="0" w:afterAutospacing="0"/>
              <w:ind w:left="400"/>
              <w:rPr>
                <w:sz w:val="20"/>
                <w:szCs w:val="20"/>
              </w:rPr>
            </w:pPr>
            <w:r>
              <w:rPr>
                <w:sz w:val="20"/>
                <w:szCs w:val="20"/>
              </w:rPr>
              <w:t>Money market account</w:t>
            </w:r>
            <w:r>
              <w:rPr>
                <w:sz w:val="20"/>
                <w:szCs w:val="20"/>
              </w:rPr>
              <w:t>s</w:t>
            </w:r>
          </w:p>
        </w:tc>
        <w:tc>
          <w:tcPr>
            <w:tcW w:w="0" w:type="auto"/>
            <w:noWrap/>
            <w:vAlign w:val="bottom"/>
            <w:hideMark/>
          </w:tcPr>
          <w:p w14:paraId="4F205A1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72D4454" w14:textId="77777777" w:rsidR="00000000" w:rsidRDefault="00632532">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14:paraId="0EA31CC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29435C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AE0805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1A964E7"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A90A1B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990BB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F62C0F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92D0E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D65E94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9B3A9E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C88E91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62F4B7" w14:textId="77777777" w:rsidR="00000000" w:rsidRDefault="00632532">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14:paraId="5E52F6C2" w14:textId="77777777" w:rsidR="00000000" w:rsidRDefault="00632532">
            <w:pPr>
              <w:pStyle w:val="a3"/>
              <w:spacing w:before="0" w:beforeAutospacing="0" w:after="0" w:afterAutospacing="0"/>
              <w:rPr>
                <w:sz w:val="20"/>
                <w:szCs w:val="20"/>
              </w:rPr>
            </w:pPr>
            <w:r>
              <w:rPr>
                <w:sz w:val="20"/>
                <w:szCs w:val="20"/>
              </w:rPr>
              <w:t> </w:t>
            </w:r>
          </w:p>
        </w:tc>
      </w:tr>
      <w:tr w:rsidR="00000000" w14:paraId="29EA6B1B" w14:textId="77777777">
        <w:trPr>
          <w:divId w:val="749043429"/>
          <w:trHeight w:val="200"/>
          <w:tblCellSpacing w:w="15" w:type="dxa"/>
        </w:trPr>
        <w:tc>
          <w:tcPr>
            <w:tcW w:w="0" w:type="auto"/>
            <w:vAlign w:val="bottom"/>
            <w:hideMark/>
          </w:tcPr>
          <w:p w14:paraId="0AC3BB1C" w14:textId="77777777" w:rsidR="00000000" w:rsidRDefault="00632532">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14:paraId="11EDE0D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D840E5" w14:textId="77777777" w:rsidR="00000000" w:rsidRDefault="00632532">
            <w:pPr>
              <w:pStyle w:val="a3"/>
              <w:spacing w:before="0" w:beforeAutospacing="0" w:after="0" w:afterAutospacing="0"/>
              <w:jc w:val="right"/>
              <w:rPr>
                <w:sz w:val="20"/>
                <w:szCs w:val="20"/>
              </w:rPr>
            </w:pPr>
            <w:r>
              <w:rPr>
                <w:sz w:val="20"/>
                <w:szCs w:val="20"/>
              </w:rPr>
              <w:t>51,31</w:t>
            </w:r>
            <w:r>
              <w:rPr>
                <w:sz w:val="20"/>
                <w:szCs w:val="20"/>
              </w:rPr>
              <w:t>8</w:t>
            </w:r>
          </w:p>
        </w:tc>
        <w:tc>
          <w:tcPr>
            <w:tcW w:w="0" w:type="auto"/>
            <w:noWrap/>
            <w:vAlign w:val="bottom"/>
            <w:hideMark/>
          </w:tcPr>
          <w:p w14:paraId="1C3E7D6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5D23E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436D55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6A4546F"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94805A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0CF37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AE5E1D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16EB60" w14:textId="77777777" w:rsidR="00000000" w:rsidRDefault="00632532">
            <w:pPr>
              <w:pStyle w:val="a3"/>
              <w:spacing w:before="0" w:beforeAutospacing="0" w:after="0" w:afterAutospacing="0"/>
              <w:jc w:val="right"/>
              <w:rPr>
                <w:sz w:val="20"/>
                <w:szCs w:val="20"/>
              </w:rPr>
            </w:pPr>
            <w:r>
              <w:rPr>
                <w:sz w:val="20"/>
                <w:szCs w:val="20"/>
              </w:rPr>
              <w:t>(</w:t>
            </w:r>
            <w:r>
              <w:rPr>
                <w:sz w:val="20"/>
                <w:szCs w:val="20"/>
              </w:rPr>
              <w:t>8</w:t>
            </w:r>
            <w:r>
              <w:rPr>
                <w:sz w:val="20"/>
                <w:szCs w:val="20"/>
              </w:rPr>
              <w:t>1</w:t>
            </w:r>
          </w:p>
        </w:tc>
        <w:tc>
          <w:tcPr>
            <w:tcW w:w="0" w:type="auto"/>
            <w:noWrap/>
            <w:vAlign w:val="bottom"/>
            <w:hideMark/>
          </w:tcPr>
          <w:p w14:paraId="5A5080B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D67BBB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F9901E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EB752D" w14:textId="77777777" w:rsidR="00000000" w:rsidRDefault="00632532">
            <w:pPr>
              <w:pStyle w:val="a3"/>
              <w:spacing w:before="0" w:beforeAutospacing="0" w:after="0" w:afterAutospacing="0"/>
              <w:jc w:val="right"/>
              <w:rPr>
                <w:sz w:val="20"/>
                <w:szCs w:val="20"/>
              </w:rPr>
            </w:pPr>
            <w:r>
              <w:rPr>
                <w:sz w:val="20"/>
                <w:szCs w:val="20"/>
              </w:rPr>
              <w:t>51,23</w:t>
            </w:r>
            <w:r>
              <w:rPr>
                <w:sz w:val="20"/>
                <w:szCs w:val="20"/>
              </w:rPr>
              <w:t>7</w:t>
            </w:r>
          </w:p>
        </w:tc>
        <w:tc>
          <w:tcPr>
            <w:tcW w:w="0" w:type="auto"/>
            <w:noWrap/>
            <w:vAlign w:val="bottom"/>
            <w:hideMark/>
          </w:tcPr>
          <w:p w14:paraId="72FB3342" w14:textId="77777777" w:rsidR="00000000" w:rsidRDefault="00632532">
            <w:pPr>
              <w:pStyle w:val="a3"/>
              <w:spacing w:before="0" w:beforeAutospacing="0" w:after="0" w:afterAutospacing="0"/>
              <w:rPr>
                <w:sz w:val="20"/>
                <w:szCs w:val="20"/>
              </w:rPr>
            </w:pPr>
            <w:r>
              <w:rPr>
                <w:sz w:val="20"/>
                <w:szCs w:val="20"/>
              </w:rPr>
              <w:t> </w:t>
            </w:r>
          </w:p>
        </w:tc>
      </w:tr>
      <w:tr w:rsidR="00000000" w14:paraId="70FC3223" w14:textId="77777777">
        <w:trPr>
          <w:divId w:val="749043429"/>
          <w:trHeight w:val="200"/>
          <w:tblCellSpacing w:w="15" w:type="dxa"/>
        </w:trPr>
        <w:tc>
          <w:tcPr>
            <w:tcW w:w="0" w:type="auto"/>
            <w:vAlign w:val="bottom"/>
            <w:hideMark/>
          </w:tcPr>
          <w:p w14:paraId="211BB5AA" w14:textId="77777777" w:rsidR="00000000" w:rsidRDefault="00632532">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14:paraId="3F14FFD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A7C714" w14:textId="77777777" w:rsidR="00000000" w:rsidRDefault="00632532">
            <w:pPr>
              <w:pStyle w:val="a3"/>
              <w:spacing w:before="0" w:beforeAutospacing="0" w:after="0" w:afterAutospacing="0"/>
              <w:jc w:val="right"/>
              <w:rPr>
                <w:sz w:val="20"/>
                <w:szCs w:val="20"/>
              </w:rPr>
            </w:pPr>
            <w:r>
              <w:rPr>
                <w:sz w:val="20"/>
                <w:szCs w:val="20"/>
              </w:rPr>
              <w:t>4,98</w:t>
            </w:r>
            <w:r>
              <w:rPr>
                <w:sz w:val="20"/>
                <w:szCs w:val="20"/>
              </w:rPr>
              <w:t>0</w:t>
            </w:r>
          </w:p>
        </w:tc>
        <w:tc>
          <w:tcPr>
            <w:tcW w:w="0" w:type="auto"/>
            <w:noWrap/>
            <w:vAlign w:val="bottom"/>
            <w:hideMark/>
          </w:tcPr>
          <w:p w14:paraId="768D1A4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36626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76AA57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15ADD70"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5EDDA4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0DC497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DFB020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893E99" w14:textId="77777777" w:rsidR="00000000" w:rsidRDefault="00632532">
            <w:pPr>
              <w:pStyle w:val="a3"/>
              <w:spacing w:before="0" w:beforeAutospacing="0" w:after="0" w:afterAutospacing="0"/>
              <w:jc w:val="right"/>
              <w:rPr>
                <w:sz w:val="20"/>
                <w:szCs w:val="20"/>
              </w:rPr>
            </w:pPr>
            <w:r>
              <w:rPr>
                <w:sz w:val="20"/>
                <w:szCs w:val="20"/>
              </w:rPr>
              <w:t>(</w:t>
            </w:r>
            <w:r>
              <w:rPr>
                <w:sz w:val="20"/>
                <w:szCs w:val="20"/>
              </w:rPr>
              <w:t>1</w:t>
            </w:r>
            <w:r>
              <w:rPr>
                <w:sz w:val="20"/>
                <w:szCs w:val="20"/>
              </w:rPr>
              <w:t>2</w:t>
            </w:r>
          </w:p>
        </w:tc>
        <w:tc>
          <w:tcPr>
            <w:tcW w:w="0" w:type="auto"/>
            <w:noWrap/>
            <w:vAlign w:val="bottom"/>
            <w:hideMark/>
          </w:tcPr>
          <w:p w14:paraId="69336A0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478088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BEB14E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48DCC3E" w14:textId="77777777" w:rsidR="00000000" w:rsidRDefault="00632532">
            <w:pPr>
              <w:pStyle w:val="a3"/>
              <w:spacing w:before="0" w:beforeAutospacing="0" w:after="0" w:afterAutospacing="0"/>
              <w:jc w:val="right"/>
              <w:rPr>
                <w:sz w:val="20"/>
                <w:szCs w:val="20"/>
              </w:rPr>
            </w:pPr>
            <w:r>
              <w:rPr>
                <w:sz w:val="20"/>
                <w:szCs w:val="20"/>
              </w:rPr>
              <w:t>4,96</w:t>
            </w:r>
            <w:r>
              <w:rPr>
                <w:sz w:val="20"/>
                <w:szCs w:val="20"/>
              </w:rPr>
              <w:t>8</w:t>
            </w:r>
          </w:p>
        </w:tc>
        <w:tc>
          <w:tcPr>
            <w:tcW w:w="0" w:type="auto"/>
            <w:noWrap/>
            <w:vAlign w:val="bottom"/>
            <w:hideMark/>
          </w:tcPr>
          <w:p w14:paraId="0EE136B3" w14:textId="77777777" w:rsidR="00000000" w:rsidRDefault="00632532">
            <w:pPr>
              <w:pStyle w:val="a3"/>
              <w:spacing w:before="0" w:beforeAutospacing="0" w:after="0" w:afterAutospacing="0"/>
              <w:rPr>
                <w:sz w:val="20"/>
                <w:szCs w:val="20"/>
              </w:rPr>
            </w:pPr>
            <w:r>
              <w:rPr>
                <w:sz w:val="20"/>
                <w:szCs w:val="20"/>
              </w:rPr>
              <w:t> </w:t>
            </w:r>
          </w:p>
        </w:tc>
      </w:tr>
      <w:tr w:rsidR="00000000" w14:paraId="33A63208" w14:textId="77777777">
        <w:trPr>
          <w:divId w:val="749043429"/>
          <w:trHeight w:val="200"/>
          <w:tblCellSpacing w:w="15" w:type="dxa"/>
        </w:trPr>
        <w:tc>
          <w:tcPr>
            <w:tcW w:w="0" w:type="auto"/>
            <w:vAlign w:val="bottom"/>
            <w:hideMark/>
          </w:tcPr>
          <w:p w14:paraId="161C6300" w14:textId="77777777" w:rsidR="00000000" w:rsidRDefault="00632532">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14:paraId="5A0EBB4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32BF07" w14:textId="77777777" w:rsidR="00000000" w:rsidRDefault="00632532">
            <w:pPr>
              <w:pStyle w:val="a3"/>
              <w:spacing w:before="0" w:beforeAutospacing="0" w:after="0" w:afterAutospacing="0"/>
              <w:jc w:val="right"/>
              <w:rPr>
                <w:sz w:val="20"/>
                <w:szCs w:val="20"/>
              </w:rPr>
            </w:pPr>
            <w:r>
              <w:rPr>
                <w:sz w:val="20"/>
                <w:szCs w:val="20"/>
              </w:rPr>
              <w:t>3,61</w:t>
            </w:r>
            <w:r>
              <w:rPr>
                <w:sz w:val="20"/>
                <w:szCs w:val="20"/>
              </w:rPr>
              <w:t>5</w:t>
            </w:r>
          </w:p>
        </w:tc>
        <w:tc>
          <w:tcPr>
            <w:tcW w:w="0" w:type="auto"/>
            <w:noWrap/>
            <w:vAlign w:val="bottom"/>
            <w:hideMark/>
          </w:tcPr>
          <w:p w14:paraId="6FD7202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FA0D6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5E11C0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7FD4329"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A06571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479CA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6511B8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996BEC" w14:textId="77777777" w:rsidR="00000000" w:rsidRDefault="00632532">
            <w:pPr>
              <w:pStyle w:val="a3"/>
              <w:spacing w:before="0" w:beforeAutospacing="0" w:after="0" w:afterAutospacing="0"/>
              <w:jc w:val="right"/>
              <w:rPr>
                <w:sz w:val="20"/>
                <w:szCs w:val="20"/>
              </w:rPr>
            </w:pPr>
            <w:r>
              <w:rPr>
                <w:sz w:val="20"/>
                <w:szCs w:val="20"/>
              </w:rPr>
              <w:t>(</w:t>
            </w:r>
            <w:r>
              <w:rPr>
                <w:sz w:val="20"/>
                <w:szCs w:val="20"/>
              </w:rPr>
              <w:t>6</w:t>
            </w:r>
          </w:p>
        </w:tc>
        <w:tc>
          <w:tcPr>
            <w:tcW w:w="0" w:type="auto"/>
            <w:noWrap/>
            <w:vAlign w:val="bottom"/>
            <w:hideMark/>
          </w:tcPr>
          <w:p w14:paraId="08CE15D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528185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E3BAA6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046271" w14:textId="77777777" w:rsidR="00000000" w:rsidRDefault="00632532">
            <w:pPr>
              <w:pStyle w:val="a3"/>
              <w:spacing w:before="0" w:beforeAutospacing="0" w:after="0" w:afterAutospacing="0"/>
              <w:jc w:val="right"/>
              <w:rPr>
                <w:sz w:val="20"/>
                <w:szCs w:val="20"/>
              </w:rPr>
            </w:pPr>
            <w:r>
              <w:rPr>
                <w:sz w:val="20"/>
                <w:szCs w:val="20"/>
              </w:rPr>
              <w:t>3,60</w:t>
            </w:r>
            <w:r>
              <w:rPr>
                <w:sz w:val="20"/>
                <w:szCs w:val="20"/>
              </w:rPr>
              <w:t>9</w:t>
            </w:r>
          </w:p>
        </w:tc>
        <w:tc>
          <w:tcPr>
            <w:tcW w:w="0" w:type="auto"/>
            <w:noWrap/>
            <w:vAlign w:val="bottom"/>
            <w:hideMark/>
          </w:tcPr>
          <w:p w14:paraId="5D417805" w14:textId="77777777" w:rsidR="00000000" w:rsidRDefault="00632532">
            <w:pPr>
              <w:pStyle w:val="a3"/>
              <w:spacing w:before="0" w:beforeAutospacing="0" w:after="0" w:afterAutospacing="0"/>
              <w:rPr>
                <w:sz w:val="20"/>
                <w:szCs w:val="20"/>
              </w:rPr>
            </w:pPr>
            <w:r>
              <w:rPr>
                <w:sz w:val="20"/>
                <w:szCs w:val="20"/>
              </w:rPr>
              <w:t> </w:t>
            </w:r>
          </w:p>
        </w:tc>
      </w:tr>
      <w:tr w:rsidR="00000000" w14:paraId="5434CA69" w14:textId="77777777">
        <w:trPr>
          <w:divId w:val="749043429"/>
          <w:trHeight w:val="200"/>
          <w:tblCellSpacing w:w="15" w:type="dxa"/>
        </w:trPr>
        <w:tc>
          <w:tcPr>
            <w:tcW w:w="0" w:type="auto"/>
            <w:vAlign w:val="bottom"/>
            <w:hideMark/>
          </w:tcPr>
          <w:p w14:paraId="09DA2B0F" w14:textId="77777777" w:rsidR="00000000" w:rsidRDefault="00632532">
            <w:pPr>
              <w:pStyle w:val="a3"/>
              <w:spacing w:before="0" w:beforeAutospacing="0" w:after="0" w:afterAutospacing="0"/>
              <w:ind w:left="400"/>
              <w:rPr>
                <w:sz w:val="20"/>
                <w:szCs w:val="20"/>
              </w:rPr>
            </w:pPr>
            <w:r>
              <w:rPr>
                <w:sz w:val="20"/>
                <w:szCs w:val="20"/>
              </w:rPr>
              <w:t>Less: Cash equivalent</w:t>
            </w:r>
            <w:r>
              <w:rPr>
                <w:sz w:val="20"/>
                <w:szCs w:val="20"/>
              </w:rPr>
              <w:t>s</w:t>
            </w:r>
          </w:p>
        </w:tc>
        <w:tc>
          <w:tcPr>
            <w:tcW w:w="0" w:type="auto"/>
            <w:noWrap/>
            <w:vAlign w:val="bottom"/>
            <w:hideMark/>
          </w:tcPr>
          <w:p w14:paraId="11B2A33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2D04E6" w14:textId="77777777" w:rsidR="00000000" w:rsidRDefault="00632532">
            <w:pPr>
              <w:pStyle w:val="a3"/>
              <w:spacing w:before="0" w:beforeAutospacing="0" w:after="0" w:afterAutospacing="0"/>
              <w:jc w:val="right"/>
              <w:rPr>
                <w:sz w:val="20"/>
                <w:szCs w:val="20"/>
              </w:rPr>
            </w:pPr>
            <w:r>
              <w:rPr>
                <w:sz w:val="20"/>
                <w:szCs w:val="20"/>
              </w:rPr>
              <w:t>(</w:t>
            </w:r>
            <w:r>
              <w:rPr>
                <w:sz w:val="20"/>
                <w:szCs w:val="20"/>
              </w:rPr>
              <w:t>77,06</w:t>
            </w:r>
            <w:r>
              <w:rPr>
                <w:sz w:val="20"/>
                <w:szCs w:val="20"/>
              </w:rPr>
              <w:t>7</w:t>
            </w:r>
          </w:p>
        </w:tc>
        <w:tc>
          <w:tcPr>
            <w:tcW w:w="0" w:type="auto"/>
            <w:noWrap/>
            <w:vAlign w:val="bottom"/>
            <w:hideMark/>
          </w:tcPr>
          <w:p w14:paraId="1321A5B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CDE9C1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316226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33378C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8AE3C1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43521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4B0DDC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38CF38"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E726C7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6B7D1E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4FC0EA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CB6CBF" w14:textId="77777777" w:rsidR="00000000" w:rsidRDefault="00632532">
            <w:pPr>
              <w:pStyle w:val="a3"/>
              <w:spacing w:before="0" w:beforeAutospacing="0" w:after="0" w:afterAutospacing="0"/>
              <w:jc w:val="right"/>
              <w:rPr>
                <w:sz w:val="20"/>
                <w:szCs w:val="20"/>
              </w:rPr>
            </w:pPr>
            <w:r>
              <w:rPr>
                <w:sz w:val="20"/>
                <w:szCs w:val="20"/>
              </w:rPr>
              <w:t>(</w:t>
            </w:r>
            <w:r>
              <w:rPr>
                <w:sz w:val="20"/>
                <w:szCs w:val="20"/>
              </w:rPr>
              <w:t>77,06</w:t>
            </w:r>
            <w:r>
              <w:rPr>
                <w:sz w:val="20"/>
                <w:szCs w:val="20"/>
              </w:rPr>
              <w:t>7</w:t>
            </w:r>
          </w:p>
        </w:tc>
        <w:tc>
          <w:tcPr>
            <w:tcW w:w="0" w:type="auto"/>
            <w:noWrap/>
            <w:vAlign w:val="bottom"/>
            <w:hideMark/>
          </w:tcPr>
          <w:p w14:paraId="7B179ED2" w14:textId="77777777" w:rsidR="00000000" w:rsidRDefault="00632532">
            <w:pPr>
              <w:pStyle w:val="a3"/>
              <w:spacing w:before="0" w:beforeAutospacing="0" w:after="0" w:afterAutospacing="0"/>
              <w:rPr>
                <w:sz w:val="20"/>
                <w:szCs w:val="20"/>
              </w:rPr>
            </w:pPr>
            <w:r>
              <w:rPr>
                <w:sz w:val="20"/>
                <w:szCs w:val="20"/>
              </w:rPr>
              <w:t>)</w:t>
            </w:r>
          </w:p>
        </w:tc>
      </w:tr>
      <w:tr w:rsidR="00000000" w14:paraId="4E9BF056" w14:textId="77777777">
        <w:trPr>
          <w:divId w:val="749043429"/>
          <w:trHeight w:val="200"/>
          <w:tblCellSpacing w:w="15" w:type="dxa"/>
        </w:trPr>
        <w:tc>
          <w:tcPr>
            <w:tcW w:w="0" w:type="auto"/>
            <w:vAlign w:val="bottom"/>
            <w:hideMark/>
          </w:tcPr>
          <w:p w14:paraId="0845FC2F" w14:textId="77777777" w:rsidR="00000000" w:rsidRDefault="00632532">
            <w:pPr>
              <w:pStyle w:val="a3"/>
              <w:spacing w:before="0" w:beforeAutospacing="0" w:after="0" w:afterAutospacing="0"/>
              <w:ind w:left="600"/>
              <w:rPr>
                <w:sz w:val="20"/>
                <w:szCs w:val="20"/>
              </w:rPr>
            </w:pPr>
            <w:r>
              <w:rPr>
                <w:sz w:val="20"/>
                <w:szCs w:val="20"/>
              </w:rPr>
              <w:t>Total debt securities due within 1 yea</w:t>
            </w:r>
            <w:r>
              <w:rPr>
                <w:sz w:val="20"/>
                <w:szCs w:val="20"/>
              </w:rPr>
              <w:t>r</w:t>
            </w:r>
          </w:p>
        </w:tc>
        <w:tc>
          <w:tcPr>
            <w:tcW w:w="0" w:type="auto"/>
            <w:noWrap/>
            <w:vAlign w:val="bottom"/>
            <w:hideMark/>
          </w:tcPr>
          <w:p w14:paraId="7FE848F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44779D" w14:textId="77777777" w:rsidR="00000000" w:rsidRDefault="00632532">
            <w:pPr>
              <w:pStyle w:val="a3"/>
              <w:spacing w:before="0" w:beforeAutospacing="0" w:after="0" w:afterAutospacing="0"/>
              <w:jc w:val="right"/>
              <w:rPr>
                <w:sz w:val="20"/>
                <w:szCs w:val="20"/>
              </w:rPr>
            </w:pPr>
            <w:r>
              <w:rPr>
                <w:sz w:val="20"/>
                <w:szCs w:val="20"/>
              </w:rPr>
              <w:t>152,02</w:t>
            </w:r>
            <w:r>
              <w:rPr>
                <w:sz w:val="20"/>
                <w:szCs w:val="20"/>
              </w:rPr>
              <w:t>9</w:t>
            </w:r>
          </w:p>
        </w:tc>
        <w:tc>
          <w:tcPr>
            <w:tcW w:w="0" w:type="auto"/>
            <w:noWrap/>
            <w:vAlign w:val="bottom"/>
            <w:hideMark/>
          </w:tcPr>
          <w:p w14:paraId="16AD7EF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8EC23F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62CA5F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9E758B4" w14:textId="77777777" w:rsidR="00000000" w:rsidRDefault="00632532">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14:paraId="6B42F42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9CE17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783858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A55A77" w14:textId="77777777" w:rsidR="00000000" w:rsidRDefault="00632532">
            <w:pPr>
              <w:pStyle w:val="a3"/>
              <w:spacing w:before="0" w:beforeAutospacing="0" w:after="0" w:afterAutospacing="0"/>
              <w:jc w:val="right"/>
              <w:rPr>
                <w:sz w:val="20"/>
                <w:szCs w:val="20"/>
              </w:rPr>
            </w:pPr>
            <w:r>
              <w:rPr>
                <w:sz w:val="20"/>
                <w:szCs w:val="20"/>
              </w:rPr>
              <w:t>(</w:t>
            </w:r>
            <w:r>
              <w:rPr>
                <w:sz w:val="20"/>
                <w:szCs w:val="20"/>
              </w:rPr>
              <w:t>24</w:t>
            </w:r>
            <w:r>
              <w:rPr>
                <w:sz w:val="20"/>
                <w:szCs w:val="20"/>
              </w:rPr>
              <w:t>7</w:t>
            </w:r>
          </w:p>
        </w:tc>
        <w:tc>
          <w:tcPr>
            <w:tcW w:w="0" w:type="auto"/>
            <w:noWrap/>
            <w:vAlign w:val="bottom"/>
            <w:hideMark/>
          </w:tcPr>
          <w:p w14:paraId="418C655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21899D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4D2A1C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950C82" w14:textId="77777777" w:rsidR="00000000" w:rsidRDefault="00632532">
            <w:pPr>
              <w:pStyle w:val="a3"/>
              <w:spacing w:before="0" w:beforeAutospacing="0" w:after="0" w:afterAutospacing="0"/>
              <w:jc w:val="right"/>
              <w:rPr>
                <w:sz w:val="20"/>
                <w:szCs w:val="20"/>
              </w:rPr>
            </w:pPr>
            <w:r>
              <w:rPr>
                <w:sz w:val="20"/>
                <w:szCs w:val="20"/>
              </w:rPr>
              <w:t>151,80</w:t>
            </w:r>
            <w:r>
              <w:rPr>
                <w:sz w:val="20"/>
                <w:szCs w:val="20"/>
              </w:rPr>
              <w:t>6</w:t>
            </w:r>
          </w:p>
        </w:tc>
        <w:tc>
          <w:tcPr>
            <w:tcW w:w="0" w:type="auto"/>
            <w:noWrap/>
            <w:vAlign w:val="bottom"/>
            <w:hideMark/>
          </w:tcPr>
          <w:p w14:paraId="740DC06C" w14:textId="77777777" w:rsidR="00000000" w:rsidRDefault="00632532">
            <w:pPr>
              <w:pStyle w:val="a3"/>
              <w:spacing w:before="0" w:beforeAutospacing="0" w:after="0" w:afterAutospacing="0"/>
              <w:rPr>
                <w:sz w:val="20"/>
                <w:szCs w:val="20"/>
              </w:rPr>
            </w:pPr>
            <w:r>
              <w:rPr>
                <w:sz w:val="20"/>
                <w:szCs w:val="20"/>
              </w:rPr>
              <w:t> </w:t>
            </w:r>
          </w:p>
        </w:tc>
      </w:tr>
      <w:tr w:rsidR="00000000" w14:paraId="363656D5" w14:textId="77777777">
        <w:trPr>
          <w:divId w:val="749043429"/>
          <w:trHeight w:val="200"/>
          <w:tblCellSpacing w:w="15" w:type="dxa"/>
        </w:trPr>
        <w:tc>
          <w:tcPr>
            <w:tcW w:w="0" w:type="auto"/>
            <w:vAlign w:val="bottom"/>
            <w:hideMark/>
          </w:tcPr>
          <w:p w14:paraId="4F5FEBE2" w14:textId="77777777" w:rsidR="00000000" w:rsidRDefault="00632532">
            <w:pPr>
              <w:pStyle w:val="a3"/>
              <w:spacing w:before="0" w:beforeAutospacing="0" w:after="0" w:afterAutospacing="0"/>
              <w:ind w:left="200"/>
              <w:rPr>
                <w:sz w:val="20"/>
                <w:szCs w:val="20"/>
              </w:rPr>
            </w:pPr>
            <w:r>
              <w:rPr>
                <w:sz w:val="20"/>
                <w:szCs w:val="20"/>
              </w:rPr>
              <w:t>After 1 year through 5 year</w:t>
            </w:r>
            <w:r>
              <w:rPr>
                <w:sz w:val="20"/>
                <w:szCs w:val="20"/>
              </w:rPr>
              <w:t>s</w:t>
            </w:r>
          </w:p>
        </w:tc>
        <w:tc>
          <w:tcPr>
            <w:tcW w:w="0" w:type="auto"/>
            <w:gridSpan w:val="2"/>
            <w:vAlign w:val="bottom"/>
            <w:hideMark/>
          </w:tcPr>
          <w:p w14:paraId="2DE9125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72951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3CF41C5"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11AD9F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E27AEF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36F3CD4"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D7D4C5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AE739D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3A3C853"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D48E75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E04150" w14:textId="77777777" w:rsidR="00000000" w:rsidRDefault="00632532">
            <w:pPr>
              <w:pStyle w:val="a3"/>
              <w:spacing w:before="0" w:beforeAutospacing="0" w:after="0" w:afterAutospacing="0"/>
              <w:rPr>
                <w:sz w:val="20"/>
                <w:szCs w:val="20"/>
              </w:rPr>
            </w:pPr>
            <w:r>
              <w:rPr>
                <w:sz w:val="20"/>
                <w:szCs w:val="20"/>
              </w:rPr>
              <w:t> </w:t>
            </w:r>
          </w:p>
        </w:tc>
      </w:tr>
      <w:tr w:rsidR="00000000" w14:paraId="2A5DAD91" w14:textId="77777777">
        <w:trPr>
          <w:divId w:val="749043429"/>
          <w:trHeight w:val="200"/>
          <w:tblCellSpacing w:w="15" w:type="dxa"/>
        </w:trPr>
        <w:tc>
          <w:tcPr>
            <w:tcW w:w="0" w:type="auto"/>
            <w:vAlign w:val="bottom"/>
            <w:hideMark/>
          </w:tcPr>
          <w:p w14:paraId="5DADE8C5" w14:textId="77777777" w:rsidR="00000000" w:rsidRDefault="00632532">
            <w:pPr>
              <w:pStyle w:val="a3"/>
              <w:spacing w:before="0" w:beforeAutospacing="0" w:after="0" w:afterAutospacing="0"/>
              <w:ind w:left="400"/>
              <w:rPr>
                <w:sz w:val="20"/>
                <w:szCs w:val="20"/>
              </w:rPr>
            </w:pPr>
            <w:r>
              <w:rPr>
                <w:sz w:val="20"/>
                <w:szCs w:val="20"/>
              </w:rPr>
              <w:t>Corporate debt securitie</w:t>
            </w:r>
            <w:r>
              <w:rPr>
                <w:sz w:val="20"/>
                <w:szCs w:val="20"/>
              </w:rPr>
              <w:t>s</w:t>
            </w:r>
          </w:p>
        </w:tc>
        <w:tc>
          <w:tcPr>
            <w:tcW w:w="0" w:type="auto"/>
            <w:noWrap/>
            <w:vAlign w:val="bottom"/>
            <w:hideMark/>
          </w:tcPr>
          <w:p w14:paraId="73C7A62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D3D34A7" w14:textId="77777777" w:rsidR="00000000" w:rsidRDefault="00632532">
            <w:pPr>
              <w:pStyle w:val="a3"/>
              <w:spacing w:before="0" w:beforeAutospacing="0" w:after="0" w:afterAutospacing="0"/>
              <w:jc w:val="right"/>
              <w:rPr>
                <w:sz w:val="20"/>
                <w:szCs w:val="20"/>
              </w:rPr>
            </w:pPr>
            <w:r>
              <w:rPr>
                <w:sz w:val="20"/>
                <w:szCs w:val="20"/>
              </w:rPr>
              <w:t>242,42</w:t>
            </w:r>
            <w:r>
              <w:rPr>
                <w:sz w:val="20"/>
                <w:szCs w:val="20"/>
              </w:rPr>
              <w:t>1</w:t>
            </w:r>
          </w:p>
        </w:tc>
        <w:tc>
          <w:tcPr>
            <w:tcW w:w="0" w:type="auto"/>
            <w:noWrap/>
            <w:vAlign w:val="bottom"/>
            <w:hideMark/>
          </w:tcPr>
          <w:p w14:paraId="4019BD7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6864D0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946EF3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1542F15" w14:textId="77777777" w:rsidR="00000000" w:rsidRDefault="00632532">
            <w:pPr>
              <w:pStyle w:val="a3"/>
              <w:spacing w:before="0" w:beforeAutospacing="0" w:after="0" w:afterAutospacing="0"/>
              <w:jc w:val="right"/>
              <w:rPr>
                <w:sz w:val="20"/>
                <w:szCs w:val="20"/>
              </w:rPr>
            </w:pPr>
            <w:r>
              <w:rPr>
                <w:sz w:val="20"/>
                <w:szCs w:val="20"/>
              </w:rPr>
              <w:t>2</w:t>
            </w:r>
            <w:r>
              <w:rPr>
                <w:sz w:val="20"/>
                <w:szCs w:val="20"/>
              </w:rPr>
              <w:t>9</w:t>
            </w:r>
          </w:p>
        </w:tc>
        <w:tc>
          <w:tcPr>
            <w:tcW w:w="0" w:type="auto"/>
            <w:noWrap/>
            <w:vAlign w:val="bottom"/>
            <w:hideMark/>
          </w:tcPr>
          <w:p w14:paraId="659EF62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55C82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BEC4A6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2EFEB4D" w14:textId="77777777" w:rsidR="00000000" w:rsidRDefault="00632532">
            <w:pPr>
              <w:pStyle w:val="a3"/>
              <w:spacing w:before="0" w:beforeAutospacing="0" w:after="0" w:afterAutospacing="0"/>
              <w:jc w:val="right"/>
              <w:rPr>
                <w:sz w:val="20"/>
                <w:szCs w:val="20"/>
              </w:rPr>
            </w:pPr>
            <w:r>
              <w:rPr>
                <w:sz w:val="20"/>
                <w:szCs w:val="20"/>
              </w:rPr>
              <w:t>(</w:t>
            </w:r>
            <w:r>
              <w:rPr>
                <w:sz w:val="20"/>
                <w:szCs w:val="20"/>
              </w:rPr>
              <w:t>1,91</w:t>
            </w:r>
            <w:r>
              <w:rPr>
                <w:sz w:val="20"/>
                <w:szCs w:val="20"/>
              </w:rPr>
              <w:t>3</w:t>
            </w:r>
          </w:p>
        </w:tc>
        <w:tc>
          <w:tcPr>
            <w:tcW w:w="0" w:type="auto"/>
            <w:noWrap/>
            <w:vAlign w:val="bottom"/>
            <w:hideMark/>
          </w:tcPr>
          <w:p w14:paraId="1922A93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1C1637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3119B9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58A6451" w14:textId="77777777" w:rsidR="00000000" w:rsidRDefault="00632532">
            <w:pPr>
              <w:pStyle w:val="a3"/>
              <w:spacing w:before="0" w:beforeAutospacing="0" w:after="0" w:afterAutospacing="0"/>
              <w:jc w:val="right"/>
              <w:rPr>
                <w:sz w:val="20"/>
                <w:szCs w:val="20"/>
              </w:rPr>
            </w:pPr>
            <w:r>
              <w:rPr>
                <w:sz w:val="20"/>
                <w:szCs w:val="20"/>
              </w:rPr>
              <w:t>240,53</w:t>
            </w:r>
            <w:r>
              <w:rPr>
                <w:sz w:val="20"/>
                <w:szCs w:val="20"/>
              </w:rPr>
              <w:t>7</w:t>
            </w:r>
          </w:p>
        </w:tc>
        <w:tc>
          <w:tcPr>
            <w:tcW w:w="0" w:type="auto"/>
            <w:noWrap/>
            <w:vAlign w:val="bottom"/>
            <w:hideMark/>
          </w:tcPr>
          <w:p w14:paraId="09375251" w14:textId="77777777" w:rsidR="00000000" w:rsidRDefault="00632532">
            <w:pPr>
              <w:pStyle w:val="a3"/>
              <w:spacing w:before="0" w:beforeAutospacing="0" w:after="0" w:afterAutospacing="0"/>
              <w:rPr>
                <w:sz w:val="20"/>
                <w:szCs w:val="20"/>
              </w:rPr>
            </w:pPr>
            <w:r>
              <w:rPr>
                <w:sz w:val="20"/>
                <w:szCs w:val="20"/>
              </w:rPr>
              <w:t> </w:t>
            </w:r>
          </w:p>
        </w:tc>
      </w:tr>
      <w:tr w:rsidR="00000000" w14:paraId="37ADB2CA" w14:textId="77777777">
        <w:trPr>
          <w:divId w:val="749043429"/>
          <w:trHeight w:val="200"/>
          <w:tblCellSpacing w:w="15" w:type="dxa"/>
        </w:trPr>
        <w:tc>
          <w:tcPr>
            <w:tcW w:w="0" w:type="auto"/>
            <w:vAlign w:val="bottom"/>
            <w:hideMark/>
          </w:tcPr>
          <w:p w14:paraId="66D859BB" w14:textId="77777777" w:rsidR="00000000" w:rsidRDefault="00632532">
            <w:pPr>
              <w:pStyle w:val="a3"/>
              <w:spacing w:before="0" w:beforeAutospacing="0" w:after="0" w:afterAutospacing="0"/>
              <w:ind w:left="400"/>
              <w:rPr>
                <w:sz w:val="20"/>
                <w:szCs w:val="20"/>
              </w:rPr>
            </w:pPr>
            <w:r>
              <w:rPr>
                <w:sz w:val="20"/>
                <w:szCs w:val="20"/>
              </w:rPr>
              <w:t>U.S. Government debt securitie</w:t>
            </w:r>
            <w:r>
              <w:rPr>
                <w:sz w:val="20"/>
                <w:szCs w:val="20"/>
              </w:rPr>
              <w:t>s</w:t>
            </w:r>
          </w:p>
        </w:tc>
        <w:tc>
          <w:tcPr>
            <w:tcW w:w="0" w:type="auto"/>
            <w:noWrap/>
            <w:vAlign w:val="bottom"/>
            <w:hideMark/>
          </w:tcPr>
          <w:p w14:paraId="14F754C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7BCA60" w14:textId="77777777" w:rsidR="00000000" w:rsidRDefault="00632532">
            <w:pPr>
              <w:pStyle w:val="a3"/>
              <w:spacing w:before="0" w:beforeAutospacing="0" w:after="0" w:afterAutospacing="0"/>
              <w:jc w:val="right"/>
              <w:rPr>
                <w:sz w:val="20"/>
                <w:szCs w:val="20"/>
              </w:rPr>
            </w:pPr>
            <w:r>
              <w:rPr>
                <w:sz w:val="20"/>
                <w:szCs w:val="20"/>
              </w:rPr>
              <w:t>147,69</w:t>
            </w:r>
            <w:r>
              <w:rPr>
                <w:sz w:val="20"/>
                <w:szCs w:val="20"/>
              </w:rPr>
              <w:t>9</w:t>
            </w:r>
          </w:p>
        </w:tc>
        <w:tc>
          <w:tcPr>
            <w:tcW w:w="0" w:type="auto"/>
            <w:noWrap/>
            <w:vAlign w:val="bottom"/>
            <w:hideMark/>
          </w:tcPr>
          <w:p w14:paraId="7B0FC9A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7B7BA0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E6948F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21B13B" w14:textId="77777777" w:rsidR="00000000" w:rsidRDefault="00632532">
            <w:pPr>
              <w:pStyle w:val="a3"/>
              <w:spacing w:before="0" w:beforeAutospacing="0" w:after="0" w:afterAutospacing="0"/>
              <w:jc w:val="right"/>
              <w:rPr>
                <w:sz w:val="20"/>
                <w:szCs w:val="20"/>
              </w:rPr>
            </w:pPr>
            <w:r>
              <w:rPr>
                <w:sz w:val="20"/>
                <w:szCs w:val="20"/>
              </w:rPr>
              <w:t>7</w:t>
            </w:r>
          </w:p>
        </w:tc>
        <w:tc>
          <w:tcPr>
            <w:tcW w:w="0" w:type="auto"/>
            <w:noWrap/>
            <w:vAlign w:val="bottom"/>
            <w:hideMark/>
          </w:tcPr>
          <w:p w14:paraId="7F98FB6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F25A0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E7427F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2EFB43" w14:textId="77777777" w:rsidR="00000000" w:rsidRDefault="00632532">
            <w:pPr>
              <w:pStyle w:val="a3"/>
              <w:spacing w:before="0" w:beforeAutospacing="0" w:after="0" w:afterAutospacing="0"/>
              <w:jc w:val="right"/>
              <w:rPr>
                <w:sz w:val="20"/>
                <w:szCs w:val="20"/>
              </w:rPr>
            </w:pPr>
            <w:r>
              <w:rPr>
                <w:sz w:val="20"/>
                <w:szCs w:val="20"/>
              </w:rPr>
              <w:t>(</w:t>
            </w:r>
            <w:r>
              <w:rPr>
                <w:sz w:val="20"/>
                <w:szCs w:val="20"/>
              </w:rPr>
              <w:t>78</w:t>
            </w:r>
            <w:r>
              <w:rPr>
                <w:sz w:val="20"/>
                <w:szCs w:val="20"/>
              </w:rPr>
              <w:t>6</w:t>
            </w:r>
          </w:p>
        </w:tc>
        <w:tc>
          <w:tcPr>
            <w:tcW w:w="0" w:type="auto"/>
            <w:noWrap/>
            <w:vAlign w:val="bottom"/>
            <w:hideMark/>
          </w:tcPr>
          <w:p w14:paraId="5A6A17D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320D55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DA6373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A0F812" w14:textId="77777777" w:rsidR="00000000" w:rsidRDefault="00632532">
            <w:pPr>
              <w:pStyle w:val="a3"/>
              <w:spacing w:before="0" w:beforeAutospacing="0" w:after="0" w:afterAutospacing="0"/>
              <w:jc w:val="right"/>
              <w:rPr>
                <w:sz w:val="20"/>
                <w:szCs w:val="20"/>
              </w:rPr>
            </w:pPr>
            <w:r>
              <w:rPr>
                <w:sz w:val="20"/>
                <w:szCs w:val="20"/>
              </w:rPr>
              <w:t>146,92</w:t>
            </w:r>
            <w:r>
              <w:rPr>
                <w:sz w:val="20"/>
                <w:szCs w:val="20"/>
              </w:rPr>
              <w:t>0</w:t>
            </w:r>
          </w:p>
        </w:tc>
        <w:tc>
          <w:tcPr>
            <w:tcW w:w="0" w:type="auto"/>
            <w:noWrap/>
            <w:vAlign w:val="bottom"/>
            <w:hideMark/>
          </w:tcPr>
          <w:p w14:paraId="0659A222" w14:textId="77777777" w:rsidR="00000000" w:rsidRDefault="00632532">
            <w:pPr>
              <w:pStyle w:val="a3"/>
              <w:spacing w:before="0" w:beforeAutospacing="0" w:after="0" w:afterAutospacing="0"/>
              <w:rPr>
                <w:sz w:val="20"/>
                <w:szCs w:val="20"/>
              </w:rPr>
            </w:pPr>
            <w:r>
              <w:rPr>
                <w:sz w:val="20"/>
                <w:szCs w:val="20"/>
              </w:rPr>
              <w:t> </w:t>
            </w:r>
          </w:p>
        </w:tc>
      </w:tr>
      <w:tr w:rsidR="00000000" w14:paraId="5CF27C70" w14:textId="77777777">
        <w:trPr>
          <w:divId w:val="749043429"/>
          <w:trHeight w:val="200"/>
          <w:tblCellSpacing w:w="15" w:type="dxa"/>
        </w:trPr>
        <w:tc>
          <w:tcPr>
            <w:tcW w:w="0" w:type="auto"/>
            <w:vAlign w:val="bottom"/>
            <w:hideMark/>
          </w:tcPr>
          <w:p w14:paraId="1DB0D151" w14:textId="77777777" w:rsidR="00000000" w:rsidRDefault="00632532">
            <w:pPr>
              <w:pStyle w:val="a3"/>
              <w:spacing w:before="0" w:beforeAutospacing="0" w:after="0" w:afterAutospacing="0"/>
              <w:ind w:left="400"/>
              <w:rPr>
                <w:sz w:val="20"/>
                <w:szCs w:val="20"/>
              </w:rPr>
            </w:pPr>
            <w:r>
              <w:rPr>
                <w:sz w:val="20"/>
                <w:szCs w:val="20"/>
              </w:rPr>
              <w:t>U.S. agency debt securitie</w:t>
            </w:r>
            <w:r>
              <w:rPr>
                <w:sz w:val="20"/>
                <w:szCs w:val="20"/>
              </w:rPr>
              <w:t>s</w:t>
            </w:r>
          </w:p>
        </w:tc>
        <w:tc>
          <w:tcPr>
            <w:tcW w:w="0" w:type="auto"/>
            <w:noWrap/>
            <w:vAlign w:val="bottom"/>
            <w:hideMark/>
          </w:tcPr>
          <w:p w14:paraId="235AD36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E6D4BD1" w14:textId="77777777" w:rsidR="00000000" w:rsidRDefault="00632532">
            <w:pPr>
              <w:pStyle w:val="a3"/>
              <w:spacing w:before="0" w:beforeAutospacing="0" w:after="0" w:afterAutospacing="0"/>
              <w:jc w:val="right"/>
              <w:rPr>
                <w:sz w:val="20"/>
                <w:szCs w:val="20"/>
              </w:rPr>
            </w:pPr>
            <w:r>
              <w:rPr>
                <w:sz w:val="20"/>
                <w:szCs w:val="20"/>
              </w:rPr>
              <w:t>70,06</w:t>
            </w:r>
            <w:r>
              <w:rPr>
                <w:sz w:val="20"/>
                <w:szCs w:val="20"/>
              </w:rPr>
              <w:t>9</w:t>
            </w:r>
          </w:p>
        </w:tc>
        <w:tc>
          <w:tcPr>
            <w:tcW w:w="0" w:type="auto"/>
            <w:noWrap/>
            <w:vAlign w:val="bottom"/>
            <w:hideMark/>
          </w:tcPr>
          <w:p w14:paraId="7202879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619611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6AE54B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8F5EF5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DECA3D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556B6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A055C0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A75E30" w14:textId="77777777" w:rsidR="00000000" w:rsidRDefault="00632532">
            <w:pPr>
              <w:pStyle w:val="a3"/>
              <w:spacing w:before="0" w:beforeAutospacing="0" w:after="0" w:afterAutospacing="0"/>
              <w:jc w:val="right"/>
              <w:rPr>
                <w:sz w:val="20"/>
                <w:szCs w:val="20"/>
              </w:rPr>
            </w:pPr>
            <w:r>
              <w:rPr>
                <w:sz w:val="20"/>
                <w:szCs w:val="20"/>
              </w:rPr>
              <w:t>(</w:t>
            </w:r>
            <w:r>
              <w:rPr>
                <w:sz w:val="20"/>
                <w:szCs w:val="20"/>
              </w:rPr>
              <w:t>53</w:t>
            </w:r>
            <w:r>
              <w:rPr>
                <w:sz w:val="20"/>
                <w:szCs w:val="20"/>
              </w:rPr>
              <w:t>5</w:t>
            </w:r>
          </w:p>
        </w:tc>
        <w:tc>
          <w:tcPr>
            <w:tcW w:w="0" w:type="auto"/>
            <w:noWrap/>
            <w:vAlign w:val="bottom"/>
            <w:hideMark/>
          </w:tcPr>
          <w:p w14:paraId="31D550B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F878C2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E1862B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8F3F26" w14:textId="77777777" w:rsidR="00000000" w:rsidRDefault="00632532">
            <w:pPr>
              <w:pStyle w:val="a3"/>
              <w:spacing w:before="0" w:beforeAutospacing="0" w:after="0" w:afterAutospacing="0"/>
              <w:jc w:val="right"/>
              <w:rPr>
                <w:sz w:val="20"/>
                <w:szCs w:val="20"/>
              </w:rPr>
            </w:pPr>
            <w:r>
              <w:rPr>
                <w:sz w:val="20"/>
                <w:szCs w:val="20"/>
              </w:rPr>
              <w:t>69,53</w:t>
            </w:r>
            <w:r>
              <w:rPr>
                <w:sz w:val="20"/>
                <w:szCs w:val="20"/>
              </w:rPr>
              <w:t>4</w:t>
            </w:r>
          </w:p>
        </w:tc>
        <w:tc>
          <w:tcPr>
            <w:tcW w:w="0" w:type="auto"/>
            <w:noWrap/>
            <w:vAlign w:val="bottom"/>
            <w:hideMark/>
          </w:tcPr>
          <w:p w14:paraId="6A7671A3" w14:textId="77777777" w:rsidR="00000000" w:rsidRDefault="00632532">
            <w:pPr>
              <w:pStyle w:val="a3"/>
              <w:spacing w:before="0" w:beforeAutospacing="0" w:after="0" w:afterAutospacing="0"/>
              <w:rPr>
                <w:sz w:val="20"/>
                <w:szCs w:val="20"/>
              </w:rPr>
            </w:pPr>
            <w:r>
              <w:rPr>
                <w:sz w:val="20"/>
                <w:szCs w:val="20"/>
              </w:rPr>
              <w:t> </w:t>
            </w:r>
          </w:p>
        </w:tc>
      </w:tr>
      <w:tr w:rsidR="00000000" w14:paraId="0758B4D4" w14:textId="77777777">
        <w:trPr>
          <w:divId w:val="749043429"/>
          <w:trHeight w:val="200"/>
          <w:tblCellSpacing w:w="15" w:type="dxa"/>
        </w:trPr>
        <w:tc>
          <w:tcPr>
            <w:tcW w:w="0" w:type="auto"/>
            <w:vAlign w:val="bottom"/>
            <w:hideMark/>
          </w:tcPr>
          <w:p w14:paraId="5D9CC90D" w14:textId="77777777" w:rsidR="00000000" w:rsidRDefault="00632532">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14:paraId="62D9D4E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9CAAD2A" w14:textId="77777777" w:rsidR="00000000" w:rsidRDefault="00632532">
            <w:pPr>
              <w:pStyle w:val="a3"/>
              <w:spacing w:before="0" w:beforeAutospacing="0" w:after="0" w:afterAutospacing="0"/>
              <w:jc w:val="right"/>
              <w:rPr>
                <w:sz w:val="20"/>
                <w:szCs w:val="20"/>
              </w:rPr>
            </w:pPr>
            <w:r>
              <w:rPr>
                <w:sz w:val="20"/>
                <w:szCs w:val="20"/>
              </w:rPr>
              <w:t>11,92</w:t>
            </w:r>
            <w:r>
              <w:rPr>
                <w:sz w:val="20"/>
                <w:szCs w:val="20"/>
              </w:rPr>
              <w:t>0</w:t>
            </w:r>
          </w:p>
        </w:tc>
        <w:tc>
          <w:tcPr>
            <w:tcW w:w="0" w:type="auto"/>
            <w:noWrap/>
            <w:vAlign w:val="bottom"/>
            <w:hideMark/>
          </w:tcPr>
          <w:p w14:paraId="4F62040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40EC8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BBF30D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C27A1C" w14:textId="77777777" w:rsidR="00000000" w:rsidRDefault="00632532">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14:paraId="0FD3464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73B33C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53D74E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BA1962" w14:textId="77777777" w:rsidR="00000000" w:rsidRDefault="00632532">
            <w:pPr>
              <w:pStyle w:val="a3"/>
              <w:spacing w:before="0" w:beforeAutospacing="0" w:after="0" w:afterAutospacing="0"/>
              <w:jc w:val="right"/>
              <w:rPr>
                <w:sz w:val="20"/>
                <w:szCs w:val="20"/>
              </w:rPr>
            </w:pPr>
            <w:r>
              <w:rPr>
                <w:sz w:val="20"/>
                <w:szCs w:val="20"/>
              </w:rPr>
              <w:t>(</w:t>
            </w:r>
            <w:r>
              <w:rPr>
                <w:sz w:val="20"/>
                <w:szCs w:val="20"/>
              </w:rPr>
              <w:t>1</w:t>
            </w:r>
            <w:r>
              <w:rPr>
                <w:sz w:val="20"/>
                <w:szCs w:val="20"/>
              </w:rPr>
              <w:t>1</w:t>
            </w:r>
          </w:p>
        </w:tc>
        <w:tc>
          <w:tcPr>
            <w:tcW w:w="0" w:type="auto"/>
            <w:noWrap/>
            <w:vAlign w:val="bottom"/>
            <w:hideMark/>
          </w:tcPr>
          <w:p w14:paraId="6B6C943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F80385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4FD1F9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B2BFF8" w14:textId="77777777" w:rsidR="00000000" w:rsidRDefault="00632532">
            <w:pPr>
              <w:pStyle w:val="a3"/>
              <w:spacing w:before="0" w:beforeAutospacing="0" w:after="0" w:afterAutospacing="0"/>
              <w:jc w:val="right"/>
              <w:rPr>
                <w:sz w:val="20"/>
                <w:szCs w:val="20"/>
              </w:rPr>
            </w:pPr>
            <w:r>
              <w:rPr>
                <w:sz w:val="20"/>
                <w:szCs w:val="20"/>
              </w:rPr>
              <w:t>11,92</w:t>
            </w:r>
            <w:r>
              <w:rPr>
                <w:sz w:val="20"/>
                <w:szCs w:val="20"/>
              </w:rPr>
              <w:t>2</w:t>
            </w:r>
          </w:p>
        </w:tc>
        <w:tc>
          <w:tcPr>
            <w:tcW w:w="0" w:type="auto"/>
            <w:noWrap/>
            <w:vAlign w:val="bottom"/>
            <w:hideMark/>
          </w:tcPr>
          <w:p w14:paraId="7D7B898C" w14:textId="77777777" w:rsidR="00000000" w:rsidRDefault="00632532">
            <w:pPr>
              <w:pStyle w:val="a3"/>
              <w:spacing w:before="0" w:beforeAutospacing="0" w:after="0" w:afterAutospacing="0"/>
              <w:rPr>
                <w:sz w:val="20"/>
                <w:szCs w:val="20"/>
              </w:rPr>
            </w:pPr>
            <w:r>
              <w:rPr>
                <w:sz w:val="20"/>
                <w:szCs w:val="20"/>
              </w:rPr>
              <w:t> </w:t>
            </w:r>
          </w:p>
        </w:tc>
      </w:tr>
      <w:tr w:rsidR="00000000" w14:paraId="60C3A8C8" w14:textId="77777777">
        <w:trPr>
          <w:divId w:val="749043429"/>
          <w:trHeight w:val="200"/>
          <w:tblCellSpacing w:w="15" w:type="dxa"/>
        </w:trPr>
        <w:tc>
          <w:tcPr>
            <w:tcW w:w="0" w:type="auto"/>
            <w:vAlign w:val="bottom"/>
            <w:hideMark/>
          </w:tcPr>
          <w:p w14:paraId="711DCAF5" w14:textId="77777777" w:rsidR="00000000" w:rsidRDefault="00632532">
            <w:pPr>
              <w:pStyle w:val="a3"/>
              <w:spacing w:before="0" w:beforeAutospacing="0" w:after="0" w:afterAutospacing="0"/>
              <w:ind w:left="400"/>
              <w:rPr>
                <w:sz w:val="20"/>
                <w:szCs w:val="20"/>
              </w:rPr>
            </w:pPr>
            <w:r>
              <w:rPr>
                <w:sz w:val="20"/>
                <w:szCs w:val="20"/>
              </w:rPr>
              <w:t>Yankee debt securitie</w:t>
            </w:r>
            <w:r>
              <w:rPr>
                <w:sz w:val="20"/>
                <w:szCs w:val="20"/>
              </w:rPr>
              <w:t>s</w:t>
            </w:r>
          </w:p>
        </w:tc>
        <w:tc>
          <w:tcPr>
            <w:tcW w:w="0" w:type="auto"/>
            <w:noWrap/>
            <w:vAlign w:val="bottom"/>
            <w:hideMark/>
          </w:tcPr>
          <w:p w14:paraId="1EFFFDB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DB4E763" w14:textId="77777777" w:rsidR="00000000" w:rsidRDefault="00632532">
            <w:pPr>
              <w:pStyle w:val="a3"/>
              <w:spacing w:before="0" w:beforeAutospacing="0" w:after="0" w:afterAutospacing="0"/>
              <w:jc w:val="right"/>
              <w:rPr>
                <w:sz w:val="20"/>
                <w:szCs w:val="20"/>
              </w:rPr>
            </w:pPr>
            <w:r>
              <w:rPr>
                <w:sz w:val="20"/>
                <w:szCs w:val="20"/>
              </w:rPr>
              <w:t>8,63</w:t>
            </w:r>
            <w:r>
              <w:rPr>
                <w:sz w:val="20"/>
                <w:szCs w:val="20"/>
              </w:rPr>
              <w:t>3</w:t>
            </w:r>
          </w:p>
        </w:tc>
        <w:tc>
          <w:tcPr>
            <w:tcW w:w="0" w:type="auto"/>
            <w:noWrap/>
            <w:vAlign w:val="bottom"/>
            <w:hideMark/>
          </w:tcPr>
          <w:p w14:paraId="001DAA9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27273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218758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625AC8"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B41A0E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C7ACD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A3EA0E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FAF8DDE" w14:textId="77777777" w:rsidR="00000000" w:rsidRDefault="00632532">
            <w:pPr>
              <w:pStyle w:val="a3"/>
              <w:spacing w:before="0" w:beforeAutospacing="0" w:after="0" w:afterAutospacing="0"/>
              <w:jc w:val="right"/>
              <w:rPr>
                <w:sz w:val="20"/>
                <w:szCs w:val="20"/>
              </w:rPr>
            </w:pPr>
            <w:r>
              <w:rPr>
                <w:sz w:val="20"/>
                <w:szCs w:val="20"/>
              </w:rPr>
              <w:t>(</w:t>
            </w:r>
            <w:r>
              <w:rPr>
                <w:sz w:val="20"/>
                <w:szCs w:val="20"/>
              </w:rPr>
              <w:t>8</w:t>
            </w:r>
            <w:r>
              <w:rPr>
                <w:sz w:val="20"/>
                <w:szCs w:val="20"/>
              </w:rPr>
              <w:t>9</w:t>
            </w:r>
          </w:p>
        </w:tc>
        <w:tc>
          <w:tcPr>
            <w:tcW w:w="0" w:type="auto"/>
            <w:noWrap/>
            <w:vAlign w:val="bottom"/>
            <w:hideMark/>
          </w:tcPr>
          <w:p w14:paraId="1CE2504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12F348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AFDD18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5B8593" w14:textId="77777777" w:rsidR="00000000" w:rsidRDefault="00632532">
            <w:pPr>
              <w:pStyle w:val="a3"/>
              <w:spacing w:before="0" w:beforeAutospacing="0" w:after="0" w:afterAutospacing="0"/>
              <w:jc w:val="right"/>
              <w:rPr>
                <w:sz w:val="20"/>
                <w:szCs w:val="20"/>
              </w:rPr>
            </w:pPr>
            <w:r>
              <w:rPr>
                <w:sz w:val="20"/>
                <w:szCs w:val="20"/>
              </w:rPr>
              <w:t>8,54</w:t>
            </w:r>
            <w:r>
              <w:rPr>
                <w:sz w:val="20"/>
                <w:szCs w:val="20"/>
              </w:rPr>
              <w:t>4</w:t>
            </w:r>
          </w:p>
        </w:tc>
        <w:tc>
          <w:tcPr>
            <w:tcW w:w="0" w:type="auto"/>
            <w:noWrap/>
            <w:vAlign w:val="bottom"/>
            <w:hideMark/>
          </w:tcPr>
          <w:p w14:paraId="30204354" w14:textId="77777777" w:rsidR="00000000" w:rsidRDefault="00632532">
            <w:pPr>
              <w:pStyle w:val="a3"/>
              <w:spacing w:before="0" w:beforeAutospacing="0" w:after="0" w:afterAutospacing="0"/>
              <w:rPr>
                <w:sz w:val="20"/>
                <w:szCs w:val="20"/>
              </w:rPr>
            </w:pPr>
            <w:r>
              <w:rPr>
                <w:sz w:val="20"/>
                <w:szCs w:val="20"/>
              </w:rPr>
              <w:t> </w:t>
            </w:r>
          </w:p>
        </w:tc>
      </w:tr>
      <w:tr w:rsidR="00000000" w14:paraId="61261888" w14:textId="77777777">
        <w:trPr>
          <w:divId w:val="749043429"/>
          <w:trHeight w:val="200"/>
          <w:tblCellSpacing w:w="15" w:type="dxa"/>
        </w:trPr>
        <w:tc>
          <w:tcPr>
            <w:tcW w:w="0" w:type="auto"/>
            <w:vAlign w:val="bottom"/>
            <w:hideMark/>
          </w:tcPr>
          <w:p w14:paraId="4D2EF47F" w14:textId="77777777" w:rsidR="00000000" w:rsidRDefault="00632532">
            <w:pPr>
              <w:pStyle w:val="a3"/>
              <w:spacing w:before="0" w:beforeAutospacing="0" w:after="0" w:afterAutospacing="0"/>
              <w:ind w:left="600"/>
              <w:rPr>
                <w:sz w:val="20"/>
                <w:szCs w:val="20"/>
              </w:rPr>
            </w:pPr>
            <w:r>
              <w:rPr>
                <w:sz w:val="20"/>
                <w:szCs w:val="20"/>
              </w:rPr>
              <w:t>Total debt securities due after 1 year through 5 year</w:t>
            </w:r>
            <w:r>
              <w:rPr>
                <w:sz w:val="20"/>
                <w:szCs w:val="20"/>
              </w:rPr>
              <w:t>s</w:t>
            </w:r>
          </w:p>
        </w:tc>
        <w:tc>
          <w:tcPr>
            <w:tcW w:w="0" w:type="auto"/>
            <w:noWrap/>
            <w:vAlign w:val="bottom"/>
            <w:hideMark/>
          </w:tcPr>
          <w:p w14:paraId="1D667EE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2065A7" w14:textId="77777777" w:rsidR="00000000" w:rsidRDefault="00632532">
            <w:pPr>
              <w:pStyle w:val="a3"/>
              <w:spacing w:before="0" w:beforeAutospacing="0" w:after="0" w:afterAutospacing="0"/>
              <w:jc w:val="right"/>
              <w:rPr>
                <w:sz w:val="20"/>
                <w:szCs w:val="20"/>
              </w:rPr>
            </w:pPr>
            <w:r>
              <w:rPr>
                <w:sz w:val="20"/>
                <w:szCs w:val="20"/>
              </w:rPr>
              <w:t>480,74</w:t>
            </w:r>
            <w:r>
              <w:rPr>
                <w:sz w:val="20"/>
                <w:szCs w:val="20"/>
              </w:rPr>
              <w:t>2</w:t>
            </w:r>
          </w:p>
        </w:tc>
        <w:tc>
          <w:tcPr>
            <w:tcW w:w="0" w:type="auto"/>
            <w:noWrap/>
            <w:vAlign w:val="bottom"/>
            <w:hideMark/>
          </w:tcPr>
          <w:p w14:paraId="75E86E7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0E1B66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E203F8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630EB7D" w14:textId="77777777" w:rsidR="00000000" w:rsidRDefault="00632532">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14:paraId="2DC6FA0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7262F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04B6CB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962076" w14:textId="77777777" w:rsidR="00000000" w:rsidRDefault="00632532">
            <w:pPr>
              <w:pStyle w:val="a3"/>
              <w:spacing w:before="0" w:beforeAutospacing="0" w:after="0" w:afterAutospacing="0"/>
              <w:jc w:val="right"/>
              <w:rPr>
                <w:sz w:val="20"/>
                <w:szCs w:val="20"/>
              </w:rPr>
            </w:pPr>
            <w:r>
              <w:rPr>
                <w:sz w:val="20"/>
                <w:szCs w:val="20"/>
              </w:rPr>
              <w:t>(</w:t>
            </w:r>
            <w:r>
              <w:rPr>
                <w:sz w:val="20"/>
                <w:szCs w:val="20"/>
              </w:rPr>
              <w:t>3,33</w:t>
            </w:r>
            <w:r>
              <w:rPr>
                <w:sz w:val="20"/>
                <w:szCs w:val="20"/>
              </w:rPr>
              <w:t>4</w:t>
            </w:r>
          </w:p>
        </w:tc>
        <w:tc>
          <w:tcPr>
            <w:tcW w:w="0" w:type="auto"/>
            <w:noWrap/>
            <w:vAlign w:val="bottom"/>
            <w:hideMark/>
          </w:tcPr>
          <w:p w14:paraId="32683E5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42D340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532AE6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58F9BB" w14:textId="77777777" w:rsidR="00000000" w:rsidRDefault="00632532">
            <w:pPr>
              <w:pStyle w:val="a3"/>
              <w:spacing w:before="0" w:beforeAutospacing="0" w:after="0" w:afterAutospacing="0"/>
              <w:jc w:val="right"/>
              <w:rPr>
                <w:sz w:val="20"/>
                <w:szCs w:val="20"/>
              </w:rPr>
            </w:pPr>
            <w:r>
              <w:rPr>
                <w:sz w:val="20"/>
                <w:szCs w:val="20"/>
              </w:rPr>
              <w:t>477,45</w:t>
            </w:r>
            <w:r>
              <w:rPr>
                <w:sz w:val="20"/>
                <w:szCs w:val="20"/>
              </w:rPr>
              <w:t>7</w:t>
            </w:r>
          </w:p>
        </w:tc>
        <w:tc>
          <w:tcPr>
            <w:tcW w:w="0" w:type="auto"/>
            <w:noWrap/>
            <w:vAlign w:val="bottom"/>
            <w:hideMark/>
          </w:tcPr>
          <w:p w14:paraId="14717F1C" w14:textId="77777777" w:rsidR="00000000" w:rsidRDefault="00632532">
            <w:pPr>
              <w:pStyle w:val="a3"/>
              <w:spacing w:before="0" w:beforeAutospacing="0" w:after="0" w:afterAutospacing="0"/>
              <w:rPr>
                <w:sz w:val="20"/>
                <w:szCs w:val="20"/>
              </w:rPr>
            </w:pPr>
            <w:r>
              <w:rPr>
                <w:sz w:val="20"/>
                <w:szCs w:val="20"/>
              </w:rPr>
              <w:t> </w:t>
            </w:r>
          </w:p>
        </w:tc>
      </w:tr>
      <w:tr w:rsidR="00000000" w14:paraId="63B22072" w14:textId="77777777">
        <w:trPr>
          <w:divId w:val="749043429"/>
          <w:trHeight w:val="200"/>
          <w:tblCellSpacing w:w="15" w:type="dxa"/>
        </w:trPr>
        <w:tc>
          <w:tcPr>
            <w:tcW w:w="0" w:type="auto"/>
            <w:vAlign w:val="bottom"/>
            <w:hideMark/>
          </w:tcPr>
          <w:p w14:paraId="0D87FE90" w14:textId="77777777" w:rsidR="00000000" w:rsidRDefault="00632532">
            <w:pPr>
              <w:pStyle w:val="a3"/>
              <w:spacing w:before="0" w:beforeAutospacing="0" w:after="0" w:afterAutospacing="0"/>
              <w:ind w:left="200"/>
              <w:rPr>
                <w:sz w:val="20"/>
                <w:szCs w:val="20"/>
              </w:rPr>
            </w:pPr>
            <w:r>
              <w:rPr>
                <w:sz w:val="20"/>
                <w:szCs w:val="20"/>
              </w:rPr>
              <w:t>After 5 years through 10 year</w:t>
            </w:r>
            <w:r>
              <w:rPr>
                <w:sz w:val="20"/>
                <w:szCs w:val="20"/>
              </w:rPr>
              <w:t>s</w:t>
            </w:r>
          </w:p>
        </w:tc>
        <w:tc>
          <w:tcPr>
            <w:tcW w:w="0" w:type="auto"/>
            <w:gridSpan w:val="2"/>
            <w:vAlign w:val="bottom"/>
            <w:hideMark/>
          </w:tcPr>
          <w:p w14:paraId="353D960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6B181D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CE8273"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376F46D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FDE13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0B550B9"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6E691F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67A728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2881E3A"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AFC5C9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796F5E" w14:textId="77777777" w:rsidR="00000000" w:rsidRDefault="00632532">
            <w:pPr>
              <w:pStyle w:val="a3"/>
              <w:spacing w:before="0" w:beforeAutospacing="0" w:after="0" w:afterAutospacing="0"/>
              <w:rPr>
                <w:sz w:val="20"/>
                <w:szCs w:val="20"/>
              </w:rPr>
            </w:pPr>
            <w:r>
              <w:rPr>
                <w:sz w:val="20"/>
                <w:szCs w:val="20"/>
              </w:rPr>
              <w:t> </w:t>
            </w:r>
          </w:p>
        </w:tc>
      </w:tr>
      <w:tr w:rsidR="00000000" w14:paraId="13D70F6A" w14:textId="77777777">
        <w:trPr>
          <w:divId w:val="749043429"/>
          <w:trHeight w:val="200"/>
          <w:tblCellSpacing w:w="15" w:type="dxa"/>
        </w:trPr>
        <w:tc>
          <w:tcPr>
            <w:tcW w:w="0" w:type="auto"/>
            <w:vAlign w:val="bottom"/>
            <w:hideMark/>
          </w:tcPr>
          <w:p w14:paraId="43939134" w14:textId="77777777" w:rsidR="00000000" w:rsidRDefault="00632532">
            <w:pPr>
              <w:pStyle w:val="a3"/>
              <w:spacing w:before="0" w:beforeAutospacing="0" w:after="0" w:afterAutospacing="0"/>
              <w:ind w:left="400"/>
              <w:rPr>
                <w:sz w:val="20"/>
                <w:szCs w:val="20"/>
              </w:rPr>
            </w:pPr>
            <w:r>
              <w:rPr>
                <w:sz w:val="20"/>
                <w:szCs w:val="20"/>
              </w:rPr>
              <w:t>Municipal bond</w:t>
            </w:r>
            <w:r>
              <w:rPr>
                <w:sz w:val="20"/>
                <w:szCs w:val="20"/>
              </w:rPr>
              <w:t>s</w:t>
            </w:r>
          </w:p>
        </w:tc>
        <w:tc>
          <w:tcPr>
            <w:tcW w:w="0" w:type="auto"/>
            <w:noWrap/>
            <w:vAlign w:val="bottom"/>
            <w:hideMark/>
          </w:tcPr>
          <w:p w14:paraId="0F363EE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F18C511" w14:textId="77777777" w:rsidR="00000000" w:rsidRDefault="00632532">
            <w:pPr>
              <w:pStyle w:val="a3"/>
              <w:spacing w:before="0" w:beforeAutospacing="0" w:after="0" w:afterAutospacing="0"/>
              <w:jc w:val="right"/>
              <w:rPr>
                <w:sz w:val="20"/>
                <w:szCs w:val="20"/>
              </w:rPr>
            </w:pPr>
            <w:r>
              <w:rPr>
                <w:sz w:val="20"/>
                <w:szCs w:val="20"/>
              </w:rPr>
              <w:t>7,63</w:t>
            </w:r>
            <w:r>
              <w:rPr>
                <w:sz w:val="20"/>
                <w:szCs w:val="20"/>
              </w:rPr>
              <w:t>3</w:t>
            </w:r>
          </w:p>
        </w:tc>
        <w:tc>
          <w:tcPr>
            <w:tcW w:w="0" w:type="auto"/>
            <w:noWrap/>
            <w:vAlign w:val="bottom"/>
            <w:hideMark/>
          </w:tcPr>
          <w:p w14:paraId="644CF52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765495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3BC1BC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81599B"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17578CB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4BF0B0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017A3C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5F2C9A9" w14:textId="77777777" w:rsidR="00000000" w:rsidRDefault="00632532">
            <w:pPr>
              <w:pStyle w:val="a3"/>
              <w:spacing w:before="0" w:beforeAutospacing="0" w:after="0" w:afterAutospacing="0"/>
              <w:jc w:val="right"/>
              <w:rPr>
                <w:sz w:val="20"/>
                <w:szCs w:val="20"/>
              </w:rPr>
            </w:pPr>
            <w:r>
              <w:rPr>
                <w:sz w:val="20"/>
                <w:szCs w:val="20"/>
              </w:rPr>
              <w:t>(</w:t>
            </w:r>
            <w:r>
              <w:rPr>
                <w:sz w:val="20"/>
                <w:szCs w:val="20"/>
              </w:rPr>
              <w:t>4</w:t>
            </w:r>
            <w:r>
              <w:rPr>
                <w:sz w:val="20"/>
                <w:szCs w:val="20"/>
              </w:rPr>
              <w:t>3</w:t>
            </w:r>
          </w:p>
        </w:tc>
        <w:tc>
          <w:tcPr>
            <w:tcW w:w="0" w:type="auto"/>
            <w:noWrap/>
            <w:vAlign w:val="bottom"/>
            <w:hideMark/>
          </w:tcPr>
          <w:p w14:paraId="6E2F0CF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E12676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314DED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2B689F9" w14:textId="77777777" w:rsidR="00000000" w:rsidRDefault="00632532">
            <w:pPr>
              <w:pStyle w:val="a3"/>
              <w:spacing w:before="0" w:beforeAutospacing="0" w:after="0" w:afterAutospacing="0"/>
              <w:jc w:val="right"/>
              <w:rPr>
                <w:sz w:val="20"/>
                <w:szCs w:val="20"/>
              </w:rPr>
            </w:pPr>
            <w:r>
              <w:rPr>
                <w:sz w:val="20"/>
                <w:szCs w:val="20"/>
              </w:rPr>
              <w:t>7,59</w:t>
            </w:r>
            <w:r>
              <w:rPr>
                <w:sz w:val="20"/>
                <w:szCs w:val="20"/>
              </w:rPr>
              <w:t>0</w:t>
            </w:r>
          </w:p>
        </w:tc>
        <w:tc>
          <w:tcPr>
            <w:tcW w:w="0" w:type="auto"/>
            <w:noWrap/>
            <w:vAlign w:val="bottom"/>
            <w:hideMark/>
          </w:tcPr>
          <w:p w14:paraId="7FD7C615" w14:textId="77777777" w:rsidR="00000000" w:rsidRDefault="00632532">
            <w:pPr>
              <w:pStyle w:val="a3"/>
              <w:spacing w:before="0" w:beforeAutospacing="0" w:after="0" w:afterAutospacing="0"/>
              <w:rPr>
                <w:sz w:val="20"/>
                <w:szCs w:val="20"/>
              </w:rPr>
            </w:pPr>
            <w:r>
              <w:rPr>
                <w:sz w:val="20"/>
                <w:szCs w:val="20"/>
              </w:rPr>
              <w:t> </w:t>
            </w:r>
          </w:p>
        </w:tc>
      </w:tr>
      <w:tr w:rsidR="00000000" w14:paraId="71331D9B" w14:textId="77777777">
        <w:trPr>
          <w:divId w:val="749043429"/>
          <w:trHeight w:val="200"/>
          <w:tblCellSpacing w:w="15" w:type="dxa"/>
        </w:trPr>
        <w:tc>
          <w:tcPr>
            <w:tcW w:w="0" w:type="auto"/>
            <w:vAlign w:val="bottom"/>
            <w:hideMark/>
          </w:tcPr>
          <w:p w14:paraId="3C770BAE" w14:textId="77777777" w:rsidR="00000000" w:rsidRDefault="00632532">
            <w:pPr>
              <w:pStyle w:val="a3"/>
              <w:spacing w:before="0" w:beforeAutospacing="0" w:after="0" w:afterAutospacing="0"/>
              <w:ind w:left="400"/>
              <w:rPr>
                <w:sz w:val="20"/>
                <w:szCs w:val="20"/>
              </w:rPr>
            </w:pPr>
            <w:r>
              <w:rPr>
                <w:sz w:val="20"/>
                <w:szCs w:val="20"/>
              </w:rPr>
              <w:t>Redeemable preferred stock investmen</w:t>
            </w:r>
            <w:r>
              <w:rPr>
                <w:sz w:val="20"/>
                <w:szCs w:val="20"/>
              </w:rPr>
              <w:t>t</w:t>
            </w:r>
          </w:p>
        </w:tc>
        <w:tc>
          <w:tcPr>
            <w:tcW w:w="0" w:type="auto"/>
            <w:noWrap/>
            <w:vAlign w:val="bottom"/>
            <w:hideMark/>
          </w:tcPr>
          <w:p w14:paraId="3E07F89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D78ACC" w14:textId="77777777" w:rsidR="00000000" w:rsidRDefault="00632532">
            <w:pPr>
              <w:pStyle w:val="a3"/>
              <w:spacing w:before="0" w:beforeAutospacing="0" w:after="0" w:afterAutospacing="0"/>
              <w:jc w:val="right"/>
              <w:rPr>
                <w:sz w:val="20"/>
                <w:szCs w:val="20"/>
              </w:rPr>
            </w:pPr>
            <w:r>
              <w:rPr>
                <w:sz w:val="20"/>
                <w:szCs w:val="20"/>
              </w:rPr>
              <w:t>20,00</w:t>
            </w:r>
            <w:r>
              <w:rPr>
                <w:sz w:val="20"/>
                <w:szCs w:val="20"/>
              </w:rPr>
              <w:t>0</w:t>
            </w:r>
          </w:p>
        </w:tc>
        <w:tc>
          <w:tcPr>
            <w:tcW w:w="0" w:type="auto"/>
            <w:noWrap/>
            <w:vAlign w:val="bottom"/>
            <w:hideMark/>
          </w:tcPr>
          <w:p w14:paraId="31F48FD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3E51B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7D1BEF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496AE6B" w14:textId="77777777" w:rsidR="00000000" w:rsidRDefault="00632532">
            <w:pPr>
              <w:pStyle w:val="a3"/>
              <w:spacing w:before="0" w:beforeAutospacing="0" w:after="0" w:afterAutospacing="0"/>
              <w:jc w:val="right"/>
              <w:rPr>
                <w:sz w:val="20"/>
                <w:szCs w:val="20"/>
              </w:rPr>
            </w:pPr>
            <w:r>
              <w:rPr>
                <w:sz w:val="20"/>
                <w:szCs w:val="20"/>
              </w:rPr>
              <w:t>1,96</w:t>
            </w:r>
            <w:r>
              <w:rPr>
                <w:sz w:val="20"/>
                <w:szCs w:val="20"/>
              </w:rPr>
              <w:t>5</w:t>
            </w:r>
          </w:p>
        </w:tc>
        <w:tc>
          <w:tcPr>
            <w:tcW w:w="0" w:type="auto"/>
            <w:noWrap/>
            <w:vAlign w:val="bottom"/>
            <w:hideMark/>
          </w:tcPr>
          <w:p w14:paraId="73ADFF4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5285BA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85018E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D8925D"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673CCF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38A9E4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7E8053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1D7BAD" w14:textId="77777777" w:rsidR="00000000" w:rsidRDefault="00632532">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14:paraId="351E947C" w14:textId="77777777" w:rsidR="00000000" w:rsidRDefault="00632532">
            <w:pPr>
              <w:pStyle w:val="a3"/>
              <w:spacing w:before="0" w:beforeAutospacing="0" w:after="0" w:afterAutospacing="0"/>
              <w:rPr>
                <w:sz w:val="20"/>
                <w:szCs w:val="20"/>
              </w:rPr>
            </w:pPr>
            <w:r>
              <w:rPr>
                <w:sz w:val="20"/>
                <w:szCs w:val="20"/>
              </w:rPr>
              <w:t> </w:t>
            </w:r>
          </w:p>
        </w:tc>
      </w:tr>
      <w:tr w:rsidR="00000000" w14:paraId="689BBE6B" w14:textId="77777777">
        <w:trPr>
          <w:divId w:val="749043429"/>
          <w:trHeight w:val="200"/>
          <w:tblCellSpacing w:w="15" w:type="dxa"/>
        </w:trPr>
        <w:tc>
          <w:tcPr>
            <w:tcW w:w="0" w:type="auto"/>
            <w:vAlign w:val="bottom"/>
            <w:hideMark/>
          </w:tcPr>
          <w:p w14:paraId="5103A4DD" w14:textId="77777777" w:rsidR="00000000" w:rsidRDefault="00632532">
            <w:pPr>
              <w:pStyle w:val="a3"/>
              <w:spacing w:before="0" w:beforeAutospacing="0" w:after="0" w:afterAutospacing="0"/>
              <w:ind w:left="600"/>
              <w:rPr>
                <w:sz w:val="20"/>
                <w:szCs w:val="20"/>
              </w:rPr>
            </w:pPr>
            <w:r>
              <w:rPr>
                <w:sz w:val="20"/>
                <w:szCs w:val="20"/>
              </w:rPr>
              <w:t>Total debt securities due after 5 years through 10 year</w:t>
            </w:r>
            <w:r>
              <w:rPr>
                <w:sz w:val="20"/>
                <w:szCs w:val="20"/>
              </w:rPr>
              <w:t>s</w:t>
            </w:r>
          </w:p>
        </w:tc>
        <w:tc>
          <w:tcPr>
            <w:tcW w:w="0" w:type="auto"/>
            <w:noWrap/>
            <w:vAlign w:val="bottom"/>
            <w:hideMark/>
          </w:tcPr>
          <w:p w14:paraId="13D89F4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645830" w14:textId="77777777" w:rsidR="00000000" w:rsidRDefault="00632532">
            <w:pPr>
              <w:pStyle w:val="a3"/>
              <w:spacing w:before="0" w:beforeAutospacing="0" w:after="0" w:afterAutospacing="0"/>
              <w:jc w:val="right"/>
              <w:rPr>
                <w:sz w:val="20"/>
                <w:szCs w:val="20"/>
              </w:rPr>
            </w:pPr>
            <w:r>
              <w:rPr>
                <w:sz w:val="20"/>
                <w:szCs w:val="20"/>
              </w:rPr>
              <w:t>27,63</w:t>
            </w:r>
            <w:r>
              <w:rPr>
                <w:sz w:val="20"/>
                <w:szCs w:val="20"/>
              </w:rPr>
              <w:t>3</w:t>
            </w:r>
          </w:p>
        </w:tc>
        <w:tc>
          <w:tcPr>
            <w:tcW w:w="0" w:type="auto"/>
            <w:noWrap/>
            <w:vAlign w:val="bottom"/>
            <w:hideMark/>
          </w:tcPr>
          <w:p w14:paraId="3C98160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912C3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959D32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068091" w14:textId="77777777" w:rsidR="00000000" w:rsidRDefault="00632532">
            <w:pPr>
              <w:pStyle w:val="a3"/>
              <w:spacing w:before="0" w:beforeAutospacing="0" w:after="0" w:afterAutospacing="0"/>
              <w:jc w:val="right"/>
              <w:rPr>
                <w:sz w:val="20"/>
                <w:szCs w:val="20"/>
              </w:rPr>
            </w:pPr>
            <w:r>
              <w:rPr>
                <w:sz w:val="20"/>
                <w:szCs w:val="20"/>
              </w:rPr>
              <w:t>1,96</w:t>
            </w:r>
            <w:r>
              <w:rPr>
                <w:sz w:val="20"/>
                <w:szCs w:val="20"/>
              </w:rPr>
              <w:t>5</w:t>
            </w:r>
          </w:p>
        </w:tc>
        <w:tc>
          <w:tcPr>
            <w:tcW w:w="0" w:type="auto"/>
            <w:noWrap/>
            <w:vAlign w:val="bottom"/>
            <w:hideMark/>
          </w:tcPr>
          <w:p w14:paraId="727F2F1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43F4FD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BE7B38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DEADCF" w14:textId="77777777" w:rsidR="00000000" w:rsidRDefault="00632532">
            <w:pPr>
              <w:pStyle w:val="a3"/>
              <w:spacing w:before="0" w:beforeAutospacing="0" w:after="0" w:afterAutospacing="0"/>
              <w:jc w:val="right"/>
              <w:rPr>
                <w:sz w:val="20"/>
                <w:szCs w:val="20"/>
              </w:rPr>
            </w:pPr>
            <w:r>
              <w:rPr>
                <w:sz w:val="20"/>
                <w:szCs w:val="20"/>
              </w:rPr>
              <w:t>(</w:t>
            </w:r>
            <w:r>
              <w:rPr>
                <w:sz w:val="20"/>
                <w:szCs w:val="20"/>
              </w:rPr>
              <w:t>4</w:t>
            </w:r>
            <w:r>
              <w:rPr>
                <w:sz w:val="20"/>
                <w:szCs w:val="20"/>
              </w:rPr>
              <w:t>3</w:t>
            </w:r>
          </w:p>
        </w:tc>
        <w:tc>
          <w:tcPr>
            <w:tcW w:w="0" w:type="auto"/>
            <w:noWrap/>
            <w:vAlign w:val="bottom"/>
            <w:hideMark/>
          </w:tcPr>
          <w:p w14:paraId="13BEDCC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C27A9F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8AF1D2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FE2727" w14:textId="77777777" w:rsidR="00000000" w:rsidRDefault="00632532">
            <w:pPr>
              <w:pStyle w:val="a3"/>
              <w:spacing w:before="0" w:beforeAutospacing="0" w:after="0" w:afterAutospacing="0"/>
              <w:jc w:val="right"/>
              <w:rPr>
                <w:sz w:val="20"/>
                <w:szCs w:val="20"/>
              </w:rPr>
            </w:pPr>
            <w:r>
              <w:rPr>
                <w:sz w:val="20"/>
                <w:szCs w:val="20"/>
              </w:rPr>
              <w:t>29,55</w:t>
            </w:r>
            <w:r>
              <w:rPr>
                <w:sz w:val="20"/>
                <w:szCs w:val="20"/>
              </w:rPr>
              <w:t>5</w:t>
            </w:r>
          </w:p>
        </w:tc>
        <w:tc>
          <w:tcPr>
            <w:tcW w:w="0" w:type="auto"/>
            <w:noWrap/>
            <w:vAlign w:val="bottom"/>
            <w:hideMark/>
          </w:tcPr>
          <w:p w14:paraId="2130CFAC" w14:textId="77777777" w:rsidR="00000000" w:rsidRDefault="00632532">
            <w:pPr>
              <w:pStyle w:val="a3"/>
              <w:spacing w:before="0" w:beforeAutospacing="0" w:after="0" w:afterAutospacing="0"/>
              <w:rPr>
                <w:sz w:val="20"/>
                <w:szCs w:val="20"/>
              </w:rPr>
            </w:pPr>
            <w:r>
              <w:rPr>
                <w:sz w:val="20"/>
                <w:szCs w:val="20"/>
              </w:rPr>
              <w:t> </w:t>
            </w:r>
          </w:p>
        </w:tc>
      </w:tr>
      <w:tr w:rsidR="00000000" w14:paraId="3F7B1050" w14:textId="77777777">
        <w:trPr>
          <w:divId w:val="749043429"/>
          <w:trHeight w:val="200"/>
          <w:tblCellSpacing w:w="15" w:type="dxa"/>
        </w:trPr>
        <w:tc>
          <w:tcPr>
            <w:tcW w:w="0" w:type="auto"/>
            <w:vAlign w:val="bottom"/>
            <w:hideMark/>
          </w:tcPr>
          <w:p w14:paraId="39E4ECE8" w14:textId="77777777" w:rsidR="00000000" w:rsidRDefault="00632532">
            <w:pPr>
              <w:pStyle w:val="a3"/>
              <w:spacing w:before="0" w:beforeAutospacing="0" w:after="0" w:afterAutospacing="0"/>
              <w:ind w:left="800"/>
              <w:rPr>
                <w:sz w:val="20"/>
                <w:szCs w:val="20"/>
              </w:rPr>
            </w:pPr>
            <w:r>
              <w:rPr>
                <w:sz w:val="20"/>
                <w:szCs w:val="20"/>
              </w:rPr>
              <w:t>Total available-for-sale debt securitie</w:t>
            </w:r>
            <w:r>
              <w:rPr>
                <w:sz w:val="20"/>
                <w:szCs w:val="20"/>
              </w:rPr>
              <w:t>s</w:t>
            </w:r>
          </w:p>
        </w:tc>
        <w:tc>
          <w:tcPr>
            <w:tcW w:w="0" w:type="auto"/>
            <w:noWrap/>
            <w:vAlign w:val="bottom"/>
            <w:hideMark/>
          </w:tcPr>
          <w:p w14:paraId="1E61588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8ECBA7" w14:textId="77777777" w:rsidR="00000000" w:rsidRDefault="00632532">
            <w:pPr>
              <w:pStyle w:val="a3"/>
              <w:spacing w:before="0" w:beforeAutospacing="0" w:after="0" w:afterAutospacing="0"/>
              <w:jc w:val="right"/>
              <w:rPr>
                <w:sz w:val="20"/>
                <w:szCs w:val="20"/>
              </w:rPr>
            </w:pPr>
            <w:r>
              <w:rPr>
                <w:sz w:val="20"/>
                <w:szCs w:val="20"/>
              </w:rPr>
              <w:t>660,40</w:t>
            </w:r>
            <w:r>
              <w:rPr>
                <w:sz w:val="20"/>
                <w:szCs w:val="20"/>
              </w:rPr>
              <w:t>4</w:t>
            </w:r>
          </w:p>
        </w:tc>
        <w:tc>
          <w:tcPr>
            <w:tcW w:w="0" w:type="auto"/>
            <w:noWrap/>
            <w:vAlign w:val="bottom"/>
            <w:hideMark/>
          </w:tcPr>
          <w:p w14:paraId="5C27828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2C6A1F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93FB04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B59AAD2" w14:textId="77777777" w:rsidR="00000000" w:rsidRDefault="00632532">
            <w:pPr>
              <w:pStyle w:val="a3"/>
              <w:spacing w:before="0" w:beforeAutospacing="0" w:after="0" w:afterAutospacing="0"/>
              <w:jc w:val="right"/>
              <w:rPr>
                <w:sz w:val="20"/>
                <w:szCs w:val="20"/>
              </w:rPr>
            </w:pPr>
            <w:r>
              <w:rPr>
                <w:sz w:val="20"/>
                <w:szCs w:val="20"/>
              </w:rPr>
              <w:t>2,03</w:t>
            </w:r>
            <w:r>
              <w:rPr>
                <w:sz w:val="20"/>
                <w:szCs w:val="20"/>
              </w:rPr>
              <w:t>8</w:t>
            </w:r>
          </w:p>
        </w:tc>
        <w:tc>
          <w:tcPr>
            <w:tcW w:w="0" w:type="auto"/>
            <w:noWrap/>
            <w:vAlign w:val="bottom"/>
            <w:hideMark/>
          </w:tcPr>
          <w:p w14:paraId="29FB01C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D7FC75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A0F609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F8A691" w14:textId="77777777" w:rsidR="00000000" w:rsidRDefault="00632532">
            <w:pPr>
              <w:pStyle w:val="a3"/>
              <w:spacing w:before="0" w:beforeAutospacing="0" w:after="0" w:afterAutospacing="0"/>
              <w:jc w:val="right"/>
              <w:rPr>
                <w:sz w:val="20"/>
                <w:szCs w:val="20"/>
              </w:rPr>
            </w:pPr>
            <w:r>
              <w:rPr>
                <w:sz w:val="20"/>
                <w:szCs w:val="20"/>
              </w:rPr>
              <w:t>(</w:t>
            </w:r>
            <w:r>
              <w:rPr>
                <w:sz w:val="20"/>
                <w:szCs w:val="20"/>
              </w:rPr>
              <w:t>3,62</w:t>
            </w:r>
            <w:r>
              <w:rPr>
                <w:sz w:val="20"/>
                <w:szCs w:val="20"/>
              </w:rPr>
              <w:t>4</w:t>
            </w:r>
          </w:p>
        </w:tc>
        <w:tc>
          <w:tcPr>
            <w:tcW w:w="0" w:type="auto"/>
            <w:noWrap/>
            <w:vAlign w:val="bottom"/>
            <w:hideMark/>
          </w:tcPr>
          <w:p w14:paraId="401AE73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325CB7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BFBE9A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3E84F4" w14:textId="77777777" w:rsidR="00000000" w:rsidRDefault="00632532">
            <w:pPr>
              <w:pStyle w:val="a3"/>
              <w:spacing w:before="0" w:beforeAutospacing="0" w:after="0" w:afterAutospacing="0"/>
              <w:jc w:val="right"/>
              <w:rPr>
                <w:sz w:val="20"/>
                <w:szCs w:val="20"/>
              </w:rPr>
            </w:pPr>
            <w:r>
              <w:rPr>
                <w:sz w:val="20"/>
                <w:szCs w:val="20"/>
              </w:rPr>
              <w:t>658,81</w:t>
            </w:r>
            <w:r>
              <w:rPr>
                <w:sz w:val="20"/>
                <w:szCs w:val="20"/>
              </w:rPr>
              <w:t>8</w:t>
            </w:r>
          </w:p>
        </w:tc>
        <w:tc>
          <w:tcPr>
            <w:tcW w:w="0" w:type="auto"/>
            <w:noWrap/>
            <w:vAlign w:val="bottom"/>
            <w:hideMark/>
          </w:tcPr>
          <w:p w14:paraId="5B7F58B5" w14:textId="77777777" w:rsidR="00000000" w:rsidRDefault="00632532">
            <w:pPr>
              <w:pStyle w:val="a3"/>
              <w:spacing w:before="0" w:beforeAutospacing="0" w:after="0" w:afterAutospacing="0"/>
              <w:rPr>
                <w:sz w:val="20"/>
                <w:szCs w:val="20"/>
              </w:rPr>
            </w:pPr>
            <w:r>
              <w:rPr>
                <w:sz w:val="20"/>
                <w:szCs w:val="20"/>
              </w:rPr>
              <w:t> </w:t>
            </w:r>
          </w:p>
        </w:tc>
      </w:tr>
      <w:tr w:rsidR="00000000" w14:paraId="40D496C1" w14:textId="77777777">
        <w:trPr>
          <w:divId w:val="749043429"/>
          <w:trHeight w:val="200"/>
          <w:tblCellSpacing w:w="15" w:type="dxa"/>
        </w:trPr>
        <w:tc>
          <w:tcPr>
            <w:tcW w:w="0" w:type="auto"/>
            <w:vAlign w:val="bottom"/>
            <w:hideMark/>
          </w:tcPr>
          <w:p w14:paraId="6F2DB0DD" w14:textId="77777777" w:rsidR="00000000" w:rsidRDefault="00632532">
            <w:pPr>
              <w:pStyle w:val="a3"/>
              <w:spacing w:before="0" w:beforeAutospacing="0" w:after="0" w:afterAutospacing="0"/>
              <w:ind w:left="800"/>
              <w:rPr>
                <w:sz w:val="20"/>
                <w:szCs w:val="20"/>
              </w:rPr>
            </w:pPr>
            <w:r>
              <w:rPr>
                <w:sz w:val="20"/>
                <w:szCs w:val="20"/>
              </w:rPr>
              <w:t>Total equity and debt securitie</w:t>
            </w:r>
            <w:r>
              <w:rPr>
                <w:sz w:val="20"/>
                <w:szCs w:val="20"/>
              </w:rPr>
              <w:t>s</w:t>
            </w:r>
          </w:p>
        </w:tc>
        <w:tc>
          <w:tcPr>
            <w:tcW w:w="0" w:type="auto"/>
            <w:noWrap/>
            <w:vAlign w:val="bottom"/>
            <w:hideMark/>
          </w:tcPr>
          <w:p w14:paraId="46E70C6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8D326C8" w14:textId="77777777" w:rsidR="00000000" w:rsidRDefault="00632532">
            <w:pPr>
              <w:pStyle w:val="a3"/>
              <w:spacing w:before="0" w:beforeAutospacing="0" w:after="0" w:afterAutospacing="0"/>
              <w:jc w:val="right"/>
              <w:rPr>
                <w:sz w:val="20"/>
                <w:szCs w:val="20"/>
              </w:rPr>
            </w:pPr>
            <w:r>
              <w:rPr>
                <w:sz w:val="20"/>
                <w:szCs w:val="20"/>
              </w:rPr>
              <w:t>794,89</w:t>
            </w:r>
            <w:r>
              <w:rPr>
                <w:sz w:val="20"/>
                <w:szCs w:val="20"/>
              </w:rPr>
              <w:t>2</w:t>
            </w:r>
          </w:p>
        </w:tc>
        <w:tc>
          <w:tcPr>
            <w:tcW w:w="0" w:type="auto"/>
            <w:noWrap/>
            <w:vAlign w:val="bottom"/>
            <w:hideMark/>
          </w:tcPr>
          <w:p w14:paraId="478380F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F6D04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9A02FA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14FB0B7" w14:textId="77777777" w:rsidR="00000000" w:rsidRDefault="00632532">
            <w:pPr>
              <w:pStyle w:val="a3"/>
              <w:spacing w:before="0" w:beforeAutospacing="0" w:after="0" w:afterAutospacing="0"/>
              <w:jc w:val="right"/>
              <w:rPr>
                <w:sz w:val="20"/>
                <w:szCs w:val="20"/>
              </w:rPr>
            </w:pPr>
            <w:r>
              <w:rPr>
                <w:sz w:val="20"/>
                <w:szCs w:val="20"/>
              </w:rPr>
              <w:t>2,03</w:t>
            </w:r>
            <w:r>
              <w:rPr>
                <w:sz w:val="20"/>
                <w:szCs w:val="20"/>
              </w:rPr>
              <w:t>8</w:t>
            </w:r>
          </w:p>
        </w:tc>
        <w:tc>
          <w:tcPr>
            <w:tcW w:w="0" w:type="auto"/>
            <w:noWrap/>
            <w:vAlign w:val="bottom"/>
            <w:hideMark/>
          </w:tcPr>
          <w:p w14:paraId="493B410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13AC6F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6EFE39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BFC2832" w14:textId="77777777" w:rsidR="00000000" w:rsidRDefault="00632532">
            <w:pPr>
              <w:pStyle w:val="a3"/>
              <w:spacing w:before="0" w:beforeAutospacing="0" w:after="0" w:afterAutospacing="0"/>
              <w:jc w:val="right"/>
              <w:rPr>
                <w:sz w:val="20"/>
                <w:szCs w:val="20"/>
              </w:rPr>
            </w:pPr>
            <w:r>
              <w:rPr>
                <w:sz w:val="20"/>
                <w:szCs w:val="20"/>
              </w:rPr>
              <w:t>(</w:t>
            </w:r>
            <w:r>
              <w:rPr>
                <w:sz w:val="20"/>
                <w:szCs w:val="20"/>
              </w:rPr>
              <w:t>4,31</w:t>
            </w:r>
            <w:r>
              <w:rPr>
                <w:sz w:val="20"/>
                <w:szCs w:val="20"/>
              </w:rPr>
              <w:t>3</w:t>
            </w:r>
          </w:p>
        </w:tc>
        <w:tc>
          <w:tcPr>
            <w:tcW w:w="0" w:type="auto"/>
            <w:noWrap/>
            <w:vAlign w:val="bottom"/>
            <w:hideMark/>
          </w:tcPr>
          <w:p w14:paraId="139EFEE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5A4A2D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807757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132E10D" w14:textId="77777777" w:rsidR="00000000" w:rsidRDefault="00632532">
            <w:pPr>
              <w:pStyle w:val="a3"/>
              <w:spacing w:before="0" w:beforeAutospacing="0" w:after="0" w:afterAutospacing="0"/>
              <w:jc w:val="right"/>
              <w:rPr>
                <w:sz w:val="20"/>
                <w:szCs w:val="20"/>
              </w:rPr>
            </w:pPr>
            <w:r>
              <w:rPr>
                <w:sz w:val="20"/>
                <w:szCs w:val="20"/>
              </w:rPr>
              <w:t>792,61</w:t>
            </w:r>
            <w:r>
              <w:rPr>
                <w:sz w:val="20"/>
                <w:szCs w:val="20"/>
              </w:rPr>
              <w:t>7</w:t>
            </w:r>
          </w:p>
        </w:tc>
        <w:tc>
          <w:tcPr>
            <w:tcW w:w="0" w:type="auto"/>
            <w:noWrap/>
            <w:vAlign w:val="bottom"/>
            <w:hideMark/>
          </w:tcPr>
          <w:p w14:paraId="57F082BE" w14:textId="77777777" w:rsidR="00000000" w:rsidRDefault="00632532">
            <w:pPr>
              <w:pStyle w:val="a3"/>
              <w:spacing w:before="0" w:beforeAutospacing="0" w:after="0" w:afterAutospacing="0"/>
              <w:rPr>
                <w:sz w:val="20"/>
                <w:szCs w:val="20"/>
              </w:rPr>
            </w:pPr>
            <w:r>
              <w:rPr>
                <w:sz w:val="20"/>
                <w:szCs w:val="20"/>
              </w:rPr>
              <w:t> </w:t>
            </w:r>
          </w:p>
        </w:tc>
      </w:tr>
    </w:tbl>
    <w:p w14:paraId="36A83AE3" w14:textId="77777777" w:rsidR="00000000" w:rsidRDefault="00632532">
      <w:pPr>
        <w:pStyle w:val="a3"/>
        <w:spacing w:before="0" w:beforeAutospacing="0" w:after="0" w:afterAutospacing="0"/>
        <w:divId w:val="1208303206"/>
        <w:rPr>
          <w:sz w:val="20"/>
          <w:szCs w:val="20"/>
        </w:rPr>
      </w:pPr>
      <w:r>
        <w:rPr>
          <w:sz w:val="20"/>
          <w:szCs w:val="20"/>
        </w:rPr>
        <w:t> </w:t>
      </w:r>
    </w:p>
    <w:p w14:paraId="6EE7E8F5" w14:textId="77777777" w:rsidR="00000000" w:rsidRDefault="00632532">
      <w:pPr>
        <w:pStyle w:val="a3"/>
        <w:spacing w:before="0" w:beforeAutospacing="0" w:after="0" w:afterAutospacing="0"/>
        <w:ind w:firstLine="555"/>
        <w:divId w:val="1208303206"/>
        <w:rPr>
          <w:sz w:val="20"/>
          <w:szCs w:val="20"/>
        </w:rPr>
      </w:pPr>
      <w:r>
        <w:rPr>
          <w:sz w:val="20"/>
          <w:szCs w:val="20"/>
        </w:rPr>
        <w:t xml:space="preserve">Gross unrealized losses on the Company’s equity and debt securities were </w:t>
      </w:r>
      <w:r>
        <w:rPr>
          <w:sz w:val="20"/>
          <w:szCs w:val="20"/>
        </w:rPr>
        <w:t>$</w:t>
      </w:r>
      <w:r>
        <w:rPr>
          <w:sz w:val="20"/>
          <w:szCs w:val="20"/>
        </w:rPr>
        <w:t>27.</w:t>
      </w:r>
      <w:r>
        <w:rPr>
          <w:sz w:val="20"/>
          <w:szCs w:val="20"/>
        </w:rPr>
        <w:t>6</w:t>
      </w:r>
      <w:r>
        <w:rPr>
          <w:sz w:val="20"/>
          <w:szCs w:val="20"/>
        </w:rPr>
        <w:t xml:space="preserve"> millio</w:t>
      </w:r>
      <w:r>
        <w:rPr>
          <w:sz w:val="20"/>
          <w:szCs w:val="20"/>
        </w:rPr>
        <w:t>n</w:t>
      </w:r>
      <w:r>
        <w:rPr>
          <w:sz w:val="20"/>
          <w:szCs w:val="20"/>
        </w:rPr>
        <w:t xml:space="preserve"> as of June 30, 2022. Gross unrealized losses on the Company’s equity and debt securities were </w:t>
      </w:r>
      <w:r>
        <w:rPr>
          <w:sz w:val="20"/>
          <w:szCs w:val="20"/>
        </w:rPr>
        <w:t>$</w:t>
      </w:r>
      <w:r>
        <w:rPr>
          <w:sz w:val="20"/>
          <w:szCs w:val="20"/>
        </w:rPr>
        <w:t>4.</w:t>
      </w:r>
      <w:r>
        <w:rPr>
          <w:sz w:val="20"/>
          <w:szCs w:val="20"/>
        </w:rPr>
        <w:t>3</w:t>
      </w:r>
      <w:r>
        <w:rPr>
          <w:sz w:val="20"/>
          <w:szCs w:val="20"/>
        </w:rPr>
        <w:t xml:space="preserve"> million as of December 31, 2021. The Company did not recognize any cre</w:t>
      </w:r>
      <w:r>
        <w:rPr>
          <w:sz w:val="20"/>
          <w:szCs w:val="20"/>
        </w:rPr>
        <w:t>dit losses during the three and six months ended June 30, 2022 and 2021</w:t>
      </w:r>
      <w:r>
        <w:rPr>
          <w:sz w:val="20"/>
          <w:szCs w:val="20"/>
        </w:rPr>
        <w:t>.</w:t>
      </w:r>
    </w:p>
    <w:p w14:paraId="51E0FEAE" w14:textId="77777777" w:rsidR="00000000" w:rsidRDefault="00632532">
      <w:pPr>
        <w:pStyle w:val="a3"/>
        <w:spacing w:before="240" w:beforeAutospacing="0" w:after="0" w:afterAutospacing="0"/>
        <w:ind w:firstLine="555"/>
        <w:divId w:val="1208303206"/>
        <w:rPr>
          <w:sz w:val="20"/>
          <w:szCs w:val="20"/>
        </w:rPr>
      </w:pPr>
      <w:r>
        <w:rPr>
          <w:sz w:val="20"/>
          <w:szCs w:val="20"/>
        </w:rPr>
        <w:t>The Company’s securities of</w:t>
      </w:r>
      <w:r>
        <w:rPr>
          <w:sz w:val="20"/>
          <w:szCs w:val="20"/>
        </w:rPr>
        <w:t xml:space="preserve"> </w:t>
      </w:r>
      <w:r>
        <w:rPr>
          <w:sz w:val="20"/>
          <w:szCs w:val="20"/>
        </w:rPr>
        <w:t>$</w:t>
      </w:r>
      <w:r>
        <w:rPr>
          <w:sz w:val="20"/>
          <w:szCs w:val="20"/>
        </w:rPr>
        <w:t>491.</w:t>
      </w:r>
      <w:r>
        <w:rPr>
          <w:sz w:val="20"/>
          <w:szCs w:val="20"/>
        </w:rPr>
        <w:t>5</w:t>
      </w:r>
      <w:r>
        <w:rPr>
          <w:sz w:val="20"/>
          <w:szCs w:val="20"/>
        </w:rPr>
        <w:t xml:space="preserve"> millio</w:t>
      </w:r>
      <w:r>
        <w:rPr>
          <w:sz w:val="20"/>
          <w:szCs w:val="20"/>
        </w:rPr>
        <w:t>n</w:t>
      </w:r>
      <w:r>
        <w:rPr>
          <w:sz w:val="20"/>
          <w:szCs w:val="20"/>
        </w:rPr>
        <w:t xml:space="preserve"> are used as collateral for an outstanding margin account borrowing. As of June 30, 2022, the Company had an outstanding borrowing of</w:t>
      </w:r>
      <w:r>
        <w:rPr>
          <w:sz w:val="20"/>
          <w:szCs w:val="20"/>
        </w:rPr>
        <w:t xml:space="preserve"> </w:t>
      </w:r>
      <w:r>
        <w:rPr>
          <w:sz w:val="20"/>
          <w:szCs w:val="20"/>
        </w:rPr>
        <w:t>$</w:t>
      </w:r>
      <w:r>
        <w:rPr>
          <w:sz w:val="20"/>
          <w:szCs w:val="20"/>
        </w:rPr>
        <w:t>15.</w:t>
      </w:r>
      <w:r>
        <w:rPr>
          <w:sz w:val="20"/>
          <w:szCs w:val="20"/>
        </w:rPr>
        <w:t>0</w:t>
      </w:r>
      <w:r>
        <w:rPr>
          <w:sz w:val="20"/>
          <w:szCs w:val="20"/>
        </w:rPr>
        <w:t xml:space="preserve"> m</w:t>
      </w:r>
      <w:r>
        <w:rPr>
          <w:sz w:val="20"/>
          <w:szCs w:val="20"/>
        </w:rPr>
        <w:t>illio</w:t>
      </w:r>
      <w:r>
        <w:rPr>
          <w:sz w:val="20"/>
          <w:szCs w:val="20"/>
        </w:rPr>
        <w:t>n</w:t>
      </w:r>
      <w:r>
        <w:rPr>
          <w:sz w:val="20"/>
          <w:szCs w:val="20"/>
        </w:rPr>
        <w:t xml:space="preserve"> under its margin account. Margin account borrowings were used for the purchase of real property located in El Monte, California in 2020</w:t>
      </w:r>
      <w:r>
        <w:rPr>
          <w:sz w:val="20"/>
          <w:szCs w:val="20"/>
        </w:rPr>
        <w:t>.</w:t>
      </w:r>
    </w:p>
    <w:p w14:paraId="3F9746D5" w14:textId="77777777" w:rsidR="00000000" w:rsidRDefault="00632532">
      <w:pPr>
        <w:pStyle w:val="a3"/>
        <w:spacing w:before="360" w:beforeAutospacing="0" w:after="0" w:afterAutospacing="0"/>
        <w:divId w:val="81071072"/>
        <w:rPr>
          <w:sz w:val="20"/>
          <w:szCs w:val="20"/>
        </w:rPr>
      </w:pPr>
      <w:r>
        <w:rPr>
          <w:b/>
          <w:bCs/>
          <w:sz w:val="20"/>
          <w:szCs w:val="20"/>
        </w:rPr>
        <w:t>Note 4.</w:t>
      </w:r>
      <w:r>
        <w:rPr>
          <w:b/>
          <w:bCs/>
          <w:sz w:val="20"/>
          <w:szCs w:val="20"/>
        </w:rPr>
        <w:t xml:space="preserve"> </w:t>
      </w:r>
      <w:r>
        <w:rPr>
          <w:b/>
          <w:bCs/>
          <w:sz w:val="20"/>
          <w:szCs w:val="20"/>
        </w:rPr>
        <w:t>Fair Value Measurement</w:t>
      </w:r>
      <w:r>
        <w:rPr>
          <w:b/>
          <w:bCs/>
          <w:sz w:val="20"/>
          <w:szCs w:val="20"/>
        </w:rPr>
        <w:t>s</w:t>
      </w:r>
    </w:p>
    <w:p w14:paraId="29852941" w14:textId="77777777" w:rsidR="00000000" w:rsidRDefault="00632532">
      <w:pPr>
        <w:pStyle w:val="a3"/>
        <w:spacing w:before="120" w:beforeAutospacing="0" w:after="0" w:afterAutospacing="0"/>
        <w:ind w:firstLine="555"/>
        <w:divId w:val="81071072"/>
        <w:rPr>
          <w:sz w:val="20"/>
          <w:szCs w:val="20"/>
        </w:rPr>
      </w:pPr>
      <w:r>
        <w:rPr>
          <w:sz w:val="20"/>
          <w:szCs w:val="20"/>
        </w:rPr>
        <w:t>The authoritative guidance on fair value measurements establishes a framework wi</w:t>
      </w:r>
      <w:r>
        <w:rPr>
          <w:sz w:val="20"/>
          <w:szCs w:val="20"/>
        </w:rPr>
        <w:t>th respect to measuring assets and liabilities at fair value on a recurring basis and non-recurring basis. Under the framework, fair value is defined as the exit price, or the amount that would be received to sell an asset or paid to transfer a liability i</w:t>
      </w:r>
      <w:r>
        <w:rPr>
          <w:sz w:val="20"/>
          <w:szCs w:val="20"/>
        </w:rPr>
        <w:t>n an orderly transaction between market participants, as of the measurement date. The framework also establishes a three-tier hierarchy for inputs used in measuring fair value that maximizes the use of observable inputs and minimizes the use of unobservabl</w:t>
      </w:r>
      <w:r>
        <w:rPr>
          <w:sz w:val="20"/>
          <w:szCs w:val="20"/>
        </w:rPr>
        <w:t>e inputs by requiring that the most observable inputs be used when available. Observable inputs are inputs market participants would use in valuing the asset or liability and are developed based on market data obtained from sources independent of the Compa</w:t>
      </w:r>
      <w:r>
        <w:rPr>
          <w:sz w:val="20"/>
          <w:szCs w:val="20"/>
        </w:rPr>
        <w:t>ny. Unobservable inputs are inputs that reflect the Company’s assumptions about the factors market participants would use in valuing the asset or liability and are developed based on the best information available in the circumstances. The hierarchy consis</w:t>
      </w:r>
      <w:r>
        <w:rPr>
          <w:sz w:val="20"/>
          <w:szCs w:val="20"/>
        </w:rPr>
        <w:t>ts of the following three levels</w:t>
      </w:r>
      <w:r>
        <w:rPr>
          <w:sz w:val="20"/>
          <w:szCs w:val="20"/>
        </w:rPr>
        <w:t>:</w:t>
      </w:r>
      <w:r>
        <w:rPr>
          <w:sz w:val="20"/>
          <w:szCs w:val="20"/>
        </w:rPr>
        <w:t xml:space="preserve"> </w:t>
      </w:r>
    </w:p>
    <w:p w14:paraId="748C6E37" w14:textId="77777777" w:rsidR="00000000" w:rsidRDefault="00632532">
      <w:pPr>
        <w:pStyle w:val="a3"/>
        <w:spacing w:before="0" w:beforeAutospacing="0" w:after="0" w:afterAutospacing="0"/>
        <w:divId w:val="81071072"/>
        <w:rPr>
          <w:sz w:val="20"/>
          <w:szCs w:val="20"/>
        </w:rPr>
      </w:pPr>
      <w:r>
        <w:rPr>
          <w:sz w:val="20"/>
          <w:szCs w:val="20"/>
        </w:rPr>
        <w:t> </w:t>
      </w:r>
    </w:p>
    <w:p w14:paraId="4A6D1862" w14:textId="77777777" w:rsidR="00000000" w:rsidRDefault="00632532">
      <w:pPr>
        <w:pStyle w:val="a3"/>
        <w:spacing w:before="240" w:beforeAutospacing="0" w:after="0" w:afterAutospacing="0"/>
        <w:jc w:val="center"/>
        <w:divId w:val="81071072"/>
        <w:rPr>
          <w:sz w:val="20"/>
          <w:szCs w:val="20"/>
        </w:rPr>
      </w:pPr>
      <w:r>
        <w:rPr>
          <w:sz w:val="20"/>
          <w:szCs w:val="20"/>
        </w:rPr>
        <w:t>1</w:t>
      </w:r>
      <w:r>
        <w:rPr>
          <w:sz w:val="20"/>
          <w:szCs w:val="20"/>
        </w:rPr>
        <w:t>3</w:t>
      </w:r>
    </w:p>
    <w:p w14:paraId="564D50BA" w14:textId="77777777" w:rsidR="00000000" w:rsidRDefault="00632532">
      <w:pPr>
        <w:divId w:val="81071072"/>
        <w:rPr>
          <w:rFonts w:eastAsia="Times New Roman"/>
        </w:rPr>
      </w:pPr>
      <w:r>
        <w:rPr>
          <w:rFonts w:eastAsia="Times New Roman"/>
        </w:rPr>
        <w:pict w14:anchorId="61C1D7A7">
          <v:rect id="_x0000_i1039" style="width:0;height:1.5pt" o:hralign="center" o:hrstd="t" o:hr="t" fillcolor="#a0a0a0" stroked="f"/>
        </w:pict>
      </w:r>
    </w:p>
    <w:tbl>
      <w:tblPr>
        <w:tblW w:w="4700" w:type="pct"/>
        <w:tblCellSpacing w:w="15" w:type="dxa"/>
        <w:tblInd w:w="546" w:type="dxa"/>
        <w:tblCellMar>
          <w:top w:w="15" w:type="dxa"/>
          <w:left w:w="15" w:type="dxa"/>
          <w:bottom w:w="15" w:type="dxa"/>
          <w:right w:w="15" w:type="dxa"/>
        </w:tblCellMar>
        <w:tblLook w:val="04A0" w:firstRow="1" w:lastRow="0" w:firstColumn="1" w:lastColumn="0" w:noHBand="0" w:noVBand="1"/>
      </w:tblPr>
      <w:tblGrid>
        <w:gridCol w:w="794"/>
        <w:gridCol w:w="7014"/>
      </w:tblGrid>
      <w:tr w:rsidR="00000000" w14:paraId="3DC2B43F" w14:textId="77777777">
        <w:trPr>
          <w:divId w:val="81071072"/>
          <w:tblCellSpacing w:w="15" w:type="dxa"/>
        </w:trPr>
        <w:tc>
          <w:tcPr>
            <w:tcW w:w="485" w:type="pct"/>
            <w:vAlign w:val="center"/>
            <w:hideMark/>
          </w:tcPr>
          <w:p w14:paraId="6F1EC356" w14:textId="77777777" w:rsidR="00000000" w:rsidRDefault="00632532">
            <w:pPr>
              <w:rPr>
                <w:rFonts w:eastAsia="Times New Roman"/>
              </w:rPr>
            </w:pPr>
          </w:p>
        </w:tc>
        <w:tc>
          <w:tcPr>
            <w:tcW w:w="4514" w:type="pct"/>
            <w:vAlign w:val="center"/>
            <w:hideMark/>
          </w:tcPr>
          <w:p w14:paraId="0A38BD4C" w14:textId="77777777" w:rsidR="00000000" w:rsidRDefault="00632532">
            <w:pPr>
              <w:rPr>
                <w:rFonts w:eastAsia="Times New Roman"/>
                <w:sz w:val="20"/>
                <w:szCs w:val="20"/>
              </w:rPr>
            </w:pPr>
          </w:p>
        </w:tc>
      </w:tr>
      <w:tr w:rsidR="00000000" w14:paraId="0214AC12" w14:textId="77777777">
        <w:trPr>
          <w:divId w:val="81071072"/>
          <w:trHeight w:val="613"/>
          <w:tblCellSpacing w:w="15" w:type="dxa"/>
        </w:trPr>
        <w:tc>
          <w:tcPr>
            <w:tcW w:w="0" w:type="auto"/>
            <w:tcMar>
              <w:top w:w="14" w:type="dxa"/>
              <w:left w:w="15" w:type="dxa"/>
              <w:bottom w:w="15" w:type="dxa"/>
              <w:right w:w="14" w:type="dxa"/>
            </w:tcMar>
            <w:hideMark/>
          </w:tcPr>
          <w:p w14:paraId="7189B218" w14:textId="77777777" w:rsidR="00000000" w:rsidRDefault="00632532">
            <w:pPr>
              <w:pStyle w:val="a3"/>
              <w:spacing w:before="0" w:beforeAutospacing="0" w:after="0" w:afterAutospacing="0"/>
              <w:rPr>
                <w:sz w:val="20"/>
                <w:szCs w:val="20"/>
              </w:rPr>
            </w:pPr>
            <w:r>
              <w:rPr>
                <w:sz w:val="20"/>
                <w:szCs w:val="20"/>
              </w:rPr>
              <w:t>Level 1</w:t>
            </w:r>
            <w:r>
              <w:rPr>
                <w:sz w:val="20"/>
                <w:szCs w:val="20"/>
              </w:rPr>
              <w:t>:</w:t>
            </w:r>
          </w:p>
        </w:tc>
        <w:tc>
          <w:tcPr>
            <w:tcW w:w="0" w:type="auto"/>
            <w:tcMar>
              <w:top w:w="14" w:type="dxa"/>
              <w:left w:w="15" w:type="dxa"/>
              <w:bottom w:w="15" w:type="dxa"/>
              <w:right w:w="14" w:type="dxa"/>
            </w:tcMar>
            <w:hideMark/>
          </w:tcPr>
          <w:p w14:paraId="4A82416C" w14:textId="77777777" w:rsidR="00000000" w:rsidRDefault="00632532">
            <w:pPr>
              <w:pStyle w:val="a3"/>
              <w:spacing w:before="0" w:beforeAutospacing="0" w:after="0" w:afterAutospacing="0"/>
              <w:rPr>
                <w:sz w:val="20"/>
                <w:szCs w:val="20"/>
              </w:rPr>
            </w:pPr>
            <w:r>
              <w:rPr>
                <w:sz w:val="20"/>
                <w:szCs w:val="20"/>
              </w:rPr>
              <w:t>Inputs are quoted prices (unadjusted) in active markets for identical assets or liabilities that the reporting entity can access at the measurement date</w:t>
            </w:r>
            <w:r>
              <w:rPr>
                <w:sz w:val="20"/>
                <w:szCs w:val="20"/>
              </w:rPr>
              <w:t>.</w:t>
            </w:r>
          </w:p>
        </w:tc>
      </w:tr>
      <w:tr w:rsidR="00000000" w14:paraId="4FD57932" w14:textId="77777777">
        <w:trPr>
          <w:divId w:val="81071072"/>
          <w:trHeight w:val="623"/>
          <w:tblCellSpacing w:w="15" w:type="dxa"/>
        </w:trPr>
        <w:tc>
          <w:tcPr>
            <w:tcW w:w="0" w:type="auto"/>
            <w:tcMar>
              <w:top w:w="14" w:type="dxa"/>
              <w:left w:w="15" w:type="dxa"/>
              <w:bottom w:w="15" w:type="dxa"/>
              <w:right w:w="14" w:type="dxa"/>
            </w:tcMar>
            <w:hideMark/>
          </w:tcPr>
          <w:p w14:paraId="6E19EE3A" w14:textId="77777777" w:rsidR="00000000" w:rsidRDefault="00632532">
            <w:pPr>
              <w:pStyle w:val="a3"/>
              <w:spacing w:before="0" w:beforeAutospacing="0" w:after="0" w:afterAutospacing="0"/>
              <w:rPr>
                <w:sz w:val="20"/>
                <w:szCs w:val="20"/>
              </w:rPr>
            </w:pPr>
            <w:r>
              <w:rPr>
                <w:sz w:val="20"/>
                <w:szCs w:val="20"/>
              </w:rPr>
              <w:t>Level 2</w:t>
            </w:r>
            <w:r>
              <w:rPr>
                <w:sz w:val="20"/>
                <w:szCs w:val="20"/>
              </w:rPr>
              <w:t>:</w:t>
            </w:r>
          </w:p>
        </w:tc>
        <w:tc>
          <w:tcPr>
            <w:tcW w:w="0" w:type="auto"/>
            <w:tcMar>
              <w:top w:w="14" w:type="dxa"/>
              <w:left w:w="15" w:type="dxa"/>
              <w:bottom w:w="15" w:type="dxa"/>
              <w:right w:w="14" w:type="dxa"/>
            </w:tcMar>
            <w:hideMark/>
          </w:tcPr>
          <w:p w14:paraId="73D5100B" w14:textId="77777777" w:rsidR="00000000" w:rsidRDefault="00632532">
            <w:pPr>
              <w:pStyle w:val="a3"/>
              <w:spacing w:before="0" w:beforeAutospacing="0" w:after="0" w:afterAutospacing="0"/>
              <w:rPr>
                <w:sz w:val="20"/>
                <w:szCs w:val="20"/>
              </w:rPr>
            </w:pPr>
            <w:r>
              <w:rPr>
                <w:sz w:val="20"/>
                <w:szCs w:val="20"/>
              </w:rPr>
              <w:t>Inputs are inputs other than quoted prices included within Level 1 that are observable for t</w:t>
            </w:r>
            <w:r>
              <w:rPr>
                <w:sz w:val="20"/>
                <w:szCs w:val="20"/>
              </w:rPr>
              <w:t>he asset or liability, either directly or indirectly</w:t>
            </w:r>
            <w:r>
              <w:rPr>
                <w:sz w:val="20"/>
                <w:szCs w:val="20"/>
              </w:rPr>
              <w:t>.</w:t>
            </w:r>
          </w:p>
        </w:tc>
      </w:tr>
      <w:tr w:rsidR="00000000" w14:paraId="6BEC5498" w14:textId="77777777">
        <w:trPr>
          <w:divId w:val="81071072"/>
          <w:trHeight w:val="301"/>
          <w:tblCellSpacing w:w="15" w:type="dxa"/>
        </w:trPr>
        <w:tc>
          <w:tcPr>
            <w:tcW w:w="0" w:type="auto"/>
            <w:tcMar>
              <w:top w:w="14" w:type="dxa"/>
              <w:left w:w="15" w:type="dxa"/>
              <w:bottom w:w="15" w:type="dxa"/>
              <w:right w:w="14" w:type="dxa"/>
            </w:tcMar>
            <w:hideMark/>
          </w:tcPr>
          <w:p w14:paraId="4B974F1A" w14:textId="77777777" w:rsidR="00000000" w:rsidRDefault="00632532">
            <w:pPr>
              <w:pStyle w:val="a3"/>
              <w:spacing w:before="0" w:beforeAutospacing="0" w:after="0" w:afterAutospacing="0"/>
              <w:rPr>
                <w:sz w:val="20"/>
                <w:szCs w:val="20"/>
              </w:rPr>
            </w:pPr>
            <w:r>
              <w:rPr>
                <w:sz w:val="20"/>
                <w:szCs w:val="20"/>
              </w:rPr>
              <w:t>Level 3</w:t>
            </w:r>
            <w:r>
              <w:rPr>
                <w:sz w:val="20"/>
                <w:szCs w:val="20"/>
              </w:rPr>
              <w:t>:</w:t>
            </w:r>
          </w:p>
        </w:tc>
        <w:tc>
          <w:tcPr>
            <w:tcW w:w="0" w:type="auto"/>
            <w:tcMar>
              <w:top w:w="14" w:type="dxa"/>
              <w:left w:w="15" w:type="dxa"/>
              <w:bottom w:w="15" w:type="dxa"/>
              <w:right w:w="14" w:type="dxa"/>
            </w:tcMar>
            <w:hideMark/>
          </w:tcPr>
          <w:p w14:paraId="06C26D6B" w14:textId="77777777" w:rsidR="00000000" w:rsidRDefault="00632532">
            <w:pPr>
              <w:pStyle w:val="a3"/>
              <w:spacing w:before="0" w:beforeAutospacing="0" w:after="0" w:afterAutospacing="0"/>
              <w:rPr>
                <w:sz w:val="20"/>
                <w:szCs w:val="20"/>
              </w:rPr>
            </w:pPr>
            <w:r>
              <w:rPr>
                <w:sz w:val="20"/>
                <w:szCs w:val="20"/>
              </w:rPr>
              <w:t>Inputs are unobservable for the asset or liability</w:t>
            </w:r>
            <w:r>
              <w:rPr>
                <w:sz w:val="20"/>
                <w:szCs w:val="20"/>
              </w:rPr>
              <w:t>.</w:t>
            </w:r>
          </w:p>
        </w:tc>
      </w:tr>
    </w:tbl>
    <w:p w14:paraId="64764A4C" w14:textId="77777777" w:rsidR="00000000" w:rsidRDefault="00632532">
      <w:pPr>
        <w:pStyle w:val="a3"/>
        <w:spacing w:before="0" w:beforeAutospacing="0" w:after="0" w:afterAutospacing="0"/>
        <w:divId w:val="81071072"/>
        <w:rPr>
          <w:sz w:val="20"/>
          <w:szCs w:val="20"/>
        </w:rPr>
      </w:pPr>
      <w:r>
        <w:rPr>
          <w:sz w:val="20"/>
          <w:szCs w:val="20"/>
        </w:rPr>
        <w:t> </w:t>
      </w:r>
    </w:p>
    <w:p w14:paraId="290D21D9" w14:textId="77777777" w:rsidR="00000000" w:rsidRDefault="00632532">
      <w:pPr>
        <w:pStyle w:val="a3"/>
        <w:spacing w:before="0" w:beforeAutospacing="0" w:after="0" w:afterAutospacing="0"/>
        <w:ind w:firstLine="555"/>
        <w:divId w:val="943609218"/>
        <w:rPr>
          <w:sz w:val="20"/>
          <w:szCs w:val="20"/>
        </w:rPr>
      </w:pPr>
      <w:r>
        <w:rPr>
          <w:sz w:val="20"/>
          <w:szCs w:val="20"/>
        </w:rPr>
        <w:t>The following tables present information about the Company’s financial assets measured at fair value on a recurring basis, based on the a</w:t>
      </w:r>
      <w:r>
        <w:rPr>
          <w:sz w:val="20"/>
          <w:szCs w:val="20"/>
        </w:rPr>
        <w:t>bove three-tier fair value hierarchy</w:t>
      </w:r>
      <w:r>
        <w:rPr>
          <w:sz w:val="20"/>
          <w:szCs w:val="20"/>
        </w:rPr>
        <w:t>:</w:t>
      </w:r>
    </w:p>
    <w:p w14:paraId="77D84C4F" w14:textId="77777777" w:rsidR="00000000" w:rsidRDefault="00632532">
      <w:pPr>
        <w:pStyle w:val="a3"/>
        <w:spacing w:before="0" w:beforeAutospacing="0" w:after="0" w:afterAutospacing="0"/>
        <w:divId w:val="94360921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2"/>
        <w:gridCol w:w="160"/>
        <w:gridCol w:w="826"/>
        <w:gridCol w:w="110"/>
        <w:gridCol w:w="112"/>
        <w:gridCol w:w="160"/>
        <w:gridCol w:w="826"/>
        <w:gridCol w:w="110"/>
        <w:gridCol w:w="112"/>
        <w:gridCol w:w="160"/>
        <w:gridCol w:w="971"/>
        <w:gridCol w:w="110"/>
        <w:gridCol w:w="112"/>
        <w:gridCol w:w="160"/>
        <w:gridCol w:w="970"/>
        <w:gridCol w:w="125"/>
      </w:tblGrid>
      <w:tr w:rsidR="00000000" w14:paraId="0D1B83F8" w14:textId="77777777">
        <w:trPr>
          <w:divId w:val="943609218"/>
          <w:tblCellSpacing w:w="15" w:type="dxa"/>
        </w:trPr>
        <w:tc>
          <w:tcPr>
            <w:tcW w:w="2092" w:type="pct"/>
            <w:vAlign w:val="center"/>
            <w:hideMark/>
          </w:tcPr>
          <w:p w14:paraId="3FF461AB" w14:textId="77777777" w:rsidR="00000000" w:rsidRDefault="00632532">
            <w:pPr>
              <w:rPr>
                <w:sz w:val="20"/>
                <w:szCs w:val="20"/>
              </w:rPr>
            </w:pPr>
          </w:p>
        </w:tc>
        <w:tc>
          <w:tcPr>
            <w:tcW w:w="50" w:type="pct"/>
            <w:vAlign w:val="center"/>
            <w:hideMark/>
          </w:tcPr>
          <w:p w14:paraId="1D53B76A" w14:textId="77777777" w:rsidR="00000000" w:rsidRDefault="00632532">
            <w:pPr>
              <w:rPr>
                <w:rFonts w:eastAsia="Times New Roman"/>
                <w:sz w:val="20"/>
                <w:szCs w:val="20"/>
              </w:rPr>
            </w:pPr>
          </w:p>
        </w:tc>
        <w:tc>
          <w:tcPr>
            <w:tcW w:w="527" w:type="pct"/>
            <w:vAlign w:val="center"/>
            <w:hideMark/>
          </w:tcPr>
          <w:p w14:paraId="2FB00C44" w14:textId="77777777" w:rsidR="00000000" w:rsidRDefault="00632532">
            <w:pPr>
              <w:rPr>
                <w:rFonts w:eastAsia="Times New Roman"/>
                <w:sz w:val="20"/>
                <w:szCs w:val="20"/>
              </w:rPr>
            </w:pPr>
          </w:p>
        </w:tc>
        <w:tc>
          <w:tcPr>
            <w:tcW w:w="50" w:type="pct"/>
            <w:vAlign w:val="center"/>
            <w:hideMark/>
          </w:tcPr>
          <w:p w14:paraId="0FD34D5F" w14:textId="77777777" w:rsidR="00000000" w:rsidRDefault="00632532">
            <w:pPr>
              <w:rPr>
                <w:rFonts w:eastAsia="Times New Roman"/>
                <w:sz w:val="20"/>
                <w:szCs w:val="20"/>
              </w:rPr>
            </w:pPr>
          </w:p>
        </w:tc>
        <w:tc>
          <w:tcPr>
            <w:tcW w:w="70" w:type="pct"/>
            <w:vAlign w:val="center"/>
            <w:hideMark/>
          </w:tcPr>
          <w:p w14:paraId="384BDF9F" w14:textId="77777777" w:rsidR="00000000" w:rsidRDefault="00632532">
            <w:pPr>
              <w:rPr>
                <w:rFonts w:eastAsia="Times New Roman"/>
                <w:sz w:val="20"/>
                <w:szCs w:val="20"/>
              </w:rPr>
            </w:pPr>
          </w:p>
        </w:tc>
        <w:tc>
          <w:tcPr>
            <w:tcW w:w="50" w:type="pct"/>
            <w:vAlign w:val="center"/>
            <w:hideMark/>
          </w:tcPr>
          <w:p w14:paraId="51CEB3BF" w14:textId="77777777" w:rsidR="00000000" w:rsidRDefault="00632532">
            <w:pPr>
              <w:rPr>
                <w:rFonts w:eastAsia="Times New Roman"/>
                <w:sz w:val="20"/>
                <w:szCs w:val="20"/>
              </w:rPr>
            </w:pPr>
          </w:p>
        </w:tc>
        <w:tc>
          <w:tcPr>
            <w:tcW w:w="527" w:type="pct"/>
            <w:vAlign w:val="center"/>
            <w:hideMark/>
          </w:tcPr>
          <w:p w14:paraId="01D29031" w14:textId="77777777" w:rsidR="00000000" w:rsidRDefault="00632532">
            <w:pPr>
              <w:rPr>
                <w:rFonts w:eastAsia="Times New Roman"/>
                <w:sz w:val="20"/>
                <w:szCs w:val="20"/>
              </w:rPr>
            </w:pPr>
          </w:p>
        </w:tc>
        <w:tc>
          <w:tcPr>
            <w:tcW w:w="50" w:type="pct"/>
            <w:vAlign w:val="center"/>
            <w:hideMark/>
          </w:tcPr>
          <w:p w14:paraId="05F24733" w14:textId="77777777" w:rsidR="00000000" w:rsidRDefault="00632532">
            <w:pPr>
              <w:rPr>
                <w:rFonts w:eastAsia="Times New Roman"/>
                <w:sz w:val="20"/>
                <w:szCs w:val="20"/>
              </w:rPr>
            </w:pPr>
          </w:p>
        </w:tc>
        <w:tc>
          <w:tcPr>
            <w:tcW w:w="70" w:type="pct"/>
            <w:vAlign w:val="center"/>
            <w:hideMark/>
          </w:tcPr>
          <w:p w14:paraId="3AA22721" w14:textId="77777777" w:rsidR="00000000" w:rsidRDefault="00632532">
            <w:pPr>
              <w:rPr>
                <w:rFonts w:eastAsia="Times New Roman"/>
                <w:sz w:val="20"/>
                <w:szCs w:val="20"/>
              </w:rPr>
            </w:pPr>
          </w:p>
        </w:tc>
        <w:tc>
          <w:tcPr>
            <w:tcW w:w="50" w:type="pct"/>
            <w:vAlign w:val="center"/>
            <w:hideMark/>
          </w:tcPr>
          <w:p w14:paraId="79C3DEEA" w14:textId="77777777" w:rsidR="00000000" w:rsidRDefault="00632532">
            <w:pPr>
              <w:rPr>
                <w:rFonts w:eastAsia="Times New Roman"/>
                <w:sz w:val="20"/>
                <w:szCs w:val="20"/>
              </w:rPr>
            </w:pPr>
          </w:p>
        </w:tc>
        <w:tc>
          <w:tcPr>
            <w:tcW w:w="620" w:type="pct"/>
            <w:vAlign w:val="center"/>
            <w:hideMark/>
          </w:tcPr>
          <w:p w14:paraId="6A4BA1EE" w14:textId="77777777" w:rsidR="00000000" w:rsidRDefault="00632532">
            <w:pPr>
              <w:rPr>
                <w:rFonts w:eastAsia="Times New Roman"/>
                <w:sz w:val="20"/>
                <w:szCs w:val="20"/>
              </w:rPr>
            </w:pPr>
          </w:p>
        </w:tc>
        <w:tc>
          <w:tcPr>
            <w:tcW w:w="50" w:type="pct"/>
            <w:vAlign w:val="center"/>
            <w:hideMark/>
          </w:tcPr>
          <w:p w14:paraId="72900917" w14:textId="77777777" w:rsidR="00000000" w:rsidRDefault="00632532">
            <w:pPr>
              <w:rPr>
                <w:rFonts w:eastAsia="Times New Roman"/>
                <w:sz w:val="20"/>
                <w:szCs w:val="20"/>
              </w:rPr>
            </w:pPr>
          </w:p>
        </w:tc>
        <w:tc>
          <w:tcPr>
            <w:tcW w:w="70" w:type="pct"/>
            <w:vAlign w:val="center"/>
            <w:hideMark/>
          </w:tcPr>
          <w:p w14:paraId="1AB9AB32" w14:textId="77777777" w:rsidR="00000000" w:rsidRDefault="00632532">
            <w:pPr>
              <w:rPr>
                <w:rFonts w:eastAsia="Times New Roman"/>
                <w:sz w:val="20"/>
                <w:szCs w:val="20"/>
              </w:rPr>
            </w:pPr>
          </w:p>
        </w:tc>
        <w:tc>
          <w:tcPr>
            <w:tcW w:w="50" w:type="pct"/>
            <w:vAlign w:val="center"/>
            <w:hideMark/>
          </w:tcPr>
          <w:p w14:paraId="5FE9701C" w14:textId="77777777" w:rsidR="00000000" w:rsidRDefault="00632532">
            <w:pPr>
              <w:rPr>
                <w:rFonts w:eastAsia="Times New Roman"/>
                <w:sz w:val="20"/>
                <w:szCs w:val="20"/>
              </w:rPr>
            </w:pPr>
          </w:p>
        </w:tc>
        <w:tc>
          <w:tcPr>
            <w:tcW w:w="619" w:type="pct"/>
            <w:vAlign w:val="center"/>
            <w:hideMark/>
          </w:tcPr>
          <w:p w14:paraId="197EBEF0" w14:textId="77777777" w:rsidR="00000000" w:rsidRDefault="00632532">
            <w:pPr>
              <w:rPr>
                <w:rFonts w:eastAsia="Times New Roman"/>
                <w:sz w:val="20"/>
                <w:szCs w:val="20"/>
              </w:rPr>
            </w:pPr>
          </w:p>
        </w:tc>
        <w:tc>
          <w:tcPr>
            <w:tcW w:w="50" w:type="pct"/>
            <w:vAlign w:val="center"/>
            <w:hideMark/>
          </w:tcPr>
          <w:p w14:paraId="2E6FABB8" w14:textId="77777777" w:rsidR="00000000" w:rsidRDefault="00632532">
            <w:pPr>
              <w:rPr>
                <w:rFonts w:eastAsia="Times New Roman"/>
                <w:sz w:val="20"/>
                <w:szCs w:val="20"/>
              </w:rPr>
            </w:pPr>
          </w:p>
        </w:tc>
      </w:tr>
      <w:tr w:rsidR="00000000" w14:paraId="73B3DA4D" w14:textId="77777777">
        <w:trPr>
          <w:divId w:val="943609218"/>
          <w:trHeight w:val="160"/>
          <w:tblCellSpacing w:w="15" w:type="dxa"/>
        </w:trPr>
        <w:tc>
          <w:tcPr>
            <w:tcW w:w="0" w:type="auto"/>
            <w:vAlign w:val="bottom"/>
            <w:hideMark/>
          </w:tcPr>
          <w:p w14:paraId="73A27790"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hideMark/>
          </w:tcPr>
          <w:p w14:paraId="3AD1D18A" w14:textId="77777777" w:rsidR="00000000" w:rsidRDefault="00632532">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hideMark/>
          </w:tcPr>
          <w:p w14:paraId="1E606949"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167EBFA" w14:textId="77777777">
        <w:trPr>
          <w:divId w:val="943609218"/>
          <w:trHeight w:val="160"/>
          <w:tblCellSpacing w:w="15" w:type="dxa"/>
        </w:trPr>
        <w:tc>
          <w:tcPr>
            <w:tcW w:w="0" w:type="auto"/>
            <w:vAlign w:val="bottom"/>
            <w:hideMark/>
          </w:tcPr>
          <w:p w14:paraId="55CAB26F" w14:textId="77777777" w:rsidR="00000000" w:rsidRDefault="00632532">
            <w:pPr>
              <w:pStyle w:val="a3"/>
              <w:spacing w:before="0" w:beforeAutospacing="0" w:after="0" w:afterAutospacing="0"/>
              <w:rPr>
                <w:sz w:val="16"/>
                <w:szCs w:val="16"/>
              </w:rPr>
            </w:pPr>
            <w:r>
              <w:rPr>
                <w:sz w:val="16"/>
                <w:szCs w:val="16"/>
              </w:rPr>
              <w:t> </w:t>
            </w:r>
          </w:p>
        </w:tc>
        <w:tc>
          <w:tcPr>
            <w:tcW w:w="0" w:type="auto"/>
            <w:gridSpan w:val="2"/>
            <w:hideMark/>
          </w:tcPr>
          <w:p w14:paraId="5C2C2CE8" w14:textId="77777777" w:rsidR="00000000" w:rsidRDefault="00632532">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hideMark/>
          </w:tcPr>
          <w:p w14:paraId="25C39F4B" w14:textId="77777777" w:rsidR="00000000" w:rsidRDefault="00632532">
            <w:pPr>
              <w:pStyle w:val="a3"/>
              <w:spacing w:before="0" w:beforeAutospacing="0" w:after="0" w:afterAutospacing="0"/>
              <w:jc w:val="center"/>
              <w:rPr>
                <w:sz w:val="16"/>
                <w:szCs w:val="16"/>
              </w:rPr>
            </w:pPr>
            <w:r>
              <w:rPr>
                <w:sz w:val="16"/>
                <w:szCs w:val="16"/>
              </w:rPr>
              <w:t> </w:t>
            </w:r>
          </w:p>
        </w:tc>
        <w:tc>
          <w:tcPr>
            <w:tcW w:w="0" w:type="auto"/>
            <w:hideMark/>
          </w:tcPr>
          <w:p w14:paraId="5CC2C002"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hideMark/>
          </w:tcPr>
          <w:p w14:paraId="364CFCAC" w14:textId="77777777" w:rsidR="00000000" w:rsidRDefault="00632532">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hideMark/>
          </w:tcPr>
          <w:p w14:paraId="42861432" w14:textId="77777777" w:rsidR="00000000" w:rsidRDefault="00632532">
            <w:pPr>
              <w:pStyle w:val="a3"/>
              <w:spacing w:before="0" w:beforeAutospacing="0" w:after="0" w:afterAutospacing="0"/>
              <w:jc w:val="center"/>
              <w:rPr>
                <w:sz w:val="16"/>
                <w:szCs w:val="16"/>
              </w:rPr>
            </w:pPr>
            <w:r>
              <w:rPr>
                <w:sz w:val="16"/>
                <w:szCs w:val="16"/>
              </w:rPr>
              <w:t> </w:t>
            </w:r>
          </w:p>
        </w:tc>
        <w:tc>
          <w:tcPr>
            <w:tcW w:w="0" w:type="auto"/>
            <w:hideMark/>
          </w:tcPr>
          <w:p w14:paraId="2CC1A778"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hideMark/>
          </w:tcPr>
          <w:p w14:paraId="1C427040" w14:textId="77777777" w:rsidR="00000000" w:rsidRDefault="00632532">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hideMark/>
          </w:tcPr>
          <w:p w14:paraId="3BD90FEE" w14:textId="77777777" w:rsidR="00000000" w:rsidRDefault="00632532">
            <w:pPr>
              <w:pStyle w:val="a3"/>
              <w:spacing w:before="0" w:beforeAutospacing="0" w:after="0" w:afterAutospacing="0"/>
              <w:jc w:val="center"/>
              <w:rPr>
                <w:sz w:val="16"/>
                <w:szCs w:val="16"/>
              </w:rPr>
            </w:pPr>
            <w:r>
              <w:rPr>
                <w:sz w:val="16"/>
                <w:szCs w:val="16"/>
              </w:rPr>
              <w:t> </w:t>
            </w:r>
          </w:p>
        </w:tc>
        <w:tc>
          <w:tcPr>
            <w:tcW w:w="0" w:type="auto"/>
            <w:hideMark/>
          </w:tcPr>
          <w:p w14:paraId="1144FEA5"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hideMark/>
          </w:tcPr>
          <w:p w14:paraId="1EE9C9F9" w14:textId="77777777" w:rsidR="00000000" w:rsidRDefault="00632532">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hideMark/>
          </w:tcPr>
          <w:p w14:paraId="09F61A9F"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4696C30" w14:textId="77777777">
        <w:trPr>
          <w:divId w:val="943609218"/>
          <w:trHeight w:val="160"/>
          <w:tblCellSpacing w:w="15" w:type="dxa"/>
        </w:trPr>
        <w:tc>
          <w:tcPr>
            <w:tcW w:w="0" w:type="auto"/>
            <w:vAlign w:val="bottom"/>
            <w:hideMark/>
          </w:tcPr>
          <w:p w14:paraId="4AD4A1B9"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hideMark/>
          </w:tcPr>
          <w:p w14:paraId="5A4D101F"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14:paraId="59704DE7"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1261F048" w14:textId="77777777">
        <w:trPr>
          <w:divId w:val="943609218"/>
          <w:trHeight w:val="200"/>
          <w:tblCellSpacing w:w="15" w:type="dxa"/>
        </w:trPr>
        <w:tc>
          <w:tcPr>
            <w:tcW w:w="0" w:type="auto"/>
            <w:vAlign w:val="bottom"/>
            <w:hideMark/>
          </w:tcPr>
          <w:p w14:paraId="1B683C0A" w14:textId="77777777" w:rsidR="00000000" w:rsidRDefault="00632532">
            <w:pPr>
              <w:pStyle w:val="a3"/>
              <w:spacing w:before="0" w:beforeAutospacing="0" w:after="0" w:afterAutospacing="0"/>
              <w:rPr>
                <w:sz w:val="20"/>
                <w:szCs w:val="20"/>
              </w:rPr>
            </w:pPr>
            <w:r>
              <w:rPr>
                <w:b/>
                <w:bCs/>
                <w:sz w:val="20"/>
                <w:szCs w:val="20"/>
              </w:rPr>
              <w:t>Equity securities, debt securities and cash equivalents</w:t>
            </w:r>
            <w:r>
              <w:rPr>
                <w:b/>
                <w:bCs/>
                <w:sz w:val="20"/>
                <w:szCs w:val="20"/>
              </w:rPr>
              <w:t>:</w:t>
            </w:r>
          </w:p>
        </w:tc>
        <w:tc>
          <w:tcPr>
            <w:tcW w:w="0" w:type="auto"/>
            <w:gridSpan w:val="2"/>
            <w:vAlign w:val="bottom"/>
            <w:hideMark/>
          </w:tcPr>
          <w:p w14:paraId="08D413D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0AE30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B41992"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745DF5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94E1D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A8F6E2"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3D1406A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4502A9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7F5267"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798907F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902902E" w14:textId="77777777" w:rsidR="00000000" w:rsidRDefault="00632532">
            <w:pPr>
              <w:pStyle w:val="a3"/>
              <w:spacing w:before="0" w:beforeAutospacing="0" w:after="0" w:afterAutospacing="0"/>
              <w:rPr>
                <w:sz w:val="20"/>
                <w:szCs w:val="20"/>
              </w:rPr>
            </w:pPr>
            <w:r>
              <w:rPr>
                <w:sz w:val="20"/>
                <w:szCs w:val="20"/>
              </w:rPr>
              <w:t> </w:t>
            </w:r>
          </w:p>
        </w:tc>
      </w:tr>
      <w:tr w:rsidR="00000000" w14:paraId="3074D014" w14:textId="77777777">
        <w:trPr>
          <w:divId w:val="943609218"/>
          <w:trHeight w:val="200"/>
          <w:tblCellSpacing w:w="15" w:type="dxa"/>
        </w:trPr>
        <w:tc>
          <w:tcPr>
            <w:tcW w:w="0" w:type="auto"/>
            <w:vAlign w:val="bottom"/>
            <w:hideMark/>
          </w:tcPr>
          <w:p w14:paraId="524BBD24" w14:textId="77777777" w:rsidR="00000000" w:rsidRDefault="00632532">
            <w:pPr>
              <w:pStyle w:val="a3"/>
              <w:spacing w:before="0" w:beforeAutospacing="0" w:after="0" w:afterAutospacing="0"/>
              <w:ind w:left="200"/>
              <w:rPr>
                <w:sz w:val="20"/>
                <w:szCs w:val="20"/>
              </w:rPr>
            </w:pPr>
            <w:r>
              <w:rPr>
                <w:sz w:val="20"/>
                <w:szCs w:val="20"/>
              </w:rPr>
              <w:t>Investment in private equity securitie</w:t>
            </w:r>
            <w:r>
              <w:rPr>
                <w:sz w:val="20"/>
                <w:szCs w:val="20"/>
              </w:rPr>
              <w:t>s</w:t>
            </w:r>
          </w:p>
        </w:tc>
        <w:tc>
          <w:tcPr>
            <w:tcW w:w="0" w:type="auto"/>
            <w:noWrap/>
            <w:vAlign w:val="bottom"/>
            <w:hideMark/>
          </w:tcPr>
          <w:p w14:paraId="3EA3F6C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33E1A70" w14:textId="77777777" w:rsidR="00000000" w:rsidRDefault="00632532">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14:paraId="708909B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447635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1BAC5C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541BCC9"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5F4108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F2C17D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99C51E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CFFC65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1B69D2C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C6D7F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85895E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97C3B20" w14:textId="77777777" w:rsidR="00000000" w:rsidRDefault="00632532">
            <w:pPr>
              <w:pStyle w:val="a3"/>
              <w:spacing w:before="0" w:beforeAutospacing="0" w:after="0" w:afterAutospacing="0"/>
              <w:jc w:val="right"/>
              <w:rPr>
                <w:sz w:val="20"/>
                <w:szCs w:val="20"/>
              </w:rPr>
            </w:pPr>
            <w:r>
              <w:rPr>
                <w:sz w:val="20"/>
                <w:szCs w:val="20"/>
              </w:rPr>
              <w:t>15,00</w:t>
            </w:r>
            <w:r>
              <w:rPr>
                <w:sz w:val="20"/>
                <w:szCs w:val="20"/>
              </w:rPr>
              <w:t>0</w:t>
            </w:r>
          </w:p>
        </w:tc>
        <w:tc>
          <w:tcPr>
            <w:tcW w:w="0" w:type="auto"/>
            <w:noWrap/>
            <w:vAlign w:val="bottom"/>
            <w:hideMark/>
          </w:tcPr>
          <w:p w14:paraId="2DF5240D" w14:textId="77777777" w:rsidR="00000000" w:rsidRDefault="00632532">
            <w:pPr>
              <w:pStyle w:val="a3"/>
              <w:spacing w:before="0" w:beforeAutospacing="0" w:after="0" w:afterAutospacing="0"/>
              <w:rPr>
                <w:sz w:val="20"/>
                <w:szCs w:val="20"/>
              </w:rPr>
            </w:pPr>
            <w:r>
              <w:rPr>
                <w:sz w:val="20"/>
                <w:szCs w:val="20"/>
              </w:rPr>
              <w:t> </w:t>
            </w:r>
          </w:p>
        </w:tc>
      </w:tr>
      <w:tr w:rsidR="00000000" w14:paraId="35F91D96" w14:textId="77777777">
        <w:trPr>
          <w:divId w:val="943609218"/>
          <w:trHeight w:val="200"/>
          <w:tblCellSpacing w:w="15" w:type="dxa"/>
        </w:trPr>
        <w:tc>
          <w:tcPr>
            <w:tcW w:w="0" w:type="auto"/>
            <w:vAlign w:val="bottom"/>
            <w:hideMark/>
          </w:tcPr>
          <w:p w14:paraId="0C5F6271" w14:textId="77777777" w:rsidR="00000000" w:rsidRDefault="00632532">
            <w:pPr>
              <w:pStyle w:val="a3"/>
              <w:spacing w:before="0" w:beforeAutospacing="0" w:after="0" w:afterAutospacing="0"/>
              <w:ind w:left="200"/>
              <w:rPr>
                <w:sz w:val="20"/>
                <w:szCs w:val="20"/>
              </w:rPr>
            </w:pPr>
            <w:r>
              <w:rPr>
                <w:sz w:val="20"/>
                <w:szCs w:val="20"/>
              </w:rPr>
              <w:t>U.S. government debt securitie</w:t>
            </w:r>
            <w:r>
              <w:rPr>
                <w:sz w:val="20"/>
                <w:szCs w:val="20"/>
              </w:rPr>
              <w:t>s</w:t>
            </w:r>
          </w:p>
        </w:tc>
        <w:tc>
          <w:tcPr>
            <w:tcW w:w="0" w:type="auto"/>
            <w:noWrap/>
            <w:vAlign w:val="bottom"/>
            <w:hideMark/>
          </w:tcPr>
          <w:p w14:paraId="42502DF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90131CF" w14:textId="77777777" w:rsidR="00000000" w:rsidRDefault="00632532">
            <w:pPr>
              <w:pStyle w:val="a3"/>
              <w:spacing w:before="0" w:beforeAutospacing="0" w:after="0" w:afterAutospacing="0"/>
              <w:jc w:val="right"/>
              <w:rPr>
                <w:sz w:val="20"/>
                <w:szCs w:val="20"/>
              </w:rPr>
            </w:pPr>
            <w:r>
              <w:rPr>
                <w:sz w:val="20"/>
                <w:szCs w:val="20"/>
              </w:rPr>
              <w:t>357,57</w:t>
            </w:r>
            <w:r>
              <w:rPr>
                <w:sz w:val="20"/>
                <w:szCs w:val="20"/>
              </w:rPr>
              <w:t>3</w:t>
            </w:r>
          </w:p>
        </w:tc>
        <w:tc>
          <w:tcPr>
            <w:tcW w:w="0" w:type="auto"/>
            <w:noWrap/>
            <w:vAlign w:val="bottom"/>
            <w:hideMark/>
          </w:tcPr>
          <w:p w14:paraId="5DE07F1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781AE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2ACD45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5A6E23"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1740037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D1D96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68E10D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32912CC" w14:textId="77777777" w:rsidR="00000000" w:rsidRDefault="00632532">
            <w:pPr>
              <w:pStyle w:val="a3"/>
              <w:spacing w:before="0" w:beforeAutospacing="0" w:after="0" w:afterAutospacing="0"/>
              <w:jc w:val="right"/>
              <w:rPr>
                <w:sz w:val="20"/>
                <w:szCs w:val="20"/>
              </w:rPr>
            </w:pPr>
            <w:r>
              <w:rPr>
                <w:sz w:val="20"/>
                <w:szCs w:val="20"/>
              </w:rPr>
              <w:t>357,57</w:t>
            </w:r>
            <w:r>
              <w:rPr>
                <w:sz w:val="20"/>
                <w:szCs w:val="20"/>
              </w:rPr>
              <w:t>3</w:t>
            </w:r>
          </w:p>
        </w:tc>
        <w:tc>
          <w:tcPr>
            <w:tcW w:w="0" w:type="auto"/>
            <w:noWrap/>
            <w:vAlign w:val="bottom"/>
            <w:hideMark/>
          </w:tcPr>
          <w:p w14:paraId="69C2FE4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A14E9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F50F98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081A7DB"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911410B" w14:textId="77777777" w:rsidR="00000000" w:rsidRDefault="00632532">
            <w:pPr>
              <w:pStyle w:val="a3"/>
              <w:spacing w:before="0" w:beforeAutospacing="0" w:after="0" w:afterAutospacing="0"/>
              <w:rPr>
                <w:sz w:val="20"/>
                <w:szCs w:val="20"/>
              </w:rPr>
            </w:pPr>
            <w:r>
              <w:rPr>
                <w:sz w:val="20"/>
                <w:szCs w:val="20"/>
              </w:rPr>
              <w:t> </w:t>
            </w:r>
          </w:p>
        </w:tc>
      </w:tr>
      <w:tr w:rsidR="00000000" w14:paraId="308B1E21" w14:textId="77777777">
        <w:trPr>
          <w:divId w:val="943609218"/>
          <w:trHeight w:val="200"/>
          <w:tblCellSpacing w:w="15" w:type="dxa"/>
        </w:trPr>
        <w:tc>
          <w:tcPr>
            <w:tcW w:w="0" w:type="auto"/>
            <w:vAlign w:val="bottom"/>
            <w:hideMark/>
          </w:tcPr>
          <w:p w14:paraId="30F0CE1F" w14:textId="77777777" w:rsidR="00000000" w:rsidRDefault="00632532">
            <w:pPr>
              <w:pStyle w:val="a3"/>
              <w:spacing w:before="0" w:beforeAutospacing="0" w:after="0" w:afterAutospacing="0"/>
              <w:ind w:left="200"/>
              <w:rPr>
                <w:sz w:val="20"/>
                <w:szCs w:val="20"/>
              </w:rPr>
            </w:pPr>
            <w:r>
              <w:rPr>
                <w:sz w:val="20"/>
                <w:szCs w:val="20"/>
              </w:rPr>
              <w:t>Corporate debt securitie</w:t>
            </w:r>
            <w:r>
              <w:rPr>
                <w:sz w:val="20"/>
                <w:szCs w:val="20"/>
              </w:rPr>
              <w:t>s</w:t>
            </w:r>
          </w:p>
        </w:tc>
        <w:tc>
          <w:tcPr>
            <w:tcW w:w="0" w:type="auto"/>
            <w:noWrap/>
            <w:vAlign w:val="bottom"/>
            <w:hideMark/>
          </w:tcPr>
          <w:p w14:paraId="212051C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EF1DCE" w14:textId="77777777" w:rsidR="00000000" w:rsidRDefault="00632532">
            <w:pPr>
              <w:pStyle w:val="a3"/>
              <w:spacing w:before="0" w:beforeAutospacing="0" w:after="0" w:afterAutospacing="0"/>
              <w:jc w:val="right"/>
              <w:rPr>
                <w:sz w:val="20"/>
                <w:szCs w:val="20"/>
              </w:rPr>
            </w:pPr>
            <w:r>
              <w:rPr>
                <w:sz w:val="20"/>
                <w:szCs w:val="20"/>
              </w:rPr>
              <w:t>257,71</w:t>
            </w:r>
            <w:r>
              <w:rPr>
                <w:sz w:val="20"/>
                <w:szCs w:val="20"/>
              </w:rPr>
              <w:t>6</w:t>
            </w:r>
          </w:p>
        </w:tc>
        <w:tc>
          <w:tcPr>
            <w:tcW w:w="0" w:type="auto"/>
            <w:noWrap/>
            <w:vAlign w:val="bottom"/>
            <w:hideMark/>
          </w:tcPr>
          <w:p w14:paraId="43575D1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99B6C4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A951A9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28C015"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75DC13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C94D4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FA6FDA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5DCD7B" w14:textId="77777777" w:rsidR="00000000" w:rsidRDefault="00632532">
            <w:pPr>
              <w:pStyle w:val="a3"/>
              <w:spacing w:before="0" w:beforeAutospacing="0" w:after="0" w:afterAutospacing="0"/>
              <w:jc w:val="right"/>
              <w:rPr>
                <w:sz w:val="20"/>
                <w:szCs w:val="20"/>
              </w:rPr>
            </w:pPr>
            <w:r>
              <w:rPr>
                <w:sz w:val="20"/>
                <w:szCs w:val="20"/>
              </w:rPr>
              <w:t>257,71</w:t>
            </w:r>
            <w:r>
              <w:rPr>
                <w:sz w:val="20"/>
                <w:szCs w:val="20"/>
              </w:rPr>
              <w:t>6</w:t>
            </w:r>
          </w:p>
        </w:tc>
        <w:tc>
          <w:tcPr>
            <w:tcW w:w="0" w:type="auto"/>
            <w:noWrap/>
            <w:vAlign w:val="bottom"/>
            <w:hideMark/>
          </w:tcPr>
          <w:p w14:paraId="3DA0AB0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7CEAA2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E6255E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85B664"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DB2D465" w14:textId="77777777" w:rsidR="00000000" w:rsidRDefault="00632532">
            <w:pPr>
              <w:pStyle w:val="a3"/>
              <w:spacing w:before="0" w:beforeAutospacing="0" w:after="0" w:afterAutospacing="0"/>
              <w:rPr>
                <w:sz w:val="20"/>
                <w:szCs w:val="20"/>
              </w:rPr>
            </w:pPr>
            <w:r>
              <w:rPr>
                <w:sz w:val="20"/>
                <w:szCs w:val="20"/>
              </w:rPr>
              <w:t> </w:t>
            </w:r>
          </w:p>
        </w:tc>
      </w:tr>
      <w:tr w:rsidR="00000000" w14:paraId="555DBAD6" w14:textId="77777777">
        <w:trPr>
          <w:divId w:val="943609218"/>
          <w:trHeight w:val="200"/>
          <w:tblCellSpacing w:w="15" w:type="dxa"/>
        </w:trPr>
        <w:tc>
          <w:tcPr>
            <w:tcW w:w="0" w:type="auto"/>
            <w:vAlign w:val="bottom"/>
            <w:hideMark/>
          </w:tcPr>
          <w:p w14:paraId="640F9FFE" w14:textId="77777777" w:rsidR="00000000" w:rsidRDefault="00632532">
            <w:pPr>
              <w:pStyle w:val="a3"/>
              <w:spacing w:before="0" w:beforeAutospacing="0" w:after="0" w:afterAutospacing="0"/>
              <w:ind w:left="200"/>
              <w:rPr>
                <w:sz w:val="20"/>
                <w:szCs w:val="20"/>
              </w:rPr>
            </w:pPr>
            <w:r>
              <w:rPr>
                <w:sz w:val="20"/>
                <w:szCs w:val="20"/>
              </w:rPr>
              <w:t>U.S. agency debt securitie</w:t>
            </w:r>
            <w:r>
              <w:rPr>
                <w:sz w:val="20"/>
                <w:szCs w:val="20"/>
              </w:rPr>
              <w:t>s</w:t>
            </w:r>
          </w:p>
        </w:tc>
        <w:tc>
          <w:tcPr>
            <w:tcW w:w="0" w:type="auto"/>
            <w:noWrap/>
            <w:vAlign w:val="bottom"/>
            <w:hideMark/>
          </w:tcPr>
          <w:p w14:paraId="4679C27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263E59" w14:textId="77777777" w:rsidR="00000000" w:rsidRDefault="00632532">
            <w:pPr>
              <w:pStyle w:val="a3"/>
              <w:spacing w:before="0" w:beforeAutospacing="0" w:after="0" w:afterAutospacing="0"/>
              <w:jc w:val="right"/>
              <w:rPr>
                <w:sz w:val="20"/>
                <w:szCs w:val="20"/>
              </w:rPr>
            </w:pPr>
            <w:r>
              <w:rPr>
                <w:sz w:val="20"/>
                <w:szCs w:val="20"/>
              </w:rPr>
              <w:t>81,83</w:t>
            </w:r>
            <w:r>
              <w:rPr>
                <w:sz w:val="20"/>
                <w:szCs w:val="20"/>
              </w:rPr>
              <w:t>2</w:t>
            </w:r>
          </w:p>
        </w:tc>
        <w:tc>
          <w:tcPr>
            <w:tcW w:w="0" w:type="auto"/>
            <w:noWrap/>
            <w:vAlign w:val="bottom"/>
            <w:hideMark/>
          </w:tcPr>
          <w:p w14:paraId="7E32C47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CA88EF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981129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B3E123"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6AD0B5D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3DD90F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60F17B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C0CB179" w14:textId="77777777" w:rsidR="00000000" w:rsidRDefault="00632532">
            <w:pPr>
              <w:pStyle w:val="a3"/>
              <w:spacing w:before="0" w:beforeAutospacing="0" w:after="0" w:afterAutospacing="0"/>
              <w:jc w:val="right"/>
              <w:rPr>
                <w:sz w:val="20"/>
                <w:szCs w:val="20"/>
              </w:rPr>
            </w:pPr>
            <w:r>
              <w:rPr>
                <w:sz w:val="20"/>
                <w:szCs w:val="20"/>
              </w:rPr>
              <w:t>81,83</w:t>
            </w:r>
            <w:r>
              <w:rPr>
                <w:sz w:val="20"/>
                <w:szCs w:val="20"/>
              </w:rPr>
              <w:t>2</w:t>
            </w:r>
          </w:p>
        </w:tc>
        <w:tc>
          <w:tcPr>
            <w:tcW w:w="0" w:type="auto"/>
            <w:noWrap/>
            <w:vAlign w:val="bottom"/>
            <w:hideMark/>
          </w:tcPr>
          <w:p w14:paraId="1E01566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5DB43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9D8992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5780C7D"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983EE66" w14:textId="77777777" w:rsidR="00000000" w:rsidRDefault="00632532">
            <w:pPr>
              <w:pStyle w:val="a3"/>
              <w:spacing w:before="0" w:beforeAutospacing="0" w:after="0" w:afterAutospacing="0"/>
              <w:rPr>
                <w:sz w:val="20"/>
                <w:szCs w:val="20"/>
              </w:rPr>
            </w:pPr>
            <w:r>
              <w:rPr>
                <w:sz w:val="20"/>
                <w:szCs w:val="20"/>
              </w:rPr>
              <w:t> </w:t>
            </w:r>
          </w:p>
        </w:tc>
      </w:tr>
      <w:tr w:rsidR="00000000" w14:paraId="6A0FB82B" w14:textId="77777777">
        <w:trPr>
          <w:divId w:val="943609218"/>
          <w:trHeight w:val="200"/>
          <w:tblCellSpacing w:w="15" w:type="dxa"/>
        </w:trPr>
        <w:tc>
          <w:tcPr>
            <w:tcW w:w="0" w:type="auto"/>
            <w:vAlign w:val="bottom"/>
            <w:hideMark/>
          </w:tcPr>
          <w:p w14:paraId="07D58048" w14:textId="77777777" w:rsidR="00000000" w:rsidRDefault="00632532">
            <w:pPr>
              <w:pStyle w:val="a3"/>
              <w:spacing w:before="0" w:beforeAutospacing="0" w:after="0" w:afterAutospacing="0"/>
              <w:ind w:left="200"/>
              <w:rPr>
                <w:sz w:val="20"/>
                <w:szCs w:val="20"/>
              </w:rPr>
            </w:pPr>
            <w:r>
              <w:rPr>
                <w:sz w:val="20"/>
                <w:szCs w:val="20"/>
              </w:rPr>
              <w:t>Municipal bond</w:t>
            </w:r>
            <w:r>
              <w:rPr>
                <w:sz w:val="20"/>
                <w:szCs w:val="20"/>
              </w:rPr>
              <w:t>s</w:t>
            </w:r>
          </w:p>
        </w:tc>
        <w:tc>
          <w:tcPr>
            <w:tcW w:w="0" w:type="auto"/>
            <w:noWrap/>
            <w:vAlign w:val="bottom"/>
            <w:hideMark/>
          </w:tcPr>
          <w:p w14:paraId="24A70A2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73D0BED" w14:textId="77777777" w:rsidR="00000000" w:rsidRDefault="00632532">
            <w:pPr>
              <w:pStyle w:val="a3"/>
              <w:spacing w:before="0" w:beforeAutospacing="0" w:after="0" w:afterAutospacing="0"/>
              <w:jc w:val="right"/>
              <w:rPr>
                <w:sz w:val="20"/>
                <w:szCs w:val="20"/>
              </w:rPr>
            </w:pPr>
            <w:r>
              <w:rPr>
                <w:sz w:val="20"/>
                <w:szCs w:val="20"/>
              </w:rPr>
              <w:t>24,06</w:t>
            </w:r>
            <w:r>
              <w:rPr>
                <w:sz w:val="20"/>
                <w:szCs w:val="20"/>
              </w:rPr>
              <w:t>0</w:t>
            </w:r>
          </w:p>
        </w:tc>
        <w:tc>
          <w:tcPr>
            <w:tcW w:w="0" w:type="auto"/>
            <w:noWrap/>
            <w:vAlign w:val="bottom"/>
            <w:hideMark/>
          </w:tcPr>
          <w:p w14:paraId="3BFF5EC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EE511A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4E20C9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F09615C"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15E8C6D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21C7D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0FCDF8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018C02C" w14:textId="77777777" w:rsidR="00000000" w:rsidRDefault="00632532">
            <w:pPr>
              <w:pStyle w:val="a3"/>
              <w:spacing w:before="0" w:beforeAutospacing="0" w:after="0" w:afterAutospacing="0"/>
              <w:jc w:val="right"/>
              <w:rPr>
                <w:sz w:val="20"/>
                <w:szCs w:val="20"/>
              </w:rPr>
            </w:pPr>
            <w:r>
              <w:rPr>
                <w:sz w:val="20"/>
                <w:szCs w:val="20"/>
              </w:rPr>
              <w:t>24,06</w:t>
            </w:r>
            <w:r>
              <w:rPr>
                <w:sz w:val="20"/>
                <w:szCs w:val="20"/>
              </w:rPr>
              <w:t>0</w:t>
            </w:r>
          </w:p>
        </w:tc>
        <w:tc>
          <w:tcPr>
            <w:tcW w:w="0" w:type="auto"/>
            <w:noWrap/>
            <w:vAlign w:val="bottom"/>
            <w:hideMark/>
          </w:tcPr>
          <w:p w14:paraId="6091284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C42DC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01BEA6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FD42F7"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3FF092D" w14:textId="77777777" w:rsidR="00000000" w:rsidRDefault="00632532">
            <w:pPr>
              <w:pStyle w:val="a3"/>
              <w:spacing w:before="0" w:beforeAutospacing="0" w:after="0" w:afterAutospacing="0"/>
              <w:rPr>
                <w:sz w:val="20"/>
                <w:szCs w:val="20"/>
              </w:rPr>
            </w:pPr>
            <w:r>
              <w:rPr>
                <w:sz w:val="20"/>
                <w:szCs w:val="20"/>
              </w:rPr>
              <w:t> </w:t>
            </w:r>
          </w:p>
        </w:tc>
      </w:tr>
      <w:tr w:rsidR="00000000" w14:paraId="2553EA5E" w14:textId="77777777">
        <w:trPr>
          <w:divId w:val="943609218"/>
          <w:trHeight w:val="200"/>
          <w:tblCellSpacing w:w="15" w:type="dxa"/>
        </w:trPr>
        <w:tc>
          <w:tcPr>
            <w:tcW w:w="0" w:type="auto"/>
            <w:vAlign w:val="bottom"/>
            <w:hideMark/>
          </w:tcPr>
          <w:p w14:paraId="78194BFE" w14:textId="77777777" w:rsidR="00000000" w:rsidRDefault="00632532">
            <w:pPr>
              <w:pStyle w:val="a3"/>
              <w:spacing w:before="0" w:beforeAutospacing="0" w:after="0" w:afterAutospacing="0"/>
              <w:ind w:left="200"/>
              <w:rPr>
                <w:sz w:val="20"/>
                <w:szCs w:val="20"/>
              </w:rPr>
            </w:pPr>
            <w:r>
              <w:rPr>
                <w:sz w:val="20"/>
                <w:szCs w:val="20"/>
              </w:rPr>
              <w:t>Yankee debt securitie</w:t>
            </w:r>
            <w:r>
              <w:rPr>
                <w:sz w:val="20"/>
                <w:szCs w:val="20"/>
              </w:rPr>
              <w:t>s</w:t>
            </w:r>
          </w:p>
        </w:tc>
        <w:tc>
          <w:tcPr>
            <w:tcW w:w="0" w:type="auto"/>
            <w:noWrap/>
            <w:vAlign w:val="bottom"/>
            <w:hideMark/>
          </w:tcPr>
          <w:p w14:paraId="7D85519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974971" w14:textId="77777777" w:rsidR="00000000" w:rsidRDefault="00632532">
            <w:pPr>
              <w:pStyle w:val="a3"/>
              <w:spacing w:before="0" w:beforeAutospacing="0" w:after="0" w:afterAutospacing="0"/>
              <w:jc w:val="right"/>
              <w:rPr>
                <w:sz w:val="20"/>
                <w:szCs w:val="20"/>
              </w:rPr>
            </w:pPr>
            <w:r>
              <w:rPr>
                <w:sz w:val="20"/>
                <w:szCs w:val="20"/>
              </w:rPr>
              <w:t>11,80</w:t>
            </w:r>
            <w:r>
              <w:rPr>
                <w:sz w:val="20"/>
                <w:szCs w:val="20"/>
              </w:rPr>
              <w:t>1</w:t>
            </w:r>
          </w:p>
        </w:tc>
        <w:tc>
          <w:tcPr>
            <w:tcW w:w="0" w:type="auto"/>
            <w:noWrap/>
            <w:vAlign w:val="bottom"/>
            <w:hideMark/>
          </w:tcPr>
          <w:p w14:paraId="0CE97A8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0F287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4916F9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A7303F1"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96B19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C5F07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0A722E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6F1F22C" w14:textId="77777777" w:rsidR="00000000" w:rsidRDefault="00632532">
            <w:pPr>
              <w:pStyle w:val="a3"/>
              <w:spacing w:before="0" w:beforeAutospacing="0" w:after="0" w:afterAutospacing="0"/>
              <w:jc w:val="right"/>
              <w:rPr>
                <w:sz w:val="20"/>
                <w:szCs w:val="20"/>
              </w:rPr>
            </w:pPr>
            <w:r>
              <w:rPr>
                <w:sz w:val="20"/>
                <w:szCs w:val="20"/>
              </w:rPr>
              <w:t>11,80</w:t>
            </w:r>
            <w:r>
              <w:rPr>
                <w:sz w:val="20"/>
                <w:szCs w:val="20"/>
              </w:rPr>
              <w:t>1</w:t>
            </w:r>
          </w:p>
        </w:tc>
        <w:tc>
          <w:tcPr>
            <w:tcW w:w="0" w:type="auto"/>
            <w:noWrap/>
            <w:vAlign w:val="bottom"/>
            <w:hideMark/>
          </w:tcPr>
          <w:p w14:paraId="2AE4530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45339F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7E3437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4A0B537"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6454D3F2" w14:textId="77777777" w:rsidR="00000000" w:rsidRDefault="00632532">
            <w:pPr>
              <w:pStyle w:val="a3"/>
              <w:spacing w:before="0" w:beforeAutospacing="0" w:after="0" w:afterAutospacing="0"/>
              <w:rPr>
                <w:sz w:val="20"/>
                <w:szCs w:val="20"/>
              </w:rPr>
            </w:pPr>
            <w:r>
              <w:rPr>
                <w:sz w:val="20"/>
                <w:szCs w:val="20"/>
              </w:rPr>
              <w:t> </w:t>
            </w:r>
          </w:p>
        </w:tc>
      </w:tr>
      <w:tr w:rsidR="00000000" w14:paraId="4DE88FDD" w14:textId="77777777">
        <w:trPr>
          <w:divId w:val="943609218"/>
          <w:trHeight w:val="200"/>
          <w:tblCellSpacing w:w="15" w:type="dxa"/>
        </w:trPr>
        <w:tc>
          <w:tcPr>
            <w:tcW w:w="0" w:type="auto"/>
            <w:vAlign w:val="bottom"/>
            <w:hideMark/>
          </w:tcPr>
          <w:p w14:paraId="1F52F0DE" w14:textId="77777777" w:rsidR="00000000" w:rsidRDefault="00632532">
            <w:pPr>
              <w:pStyle w:val="a3"/>
              <w:spacing w:before="0" w:beforeAutospacing="0" w:after="0" w:afterAutospacing="0"/>
              <w:ind w:left="200"/>
              <w:rPr>
                <w:sz w:val="20"/>
                <w:szCs w:val="20"/>
              </w:rPr>
            </w:pPr>
            <w:r>
              <w:rPr>
                <w:sz w:val="20"/>
                <w:szCs w:val="20"/>
              </w:rPr>
              <w:t>U.S. treasury bill</w:t>
            </w:r>
            <w:r>
              <w:rPr>
                <w:sz w:val="20"/>
                <w:szCs w:val="20"/>
              </w:rPr>
              <w:t>s</w:t>
            </w:r>
          </w:p>
        </w:tc>
        <w:tc>
          <w:tcPr>
            <w:tcW w:w="0" w:type="auto"/>
            <w:noWrap/>
            <w:vAlign w:val="bottom"/>
            <w:hideMark/>
          </w:tcPr>
          <w:p w14:paraId="4BEF2A8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3F2129" w14:textId="77777777" w:rsidR="00000000" w:rsidRDefault="00632532">
            <w:pPr>
              <w:pStyle w:val="a3"/>
              <w:spacing w:before="0" w:beforeAutospacing="0" w:after="0" w:afterAutospacing="0"/>
              <w:jc w:val="right"/>
              <w:rPr>
                <w:sz w:val="20"/>
                <w:szCs w:val="20"/>
              </w:rPr>
            </w:pPr>
            <w:r>
              <w:rPr>
                <w:sz w:val="20"/>
                <w:szCs w:val="20"/>
              </w:rPr>
              <w:t>59,26</w:t>
            </w:r>
            <w:r>
              <w:rPr>
                <w:sz w:val="20"/>
                <w:szCs w:val="20"/>
              </w:rPr>
              <w:t>1</w:t>
            </w:r>
          </w:p>
        </w:tc>
        <w:tc>
          <w:tcPr>
            <w:tcW w:w="0" w:type="auto"/>
            <w:noWrap/>
            <w:vAlign w:val="bottom"/>
            <w:hideMark/>
          </w:tcPr>
          <w:p w14:paraId="5DE7EA8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51C0AB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FD3DCA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DC3F7A3" w14:textId="77777777" w:rsidR="00000000" w:rsidRDefault="00632532">
            <w:pPr>
              <w:pStyle w:val="a3"/>
              <w:spacing w:before="0" w:beforeAutospacing="0" w:after="0" w:afterAutospacing="0"/>
              <w:jc w:val="right"/>
              <w:rPr>
                <w:sz w:val="20"/>
                <w:szCs w:val="20"/>
              </w:rPr>
            </w:pPr>
            <w:r>
              <w:rPr>
                <w:sz w:val="20"/>
                <w:szCs w:val="20"/>
              </w:rPr>
              <w:t>59,26</w:t>
            </w:r>
            <w:r>
              <w:rPr>
                <w:sz w:val="20"/>
                <w:szCs w:val="20"/>
              </w:rPr>
              <w:t>1</w:t>
            </w:r>
          </w:p>
        </w:tc>
        <w:tc>
          <w:tcPr>
            <w:tcW w:w="0" w:type="auto"/>
            <w:noWrap/>
            <w:vAlign w:val="bottom"/>
            <w:hideMark/>
          </w:tcPr>
          <w:p w14:paraId="21FFF85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3E5F59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80ABA1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917B97"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1E3F200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BC940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B8757B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3DB1EB"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3DF706B" w14:textId="77777777" w:rsidR="00000000" w:rsidRDefault="00632532">
            <w:pPr>
              <w:pStyle w:val="a3"/>
              <w:spacing w:before="0" w:beforeAutospacing="0" w:after="0" w:afterAutospacing="0"/>
              <w:rPr>
                <w:sz w:val="20"/>
                <w:szCs w:val="20"/>
              </w:rPr>
            </w:pPr>
            <w:r>
              <w:rPr>
                <w:sz w:val="20"/>
                <w:szCs w:val="20"/>
              </w:rPr>
              <w:t> </w:t>
            </w:r>
          </w:p>
        </w:tc>
      </w:tr>
      <w:tr w:rsidR="00000000" w14:paraId="6D983EB0" w14:textId="77777777">
        <w:trPr>
          <w:divId w:val="943609218"/>
          <w:trHeight w:val="200"/>
          <w:tblCellSpacing w:w="15" w:type="dxa"/>
        </w:trPr>
        <w:tc>
          <w:tcPr>
            <w:tcW w:w="0" w:type="auto"/>
            <w:vAlign w:val="bottom"/>
            <w:hideMark/>
          </w:tcPr>
          <w:p w14:paraId="6DE3E6B3" w14:textId="77777777" w:rsidR="00000000" w:rsidRDefault="00632532">
            <w:pPr>
              <w:pStyle w:val="a3"/>
              <w:spacing w:before="0" w:beforeAutospacing="0" w:after="0" w:afterAutospacing="0"/>
              <w:ind w:left="200"/>
              <w:rPr>
                <w:sz w:val="20"/>
                <w:szCs w:val="20"/>
              </w:rPr>
            </w:pPr>
            <w:r>
              <w:rPr>
                <w:sz w:val="20"/>
                <w:szCs w:val="20"/>
              </w:rPr>
              <w:t>Money market account</w:t>
            </w:r>
            <w:r>
              <w:rPr>
                <w:sz w:val="20"/>
                <w:szCs w:val="20"/>
              </w:rPr>
              <w:t>s</w:t>
            </w:r>
          </w:p>
        </w:tc>
        <w:tc>
          <w:tcPr>
            <w:tcW w:w="0" w:type="auto"/>
            <w:noWrap/>
            <w:vAlign w:val="bottom"/>
            <w:hideMark/>
          </w:tcPr>
          <w:p w14:paraId="5B1663E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5046187" w14:textId="77777777" w:rsidR="00000000" w:rsidRDefault="00632532">
            <w:pPr>
              <w:pStyle w:val="a3"/>
              <w:spacing w:before="0" w:beforeAutospacing="0" w:after="0" w:afterAutospacing="0"/>
              <w:jc w:val="right"/>
              <w:rPr>
                <w:sz w:val="20"/>
                <w:szCs w:val="20"/>
              </w:rPr>
            </w:pPr>
            <w:r>
              <w:rPr>
                <w:sz w:val="20"/>
                <w:szCs w:val="20"/>
              </w:rPr>
              <w:t>44,20</w:t>
            </w:r>
            <w:r>
              <w:rPr>
                <w:sz w:val="20"/>
                <w:szCs w:val="20"/>
              </w:rPr>
              <w:t>9</w:t>
            </w:r>
          </w:p>
        </w:tc>
        <w:tc>
          <w:tcPr>
            <w:tcW w:w="0" w:type="auto"/>
            <w:noWrap/>
            <w:vAlign w:val="bottom"/>
            <w:hideMark/>
          </w:tcPr>
          <w:p w14:paraId="141E372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635EAF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D83065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6978CA0" w14:textId="77777777" w:rsidR="00000000" w:rsidRDefault="00632532">
            <w:pPr>
              <w:pStyle w:val="a3"/>
              <w:spacing w:before="0" w:beforeAutospacing="0" w:after="0" w:afterAutospacing="0"/>
              <w:jc w:val="right"/>
              <w:rPr>
                <w:sz w:val="20"/>
                <w:szCs w:val="20"/>
              </w:rPr>
            </w:pPr>
            <w:r>
              <w:rPr>
                <w:sz w:val="20"/>
                <w:szCs w:val="20"/>
              </w:rPr>
              <w:t>44,20</w:t>
            </w:r>
            <w:r>
              <w:rPr>
                <w:sz w:val="20"/>
                <w:szCs w:val="20"/>
              </w:rPr>
              <w:t>9</w:t>
            </w:r>
          </w:p>
        </w:tc>
        <w:tc>
          <w:tcPr>
            <w:tcW w:w="0" w:type="auto"/>
            <w:noWrap/>
            <w:vAlign w:val="bottom"/>
            <w:hideMark/>
          </w:tcPr>
          <w:p w14:paraId="5EFABF7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4906DA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3CAB02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D57D65"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6387DB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03C5A4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661475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FAA8C0"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728A6E9" w14:textId="77777777" w:rsidR="00000000" w:rsidRDefault="00632532">
            <w:pPr>
              <w:pStyle w:val="a3"/>
              <w:spacing w:before="0" w:beforeAutospacing="0" w:after="0" w:afterAutospacing="0"/>
              <w:rPr>
                <w:sz w:val="20"/>
                <w:szCs w:val="20"/>
              </w:rPr>
            </w:pPr>
            <w:r>
              <w:rPr>
                <w:sz w:val="20"/>
                <w:szCs w:val="20"/>
              </w:rPr>
              <w:t> </w:t>
            </w:r>
          </w:p>
        </w:tc>
      </w:tr>
      <w:tr w:rsidR="00000000" w14:paraId="70EABA11" w14:textId="77777777">
        <w:trPr>
          <w:divId w:val="943609218"/>
          <w:trHeight w:val="200"/>
          <w:tblCellSpacing w:w="15" w:type="dxa"/>
        </w:trPr>
        <w:tc>
          <w:tcPr>
            <w:tcW w:w="0" w:type="auto"/>
            <w:vAlign w:val="bottom"/>
            <w:hideMark/>
          </w:tcPr>
          <w:p w14:paraId="04A9E47F" w14:textId="77777777" w:rsidR="00000000" w:rsidRDefault="00632532">
            <w:pPr>
              <w:pStyle w:val="a3"/>
              <w:spacing w:before="0" w:beforeAutospacing="0" w:after="0" w:afterAutospacing="0"/>
              <w:ind w:left="200"/>
              <w:rPr>
                <w:sz w:val="20"/>
                <w:szCs w:val="20"/>
              </w:rPr>
            </w:pPr>
            <w:r>
              <w:rPr>
                <w:sz w:val="20"/>
                <w:szCs w:val="20"/>
              </w:rPr>
              <w:t>Redeemable preferred stock investmen</w:t>
            </w:r>
            <w:r>
              <w:rPr>
                <w:sz w:val="20"/>
                <w:szCs w:val="20"/>
              </w:rPr>
              <w:t>t</w:t>
            </w:r>
          </w:p>
        </w:tc>
        <w:tc>
          <w:tcPr>
            <w:tcW w:w="0" w:type="auto"/>
            <w:noWrap/>
            <w:vAlign w:val="bottom"/>
            <w:hideMark/>
          </w:tcPr>
          <w:p w14:paraId="04AF87A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CF4996A" w14:textId="77777777" w:rsidR="00000000" w:rsidRDefault="00632532">
            <w:pPr>
              <w:pStyle w:val="a3"/>
              <w:spacing w:before="0" w:beforeAutospacing="0" w:after="0" w:afterAutospacing="0"/>
              <w:jc w:val="right"/>
              <w:rPr>
                <w:sz w:val="20"/>
                <w:szCs w:val="20"/>
              </w:rPr>
            </w:pPr>
            <w:r>
              <w:rPr>
                <w:sz w:val="20"/>
                <w:szCs w:val="20"/>
              </w:rPr>
              <w:t>11,98</w:t>
            </w:r>
            <w:r>
              <w:rPr>
                <w:sz w:val="20"/>
                <w:szCs w:val="20"/>
              </w:rPr>
              <w:t>1</w:t>
            </w:r>
          </w:p>
        </w:tc>
        <w:tc>
          <w:tcPr>
            <w:tcW w:w="0" w:type="auto"/>
            <w:noWrap/>
            <w:vAlign w:val="bottom"/>
            <w:hideMark/>
          </w:tcPr>
          <w:p w14:paraId="2EAE5FB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29B7C2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1F78BC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0B98159"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7A3EE1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6F1385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F0AB7C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39D950"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B52A17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0A009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6C4918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0F62CD" w14:textId="77777777" w:rsidR="00000000" w:rsidRDefault="00632532">
            <w:pPr>
              <w:pStyle w:val="a3"/>
              <w:spacing w:before="0" w:beforeAutospacing="0" w:after="0" w:afterAutospacing="0"/>
              <w:jc w:val="right"/>
              <w:rPr>
                <w:sz w:val="20"/>
                <w:szCs w:val="20"/>
              </w:rPr>
            </w:pPr>
            <w:r>
              <w:rPr>
                <w:sz w:val="20"/>
                <w:szCs w:val="20"/>
              </w:rPr>
              <w:t>11,98</w:t>
            </w:r>
            <w:r>
              <w:rPr>
                <w:sz w:val="20"/>
                <w:szCs w:val="20"/>
              </w:rPr>
              <w:t>1</w:t>
            </w:r>
          </w:p>
        </w:tc>
        <w:tc>
          <w:tcPr>
            <w:tcW w:w="0" w:type="auto"/>
            <w:noWrap/>
            <w:vAlign w:val="bottom"/>
            <w:hideMark/>
          </w:tcPr>
          <w:p w14:paraId="7F4E10E2" w14:textId="77777777" w:rsidR="00000000" w:rsidRDefault="00632532">
            <w:pPr>
              <w:pStyle w:val="a3"/>
              <w:spacing w:before="0" w:beforeAutospacing="0" w:after="0" w:afterAutospacing="0"/>
              <w:rPr>
                <w:sz w:val="20"/>
                <w:szCs w:val="20"/>
              </w:rPr>
            </w:pPr>
            <w:r>
              <w:rPr>
                <w:sz w:val="20"/>
                <w:szCs w:val="20"/>
              </w:rPr>
              <w:t> </w:t>
            </w:r>
          </w:p>
        </w:tc>
      </w:tr>
      <w:tr w:rsidR="00000000" w14:paraId="20A61279" w14:textId="77777777">
        <w:trPr>
          <w:divId w:val="943609218"/>
          <w:trHeight w:val="200"/>
          <w:tblCellSpacing w:w="15" w:type="dxa"/>
        </w:trPr>
        <w:tc>
          <w:tcPr>
            <w:tcW w:w="0" w:type="auto"/>
            <w:vAlign w:val="bottom"/>
            <w:hideMark/>
          </w:tcPr>
          <w:p w14:paraId="77F103B3" w14:textId="77777777" w:rsidR="00000000" w:rsidRDefault="00632532">
            <w:pPr>
              <w:pStyle w:val="a3"/>
              <w:spacing w:before="0" w:beforeAutospacing="0" w:after="0" w:afterAutospacing="0"/>
              <w:ind w:left="400"/>
              <w:rPr>
                <w:sz w:val="20"/>
                <w:szCs w:val="20"/>
              </w:rPr>
            </w:pPr>
            <w:r>
              <w:rPr>
                <w:sz w:val="20"/>
                <w:szCs w:val="20"/>
              </w:rPr>
              <w:t>Total equity securities, debt securities and cash equivalent</w:t>
            </w:r>
            <w:r>
              <w:rPr>
                <w:sz w:val="20"/>
                <w:szCs w:val="20"/>
              </w:rPr>
              <w:t>s</w:t>
            </w:r>
          </w:p>
        </w:tc>
        <w:tc>
          <w:tcPr>
            <w:tcW w:w="0" w:type="auto"/>
            <w:noWrap/>
            <w:vAlign w:val="bottom"/>
            <w:hideMark/>
          </w:tcPr>
          <w:p w14:paraId="7427EF0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B09A2E7" w14:textId="77777777" w:rsidR="00000000" w:rsidRDefault="00632532">
            <w:pPr>
              <w:pStyle w:val="a3"/>
              <w:spacing w:before="0" w:beforeAutospacing="0" w:after="0" w:afterAutospacing="0"/>
              <w:jc w:val="right"/>
              <w:rPr>
                <w:sz w:val="20"/>
                <w:szCs w:val="20"/>
              </w:rPr>
            </w:pPr>
            <w:r>
              <w:rPr>
                <w:sz w:val="20"/>
                <w:szCs w:val="20"/>
              </w:rPr>
              <w:t>863,43</w:t>
            </w:r>
            <w:r>
              <w:rPr>
                <w:sz w:val="20"/>
                <w:szCs w:val="20"/>
              </w:rPr>
              <w:t>3</w:t>
            </w:r>
          </w:p>
        </w:tc>
        <w:tc>
          <w:tcPr>
            <w:tcW w:w="0" w:type="auto"/>
            <w:noWrap/>
            <w:vAlign w:val="bottom"/>
            <w:hideMark/>
          </w:tcPr>
          <w:p w14:paraId="7BBB5D2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DF13D7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AD0D7B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8F0C2F4" w14:textId="77777777" w:rsidR="00000000" w:rsidRDefault="00632532">
            <w:pPr>
              <w:pStyle w:val="a3"/>
              <w:spacing w:before="0" w:beforeAutospacing="0" w:after="0" w:afterAutospacing="0"/>
              <w:jc w:val="right"/>
              <w:rPr>
                <w:sz w:val="20"/>
                <w:szCs w:val="20"/>
              </w:rPr>
            </w:pPr>
            <w:r>
              <w:rPr>
                <w:sz w:val="20"/>
                <w:szCs w:val="20"/>
              </w:rPr>
              <w:t>103,47</w:t>
            </w:r>
            <w:r>
              <w:rPr>
                <w:sz w:val="20"/>
                <w:szCs w:val="20"/>
              </w:rPr>
              <w:t>0</w:t>
            </w:r>
          </w:p>
        </w:tc>
        <w:tc>
          <w:tcPr>
            <w:tcW w:w="0" w:type="auto"/>
            <w:noWrap/>
            <w:vAlign w:val="bottom"/>
            <w:hideMark/>
          </w:tcPr>
          <w:p w14:paraId="1773CFF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0FD77C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6E96A6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3A3F271" w14:textId="77777777" w:rsidR="00000000" w:rsidRDefault="00632532">
            <w:pPr>
              <w:pStyle w:val="a3"/>
              <w:spacing w:before="0" w:beforeAutospacing="0" w:after="0" w:afterAutospacing="0"/>
              <w:jc w:val="right"/>
              <w:rPr>
                <w:sz w:val="20"/>
                <w:szCs w:val="20"/>
              </w:rPr>
            </w:pPr>
            <w:r>
              <w:rPr>
                <w:sz w:val="20"/>
                <w:szCs w:val="20"/>
              </w:rPr>
              <w:t>732,98</w:t>
            </w:r>
            <w:r>
              <w:rPr>
                <w:sz w:val="20"/>
                <w:szCs w:val="20"/>
              </w:rPr>
              <w:t>2</w:t>
            </w:r>
          </w:p>
        </w:tc>
        <w:tc>
          <w:tcPr>
            <w:tcW w:w="0" w:type="auto"/>
            <w:noWrap/>
            <w:vAlign w:val="bottom"/>
            <w:hideMark/>
          </w:tcPr>
          <w:p w14:paraId="2398D10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97328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B799DF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3ACCB91" w14:textId="77777777" w:rsidR="00000000" w:rsidRDefault="00632532">
            <w:pPr>
              <w:pStyle w:val="a3"/>
              <w:spacing w:before="0" w:beforeAutospacing="0" w:after="0" w:afterAutospacing="0"/>
              <w:jc w:val="right"/>
              <w:rPr>
                <w:sz w:val="20"/>
                <w:szCs w:val="20"/>
              </w:rPr>
            </w:pPr>
            <w:r>
              <w:rPr>
                <w:sz w:val="20"/>
                <w:szCs w:val="20"/>
              </w:rPr>
              <w:t>26,98</w:t>
            </w:r>
            <w:r>
              <w:rPr>
                <w:sz w:val="20"/>
                <w:szCs w:val="20"/>
              </w:rPr>
              <w:t>1</w:t>
            </w:r>
          </w:p>
        </w:tc>
        <w:tc>
          <w:tcPr>
            <w:tcW w:w="0" w:type="auto"/>
            <w:noWrap/>
            <w:vAlign w:val="bottom"/>
            <w:hideMark/>
          </w:tcPr>
          <w:p w14:paraId="370A492D" w14:textId="77777777" w:rsidR="00000000" w:rsidRDefault="00632532">
            <w:pPr>
              <w:pStyle w:val="a3"/>
              <w:spacing w:before="0" w:beforeAutospacing="0" w:after="0" w:afterAutospacing="0"/>
              <w:rPr>
                <w:sz w:val="20"/>
                <w:szCs w:val="20"/>
              </w:rPr>
            </w:pPr>
            <w:r>
              <w:rPr>
                <w:sz w:val="20"/>
                <w:szCs w:val="20"/>
              </w:rPr>
              <w:t> </w:t>
            </w:r>
          </w:p>
        </w:tc>
      </w:tr>
    </w:tbl>
    <w:p w14:paraId="1E1F7E9B" w14:textId="77777777" w:rsidR="00000000" w:rsidRDefault="00632532">
      <w:pPr>
        <w:pStyle w:val="a3"/>
        <w:spacing w:before="0" w:beforeAutospacing="0" w:after="0" w:afterAutospacing="0"/>
        <w:divId w:val="94360921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2"/>
        <w:gridCol w:w="160"/>
        <w:gridCol w:w="826"/>
        <w:gridCol w:w="110"/>
        <w:gridCol w:w="112"/>
        <w:gridCol w:w="160"/>
        <w:gridCol w:w="826"/>
        <w:gridCol w:w="110"/>
        <w:gridCol w:w="112"/>
        <w:gridCol w:w="160"/>
        <w:gridCol w:w="971"/>
        <w:gridCol w:w="110"/>
        <w:gridCol w:w="112"/>
        <w:gridCol w:w="160"/>
        <w:gridCol w:w="970"/>
        <w:gridCol w:w="125"/>
      </w:tblGrid>
      <w:tr w:rsidR="00000000" w14:paraId="0114D64F" w14:textId="77777777">
        <w:trPr>
          <w:divId w:val="943609218"/>
          <w:tblCellSpacing w:w="15" w:type="dxa"/>
        </w:trPr>
        <w:tc>
          <w:tcPr>
            <w:tcW w:w="2092" w:type="pct"/>
            <w:vAlign w:val="center"/>
            <w:hideMark/>
          </w:tcPr>
          <w:p w14:paraId="3948C132" w14:textId="77777777" w:rsidR="00000000" w:rsidRDefault="00632532">
            <w:pPr>
              <w:rPr>
                <w:sz w:val="20"/>
                <w:szCs w:val="20"/>
              </w:rPr>
            </w:pPr>
          </w:p>
        </w:tc>
        <w:tc>
          <w:tcPr>
            <w:tcW w:w="50" w:type="pct"/>
            <w:vAlign w:val="center"/>
            <w:hideMark/>
          </w:tcPr>
          <w:p w14:paraId="3728808B" w14:textId="77777777" w:rsidR="00000000" w:rsidRDefault="00632532">
            <w:pPr>
              <w:rPr>
                <w:rFonts w:eastAsia="Times New Roman"/>
                <w:sz w:val="20"/>
                <w:szCs w:val="20"/>
              </w:rPr>
            </w:pPr>
          </w:p>
        </w:tc>
        <w:tc>
          <w:tcPr>
            <w:tcW w:w="527" w:type="pct"/>
            <w:vAlign w:val="center"/>
            <w:hideMark/>
          </w:tcPr>
          <w:p w14:paraId="27D8251F" w14:textId="77777777" w:rsidR="00000000" w:rsidRDefault="00632532">
            <w:pPr>
              <w:rPr>
                <w:rFonts w:eastAsia="Times New Roman"/>
                <w:sz w:val="20"/>
                <w:szCs w:val="20"/>
              </w:rPr>
            </w:pPr>
          </w:p>
        </w:tc>
        <w:tc>
          <w:tcPr>
            <w:tcW w:w="50" w:type="pct"/>
            <w:vAlign w:val="center"/>
            <w:hideMark/>
          </w:tcPr>
          <w:p w14:paraId="2A14DAD3" w14:textId="77777777" w:rsidR="00000000" w:rsidRDefault="00632532">
            <w:pPr>
              <w:rPr>
                <w:rFonts w:eastAsia="Times New Roman"/>
                <w:sz w:val="20"/>
                <w:szCs w:val="20"/>
              </w:rPr>
            </w:pPr>
          </w:p>
        </w:tc>
        <w:tc>
          <w:tcPr>
            <w:tcW w:w="70" w:type="pct"/>
            <w:vAlign w:val="center"/>
            <w:hideMark/>
          </w:tcPr>
          <w:p w14:paraId="7D1B8BD8" w14:textId="77777777" w:rsidR="00000000" w:rsidRDefault="00632532">
            <w:pPr>
              <w:rPr>
                <w:rFonts w:eastAsia="Times New Roman"/>
                <w:sz w:val="20"/>
                <w:szCs w:val="20"/>
              </w:rPr>
            </w:pPr>
          </w:p>
        </w:tc>
        <w:tc>
          <w:tcPr>
            <w:tcW w:w="50" w:type="pct"/>
            <w:vAlign w:val="center"/>
            <w:hideMark/>
          </w:tcPr>
          <w:p w14:paraId="24D0CA57" w14:textId="77777777" w:rsidR="00000000" w:rsidRDefault="00632532">
            <w:pPr>
              <w:rPr>
                <w:rFonts w:eastAsia="Times New Roman"/>
                <w:sz w:val="20"/>
                <w:szCs w:val="20"/>
              </w:rPr>
            </w:pPr>
          </w:p>
        </w:tc>
        <w:tc>
          <w:tcPr>
            <w:tcW w:w="527" w:type="pct"/>
            <w:vAlign w:val="center"/>
            <w:hideMark/>
          </w:tcPr>
          <w:p w14:paraId="78EF4298" w14:textId="77777777" w:rsidR="00000000" w:rsidRDefault="00632532">
            <w:pPr>
              <w:rPr>
                <w:rFonts w:eastAsia="Times New Roman"/>
                <w:sz w:val="20"/>
                <w:szCs w:val="20"/>
              </w:rPr>
            </w:pPr>
          </w:p>
        </w:tc>
        <w:tc>
          <w:tcPr>
            <w:tcW w:w="50" w:type="pct"/>
            <w:vAlign w:val="center"/>
            <w:hideMark/>
          </w:tcPr>
          <w:p w14:paraId="0DDABD01" w14:textId="77777777" w:rsidR="00000000" w:rsidRDefault="00632532">
            <w:pPr>
              <w:rPr>
                <w:rFonts w:eastAsia="Times New Roman"/>
                <w:sz w:val="20"/>
                <w:szCs w:val="20"/>
              </w:rPr>
            </w:pPr>
          </w:p>
        </w:tc>
        <w:tc>
          <w:tcPr>
            <w:tcW w:w="70" w:type="pct"/>
            <w:vAlign w:val="center"/>
            <w:hideMark/>
          </w:tcPr>
          <w:p w14:paraId="1B91858A" w14:textId="77777777" w:rsidR="00000000" w:rsidRDefault="00632532">
            <w:pPr>
              <w:rPr>
                <w:rFonts w:eastAsia="Times New Roman"/>
                <w:sz w:val="20"/>
                <w:szCs w:val="20"/>
              </w:rPr>
            </w:pPr>
          </w:p>
        </w:tc>
        <w:tc>
          <w:tcPr>
            <w:tcW w:w="50" w:type="pct"/>
            <w:vAlign w:val="center"/>
            <w:hideMark/>
          </w:tcPr>
          <w:p w14:paraId="38BCBF1F" w14:textId="77777777" w:rsidR="00000000" w:rsidRDefault="00632532">
            <w:pPr>
              <w:rPr>
                <w:rFonts w:eastAsia="Times New Roman"/>
                <w:sz w:val="20"/>
                <w:szCs w:val="20"/>
              </w:rPr>
            </w:pPr>
          </w:p>
        </w:tc>
        <w:tc>
          <w:tcPr>
            <w:tcW w:w="620" w:type="pct"/>
            <w:vAlign w:val="center"/>
            <w:hideMark/>
          </w:tcPr>
          <w:p w14:paraId="3BFCE6BF" w14:textId="77777777" w:rsidR="00000000" w:rsidRDefault="00632532">
            <w:pPr>
              <w:rPr>
                <w:rFonts w:eastAsia="Times New Roman"/>
                <w:sz w:val="20"/>
                <w:szCs w:val="20"/>
              </w:rPr>
            </w:pPr>
          </w:p>
        </w:tc>
        <w:tc>
          <w:tcPr>
            <w:tcW w:w="50" w:type="pct"/>
            <w:vAlign w:val="center"/>
            <w:hideMark/>
          </w:tcPr>
          <w:p w14:paraId="702D0919" w14:textId="77777777" w:rsidR="00000000" w:rsidRDefault="00632532">
            <w:pPr>
              <w:rPr>
                <w:rFonts w:eastAsia="Times New Roman"/>
                <w:sz w:val="20"/>
                <w:szCs w:val="20"/>
              </w:rPr>
            </w:pPr>
          </w:p>
        </w:tc>
        <w:tc>
          <w:tcPr>
            <w:tcW w:w="70" w:type="pct"/>
            <w:vAlign w:val="center"/>
            <w:hideMark/>
          </w:tcPr>
          <w:p w14:paraId="0AC2EA83" w14:textId="77777777" w:rsidR="00000000" w:rsidRDefault="00632532">
            <w:pPr>
              <w:rPr>
                <w:rFonts w:eastAsia="Times New Roman"/>
                <w:sz w:val="20"/>
                <w:szCs w:val="20"/>
              </w:rPr>
            </w:pPr>
          </w:p>
        </w:tc>
        <w:tc>
          <w:tcPr>
            <w:tcW w:w="50" w:type="pct"/>
            <w:vAlign w:val="center"/>
            <w:hideMark/>
          </w:tcPr>
          <w:p w14:paraId="72AB62C0" w14:textId="77777777" w:rsidR="00000000" w:rsidRDefault="00632532">
            <w:pPr>
              <w:rPr>
                <w:rFonts w:eastAsia="Times New Roman"/>
                <w:sz w:val="20"/>
                <w:szCs w:val="20"/>
              </w:rPr>
            </w:pPr>
          </w:p>
        </w:tc>
        <w:tc>
          <w:tcPr>
            <w:tcW w:w="619" w:type="pct"/>
            <w:vAlign w:val="center"/>
            <w:hideMark/>
          </w:tcPr>
          <w:p w14:paraId="33F864AD" w14:textId="77777777" w:rsidR="00000000" w:rsidRDefault="00632532">
            <w:pPr>
              <w:rPr>
                <w:rFonts w:eastAsia="Times New Roman"/>
                <w:sz w:val="20"/>
                <w:szCs w:val="20"/>
              </w:rPr>
            </w:pPr>
          </w:p>
        </w:tc>
        <w:tc>
          <w:tcPr>
            <w:tcW w:w="50" w:type="pct"/>
            <w:vAlign w:val="center"/>
            <w:hideMark/>
          </w:tcPr>
          <w:p w14:paraId="5B3AFD50" w14:textId="77777777" w:rsidR="00000000" w:rsidRDefault="00632532">
            <w:pPr>
              <w:rPr>
                <w:rFonts w:eastAsia="Times New Roman"/>
                <w:sz w:val="20"/>
                <w:szCs w:val="20"/>
              </w:rPr>
            </w:pPr>
          </w:p>
        </w:tc>
      </w:tr>
      <w:tr w:rsidR="00000000" w14:paraId="336FB2E1" w14:textId="77777777">
        <w:trPr>
          <w:divId w:val="943609218"/>
          <w:trHeight w:val="160"/>
          <w:tblCellSpacing w:w="15" w:type="dxa"/>
        </w:trPr>
        <w:tc>
          <w:tcPr>
            <w:tcW w:w="0" w:type="auto"/>
            <w:vAlign w:val="bottom"/>
            <w:hideMark/>
          </w:tcPr>
          <w:p w14:paraId="176E4BED"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hideMark/>
          </w:tcPr>
          <w:p w14:paraId="7D63718D" w14:textId="77777777" w:rsidR="00000000" w:rsidRDefault="00632532">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hideMark/>
          </w:tcPr>
          <w:p w14:paraId="6B082B3D"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B5F3A8F" w14:textId="77777777">
        <w:trPr>
          <w:divId w:val="943609218"/>
          <w:trHeight w:val="160"/>
          <w:tblCellSpacing w:w="15" w:type="dxa"/>
        </w:trPr>
        <w:tc>
          <w:tcPr>
            <w:tcW w:w="0" w:type="auto"/>
            <w:vAlign w:val="bottom"/>
            <w:hideMark/>
          </w:tcPr>
          <w:p w14:paraId="5F2E34FB"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0AB379D2" w14:textId="77777777" w:rsidR="00000000" w:rsidRDefault="00632532">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14:paraId="225531B3"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96073A6"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441760E" w14:textId="77777777" w:rsidR="00000000" w:rsidRDefault="00632532">
            <w:pPr>
              <w:pStyle w:val="a3"/>
              <w:spacing w:before="0" w:beforeAutospacing="0" w:after="0" w:afterAutospacing="0"/>
              <w:jc w:val="center"/>
              <w:rPr>
                <w:sz w:val="16"/>
                <w:szCs w:val="16"/>
              </w:rPr>
            </w:pPr>
            <w:r>
              <w:rPr>
                <w:b/>
                <w:bCs/>
                <w:sz w:val="16"/>
                <w:szCs w:val="16"/>
              </w:rPr>
              <w:t xml:space="preserve">Level </w:t>
            </w:r>
            <w:r>
              <w:rPr>
                <w:b/>
                <w:bCs/>
                <w:sz w:val="16"/>
                <w:szCs w:val="16"/>
              </w:rPr>
              <w:t>1</w:t>
            </w:r>
          </w:p>
        </w:tc>
        <w:tc>
          <w:tcPr>
            <w:tcW w:w="0" w:type="auto"/>
            <w:vAlign w:val="bottom"/>
            <w:hideMark/>
          </w:tcPr>
          <w:p w14:paraId="1E5ACD4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C810C1C"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DBA4B51" w14:textId="77777777" w:rsidR="00000000" w:rsidRDefault="00632532">
            <w:pPr>
              <w:pStyle w:val="a3"/>
              <w:spacing w:before="0" w:beforeAutospacing="0" w:after="0" w:afterAutospacing="0"/>
              <w:jc w:val="center"/>
              <w:rPr>
                <w:sz w:val="16"/>
                <w:szCs w:val="16"/>
              </w:rPr>
            </w:pPr>
            <w:r>
              <w:rPr>
                <w:b/>
                <w:bCs/>
                <w:sz w:val="16"/>
                <w:szCs w:val="16"/>
              </w:rPr>
              <w:t xml:space="preserve">Level </w:t>
            </w:r>
            <w:r>
              <w:rPr>
                <w:b/>
                <w:bCs/>
                <w:sz w:val="16"/>
                <w:szCs w:val="16"/>
              </w:rPr>
              <w:t>2</w:t>
            </w:r>
          </w:p>
        </w:tc>
        <w:tc>
          <w:tcPr>
            <w:tcW w:w="0" w:type="auto"/>
            <w:vAlign w:val="bottom"/>
            <w:hideMark/>
          </w:tcPr>
          <w:p w14:paraId="0EE81E4C"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9DF021A"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B609DFF" w14:textId="77777777" w:rsidR="00000000" w:rsidRDefault="00632532">
            <w:pPr>
              <w:pStyle w:val="a3"/>
              <w:spacing w:before="0" w:beforeAutospacing="0" w:after="0" w:afterAutospacing="0"/>
              <w:jc w:val="center"/>
              <w:rPr>
                <w:sz w:val="16"/>
                <w:szCs w:val="16"/>
              </w:rPr>
            </w:pPr>
            <w:r>
              <w:rPr>
                <w:b/>
                <w:bCs/>
                <w:sz w:val="16"/>
                <w:szCs w:val="16"/>
              </w:rPr>
              <w:t xml:space="preserve">Level </w:t>
            </w:r>
            <w:r>
              <w:rPr>
                <w:b/>
                <w:bCs/>
                <w:sz w:val="16"/>
                <w:szCs w:val="16"/>
              </w:rPr>
              <w:t>3</w:t>
            </w:r>
          </w:p>
        </w:tc>
        <w:tc>
          <w:tcPr>
            <w:tcW w:w="0" w:type="auto"/>
            <w:vAlign w:val="bottom"/>
            <w:hideMark/>
          </w:tcPr>
          <w:p w14:paraId="449A37E6"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2E76167C" w14:textId="77777777">
        <w:trPr>
          <w:divId w:val="943609218"/>
          <w:trHeight w:val="160"/>
          <w:tblCellSpacing w:w="15" w:type="dxa"/>
        </w:trPr>
        <w:tc>
          <w:tcPr>
            <w:tcW w:w="0" w:type="auto"/>
            <w:vAlign w:val="bottom"/>
            <w:hideMark/>
          </w:tcPr>
          <w:p w14:paraId="3F566F25"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vAlign w:val="bottom"/>
            <w:hideMark/>
          </w:tcPr>
          <w:p w14:paraId="71F2A732"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05051151"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C54F3E7" w14:textId="77777777">
        <w:trPr>
          <w:divId w:val="943609218"/>
          <w:trHeight w:val="200"/>
          <w:tblCellSpacing w:w="15" w:type="dxa"/>
        </w:trPr>
        <w:tc>
          <w:tcPr>
            <w:tcW w:w="0" w:type="auto"/>
            <w:vAlign w:val="bottom"/>
            <w:hideMark/>
          </w:tcPr>
          <w:p w14:paraId="03496685" w14:textId="77777777" w:rsidR="00000000" w:rsidRDefault="00632532">
            <w:pPr>
              <w:pStyle w:val="a3"/>
              <w:spacing w:before="0" w:beforeAutospacing="0" w:after="0" w:afterAutospacing="0"/>
              <w:rPr>
                <w:sz w:val="20"/>
                <w:szCs w:val="20"/>
              </w:rPr>
            </w:pPr>
            <w:r>
              <w:rPr>
                <w:b/>
                <w:bCs/>
                <w:sz w:val="20"/>
                <w:szCs w:val="20"/>
              </w:rPr>
              <w:t>Equity securities, debt securities and cash equivalents</w:t>
            </w:r>
            <w:r>
              <w:rPr>
                <w:b/>
                <w:bCs/>
                <w:sz w:val="20"/>
                <w:szCs w:val="20"/>
              </w:rPr>
              <w:t>:</w:t>
            </w:r>
          </w:p>
        </w:tc>
        <w:tc>
          <w:tcPr>
            <w:tcW w:w="0" w:type="auto"/>
            <w:gridSpan w:val="2"/>
            <w:vAlign w:val="bottom"/>
            <w:hideMark/>
          </w:tcPr>
          <w:p w14:paraId="31EEBD2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DA796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7029CE"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0007EF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133C8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067B89"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1ABE12A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DD9ED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23EE68"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327DE41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2A55906" w14:textId="77777777" w:rsidR="00000000" w:rsidRDefault="00632532">
            <w:pPr>
              <w:pStyle w:val="a3"/>
              <w:spacing w:before="0" w:beforeAutospacing="0" w:after="0" w:afterAutospacing="0"/>
              <w:rPr>
                <w:sz w:val="20"/>
                <w:szCs w:val="20"/>
              </w:rPr>
            </w:pPr>
            <w:r>
              <w:rPr>
                <w:sz w:val="20"/>
                <w:szCs w:val="20"/>
              </w:rPr>
              <w:t> </w:t>
            </w:r>
          </w:p>
        </w:tc>
      </w:tr>
      <w:tr w:rsidR="00000000" w14:paraId="786E10AF" w14:textId="77777777">
        <w:trPr>
          <w:divId w:val="943609218"/>
          <w:trHeight w:val="200"/>
          <w:tblCellSpacing w:w="15" w:type="dxa"/>
        </w:trPr>
        <w:tc>
          <w:tcPr>
            <w:tcW w:w="0" w:type="auto"/>
            <w:vAlign w:val="bottom"/>
            <w:hideMark/>
          </w:tcPr>
          <w:p w14:paraId="221DABA7" w14:textId="77777777" w:rsidR="00000000" w:rsidRDefault="00632532">
            <w:pPr>
              <w:pStyle w:val="a3"/>
              <w:spacing w:before="0" w:beforeAutospacing="0" w:after="0" w:afterAutospacing="0"/>
              <w:ind w:left="200"/>
              <w:rPr>
                <w:sz w:val="20"/>
                <w:szCs w:val="20"/>
              </w:rPr>
            </w:pPr>
            <w:r>
              <w:rPr>
                <w:sz w:val="20"/>
                <w:szCs w:val="20"/>
              </w:rPr>
              <w:t>Corporate debt securitie</w:t>
            </w:r>
            <w:r>
              <w:rPr>
                <w:sz w:val="20"/>
                <w:szCs w:val="20"/>
              </w:rPr>
              <w:t>s</w:t>
            </w:r>
          </w:p>
        </w:tc>
        <w:tc>
          <w:tcPr>
            <w:tcW w:w="0" w:type="auto"/>
            <w:noWrap/>
            <w:vAlign w:val="bottom"/>
            <w:hideMark/>
          </w:tcPr>
          <w:p w14:paraId="674EEB2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99F1313" w14:textId="77777777" w:rsidR="00000000" w:rsidRDefault="00632532">
            <w:pPr>
              <w:pStyle w:val="a3"/>
              <w:spacing w:before="0" w:beforeAutospacing="0" w:after="0" w:afterAutospacing="0"/>
              <w:jc w:val="right"/>
              <w:rPr>
                <w:sz w:val="20"/>
                <w:szCs w:val="20"/>
              </w:rPr>
            </w:pPr>
            <w:r>
              <w:rPr>
                <w:sz w:val="20"/>
                <w:szCs w:val="20"/>
              </w:rPr>
              <w:t>332,52</w:t>
            </w:r>
            <w:r>
              <w:rPr>
                <w:sz w:val="20"/>
                <w:szCs w:val="20"/>
              </w:rPr>
              <w:t>9</w:t>
            </w:r>
          </w:p>
        </w:tc>
        <w:tc>
          <w:tcPr>
            <w:tcW w:w="0" w:type="auto"/>
            <w:noWrap/>
            <w:vAlign w:val="bottom"/>
            <w:hideMark/>
          </w:tcPr>
          <w:p w14:paraId="46ABA1A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16691F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6FB617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4D6E1C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2A171E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9C85F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DCCFC2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BF31CD5" w14:textId="77777777" w:rsidR="00000000" w:rsidRDefault="00632532">
            <w:pPr>
              <w:pStyle w:val="a3"/>
              <w:spacing w:before="0" w:beforeAutospacing="0" w:after="0" w:afterAutospacing="0"/>
              <w:jc w:val="right"/>
              <w:rPr>
                <w:sz w:val="20"/>
                <w:szCs w:val="20"/>
              </w:rPr>
            </w:pPr>
            <w:r>
              <w:rPr>
                <w:sz w:val="20"/>
                <w:szCs w:val="20"/>
              </w:rPr>
              <w:t>332,52</w:t>
            </w:r>
            <w:r>
              <w:rPr>
                <w:sz w:val="20"/>
                <w:szCs w:val="20"/>
              </w:rPr>
              <w:t>9</w:t>
            </w:r>
          </w:p>
        </w:tc>
        <w:tc>
          <w:tcPr>
            <w:tcW w:w="0" w:type="auto"/>
            <w:noWrap/>
            <w:vAlign w:val="bottom"/>
            <w:hideMark/>
          </w:tcPr>
          <w:p w14:paraId="38A607C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484FC1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CC7CAF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7C0FEB9"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1F8FF7B" w14:textId="77777777" w:rsidR="00000000" w:rsidRDefault="00632532">
            <w:pPr>
              <w:pStyle w:val="a3"/>
              <w:spacing w:before="0" w:beforeAutospacing="0" w:after="0" w:afterAutospacing="0"/>
              <w:rPr>
                <w:sz w:val="20"/>
                <w:szCs w:val="20"/>
              </w:rPr>
            </w:pPr>
            <w:r>
              <w:rPr>
                <w:sz w:val="20"/>
                <w:szCs w:val="20"/>
              </w:rPr>
              <w:t> </w:t>
            </w:r>
          </w:p>
        </w:tc>
      </w:tr>
      <w:tr w:rsidR="00000000" w14:paraId="1B2DDA0C" w14:textId="77777777">
        <w:trPr>
          <w:divId w:val="943609218"/>
          <w:trHeight w:val="200"/>
          <w:tblCellSpacing w:w="15" w:type="dxa"/>
        </w:trPr>
        <w:tc>
          <w:tcPr>
            <w:tcW w:w="0" w:type="auto"/>
            <w:vAlign w:val="bottom"/>
            <w:hideMark/>
          </w:tcPr>
          <w:p w14:paraId="31830548" w14:textId="77777777" w:rsidR="00000000" w:rsidRDefault="00632532">
            <w:pPr>
              <w:pStyle w:val="a3"/>
              <w:spacing w:before="0" w:beforeAutospacing="0" w:after="0" w:afterAutospacing="0"/>
              <w:ind w:left="200"/>
              <w:rPr>
                <w:sz w:val="20"/>
                <w:szCs w:val="20"/>
              </w:rPr>
            </w:pPr>
            <w:r>
              <w:rPr>
                <w:sz w:val="20"/>
                <w:szCs w:val="20"/>
              </w:rPr>
              <w:t>U.S. government debt securitie</w:t>
            </w:r>
            <w:r>
              <w:rPr>
                <w:sz w:val="20"/>
                <w:szCs w:val="20"/>
              </w:rPr>
              <w:t>s</w:t>
            </w:r>
          </w:p>
        </w:tc>
        <w:tc>
          <w:tcPr>
            <w:tcW w:w="0" w:type="auto"/>
            <w:noWrap/>
            <w:vAlign w:val="bottom"/>
            <w:hideMark/>
          </w:tcPr>
          <w:p w14:paraId="0A6E70C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9EA338D" w14:textId="77777777" w:rsidR="00000000" w:rsidRDefault="00632532">
            <w:pPr>
              <w:pStyle w:val="a3"/>
              <w:spacing w:before="0" w:beforeAutospacing="0" w:after="0" w:afterAutospacing="0"/>
              <w:jc w:val="right"/>
              <w:rPr>
                <w:sz w:val="20"/>
                <w:szCs w:val="20"/>
              </w:rPr>
            </w:pPr>
            <w:r>
              <w:rPr>
                <w:sz w:val="20"/>
                <w:szCs w:val="20"/>
              </w:rPr>
              <w:t>198,15</w:t>
            </w:r>
            <w:r>
              <w:rPr>
                <w:sz w:val="20"/>
                <w:szCs w:val="20"/>
              </w:rPr>
              <w:t>7</w:t>
            </w:r>
          </w:p>
        </w:tc>
        <w:tc>
          <w:tcPr>
            <w:tcW w:w="0" w:type="auto"/>
            <w:noWrap/>
            <w:vAlign w:val="bottom"/>
            <w:hideMark/>
          </w:tcPr>
          <w:p w14:paraId="38C8823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38313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9C54F3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17CE665"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F9F7C5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730D8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CDA8C6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48D9CF" w14:textId="77777777" w:rsidR="00000000" w:rsidRDefault="00632532">
            <w:pPr>
              <w:pStyle w:val="a3"/>
              <w:spacing w:before="0" w:beforeAutospacing="0" w:after="0" w:afterAutospacing="0"/>
              <w:jc w:val="right"/>
              <w:rPr>
                <w:sz w:val="20"/>
                <w:szCs w:val="20"/>
              </w:rPr>
            </w:pPr>
            <w:r>
              <w:rPr>
                <w:sz w:val="20"/>
                <w:szCs w:val="20"/>
              </w:rPr>
              <w:t>198,15</w:t>
            </w:r>
            <w:r>
              <w:rPr>
                <w:sz w:val="20"/>
                <w:szCs w:val="20"/>
              </w:rPr>
              <w:t>7</w:t>
            </w:r>
          </w:p>
        </w:tc>
        <w:tc>
          <w:tcPr>
            <w:tcW w:w="0" w:type="auto"/>
            <w:noWrap/>
            <w:vAlign w:val="bottom"/>
            <w:hideMark/>
          </w:tcPr>
          <w:p w14:paraId="60D888E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E07FFC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3ED09B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79A1B13"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6E0D9C30" w14:textId="77777777" w:rsidR="00000000" w:rsidRDefault="00632532">
            <w:pPr>
              <w:pStyle w:val="a3"/>
              <w:spacing w:before="0" w:beforeAutospacing="0" w:after="0" w:afterAutospacing="0"/>
              <w:rPr>
                <w:sz w:val="20"/>
                <w:szCs w:val="20"/>
              </w:rPr>
            </w:pPr>
            <w:r>
              <w:rPr>
                <w:sz w:val="20"/>
                <w:szCs w:val="20"/>
              </w:rPr>
              <w:t> </w:t>
            </w:r>
          </w:p>
        </w:tc>
      </w:tr>
      <w:tr w:rsidR="00000000" w14:paraId="420B3075" w14:textId="77777777">
        <w:trPr>
          <w:divId w:val="943609218"/>
          <w:trHeight w:val="200"/>
          <w:tblCellSpacing w:w="15" w:type="dxa"/>
        </w:trPr>
        <w:tc>
          <w:tcPr>
            <w:tcW w:w="0" w:type="auto"/>
            <w:vAlign w:val="bottom"/>
            <w:hideMark/>
          </w:tcPr>
          <w:p w14:paraId="4912B488" w14:textId="77777777" w:rsidR="00000000" w:rsidRDefault="00632532">
            <w:pPr>
              <w:pStyle w:val="a3"/>
              <w:spacing w:before="0" w:beforeAutospacing="0" w:after="0" w:afterAutospacing="0"/>
              <w:ind w:left="200"/>
              <w:rPr>
                <w:sz w:val="20"/>
                <w:szCs w:val="20"/>
              </w:rPr>
            </w:pPr>
            <w:r>
              <w:rPr>
                <w:sz w:val="20"/>
                <w:szCs w:val="20"/>
              </w:rPr>
              <w:t>Bond fund</w:t>
            </w:r>
            <w:r>
              <w:rPr>
                <w:sz w:val="20"/>
                <w:szCs w:val="20"/>
              </w:rPr>
              <w:t>s</w:t>
            </w:r>
          </w:p>
        </w:tc>
        <w:tc>
          <w:tcPr>
            <w:tcW w:w="0" w:type="auto"/>
            <w:noWrap/>
            <w:vAlign w:val="bottom"/>
            <w:hideMark/>
          </w:tcPr>
          <w:p w14:paraId="6DA4ABC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5E0FF6" w14:textId="77777777" w:rsidR="00000000" w:rsidRDefault="00632532">
            <w:pPr>
              <w:pStyle w:val="a3"/>
              <w:spacing w:before="0" w:beforeAutospacing="0" w:after="0" w:afterAutospacing="0"/>
              <w:jc w:val="right"/>
              <w:rPr>
                <w:sz w:val="20"/>
                <w:szCs w:val="20"/>
              </w:rPr>
            </w:pPr>
            <w:r>
              <w:rPr>
                <w:sz w:val="20"/>
                <w:szCs w:val="20"/>
              </w:rPr>
              <w:t>98,79</w:t>
            </w:r>
            <w:r>
              <w:rPr>
                <w:sz w:val="20"/>
                <w:szCs w:val="20"/>
              </w:rPr>
              <w:t>9</w:t>
            </w:r>
          </w:p>
        </w:tc>
        <w:tc>
          <w:tcPr>
            <w:tcW w:w="0" w:type="auto"/>
            <w:noWrap/>
            <w:vAlign w:val="bottom"/>
            <w:hideMark/>
          </w:tcPr>
          <w:p w14:paraId="70972C2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285C18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05F92A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D899BFC" w14:textId="77777777" w:rsidR="00000000" w:rsidRDefault="00632532">
            <w:pPr>
              <w:pStyle w:val="a3"/>
              <w:spacing w:before="0" w:beforeAutospacing="0" w:after="0" w:afterAutospacing="0"/>
              <w:jc w:val="right"/>
              <w:rPr>
                <w:sz w:val="20"/>
                <w:szCs w:val="20"/>
              </w:rPr>
            </w:pPr>
            <w:r>
              <w:rPr>
                <w:sz w:val="20"/>
                <w:szCs w:val="20"/>
              </w:rPr>
              <w:t>98,79</w:t>
            </w:r>
            <w:r>
              <w:rPr>
                <w:sz w:val="20"/>
                <w:szCs w:val="20"/>
              </w:rPr>
              <w:t>9</w:t>
            </w:r>
          </w:p>
        </w:tc>
        <w:tc>
          <w:tcPr>
            <w:tcW w:w="0" w:type="auto"/>
            <w:noWrap/>
            <w:vAlign w:val="bottom"/>
            <w:hideMark/>
          </w:tcPr>
          <w:p w14:paraId="6331D66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9FC298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9D20BA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A15661F"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1FBA16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D6BED3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078606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51707D6"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F949454" w14:textId="77777777" w:rsidR="00000000" w:rsidRDefault="00632532">
            <w:pPr>
              <w:pStyle w:val="a3"/>
              <w:spacing w:before="0" w:beforeAutospacing="0" w:after="0" w:afterAutospacing="0"/>
              <w:rPr>
                <w:sz w:val="20"/>
                <w:szCs w:val="20"/>
              </w:rPr>
            </w:pPr>
            <w:r>
              <w:rPr>
                <w:sz w:val="20"/>
                <w:szCs w:val="20"/>
              </w:rPr>
              <w:t> </w:t>
            </w:r>
          </w:p>
        </w:tc>
      </w:tr>
      <w:tr w:rsidR="00000000" w14:paraId="335F5383" w14:textId="77777777">
        <w:trPr>
          <w:divId w:val="943609218"/>
          <w:trHeight w:val="200"/>
          <w:tblCellSpacing w:w="15" w:type="dxa"/>
        </w:trPr>
        <w:tc>
          <w:tcPr>
            <w:tcW w:w="0" w:type="auto"/>
            <w:vAlign w:val="bottom"/>
            <w:hideMark/>
          </w:tcPr>
          <w:p w14:paraId="424EDF75" w14:textId="77777777" w:rsidR="00000000" w:rsidRDefault="00632532">
            <w:pPr>
              <w:pStyle w:val="a3"/>
              <w:spacing w:before="0" w:beforeAutospacing="0" w:after="0" w:afterAutospacing="0"/>
              <w:ind w:left="200"/>
              <w:rPr>
                <w:sz w:val="20"/>
                <w:szCs w:val="20"/>
              </w:rPr>
            </w:pPr>
            <w:r>
              <w:rPr>
                <w:sz w:val="20"/>
                <w:szCs w:val="20"/>
              </w:rPr>
              <w:t>U.S. agency debt securitie</w:t>
            </w:r>
            <w:r>
              <w:rPr>
                <w:sz w:val="20"/>
                <w:szCs w:val="20"/>
              </w:rPr>
              <w:t>s</w:t>
            </w:r>
          </w:p>
        </w:tc>
        <w:tc>
          <w:tcPr>
            <w:tcW w:w="0" w:type="auto"/>
            <w:noWrap/>
            <w:vAlign w:val="bottom"/>
            <w:hideMark/>
          </w:tcPr>
          <w:p w14:paraId="66DF550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0CD0ED6" w14:textId="77777777" w:rsidR="00000000" w:rsidRDefault="00632532">
            <w:pPr>
              <w:pStyle w:val="a3"/>
              <w:spacing w:before="0" w:beforeAutospacing="0" w:after="0" w:afterAutospacing="0"/>
              <w:jc w:val="right"/>
              <w:rPr>
                <w:sz w:val="20"/>
                <w:szCs w:val="20"/>
              </w:rPr>
            </w:pPr>
            <w:r>
              <w:rPr>
                <w:sz w:val="20"/>
                <w:szCs w:val="20"/>
              </w:rPr>
              <w:t>69,53</w:t>
            </w:r>
            <w:r>
              <w:rPr>
                <w:sz w:val="20"/>
                <w:szCs w:val="20"/>
              </w:rPr>
              <w:t>4</w:t>
            </w:r>
          </w:p>
        </w:tc>
        <w:tc>
          <w:tcPr>
            <w:tcW w:w="0" w:type="auto"/>
            <w:noWrap/>
            <w:vAlign w:val="bottom"/>
            <w:hideMark/>
          </w:tcPr>
          <w:p w14:paraId="75BEEAC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42AA1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0850D3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5A2D9C"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D94A01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9CEC48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C56935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60173A" w14:textId="77777777" w:rsidR="00000000" w:rsidRDefault="00632532">
            <w:pPr>
              <w:pStyle w:val="a3"/>
              <w:spacing w:before="0" w:beforeAutospacing="0" w:after="0" w:afterAutospacing="0"/>
              <w:jc w:val="right"/>
              <w:rPr>
                <w:sz w:val="20"/>
                <w:szCs w:val="20"/>
              </w:rPr>
            </w:pPr>
            <w:r>
              <w:rPr>
                <w:sz w:val="20"/>
                <w:szCs w:val="20"/>
              </w:rPr>
              <w:t>69,53</w:t>
            </w:r>
            <w:r>
              <w:rPr>
                <w:sz w:val="20"/>
                <w:szCs w:val="20"/>
              </w:rPr>
              <w:t>4</w:t>
            </w:r>
          </w:p>
        </w:tc>
        <w:tc>
          <w:tcPr>
            <w:tcW w:w="0" w:type="auto"/>
            <w:noWrap/>
            <w:vAlign w:val="bottom"/>
            <w:hideMark/>
          </w:tcPr>
          <w:p w14:paraId="5167C7A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562A19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3DCF9F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F6F2F3C"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773DFD8" w14:textId="77777777" w:rsidR="00000000" w:rsidRDefault="00632532">
            <w:pPr>
              <w:pStyle w:val="a3"/>
              <w:spacing w:before="0" w:beforeAutospacing="0" w:after="0" w:afterAutospacing="0"/>
              <w:rPr>
                <w:sz w:val="20"/>
                <w:szCs w:val="20"/>
              </w:rPr>
            </w:pPr>
            <w:r>
              <w:rPr>
                <w:sz w:val="20"/>
                <w:szCs w:val="20"/>
              </w:rPr>
              <w:t> </w:t>
            </w:r>
          </w:p>
        </w:tc>
      </w:tr>
      <w:tr w:rsidR="00000000" w14:paraId="3EF24EB8" w14:textId="77777777">
        <w:trPr>
          <w:divId w:val="943609218"/>
          <w:trHeight w:val="200"/>
          <w:tblCellSpacing w:w="15" w:type="dxa"/>
        </w:trPr>
        <w:tc>
          <w:tcPr>
            <w:tcW w:w="0" w:type="auto"/>
            <w:vAlign w:val="bottom"/>
            <w:hideMark/>
          </w:tcPr>
          <w:p w14:paraId="6B138DBF" w14:textId="77777777" w:rsidR="00000000" w:rsidRDefault="00632532">
            <w:pPr>
              <w:pStyle w:val="a3"/>
              <w:spacing w:before="0" w:beforeAutospacing="0" w:after="0" w:afterAutospacing="0"/>
              <w:ind w:left="200"/>
              <w:rPr>
                <w:sz w:val="20"/>
                <w:szCs w:val="20"/>
              </w:rPr>
            </w:pPr>
            <w:r>
              <w:rPr>
                <w:sz w:val="20"/>
                <w:szCs w:val="20"/>
              </w:rPr>
              <w:t>Exchange traded fund</w:t>
            </w:r>
            <w:r>
              <w:rPr>
                <w:sz w:val="20"/>
                <w:szCs w:val="20"/>
              </w:rPr>
              <w:t>s</w:t>
            </w:r>
          </w:p>
        </w:tc>
        <w:tc>
          <w:tcPr>
            <w:tcW w:w="0" w:type="auto"/>
            <w:noWrap/>
            <w:vAlign w:val="bottom"/>
            <w:hideMark/>
          </w:tcPr>
          <w:p w14:paraId="6831CB5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9522191" w14:textId="77777777" w:rsidR="00000000" w:rsidRDefault="00632532">
            <w:pPr>
              <w:pStyle w:val="a3"/>
              <w:spacing w:before="0" w:beforeAutospacing="0" w:after="0" w:afterAutospacing="0"/>
              <w:jc w:val="right"/>
              <w:rPr>
                <w:sz w:val="20"/>
                <w:szCs w:val="20"/>
              </w:rPr>
            </w:pPr>
            <w:r>
              <w:rPr>
                <w:sz w:val="20"/>
                <w:szCs w:val="20"/>
              </w:rPr>
              <w:t>35,00</w:t>
            </w:r>
            <w:r>
              <w:rPr>
                <w:sz w:val="20"/>
                <w:szCs w:val="20"/>
              </w:rPr>
              <w:t>0</w:t>
            </w:r>
          </w:p>
        </w:tc>
        <w:tc>
          <w:tcPr>
            <w:tcW w:w="0" w:type="auto"/>
            <w:noWrap/>
            <w:vAlign w:val="bottom"/>
            <w:hideMark/>
          </w:tcPr>
          <w:p w14:paraId="3EDE9F8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D9ACE7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6EE9B1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ABFC918" w14:textId="77777777" w:rsidR="00000000" w:rsidRDefault="00632532">
            <w:pPr>
              <w:pStyle w:val="a3"/>
              <w:spacing w:before="0" w:beforeAutospacing="0" w:after="0" w:afterAutospacing="0"/>
              <w:jc w:val="right"/>
              <w:rPr>
                <w:sz w:val="20"/>
                <w:szCs w:val="20"/>
              </w:rPr>
            </w:pPr>
            <w:r>
              <w:rPr>
                <w:sz w:val="20"/>
                <w:szCs w:val="20"/>
              </w:rPr>
              <w:t>35,00</w:t>
            </w:r>
            <w:r>
              <w:rPr>
                <w:sz w:val="20"/>
                <w:szCs w:val="20"/>
              </w:rPr>
              <w:t>0</w:t>
            </w:r>
          </w:p>
        </w:tc>
        <w:tc>
          <w:tcPr>
            <w:tcW w:w="0" w:type="auto"/>
            <w:noWrap/>
            <w:vAlign w:val="bottom"/>
            <w:hideMark/>
          </w:tcPr>
          <w:p w14:paraId="2A92897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B07BD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78C9AC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19FDA3"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824250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ADCDC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FBBCFF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3250E11"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F9980E2" w14:textId="77777777" w:rsidR="00000000" w:rsidRDefault="00632532">
            <w:pPr>
              <w:pStyle w:val="a3"/>
              <w:spacing w:before="0" w:beforeAutospacing="0" w:after="0" w:afterAutospacing="0"/>
              <w:rPr>
                <w:sz w:val="20"/>
                <w:szCs w:val="20"/>
              </w:rPr>
            </w:pPr>
            <w:r>
              <w:rPr>
                <w:sz w:val="20"/>
                <w:szCs w:val="20"/>
              </w:rPr>
              <w:t> </w:t>
            </w:r>
          </w:p>
        </w:tc>
      </w:tr>
      <w:tr w:rsidR="00000000" w14:paraId="704DBEE4" w14:textId="77777777">
        <w:trPr>
          <w:divId w:val="943609218"/>
          <w:trHeight w:val="200"/>
          <w:tblCellSpacing w:w="15" w:type="dxa"/>
        </w:trPr>
        <w:tc>
          <w:tcPr>
            <w:tcW w:w="0" w:type="auto"/>
            <w:vAlign w:val="bottom"/>
            <w:hideMark/>
          </w:tcPr>
          <w:p w14:paraId="70C2C2FB" w14:textId="77777777" w:rsidR="00000000" w:rsidRDefault="00632532">
            <w:pPr>
              <w:pStyle w:val="a3"/>
              <w:spacing w:before="0" w:beforeAutospacing="0" w:after="0" w:afterAutospacing="0"/>
              <w:ind w:left="200"/>
              <w:rPr>
                <w:sz w:val="20"/>
                <w:szCs w:val="20"/>
              </w:rPr>
            </w:pPr>
            <w:r>
              <w:rPr>
                <w:sz w:val="20"/>
                <w:szCs w:val="20"/>
              </w:rPr>
              <w:t>Municipal bond</w:t>
            </w:r>
            <w:r>
              <w:rPr>
                <w:sz w:val="20"/>
                <w:szCs w:val="20"/>
              </w:rPr>
              <w:t>s</w:t>
            </w:r>
          </w:p>
        </w:tc>
        <w:tc>
          <w:tcPr>
            <w:tcW w:w="0" w:type="auto"/>
            <w:noWrap/>
            <w:vAlign w:val="bottom"/>
            <w:hideMark/>
          </w:tcPr>
          <w:p w14:paraId="7ABF04B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2542FE" w14:textId="77777777" w:rsidR="00000000" w:rsidRDefault="00632532">
            <w:pPr>
              <w:pStyle w:val="a3"/>
              <w:spacing w:before="0" w:beforeAutospacing="0" w:after="0" w:afterAutospacing="0"/>
              <w:jc w:val="right"/>
              <w:rPr>
                <w:sz w:val="20"/>
                <w:szCs w:val="20"/>
              </w:rPr>
            </w:pPr>
            <w:r>
              <w:rPr>
                <w:sz w:val="20"/>
                <w:szCs w:val="20"/>
              </w:rPr>
              <w:t>24,48</w:t>
            </w:r>
            <w:r>
              <w:rPr>
                <w:sz w:val="20"/>
                <w:szCs w:val="20"/>
              </w:rPr>
              <w:t>0</w:t>
            </w:r>
          </w:p>
        </w:tc>
        <w:tc>
          <w:tcPr>
            <w:tcW w:w="0" w:type="auto"/>
            <w:noWrap/>
            <w:vAlign w:val="bottom"/>
            <w:hideMark/>
          </w:tcPr>
          <w:p w14:paraId="6987C1A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81CB9B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10CCAF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D23AE6"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62A37A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A536E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937AF0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429674" w14:textId="77777777" w:rsidR="00000000" w:rsidRDefault="00632532">
            <w:pPr>
              <w:pStyle w:val="a3"/>
              <w:spacing w:before="0" w:beforeAutospacing="0" w:after="0" w:afterAutospacing="0"/>
              <w:jc w:val="right"/>
              <w:rPr>
                <w:sz w:val="20"/>
                <w:szCs w:val="20"/>
              </w:rPr>
            </w:pPr>
            <w:r>
              <w:rPr>
                <w:sz w:val="20"/>
                <w:szCs w:val="20"/>
              </w:rPr>
              <w:t>24,48</w:t>
            </w:r>
            <w:r>
              <w:rPr>
                <w:sz w:val="20"/>
                <w:szCs w:val="20"/>
              </w:rPr>
              <w:t>0</w:t>
            </w:r>
          </w:p>
        </w:tc>
        <w:tc>
          <w:tcPr>
            <w:tcW w:w="0" w:type="auto"/>
            <w:noWrap/>
            <w:vAlign w:val="bottom"/>
            <w:hideMark/>
          </w:tcPr>
          <w:p w14:paraId="3D92C41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79B26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1BDB93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7640DF"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1A3B46E" w14:textId="77777777" w:rsidR="00000000" w:rsidRDefault="00632532">
            <w:pPr>
              <w:pStyle w:val="a3"/>
              <w:spacing w:before="0" w:beforeAutospacing="0" w:after="0" w:afterAutospacing="0"/>
              <w:rPr>
                <w:sz w:val="20"/>
                <w:szCs w:val="20"/>
              </w:rPr>
            </w:pPr>
            <w:r>
              <w:rPr>
                <w:sz w:val="20"/>
                <w:szCs w:val="20"/>
              </w:rPr>
              <w:t> </w:t>
            </w:r>
          </w:p>
        </w:tc>
      </w:tr>
      <w:tr w:rsidR="00000000" w14:paraId="1C36962E" w14:textId="77777777">
        <w:trPr>
          <w:divId w:val="943609218"/>
          <w:trHeight w:val="200"/>
          <w:tblCellSpacing w:w="15" w:type="dxa"/>
        </w:trPr>
        <w:tc>
          <w:tcPr>
            <w:tcW w:w="0" w:type="auto"/>
            <w:vAlign w:val="bottom"/>
            <w:hideMark/>
          </w:tcPr>
          <w:p w14:paraId="71A13659" w14:textId="77777777" w:rsidR="00000000" w:rsidRDefault="00632532">
            <w:pPr>
              <w:pStyle w:val="a3"/>
              <w:spacing w:before="0" w:beforeAutospacing="0" w:after="0" w:afterAutospacing="0"/>
              <w:ind w:left="200"/>
              <w:rPr>
                <w:sz w:val="20"/>
                <w:szCs w:val="20"/>
              </w:rPr>
            </w:pPr>
            <w:r>
              <w:rPr>
                <w:sz w:val="20"/>
                <w:szCs w:val="20"/>
              </w:rPr>
              <w:t>Yankee debt securitie</w:t>
            </w:r>
            <w:r>
              <w:rPr>
                <w:sz w:val="20"/>
                <w:szCs w:val="20"/>
              </w:rPr>
              <w:t>s</w:t>
            </w:r>
          </w:p>
        </w:tc>
        <w:tc>
          <w:tcPr>
            <w:tcW w:w="0" w:type="auto"/>
            <w:noWrap/>
            <w:vAlign w:val="bottom"/>
            <w:hideMark/>
          </w:tcPr>
          <w:p w14:paraId="50AEE88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1C1235" w14:textId="77777777" w:rsidR="00000000" w:rsidRDefault="00632532">
            <w:pPr>
              <w:pStyle w:val="a3"/>
              <w:spacing w:before="0" w:beforeAutospacing="0" w:after="0" w:afterAutospacing="0"/>
              <w:jc w:val="right"/>
              <w:rPr>
                <w:sz w:val="20"/>
                <w:szCs w:val="20"/>
              </w:rPr>
            </w:pPr>
            <w:r>
              <w:rPr>
                <w:sz w:val="20"/>
                <w:szCs w:val="20"/>
              </w:rPr>
              <w:t>12,15</w:t>
            </w:r>
            <w:r>
              <w:rPr>
                <w:sz w:val="20"/>
                <w:szCs w:val="20"/>
              </w:rPr>
              <w:t>3</w:t>
            </w:r>
          </w:p>
        </w:tc>
        <w:tc>
          <w:tcPr>
            <w:tcW w:w="0" w:type="auto"/>
            <w:noWrap/>
            <w:vAlign w:val="bottom"/>
            <w:hideMark/>
          </w:tcPr>
          <w:p w14:paraId="0CF362C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02253B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FF2C6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FBDFA2D"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63363E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8C0FF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44D9DB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A97D82" w14:textId="77777777" w:rsidR="00000000" w:rsidRDefault="00632532">
            <w:pPr>
              <w:pStyle w:val="a3"/>
              <w:spacing w:before="0" w:beforeAutospacing="0" w:after="0" w:afterAutospacing="0"/>
              <w:jc w:val="right"/>
              <w:rPr>
                <w:sz w:val="20"/>
                <w:szCs w:val="20"/>
              </w:rPr>
            </w:pPr>
            <w:r>
              <w:rPr>
                <w:sz w:val="20"/>
                <w:szCs w:val="20"/>
              </w:rPr>
              <w:t>12,15</w:t>
            </w:r>
            <w:r>
              <w:rPr>
                <w:sz w:val="20"/>
                <w:szCs w:val="20"/>
              </w:rPr>
              <w:t>3</w:t>
            </w:r>
          </w:p>
        </w:tc>
        <w:tc>
          <w:tcPr>
            <w:tcW w:w="0" w:type="auto"/>
            <w:noWrap/>
            <w:vAlign w:val="bottom"/>
            <w:hideMark/>
          </w:tcPr>
          <w:p w14:paraId="5140A4E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028F4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54059F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0C7F5C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22DA598" w14:textId="77777777" w:rsidR="00000000" w:rsidRDefault="00632532">
            <w:pPr>
              <w:pStyle w:val="a3"/>
              <w:spacing w:before="0" w:beforeAutospacing="0" w:after="0" w:afterAutospacing="0"/>
              <w:rPr>
                <w:sz w:val="20"/>
                <w:szCs w:val="20"/>
              </w:rPr>
            </w:pPr>
            <w:r>
              <w:rPr>
                <w:sz w:val="20"/>
                <w:szCs w:val="20"/>
              </w:rPr>
              <w:t> </w:t>
            </w:r>
          </w:p>
        </w:tc>
      </w:tr>
      <w:tr w:rsidR="00000000" w14:paraId="0D098EA1" w14:textId="77777777">
        <w:trPr>
          <w:divId w:val="943609218"/>
          <w:trHeight w:val="200"/>
          <w:tblCellSpacing w:w="15" w:type="dxa"/>
        </w:trPr>
        <w:tc>
          <w:tcPr>
            <w:tcW w:w="0" w:type="auto"/>
            <w:vAlign w:val="bottom"/>
            <w:hideMark/>
          </w:tcPr>
          <w:p w14:paraId="752C3401" w14:textId="77777777" w:rsidR="00000000" w:rsidRDefault="00632532">
            <w:pPr>
              <w:pStyle w:val="a3"/>
              <w:spacing w:before="0" w:beforeAutospacing="0" w:after="0" w:afterAutospacing="0"/>
              <w:ind w:left="200"/>
              <w:rPr>
                <w:sz w:val="20"/>
                <w:szCs w:val="20"/>
              </w:rPr>
            </w:pPr>
            <w:r>
              <w:rPr>
                <w:sz w:val="20"/>
                <w:szCs w:val="20"/>
              </w:rPr>
              <w:t>Redeemable preferred stock investmen</w:t>
            </w:r>
            <w:r>
              <w:rPr>
                <w:sz w:val="20"/>
                <w:szCs w:val="20"/>
              </w:rPr>
              <w:t>t</w:t>
            </w:r>
          </w:p>
        </w:tc>
        <w:tc>
          <w:tcPr>
            <w:tcW w:w="0" w:type="auto"/>
            <w:noWrap/>
            <w:vAlign w:val="bottom"/>
            <w:hideMark/>
          </w:tcPr>
          <w:p w14:paraId="3BD40DA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1C090B" w14:textId="77777777" w:rsidR="00000000" w:rsidRDefault="00632532">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14:paraId="3B93DB3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4E90B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B13C43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5AF069"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BC5A6B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9A7C2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9998F5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1C54F8"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60F4848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F8E535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21F1D7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EB98224" w14:textId="77777777" w:rsidR="00000000" w:rsidRDefault="00632532">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14:paraId="5DC29636" w14:textId="77777777" w:rsidR="00000000" w:rsidRDefault="00632532">
            <w:pPr>
              <w:pStyle w:val="a3"/>
              <w:spacing w:before="0" w:beforeAutospacing="0" w:after="0" w:afterAutospacing="0"/>
              <w:rPr>
                <w:sz w:val="20"/>
                <w:szCs w:val="20"/>
              </w:rPr>
            </w:pPr>
            <w:r>
              <w:rPr>
                <w:sz w:val="20"/>
                <w:szCs w:val="20"/>
              </w:rPr>
              <w:t> </w:t>
            </w:r>
          </w:p>
        </w:tc>
      </w:tr>
      <w:tr w:rsidR="00000000" w14:paraId="418A3E01" w14:textId="77777777">
        <w:trPr>
          <w:divId w:val="943609218"/>
          <w:trHeight w:val="200"/>
          <w:tblCellSpacing w:w="15" w:type="dxa"/>
        </w:trPr>
        <w:tc>
          <w:tcPr>
            <w:tcW w:w="0" w:type="auto"/>
            <w:vAlign w:val="bottom"/>
            <w:hideMark/>
          </w:tcPr>
          <w:p w14:paraId="42B17760" w14:textId="77777777" w:rsidR="00000000" w:rsidRDefault="00632532">
            <w:pPr>
              <w:pStyle w:val="a3"/>
              <w:spacing w:before="0" w:beforeAutospacing="0" w:after="0" w:afterAutospacing="0"/>
              <w:ind w:left="200"/>
              <w:rPr>
                <w:sz w:val="20"/>
                <w:szCs w:val="20"/>
              </w:rPr>
            </w:pPr>
            <w:r>
              <w:rPr>
                <w:sz w:val="20"/>
                <w:szCs w:val="20"/>
              </w:rPr>
              <w:t>Money market account</w:t>
            </w:r>
            <w:r>
              <w:rPr>
                <w:sz w:val="20"/>
                <w:szCs w:val="20"/>
              </w:rPr>
              <w:t>s</w:t>
            </w:r>
          </w:p>
        </w:tc>
        <w:tc>
          <w:tcPr>
            <w:tcW w:w="0" w:type="auto"/>
            <w:noWrap/>
            <w:vAlign w:val="bottom"/>
            <w:hideMark/>
          </w:tcPr>
          <w:p w14:paraId="2D3D834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BE1253D" w14:textId="77777777" w:rsidR="00000000" w:rsidRDefault="00632532">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14:paraId="775E59B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A4C96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1CF3B1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61A2CD5" w14:textId="77777777" w:rsidR="00000000" w:rsidRDefault="00632532">
            <w:pPr>
              <w:pStyle w:val="a3"/>
              <w:spacing w:before="0" w:beforeAutospacing="0" w:after="0" w:afterAutospacing="0"/>
              <w:jc w:val="right"/>
              <w:rPr>
                <w:sz w:val="20"/>
                <w:szCs w:val="20"/>
              </w:rPr>
            </w:pPr>
            <w:r>
              <w:rPr>
                <w:sz w:val="20"/>
                <w:szCs w:val="20"/>
              </w:rPr>
              <w:t>77,06</w:t>
            </w:r>
            <w:r>
              <w:rPr>
                <w:sz w:val="20"/>
                <w:szCs w:val="20"/>
              </w:rPr>
              <w:t>7</w:t>
            </w:r>
          </w:p>
        </w:tc>
        <w:tc>
          <w:tcPr>
            <w:tcW w:w="0" w:type="auto"/>
            <w:noWrap/>
            <w:vAlign w:val="bottom"/>
            <w:hideMark/>
          </w:tcPr>
          <w:p w14:paraId="7536B48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EB988D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EC4B26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FCAF4D"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6ADDD1F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ACC1AD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32F642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2129A5"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F4768C0" w14:textId="77777777" w:rsidR="00000000" w:rsidRDefault="00632532">
            <w:pPr>
              <w:pStyle w:val="a3"/>
              <w:spacing w:before="0" w:beforeAutospacing="0" w:after="0" w:afterAutospacing="0"/>
              <w:rPr>
                <w:sz w:val="20"/>
                <w:szCs w:val="20"/>
              </w:rPr>
            </w:pPr>
            <w:r>
              <w:rPr>
                <w:sz w:val="20"/>
                <w:szCs w:val="20"/>
              </w:rPr>
              <w:t> </w:t>
            </w:r>
          </w:p>
        </w:tc>
      </w:tr>
      <w:tr w:rsidR="00000000" w14:paraId="4BB5F840" w14:textId="77777777">
        <w:trPr>
          <w:divId w:val="943609218"/>
          <w:trHeight w:val="200"/>
          <w:tblCellSpacing w:w="15" w:type="dxa"/>
        </w:trPr>
        <w:tc>
          <w:tcPr>
            <w:tcW w:w="0" w:type="auto"/>
            <w:vAlign w:val="bottom"/>
            <w:hideMark/>
          </w:tcPr>
          <w:p w14:paraId="6F79854D" w14:textId="77777777" w:rsidR="00000000" w:rsidRDefault="00632532">
            <w:pPr>
              <w:pStyle w:val="a3"/>
              <w:spacing w:before="0" w:beforeAutospacing="0" w:after="0" w:afterAutospacing="0"/>
              <w:ind w:left="400"/>
              <w:rPr>
                <w:sz w:val="20"/>
                <w:szCs w:val="20"/>
              </w:rPr>
            </w:pPr>
            <w:r>
              <w:rPr>
                <w:sz w:val="20"/>
                <w:szCs w:val="20"/>
              </w:rPr>
              <w:t>Total equity securities, debt securities and cash equivalent</w:t>
            </w:r>
            <w:r>
              <w:rPr>
                <w:sz w:val="20"/>
                <w:szCs w:val="20"/>
              </w:rPr>
              <w:t>s</w:t>
            </w:r>
          </w:p>
        </w:tc>
        <w:tc>
          <w:tcPr>
            <w:tcW w:w="0" w:type="auto"/>
            <w:noWrap/>
            <w:vAlign w:val="bottom"/>
            <w:hideMark/>
          </w:tcPr>
          <w:p w14:paraId="23FBCC1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DD2592B" w14:textId="77777777" w:rsidR="00000000" w:rsidRDefault="00632532">
            <w:pPr>
              <w:pStyle w:val="a3"/>
              <w:spacing w:before="0" w:beforeAutospacing="0" w:after="0" w:afterAutospacing="0"/>
              <w:jc w:val="right"/>
              <w:rPr>
                <w:sz w:val="20"/>
                <w:szCs w:val="20"/>
              </w:rPr>
            </w:pPr>
            <w:r>
              <w:rPr>
                <w:sz w:val="20"/>
                <w:szCs w:val="20"/>
              </w:rPr>
              <w:t>869,68</w:t>
            </w:r>
            <w:r>
              <w:rPr>
                <w:sz w:val="20"/>
                <w:szCs w:val="20"/>
              </w:rPr>
              <w:t>4</w:t>
            </w:r>
          </w:p>
        </w:tc>
        <w:tc>
          <w:tcPr>
            <w:tcW w:w="0" w:type="auto"/>
            <w:noWrap/>
            <w:vAlign w:val="bottom"/>
            <w:hideMark/>
          </w:tcPr>
          <w:p w14:paraId="59B377E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50C868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C90E0A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D081035" w14:textId="77777777" w:rsidR="00000000" w:rsidRDefault="00632532">
            <w:pPr>
              <w:pStyle w:val="a3"/>
              <w:spacing w:before="0" w:beforeAutospacing="0" w:after="0" w:afterAutospacing="0"/>
              <w:jc w:val="right"/>
              <w:rPr>
                <w:sz w:val="20"/>
                <w:szCs w:val="20"/>
              </w:rPr>
            </w:pPr>
            <w:r>
              <w:rPr>
                <w:sz w:val="20"/>
                <w:szCs w:val="20"/>
              </w:rPr>
              <w:t>210,86</w:t>
            </w:r>
            <w:r>
              <w:rPr>
                <w:sz w:val="20"/>
                <w:szCs w:val="20"/>
              </w:rPr>
              <w:t>6</w:t>
            </w:r>
          </w:p>
        </w:tc>
        <w:tc>
          <w:tcPr>
            <w:tcW w:w="0" w:type="auto"/>
            <w:noWrap/>
            <w:vAlign w:val="bottom"/>
            <w:hideMark/>
          </w:tcPr>
          <w:p w14:paraId="7962A66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96C5D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B31804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513318F" w14:textId="77777777" w:rsidR="00000000" w:rsidRDefault="00632532">
            <w:pPr>
              <w:pStyle w:val="a3"/>
              <w:spacing w:before="0" w:beforeAutospacing="0" w:after="0" w:afterAutospacing="0"/>
              <w:jc w:val="right"/>
              <w:rPr>
                <w:sz w:val="20"/>
                <w:szCs w:val="20"/>
              </w:rPr>
            </w:pPr>
            <w:r>
              <w:rPr>
                <w:sz w:val="20"/>
                <w:szCs w:val="20"/>
              </w:rPr>
              <w:t>636,85</w:t>
            </w:r>
            <w:r>
              <w:rPr>
                <w:sz w:val="20"/>
                <w:szCs w:val="20"/>
              </w:rPr>
              <w:t>3</w:t>
            </w:r>
          </w:p>
        </w:tc>
        <w:tc>
          <w:tcPr>
            <w:tcW w:w="0" w:type="auto"/>
            <w:noWrap/>
            <w:vAlign w:val="bottom"/>
            <w:hideMark/>
          </w:tcPr>
          <w:p w14:paraId="6C6107E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78F14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7CDDC6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F8E506A" w14:textId="77777777" w:rsidR="00000000" w:rsidRDefault="00632532">
            <w:pPr>
              <w:pStyle w:val="a3"/>
              <w:spacing w:before="0" w:beforeAutospacing="0" w:after="0" w:afterAutospacing="0"/>
              <w:jc w:val="right"/>
              <w:rPr>
                <w:sz w:val="20"/>
                <w:szCs w:val="20"/>
              </w:rPr>
            </w:pPr>
            <w:r>
              <w:rPr>
                <w:sz w:val="20"/>
                <w:szCs w:val="20"/>
              </w:rPr>
              <w:t>21,96</w:t>
            </w:r>
            <w:r>
              <w:rPr>
                <w:sz w:val="20"/>
                <w:szCs w:val="20"/>
              </w:rPr>
              <w:t>5</w:t>
            </w:r>
          </w:p>
        </w:tc>
        <w:tc>
          <w:tcPr>
            <w:tcW w:w="0" w:type="auto"/>
            <w:noWrap/>
            <w:vAlign w:val="bottom"/>
            <w:hideMark/>
          </w:tcPr>
          <w:p w14:paraId="01AFAE14" w14:textId="77777777" w:rsidR="00000000" w:rsidRDefault="00632532">
            <w:pPr>
              <w:pStyle w:val="a3"/>
              <w:spacing w:before="0" w:beforeAutospacing="0" w:after="0" w:afterAutospacing="0"/>
              <w:rPr>
                <w:sz w:val="20"/>
                <w:szCs w:val="20"/>
              </w:rPr>
            </w:pPr>
            <w:r>
              <w:rPr>
                <w:sz w:val="20"/>
                <w:szCs w:val="20"/>
              </w:rPr>
              <w:t> </w:t>
            </w:r>
          </w:p>
        </w:tc>
      </w:tr>
    </w:tbl>
    <w:p w14:paraId="1F0197EE" w14:textId="77777777" w:rsidR="00000000" w:rsidRDefault="00632532">
      <w:pPr>
        <w:pStyle w:val="a3"/>
        <w:spacing w:before="0" w:beforeAutospacing="0" w:after="0" w:afterAutospacing="0"/>
        <w:divId w:val="81071072"/>
        <w:rPr>
          <w:sz w:val="20"/>
          <w:szCs w:val="20"/>
        </w:rPr>
      </w:pPr>
      <w:r>
        <w:rPr>
          <w:sz w:val="20"/>
          <w:szCs w:val="20"/>
        </w:rPr>
        <w:t> </w:t>
      </w:r>
    </w:p>
    <w:p w14:paraId="1B2E466D" w14:textId="77777777" w:rsidR="00000000" w:rsidRDefault="00632532">
      <w:pPr>
        <w:pStyle w:val="a3"/>
        <w:spacing w:before="0" w:beforeAutospacing="0" w:after="0" w:afterAutospacing="0"/>
        <w:ind w:firstLine="555"/>
        <w:divId w:val="81071072"/>
        <w:rPr>
          <w:sz w:val="20"/>
          <w:szCs w:val="20"/>
        </w:rPr>
      </w:pPr>
      <w:r>
        <w:rPr>
          <w:sz w:val="20"/>
          <w:szCs w:val="20"/>
        </w:rPr>
        <w:t>The Company’</w:t>
      </w:r>
      <w:r>
        <w:rPr>
          <w:sz w:val="20"/>
          <w:szCs w:val="20"/>
        </w:rPr>
        <w:t>s Level 1 assets include bond funds, exchange traded funds, U.S. treasury bills, and money market instruments and are valued based upon observable market prices. Level 2 assets consist of U.S. government and U.S. agency debt securities, municipal bonds, co</w:t>
      </w:r>
      <w:r>
        <w:rPr>
          <w:sz w:val="20"/>
          <w:szCs w:val="20"/>
        </w:rPr>
        <w:t>rporate debt securities and Yankee debt securities. Level 2 securities are valued based upon observable inputs that include reported trades, broker/dealer quotes, bids and offers. As of June 30, 2022, the Company had</w:t>
      </w:r>
      <w:r>
        <w:rPr>
          <w:sz w:val="20"/>
          <w:szCs w:val="20"/>
        </w:rPr>
        <w:t xml:space="preserve"> </w:t>
      </w:r>
      <w:r>
        <w:rPr>
          <w:sz w:val="20"/>
          <w:szCs w:val="20"/>
        </w:rPr>
        <w:t>$</w:t>
      </w:r>
      <w:r>
        <w:rPr>
          <w:sz w:val="20"/>
          <w:szCs w:val="20"/>
        </w:rPr>
        <w:t>15.</w:t>
      </w:r>
      <w:r>
        <w:rPr>
          <w:sz w:val="20"/>
          <w:szCs w:val="20"/>
        </w:rPr>
        <w:t>0</w:t>
      </w:r>
      <w:r>
        <w:rPr>
          <w:sz w:val="20"/>
          <w:szCs w:val="20"/>
        </w:rPr>
        <w:t xml:space="preserve"> millio</w:t>
      </w:r>
      <w:r>
        <w:rPr>
          <w:sz w:val="20"/>
          <w:szCs w:val="20"/>
        </w:rPr>
        <w:t>n</w:t>
      </w:r>
      <w:r>
        <w:rPr>
          <w:sz w:val="20"/>
          <w:szCs w:val="20"/>
        </w:rPr>
        <w:t xml:space="preserve"> of investment in private </w:t>
      </w:r>
      <w:r>
        <w:rPr>
          <w:sz w:val="20"/>
          <w:szCs w:val="20"/>
        </w:rPr>
        <w:t>equity securities, which was included in other long-term assets in the accompanying Condensed Consolidated Balance Sheets, and</w:t>
      </w:r>
      <w:r>
        <w:rPr>
          <w:sz w:val="20"/>
          <w:szCs w:val="20"/>
        </w:rPr>
        <w:t xml:space="preserve"> </w:t>
      </w:r>
      <w:r>
        <w:rPr>
          <w:sz w:val="20"/>
          <w:szCs w:val="20"/>
        </w:rPr>
        <w:t>$</w:t>
      </w:r>
      <w:r>
        <w:rPr>
          <w:sz w:val="20"/>
          <w:szCs w:val="20"/>
        </w:rPr>
        <w:t>12.</w:t>
      </w:r>
      <w:r>
        <w:rPr>
          <w:sz w:val="20"/>
          <w:szCs w:val="20"/>
        </w:rPr>
        <w:t>0</w:t>
      </w:r>
      <w:r>
        <w:rPr>
          <w:sz w:val="20"/>
          <w:szCs w:val="20"/>
        </w:rPr>
        <w:t xml:space="preserve"> millio</w:t>
      </w:r>
      <w:r>
        <w:rPr>
          <w:sz w:val="20"/>
          <w:szCs w:val="20"/>
        </w:rPr>
        <w:t>n</w:t>
      </w:r>
      <w:r>
        <w:rPr>
          <w:sz w:val="20"/>
          <w:szCs w:val="20"/>
        </w:rPr>
        <w:t xml:space="preserve"> of redeemable preferred stock of a private company that were measured using unobservable (Level 3) inputs. The fair</w:t>
      </w:r>
      <w:r>
        <w:rPr>
          <w:sz w:val="20"/>
          <w:szCs w:val="20"/>
        </w:rPr>
        <w:t xml:space="preserve"> values of redeemable preferred stock as of June 30, 2022 and December 31, 2021 were based on the valuation performed by a third-party valuation company utilizing the guideline public company method under market approach and the discounted cash flow method</w:t>
      </w:r>
      <w:r>
        <w:rPr>
          <w:sz w:val="20"/>
          <w:szCs w:val="20"/>
        </w:rPr>
        <w:t xml:space="preserve"> under income approach. For the value of the investment in private equity securities, the Company elected to measure it at cost minus impairment as the private equity securities did not have a readily determinable fair value, and the Company did not believ</w:t>
      </w:r>
      <w:r>
        <w:rPr>
          <w:sz w:val="20"/>
          <w:szCs w:val="20"/>
        </w:rPr>
        <w:t>e the investment was impaired as of June 30, 2022</w:t>
      </w:r>
      <w:r>
        <w:rPr>
          <w:sz w:val="20"/>
          <w:szCs w:val="20"/>
        </w:rPr>
        <w:t>.</w:t>
      </w:r>
    </w:p>
    <w:p w14:paraId="59508994" w14:textId="77777777" w:rsidR="00000000" w:rsidRDefault="00632532">
      <w:pPr>
        <w:pStyle w:val="a3"/>
        <w:spacing w:before="240" w:beforeAutospacing="0" w:after="0" w:afterAutospacing="0"/>
        <w:ind w:firstLine="555"/>
        <w:divId w:val="81071072"/>
        <w:rPr>
          <w:sz w:val="20"/>
          <w:szCs w:val="20"/>
        </w:rPr>
      </w:pPr>
      <w:r>
        <w:rPr>
          <w:sz w:val="20"/>
          <w:szCs w:val="20"/>
        </w:rPr>
        <w:t>There were</w:t>
      </w:r>
      <w:r>
        <w:rPr>
          <w:sz w:val="20"/>
          <w:szCs w:val="20"/>
        </w:rPr>
        <w:t xml:space="preserve"> </w:t>
      </w:r>
      <w:r>
        <w:rPr>
          <w:sz w:val="20"/>
          <w:szCs w:val="20"/>
        </w:rPr>
        <w:t>n</w:t>
      </w:r>
      <w:r>
        <w:rPr>
          <w:sz w:val="20"/>
          <w:szCs w:val="20"/>
        </w:rPr>
        <w:t>o</w:t>
      </w:r>
      <w:r>
        <w:rPr>
          <w:sz w:val="20"/>
          <w:szCs w:val="20"/>
        </w:rPr>
        <w:t xml:space="preserve"> </w:t>
      </w:r>
      <w:r>
        <w:rPr>
          <w:sz w:val="20"/>
          <w:szCs w:val="20"/>
        </w:rPr>
        <w:t>transfers between fair value measurement levels during the three and six months ended June 30, 2022</w:t>
      </w:r>
      <w:r>
        <w:rPr>
          <w:sz w:val="20"/>
          <w:szCs w:val="20"/>
        </w:rPr>
        <w:t>.</w:t>
      </w:r>
    </w:p>
    <w:p w14:paraId="01BAE5A3" w14:textId="77777777" w:rsidR="00000000" w:rsidRDefault="00632532">
      <w:pPr>
        <w:pStyle w:val="a3"/>
        <w:spacing w:before="240" w:beforeAutospacing="0" w:after="0" w:afterAutospacing="0"/>
        <w:jc w:val="center"/>
        <w:rPr>
          <w:sz w:val="20"/>
          <w:szCs w:val="20"/>
        </w:rPr>
      </w:pPr>
      <w:r>
        <w:rPr>
          <w:sz w:val="20"/>
          <w:szCs w:val="20"/>
        </w:rPr>
        <w:t>1</w:t>
      </w:r>
      <w:r>
        <w:rPr>
          <w:sz w:val="20"/>
          <w:szCs w:val="20"/>
        </w:rPr>
        <w:t>4</w:t>
      </w:r>
    </w:p>
    <w:p w14:paraId="7A083CC8" w14:textId="77777777" w:rsidR="00000000" w:rsidRDefault="00632532">
      <w:pPr>
        <w:rPr>
          <w:rFonts w:eastAsia="Times New Roman"/>
        </w:rPr>
      </w:pPr>
      <w:r>
        <w:rPr>
          <w:rFonts w:eastAsia="Times New Roman"/>
        </w:rPr>
        <w:pict w14:anchorId="647B1C06">
          <v:rect id="_x0000_i1040" style="width:0;height:1.5pt" o:hralign="center" o:hrstd="t" o:hr="t" fillcolor="#a0a0a0" stroked="f"/>
        </w:pict>
      </w:r>
    </w:p>
    <w:p w14:paraId="2910C90F" w14:textId="77777777" w:rsidR="00000000" w:rsidRDefault="00632532">
      <w:pPr>
        <w:pStyle w:val="a3"/>
        <w:spacing w:before="360" w:beforeAutospacing="0" w:after="0" w:afterAutospacing="0"/>
        <w:divId w:val="81537526"/>
        <w:rPr>
          <w:sz w:val="20"/>
          <w:szCs w:val="20"/>
        </w:rPr>
      </w:pPr>
      <w:r>
        <w:rPr>
          <w:b/>
          <w:bCs/>
          <w:sz w:val="20"/>
          <w:szCs w:val="20"/>
        </w:rPr>
        <w:t>Note 5. Fixed Asset</w:t>
      </w:r>
      <w:r>
        <w:rPr>
          <w:b/>
          <w:bCs/>
          <w:sz w:val="20"/>
          <w:szCs w:val="20"/>
        </w:rPr>
        <w:t>s</w:t>
      </w:r>
    </w:p>
    <w:p w14:paraId="03FE0D5C" w14:textId="77777777" w:rsidR="00000000" w:rsidRDefault="00632532">
      <w:pPr>
        <w:pStyle w:val="a3"/>
        <w:spacing w:before="120" w:beforeAutospacing="0" w:after="0" w:afterAutospacing="0"/>
        <w:ind w:firstLine="555"/>
        <w:divId w:val="190609567"/>
        <w:rPr>
          <w:sz w:val="20"/>
          <w:szCs w:val="20"/>
        </w:rPr>
      </w:pPr>
      <w:r>
        <w:rPr>
          <w:sz w:val="20"/>
          <w:szCs w:val="20"/>
        </w:rPr>
        <w:t>Major classes of fixed assets consisted of the following</w:t>
      </w:r>
      <w:r>
        <w:rPr>
          <w:sz w:val="20"/>
          <w:szCs w:val="20"/>
        </w:rPr>
        <w:t>:</w:t>
      </w:r>
    </w:p>
    <w:p w14:paraId="44532BC8" w14:textId="77777777" w:rsidR="00000000" w:rsidRDefault="00632532">
      <w:pPr>
        <w:pStyle w:val="a3"/>
        <w:spacing w:before="0" w:beforeAutospacing="0" w:after="0" w:afterAutospacing="0"/>
        <w:divId w:val="19060956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57"/>
        <w:gridCol w:w="3039"/>
        <w:gridCol w:w="160"/>
        <w:gridCol w:w="788"/>
        <w:gridCol w:w="127"/>
        <w:gridCol w:w="110"/>
        <w:gridCol w:w="160"/>
        <w:gridCol w:w="723"/>
        <w:gridCol w:w="142"/>
      </w:tblGrid>
      <w:tr w:rsidR="00000000" w14:paraId="187E8880" w14:textId="77777777">
        <w:trPr>
          <w:divId w:val="190609567"/>
          <w:tblCellSpacing w:w="15" w:type="dxa"/>
        </w:trPr>
        <w:tc>
          <w:tcPr>
            <w:tcW w:w="1897" w:type="pct"/>
            <w:vAlign w:val="center"/>
            <w:hideMark/>
          </w:tcPr>
          <w:p w14:paraId="45C37BAF" w14:textId="77777777" w:rsidR="00000000" w:rsidRDefault="00632532">
            <w:pPr>
              <w:rPr>
                <w:sz w:val="20"/>
                <w:szCs w:val="20"/>
              </w:rPr>
            </w:pPr>
          </w:p>
        </w:tc>
        <w:tc>
          <w:tcPr>
            <w:tcW w:w="1895" w:type="pct"/>
            <w:vAlign w:val="center"/>
            <w:hideMark/>
          </w:tcPr>
          <w:p w14:paraId="776CD538" w14:textId="77777777" w:rsidR="00000000" w:rsidRDefault="00632532">
            <w:pPr>
              <w:rPr>
                <w:rFonts w:eastAsia="Times New Roman"/>
                <w:sz w:val="20"/>
                <w:szCs w:val="20"/>
              </w:rPr>
            </w:pPr>
          </w:p>
        </w:tc>
        <w:tc>
          <w:tcPr>
            <w:tcW w:w="50" w:type="pct"/>
            <w:vAlign w:val="center"/>
            <w:hideMark/>
          </w:tcPr>
          <w:p w14:paraId="253CADB9" w14:textId="77777777" w:rsidR="00000000" w:rsidRDefault="00632532">
            <w:pPr>
              <w:rPr>
                <w:rFonts w:eastAsia="Times New Roman"/>
                <w:sz w:val="20"/>
                <w:szCs w:val="20"/>
              </w:rPr>
            </w:pPr>
          </w:p>
        </w:tc>
        <w:tc>
          <w:tcPr>
            <w:tcW w:w="490" w:type="pct"/>
            <w:vAlign w:val="center"/>
            <w:hideMark/>
          </w:tcPr>
          <w:p w14:paraId="23E146BC" w14:textId="77777777" w:rsidR="00000000" w:rsidRDefault="00632532">
            <w:pPr>
              <w:rPr>
                <w:rFonts w:eastAsia="Times New Roman"/>
                <w:sz w:val="20"/>
                <w:szCs w:val="20"/>
              </w:rPr>
            </w:pPr>
          </w:p>
        </w:tc>
        <w:tc>
          <w:tcPr>
            <w:tcW w:w="50" w:type="pct"/>
            <w:vAlign w:val="center"/>
            <w:hideMark/>
          </w:tcPr>
          <w:p w14:paraId="14635A70" w14:textId="77777777" w:rsidR="00000000" w:rsidRDefault="00632532">
            <w:pPr>
              <w:rPr>
                <w:rFonts w:eastAsia="Times New Roman"/>
                <w:sz w:val="20"/>
                <w:szCs w:val="20"/>
              </w:rPr>
            </w:pPr>
          </w:p>
        </w:tc>
        <w:tc>
          <w:tcPr>
            <w:tcW w:w="57" w:type="pct"/>
            <w:vAlign w:val="center"/>
            <w:hideMark/>
          </w:tcPr>
          <w:p w14:paraId="429140BF" w14:textId="77777777" w:rsidR="00000000" w:rsidRDefault="00632532">
            <w:pPr>
              <w:rPr>
                <w:rFonts w:eastAsia="Times New Roman"/>
                <w:sz w:val="20"/>
                <w:szCs w:val="20"/>
              </w:rPr>
            </w:pPr>
          </w:p>
        </w:tc>
        <w:tc>
          <w:tcPr>
            <w:tcW w:w="50" w:type="pct"/>
            <w:vAlign w:val="center"/>
            <w:hideMark/>
          </w:tcPr>
          <w:p w14:paraId="596DB2DB" w14:textId="77777777" w:rsidR="00000000" w:rsidRDefault="00632532">
            <w:pPr>
              <w:rPr>
                <w:rFonts w:eastAsia="Times New Roman"/>
                <w:sz w:val="20"/>
                <w:szCs w:val="20"/>
              </w:rPr>
            </w:pPr>
          </w:p>
        </w:tc>
        <w:tc>
          <w:tcPr>
            <w:tcW w:w="459" w:type="pct"/>
            <w:vAlign w:val="center"/>
            <w:hideMark/>
          </w:tcPr>
          <w:p w14:paraId="607362BC" w14:textId="77777777" w:rsidR="00000000" w:rsidRDefault="00632532">
            <w:pPr>
              <w:rPr>
                <w:rFonts w:eastAsia="Times New Roman"/>
                <w:sz w:val="20"/>
                <w:szCs w:val="20"/>
              </w:rPr>
            </w:pPr>
          </w:p>
        </w:tc>
        <w:tc>
          <w:tcPr>
            <w:tcW w:w="50" w:type="pct"/>
            <w:vAlign w:val="center"/>
            <w:hideMark/>
          </w:tcPr>
          <w:p w14:paraId="459FA4B5" w14:textId="77777777" w:rsidR="00000000" w:rsidRDefault="00632532">
            <w:pPr>
              <w:rPr>
                <w:rFonts w:eastAsia="Times New Roman"/>
                <w:sz w:val="20"/>
                <w:szCs w:val="20"/>
              </w:rPr>
            </w:pPr>
          </w:p>
        </w:tc>
      </w:tr>
      <w:tr w:rsidR="00000000" w14:paraId="464506C4" w14:textId="77777777">
        <w:trPr>
          <w:divId w:val="190609567"/>
          <w:trHeight w:val="160"/>
          <w:tblCellSpacing w:w="15" w:type="dxa"/>
        </w:trPr>
        <w:tc>
          <w:tcPr>
            <w:tcW w:w="0" w:type="auto"/>
            <w:vAlign w:val="bottom"/>
            <w:hideMark/>
          </w:tcPr>
          <w:p w14:paraId="49475AAF"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516ED0A7"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234771C8" w14:textId="77777777" w:rsidR="00000000" w:rsidRDefault="00632532">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14:paraId="06E4DAB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4A6E517"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1AF5196" w14:textId="77777777" w:rsidR="00000000" w:rsidRDefault="00632532">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14:paraId="1DD9C41B"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766AA0A3" w14:textId="77777777">
        <w:trPr>
          <w:divId w:val="190609567"/>
          <w:trHeight w:val="160"/>
          <w:tblCellSpacing w:w="15" w:type="dxa"/>
        </w:trPr>
        <w:tc>
          <w:tcPr>
            <w:tcW w:w="0" w:type="auto"/>
            <w:vAlign w:val="bottom"/>
            <w:hideMark/>
          </w:tcPr>
          <w:p w14:paraId="61216791"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598F01C3" w14:textId="77777777" w:rsidR="00000000" w:rsidRDefault="00632532">
            <w:pPr>
              <w:pStyle w:val="a3"/>
              <w:spacing w:before="0" w:beforeAutospacing="0" w:after="0" w:afterAutospacing="0"/>
              <w:jc w:val="center"/>
              <w:rPr>
                <w:sz w:val="16"/>
                <w:szCs w:val="16"/>
              </w:rPr>
            </w:pPr>
            <w:r>
              <w:rPr>
                <w:b/>
                <w:bCs/>
                <w:sz w:val="16"/>
                <w:szCs w:val="16"/>
              </w:rPr>
              <w:t>Useful Live</w:t>
            </w:r>
            <w:r>
              <w:rPr>
                <w:b/>
                <w:bCs/>
                <w:sz w:val="16"/>
                <w:szCs w:val="16"/>
              </w:rPr>
              <w:t>s</w:t>
            </w:r>
          </w:p>
        </w:tc>
        <w:tc>
          <w:tcPr>
            <w:tcW w:w="0" w:type="auto"/>
            <w:gridSpan w:val="2"/>
            <w:vAlign w:val="bottom"/>
            <w:hideMark/>
          </w:tcPr>
          <w:p w14:paraId="5E4378BE"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D7C083C"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A54BF42"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03A4289"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6174979"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2E8ACF32" w14:textId="77777777">
        <w:trPr>
          <w:divId w:val="190609567"/>
          <w:trHeight w:val="160"/>
          <w:tblCellSpacing w:w="15" w:type="dxa"/>
        </w:trPr>
        <w:tc>
          <w:tcPr>
            <w:tcW w:w="0" w:type="auto"/>
            <w:vAlign w:val="bottom"/>
            <w:hideMark/>
          </w:tcPr>
          <w:p w14:paraId="73A18CD1"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17A414A8"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hideMark/>
          </w:tcPr>
          <w:p w14:paraId="0CB925B6"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14:paraId="35E85ED5"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9F6119D" w14:textId="77777777">
        <w:trPr>
          <w:divId w:val="190609567"/>
          <w:trHeight w:val="200"/>
          <w:tblCellSpacing w:w="15" w:type="dxa"/>
        </w:trPr>
        <w:tc>
          <w:tcPr>
            <w:tcW w:w="0" w:type="auto"/>
            <w:vAlign w:val="bottom"/>
            <w:hideMark/>
          </w:tcPr>
          <w:p w14:paraId="1E3B8563" w14:textId="77777777" w:rsidR="00000000" w:rsidRDefault="00632532">
            <w:pPr>
              <w:pStyle w:val="a3"/>
              <w:spacing w:before="0" w:beforeAutospacing="0" w:after="0" w:afterAutospacing="0"/>
              <w:rPr>
                <w:sz w:val="20"/>
                <w:szCs w:val="20"/>
              </w:rPr>
            </w:pPr>
            <w:r>
              <w:rPr>
                <w:sz w:val="20"/>
                <w:szCs w:val="20"/>
              </w:rPr>
              <w:t>Medical lab equipmen</w:t>
            </w:r>
            <w:r>
              <w:rPr>
                <w:sz w:val="20"/>
                <w:szCs w:val="20"/>
              </w:rPr>
              <w:t>t</w:t>
            </w:r>
          </w:p>
        </w:tc>
        <w:tc>
          <w:tcPr>
            <w:tcW w:w="0" w:type="auto"/>
            <w:vAlign w:val="bottom"/>
            <w:hideMark/>
          </w:tcPr>
          <w:p w14:paraId="6C78E0BB" w14:textId="77777777" w:rsidR="00000000" w:rsidRDefault="00632532">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12 Year</w:t>
            </w:r>
            <w:r>
              <w:rPr>
                <w:sz w:val="20"/>
                <w:szCs w:val="20"/>
              </w:rPr>
              <w:t>s</w:t>
            </w:r>
          </w:p>
        </w:tc>
        <w:tc>
          <w:tcPr>
            <w:tcW w:w="0" w:type="auto"/>
            <w:noWrap/>
            <w:vAlign w:val="bottom"/>
            <w:hideMark/>
          </w:tcPr>
          <w:p w14:paraId="745267D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8673B91" w14:textId="77777777" w:rsidR="00000000" w:rsidRDefault="00632532">
            <w:pPr>
              <w:pStyle w:val="a3"/>
              <w:spacing w:before="0" w:beforeAutospacing="0" w:after="0" w:afterAutospacing="0"/>
              <w:jc w:val="right"/>
              <w:rPr>
                <w:sz w:val="20"/>
                <w:szCs w:val="20"/>
              </w:rPr>
            </w:pPr>
            <w:r>
              <w:rPr>
                <w:sz w:val="20"/>
                <w:szCs w:val="20"/>
              </w:rPr>
              <w:t>45,47</w:t>
            </w:r>
            <w:r>
              <w:rPr>
                <w:sz w:val="20"/>
                <w:szCs w:val="20"/>
              </w:rPr>
              <w:t>9</w:t>
            </w:r>
          </w:p>
        </w:tc>
        <w:tc>
          <w:tcPr>
            <w:tcW w:w="0" w:type="auto"/>
            <w:noWrap/>
            <w:vAlign w:val="bottom"/>
            <w:hideMark/>
          </w:tcPr>
          <w:p w14:paraId="4B64D8A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D87A9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9E42A0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12E3945" w14:textId="77777777" w:rsidR="00000000" w:rsidRDefault="00632532">
            <w:pPr>
              <w:pStyle w:val="a3"/>
              <w:spacing w:before="0" w:beforeAutospacing="0" w:after="0" w:afterAutospacing="0"/>
              <w:jc w:val="right"/>
              <w:rPr>
                <w:sz w:val="20"/>
                <w:szCs w:val="20"/>
              </w:rPr>
            </w:pPr>
            <w:r>
              <w:rPr>
                <w:sz w:val="20"/>
                <w:szCs w:val="20"/>
              </w:rPr>
              <w:t>35,93</w:t>
            </w:r>
            <w:r>
              <w:rPr>
                <w:sz w:val="20"/>
                <w:szCs w:val="20"/>
              </w:rPr>
              <w:t>0</w:t>
            </w:r>
          </w:p>
        </w:tc>
        <w:tc>
          <w:tcPr>
            <w:tcW w:w="0" w:type="auto"/>
            <w:noWrap/>
            <w:vAlign w:val="bottom"/>
            <w:hideMark/>
          </w:tcPr>
          <w:p w14:paraId="1557F246" w14:textId="77777777" w:rsidR="00000000" w:rsidRDefault="00632532">
            <w:pPr>
              <w:pStyle w:val="a3"/>
              <w:spacing w:before="0" w:beforeAutospacing="0" w:after="0" w:afterAutospacing="0"/>
              <w:rPr>
                <w:sz w:val="20"/>
                <w:szCs w:val="20"/>
              </w:rPr>
            </w:pPr>
            <w:r>
              <w:rPr>
                <w:sz w:val="20"/>
                <w:szCs w:val="20"/>
              </w:rPr>
              <w:t> </w:t>
            </w:r>
          </w:p>
        </w:tc>
      </w:tr>
      <w:tr w:rsidR="00000000" w14:paraId="37839D7B" w14:textId="77777777">
        <w:trPr>
          <w:divId w:val="190609567"/>
          <w:trHeight w:val="200"/>
          <w:tblCellSpacing w:w="15" w:type="dxa"/>
        </w:trPr>
        <w:tc>
          <w:tcPr>
            <w:tcW w:w="0" w:type="auto"/>
            <w:vAlign w:val="bottom"/>
            <w:hideMark/>
          </w:tcPr>
          <w:p w14:paraId="200E97FE" w14:textId="77777777" w:rsidR="00000000" w:rsidRDefault="00632532">
            <w:pPr>
              <w:pStyle w:val="a3"/>
              <w:spacing w:before="0" w:beforeAutospacing="0" w:after="0" w:afterAutospacing="0"/>
              <w:rPr>
                <w:sz w:val="20"/>
                <w:szCs w:val="20"/>
              </w:rPr>
            </w:pPr>
            <w:r>
              <w:rPr>
                <w:sz w:val="20"/>
                <w:szCs w:val="20"/>
              </w:rPr>
              <w:t>Leasehold improvement</w:t>
            </w:r>
            <w:r>
              <w:rPr>
                <w:sz w:val="20"/>
                <w:szCs w:val="20"/>
              </w:rPr>
              <w:t>s</w:t>
            </w:r>
          </w:p>
        </w:tc>
        <w:tc>
          <w:tcPr>
            <w:tcW w:w="0" w:type="auto"/>
            <w:vAlign w:val="bottom"/>
            <w:hideMark/>
          </w:tcPr>
          <w:p w14:paraId="6AE9AA96" w14:textId="77777777" w:rsidR="00000000" w:rsidRDefault="00632532">
            <w:pPr>
              <w:pStyle w:val="a3"/>
              <w:spacing w:before="0" w:beforeAutospacing="0" w:after="0" w:afterAutospacing="0"/>
              <w:jc w:val="center"/>
              <w:rPr>
                <w:sz w:val="20"/>
                <w:szCs w:val="20"/>
              </w:rPr>
            </w:pPr>
            <w:r>
              <w:rPr>
                <w:sz w:val="20"/>
                <w:szCs w:val="20"/>
              </w:rPr>
              <w:t>Shorter of lease term or estimated useful lif</w:t>
            </w:r>
            <w:r>
              <w:rPr>
                <w:sz w:val="20"/>
                <w:szCs w:val="20"/>
              </w:rPr>
              <w:t>e</w:t>
            </w:r>
          </w:p>
        </w:tc>
        <w:tc>
          <w:tcPr>
            <w:tcW w:w="0" w:type="auto"/>
            <w:noWrap/>
            <w:vAlign w:val="bottom"/>
            <w:hideMark/>
          </w:tcPr>
          <w:p w14:paraId="214228F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2B4C5A" w14:textId="77777777" w:rsidR="00000000" w:rsidRDefault="00632532">
            <w:pPr>
              <w:pStyle w:val="a3"/>
              <w:spacing w:before="0" w:beforeAutospacing="0" w:after="0" w:afterAutospacing="0"/>
              <w:jc w:val="right"/>
              <w:rPr>
                <w:sz w:val="20"/>
                <w:szCs w:val="20"/>
              </w:rPr>
            </w:pPr>
            <w:r>
              <w:rPr>
                <w:sz w:val="20"/>
                <w:szCs w:val="20"/>
              </w:rPr>
              <w:t>11,86</w:t>
            </w:r>
            <w:r>
              <w:rPr>
                <w:sz w:val="20"/>
                <w:szCs w:val="20"/>
              </w:rPr>
              <w:t>7</w:t>
            </w:r>
          </w:p>
        </w:tc>
        <w:tc>
          <w:tcPr>
            <w:tcW w:w="0" w:type="auto"/>
            <w:noWrap/>
            <w:vAlign w:val="bottom"/>
            <w:hideMark/>
          </w:tcPr>
          <w:p w14:paraId="521CD56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73315C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DD64EF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A099B2" w14:textId="77777777" w:rsidR="00000000" w:rsidRDefault="00632532">
            <w:pPr>
              <w:pStyle w:val="a3"/>
              <w:spacing w:before="0" w:beforeAutospacing="0" w:after="0" w:afterAutospacing="0"/>
              <w:jc w:val="right"/>
              <w:rPr>
                <w:sz w:val="20"/>
                <w:szCs w:val="20"/>
              </w:rPr>
            </w:pPr>
            <w:r>
              <w:rPr>
                <w:sz w:val="20"/>
                <w:szCs w:val="20"/>
              </w:rPr>
              <w:t>4,00</w:t>
            </w:r>
            <w:r>
              <w:rPr>
                <w:sz w:val="20"/>
                <w:szCs w:val="20"/>
              </w:rPr>
              <w:t>3</w:t>
            </w:r>
          </w:p>
        </w:tc>
        <w:tc>
          <w:tcPr>
            <w:tcW w:w="0" w:type="auto"/>
            <w:noWrap/>
            <w:vAlign w:val="bottom"/>
            <w:hideMark/>
          </w:tcPr>
          <w:p w14:paraId="69352970" w14:textId="77777777" w:rsidR="00000000" w:rsidRDefault="00632532">
            <w:pPr>
              <w:pStyle w:val="a3"/>
              <w:spacing w:before="0" w:beforeAutospacing="0" w:after="0" w:afterAutospacing="0"/>
              <w:rPr>
                <w:sz w:val="20"/>
                <w:szCs w:val="20"/>
              </w:rPr>
            </w:pPr>
            <w:r>
              <w:rPr>
                <w:sz w:val="20"/>
                <w:szCs w:val="20"/>
              </w:rPr>
              <w:t> </w:t>
            </w:r>
          </w:p>
        </w:tc>
      </w:tr>
      <w:tr w:rsidR="00000000" w14:paraId="15A2E812" w14:textId="77777777">
        <w:trPr>
          <w:divId w:val="190609567"/>
          <w:trHeight w:val="200"/>
          <w:tblCellSpacing w:w="15" w:type="dxa"/>
        </w:trPr>
        <w:tc>
          <w:tcPr>
            <w:tcW w:w="0" w:type="auto"/>
            <w:vAlign w:val="bottom"/>
            <w:hideMark/>
          </w:tcPr>
          <w:p w14:paraId="4F3D51D2" w14:textId="77777777" w:rsidR="00000000" w:rsidRDefault="00632532">
            <w:pPr>
              <w:pStyle w:val="a3"/>
              <w:spacing w:before="0" w:beforeAutospacing="0" w:after="0" w:afterAutospacing="0"/>
              <w:rPr>
                <w:sz w:val="20"/>
                <w:szCs w:val="20"/>
              </w:rPr>
            </w:pPr>
            <w:r>
              <w:rPr>
                <w:sz w:val="20"/>
                <w:szCs w:val="20"/>
              </w:rPr>
              <w:t>Computer hardwar</w:t>
            </w:r>
            <w:r>
              <w:rPr>
                <w:sz w:val="20"/>
                <w:szCs w:val="20"/>
              </w:rPr>
              <w:t>e</w:t>
            </w:r>
          </w:p>
        </w:tc>
        <w:tc>
          <w:tcPr>
            <w:tcW w:w="0" w:type="auto"/>
            <w:vAlign w:val="bottom"/>
            <w:hideMark/>
          </w:tcPr>
          <w:p w14:paraId="7E78D2D5" w14:textId="77777777" w:rsidR="00000000" w:rsidRDefault="00632532">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5</w:t>
            </w:r>
            <w:r>
              <w:rPr>
                <w:sz w:val="20"/>
                <w:szCs w:val="20"/>
              </w:rPr>
              <w:t> Year</w:t>
            </w:r>
            <w:r>
              <w:rPr>
                <w:sz w:val="20"/>
                <w:szCs w:val="20"/>
              </w:rPr>
              <w:t>s</w:t>
            </w:r>
          </w:p>
        </w:tc>
        <w:tc>
          <w:tcPr>
            <w:tcW w:w="0" w:type="auto"/>
            <w:noWrap/>
            <w:vAlign w:val="bottom"/>
            <w:hideMark/>
          </w:tcPr>
          <w:p w14:paraId="7C3D24A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0B3C41A" w14:textId="77777777" w:rsidR="00000000" w:rsidRDefault="00632532">
            <w:pPr>
              <w:pStyle w:val="a3"/>
              <w:spacing w:before="0" w:beforeAutospacing="0" w:after="0" w:afterAutospacing="0"/>
              <w:jc w:val="right"/>
              <w:rPr>
                <w:sz w:val="20"/>
                <w:szCs w:val="20"/>
              </w:rPr>
            </w:pPr>
            <w:r>
              <w:rPr>
                <w:sz w:val="20"/>
                <w:szCs w:val="20"/>
              </w:rPr>
              <w:t>7,16</w:t>
            </w:r>
            <w:r>
              <w:rPr>
                <w:sz w:val="20"/>
                <w:szCs w:val="20"/>
              </w:rPr>
              <w:t>3</w:t>
            </w:r>
          </w:p>
        </w:tc>
        <w:tc>
          <w:tcPr>
            <w:tcW w:w="0" w:type="auto"/>
            <w:noWrap/>
            <w:vAlign w:val="bottom"/>
            <w:hideMark/>
          </w:tcPr>
          <w:p w14:paraId="1B77048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FF52B7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B90990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4C12AA" w14:textId="77777777" w:rsidR="00000000" w:rsidRDefault="00632532">
            <w:pPr>
              <w:pStyle w:val="a3"/>
              <w:spacing w:before="0" w:beforeAutospacing="0" w:after="0" w:afterAutospacing="0"/>
              <w:jc w:val="right"/>
              <w:rPr>
                <w:sz w:val="20"/>
                <w:szCs w:val="20"/>
              </w:rPr>
            </w:pPr>
            <w:r>
              <w:rPr>
                <w:sz w:val="20"/>
                <w:szCs w:val="20"/>
              </w:rPr>
              <w:t>5,66</w:t>
            </w:r>
            <w:r>
              <w:rPr>
                <w:sz w:val="20"/>
                <w:szCs w:val="20"/>
              </w:rPr>
              <w:t>1</w:t>
            </w:r>
          </w:p>
        </w:tc>
        <w:tc>
          <w:tcPr>
            <w:tcW w:w="0" w:type="auto"/>
            <w:noWrap/>
            <w:vAlign w:val="bottom"/>
            <w:hideMark/>
          </w:tcPr>
          <w:p w14:paraId="4274CB2A" w14:textId="77777777" w:rsidR="00000000" w:rsidRDefault="00632532">
            <w:pPr>
              <w:pStyle w:val="a3"/>
              <w:spacing w:before="0" w:beforeAutospacing="0" w:after="0" w:afterAutospacing="0"/>
              <w:rPr>
                <w:sz w:val="20"/>
                <w:szCs w:val="20"/>
              </w:rPr>
            </w:pPr>
            <w:r>
              <w:rPr>
                <w:sz w:val="20"/>
                <w:szCs w:val="20"/>
              </w:rPr>
              <w:t> </w:t>
            </w:r>
          </w:p>
        </w:tc>
      </w:tr>
      <w:tr w:rsidR="00000000" w14:paraId="4670016A" w14:textId="77777777">
        <w:trPr>
          <w:divId w:val="190609567"/>
          <w:trHeight w:val="200"/>
          <w:tblCellSpacing w:w="15" w:type="dxa"/>
        </w:trPr>
        <w:tc>
          <w:tcPr>
            <w:tcW w:w="0" w:type="auto"/>
            <w:vAlign w:val="bottom"/>
            <w:hideMark/>
          </w:tcPr>
          <w:p w14:paraId="25ADBDE7" w14:textId="77777777" w:rsidR="00000000" w:rsidRDefault="00632532">
            <w:pPr>
              <w:pStyle w:val="a3"/>
              <w:spacing w:before="0" w:beforeAutospacing="0" w:after="0" w:afterAutospacing="0"/>
              <w:rPr>
                <w:sz w:val="20"/>
                <w:szCs w:val="20"/>
              </w:rPr>
            </w:pPr>
            <w:r>
              <w:rPr>
                <w:sz w:val="20"/>
                <w:szCs w:val="20"/>
              </w:rPr>
              <w:t>Computer softwar</w:t>
            </w:r>
            <w:r>
              <w:rPr>
                <w:sz w:val="20"/>
                <w:szCs w:val="20"/>
              </w:rPr>
              <w:t>e</w:t>
            </w:r>
          </w:p>
        </w:tc>
        <w:tc>
          <w:tcPr>
            <w:tcW w:w="0" w:type="auto"/>
            <w:vAlign w:val="bottom"/>
            <w:hideMark/>
          </w:tcPr>
          <w:p w14:paraId="155B05B6" w14:textId="77777777" w:rsidR="00000000" w:rsidRDefault="00632532">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5 Year</w:t>
            </w:r>
            <w:r>
              <w:rPr>
                <w:sz w:val="20"/>
                <w:szCs w:val="20"/>
              </w:rPr>
              <w:t>s</w:t>
            </w:r>
          </w:p>
        </w:tc>
        <w:tc>
          <w:tcPr>
            <w:tcW w:w="0" w:type="auto"/>
            <w:noWrap/>
            <w:vAlign w:val="bottom"/>
            <w:hideMark/>
          </w:tcPr>
          <w:p w14:paraId="5FF6D2D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B032CAB" w14:textId="77777777" w:rsidR="00000000" w:rsidRDefault="00632532">
            <w:pPr>
              <w:pStyle w:val="a3"/>
              <w:spacing w:before="0" w:beforeAutospacing="0" w:after="0" w:afterAutospacing="0"/>
              <w:jc w:val="right"/>
              <w:rPr>
                <w:sz w:val="20"/>
                <w:szCs w:val="20"/>
              </w:rPr>
            </w:pPr>
            <w:r>
              <w:rPr>
                <w:sz w:val="20"/>
                <w:szCs w:val="20"/>
              </w:rPr>
              <w:t>6,91</w:t>
            </w:r>
            <w:r>
              <w:rPr>
                <w:sz w:val="20"/>
                <w:szCs w:val="20"/>
              </w:rPr>
              <w:t>8</w:t>
            </w:r>
          </w:p>
        </w:tc>
        <w:tc>
          <w:tcPr>
            <w:tcW w:w="0" w:type="auto"/>
            <w:noWrap/>
            <w:vAlign w:val="bottom"/>
            <w:hideMark/>
          </w:tcPr>
          <w:p w14:paraId="63D5563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5866E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C6F676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DDE36E" w14:textId="77777777" w:rsidR="00000000" w:rsidRDefault="00632532">
            <w:pPr>
              <w:pStyle w:val="a3"/>
              <w:spacing w:before="0" w:beforeAutospacing="0" w:after="0" w:afterAutospacing="0"/>
              <w:jc w:val="right"/>
              <w:rPr>
                <w:sz w:val="20"/>
                <w:szCs w:val="20"/>
              </w:rPr>
            </w:pPr>
            <w:r>
              <w:rPr>
                <w:sz w:val="20"/>
                <w:szCs w:val="20"/>
              </w:rPr>
              <w:t>1,40</w:t>
            </w:r>
            <w:r>
              <w:rPr>
                <w:sz w:val="20"/>
                <w:szCs w:val="20"/>
              </w:rPr>
              <w:t>8</w:t>
            </w:r>
          </w:p>
        </w:tc>
        <w:tc>
          <w:tcPr>
            <w:tcW w:w="0" w:type="auto"/>
            <w:noWrap/>
            <w:vAlign w:val="bottom"/>
            <w:hideMark/>
          </w:tcPr>
          <w:p w14:paraId="536AE214" w14:textId="77777777" w:rsidR="00000000" w:rsidRDefault="00632532">
            <w:pPr>
              <w:pStyle w:val="a3"/>
              <w:spacing w:before="0" w:beforeAutospacing="0" w:after="0" w:afterAutospacing="0"/>
              <w:rPr>
                <w:sz w:val="20"/>
                <w:szCs w:val="20"/>
              </w:rPr>
            </w:pPr>
            <w:r>
              <w:rPr>
                <w:sz w:val="20"/>
                <w:szCs w:val="20"/>
              </w:rPr>
              <w:t> </w:t>
            </w:r>
          </w:p>
        </w:tc>
      </w:tr>
      <w:tr w:rsidR="00000000" w14:paraId="63BCCA3D" w14:textId="77777777">
        <w:trPr>
          <w:divId w:val="190609567"/>
          <w:trHeight w:val="200"/>
          <w:tblCellSpacing w:w="15" w:type="dxa"/>
        </w:trPr>
        <w:tc>
          <w:tcPr>
            <w:tcW w:w="0" w:type="auto"/>
            <w:vAlign w:val="bottom"/>
            <w:hideMark/>
          </w:tcPr>
          <w:p w14:paraId="51F32BC7" w14:textId="77777777" w:rsidR="00000000" w:rsidRDefault="00632532">
            <w:pPr>
              <w:pStyle w:val="a3"/>
              <w:spacing w:before="0" w:beforeAutospacing="0" w:after="0" w:afterAutospacing="0"/>
              <w:rPr>
                <w:sz w:val="20"/>
                <w:szCs w:val="20"/>
              </w:rPr>
            </w:pPr>
            <w:r>
              <w:rPr>
                <w:sz w:val="20"/>
                <w:szCs w:val="20"/>
              </w:rPr>
              <w:t>Buildin</w:t>
            </w:r>
            <w:r>
              <w:rPr>
                <w:sz w:val="20"/>
                <w:szCs w:val="20"/>
              </w:rPr>
              <w:t>g</w:t>
            </w:r>
          </w:p>
        </w:tc>
        <w:tc>
          <w:tcPr>
            <w:tcW w:w="0" w:type="auto"/>
            <w:vAlign w:val="bottom"/>
            <w:hideMark/>
          </w:tcPr>
          <w:p w14:paraId="78E35D30" w14:textId="77777777" w:rsidR="00000000" w:rsidRDefault="00632532">
            <w:pPr>
              <w:pStyle w:val="a3"/>
              <w:spacing w:before="0" w:beforeAutospacing="0" w:after="0" w:afterAutospacing="0"/>
              <w:jc w:val="center"/>
              <w:rPr>
                <w:sz w:val="20"/>
                <w:szCs w:val="20"/>
              </w:rPr>
            </w:pPr>
            <w:r>
              <w:rPr>
                <w:sz w:val="20"/>
                <w:szCs w:val="20"/>
              </w:rPr>
              <w:t>3</w:t>
            </w:r>
            <w:r>
              <w:rPr>
                <w:sz w:val="20"/>
                <w:szCs w:val="20"/>
              </w:rPr>
              <w:t>9</w:t>
            </w:r>
            <w:r>
              <w:rPr>
                <w:sz w:val="20"/>
                <w:szCs w:val="20"/>
              </w:rPr>
              <w:t> Year</w:t>
            </w:r>
            <w:r>
              <w:rPr>
                <w:sz w:val="20"/>
                <w:szCs w:val="20"/>
              </w:rPr>
              <w:t>s</w:t>
            </w:r>
          </w:p>
        </w:tc>
        <w:tc>
          <w:tcPr>
            <w:tcW w:w="0" w:type="auto"/>
            <w:noWrap/>
            <w:vAlign w:val="bottom"/>
            <w:hideMark/>
          </w:tcPr>
          <w:p w14:paraId="457AE9D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6A544C" w14:textId="77777777" w:rsidR="00000000" w:rsidRDefault="00632532">
            <w:pPr>
              <w:pStyle w:val="a3"/>
              <w:spacing w:before="0" w:beforeAutospacing="0" w:after="0" w:afterAutospacing="0"/>
              <w:jc w:val="right"/>
              <w:rPr>
                <w:sz w:val="20"/>
                <w:szCs w:val="20"/>
              </w:rPr>
            </w:pPr>
            <w:r>
              <w:rPr>
                <w:sz w:val="20"/>
                <w:szCs w:val="20"/>
              </w:rPr>
              <w:t>6,73</w:t>
            </w:r>
            <w:r>
              <w:rPr>
                <w:sz w:val="20"/>
                <w:szCs w:val="20"/>
              </w:rPr>
              <w:t>1</w:t>
            </w:r>
          </w:p>
        </w:tc>
        <w:tc>
          <w:tcPr>
            <w:tcW w:w="0" w:type="auto"/>
            <w:noWrap/>
            <w:vAlign w:val="bottom"/>
            <w:hideMark/>
          </w:tcPr>
          <w:p w14:paraId="6530A40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6107D4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1A2C82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E4BB29" w14:textId="77777777" w:rsidR="00000000" w:rsidRDefault="00632532">
            <w:pPr>
              <w:pStyle w:val="a3"/>
              <w:spacing w:before="0" w:beforeAutospacing="0" w:after="0" w:afterAutospacing="0"/>
              <w:jc w:val="right"/>
              <w:rPr>
                <w:sz w:val="20"/>
                <w:szCs w:val="20"/>
              </w:rPr>
            </w:pPr>
            <w:r>
              <w:rPr>
                <w:sz w:val="20"/>
                <w:szCs w:val="20"/>
              </w:rPr>
              <w:t>6,73</w:t>
            </w:r>
            <w:r>
              <w:rPr>
                <w:sz w:val="20"/>
                <w:szCs w:val="20"/>
              </w:rPr>
              <w:t>1</w:t>
            </w:r>
          </w:p>
        </w:tc>
        <w:tc>
          <w:tcPr>
            <w:tcW w:w="0" w:type="auto"/>
            <w:noWrap/>
            <w:vAlign w:val="bottom"/>
            <w:hideMark/>
          </w:tcPr>
          <w:p w14:paraId="5DECE291" w14:textId="77777777" w:rsidR="00000000" w:rsidRDefault="00632532">
            <w:pPr>
              <w:pStyle w:val="a3"/>
              <w:spacing w:before="0" w:beforeAutospacing="0" w:after="0" w:afterAutospacing="0"/>
              <w:rPr>
                <w:sz w:val="20"/>
                <w:szCs w:val="20"/>
              </w:rPr>
            </w:pPr>
            <w:r>
              <w:rPr>
                <w:sz w:val="20"/>
                <w:szCs w:val="20"/>
              </w:rPr>
              <w:t> </w:t>
            </w:r>
          </w:p>
        </w:tc>
      </w:tr>
      <w:tr w:rsidR="00000000" w14:paraId="504BE986" w14:textId="77777777">
        <w:trPr>
          <w:divId w:val="190609567"/>
          <w:trHeight w:val="200"/>
          <w:tblCellSpacing w:w="15" w:type="dxa"/>
        </w:trPr>
        <w:tc>
          <w:tcPr>
            <w:tcW w:w="0" w:type="auto"/>
            <w:vAlign w:val="bottom"/>
            <w:hideMark/>
          </w:tcPr>
          <w:p w14:paraId="5CA75FC6" w14:textId="77777777" w:rsidR="00000000" w:rsidRDefault="00632532">
            <w:pPr>
              <w:pStyle w:val="a3"/>
              <w:spacing w:before="0" w:beforeAutospacing="0" w:after="0" w:afterAutospacing="0"/>
              <w:rPr>
                <w:sz w:val="20"/>
                <w:szCs w:val="20"/>
              </w:rPr>
            </w:pPr>
            <w:r>
              <w:rPr>
                <w:sz w:val="20"/>
                <w:szCs w:val="20"/>
              </w:rPr>
              <w:t>Aircraf</w:t>
            </w:r>
            <w:r>
              <w:rPr>
                <w:sz w:val="20"/>
                <w:szCs w:val="20"/>
              </w:rPr>
              <w:t>t</w:t>
            </w:r>
          </w:p>
        </w:tc>
        <w:tc>
          <w:tcPr>
            <w:tcW w:w="0" w:type="auto"/>
            <w:vAlign w:val="bottom"/>
            <w:hideMark/>
          </w:tcPr>
          <w:p w14:paraId="1C121210" w14:textId="77777777" w:rsidR="00000000" w:rsidRDefault="00632532">
            <w:pPr>
              <w:pStyle w:val="a3"/>
              <w:spacing w:before="0" w:beforeAutospacing="0" w:after="0" w:afterAutospacing="0"/>
              <w:jc w:val="center"/>
              <w:rPr>
                <w:sz w:val="20"/>
                <w:szCs w:val="20"/>
              </w:rPr>
            </w:pPr>
            <w:r>
              <w:rPr>
                <w:sz w:val="20"/>
                <w:szCs w:val="20"/>
              </w:rPr>
              <w:t>7</w:t>
            </w:r>
            <w:r>
              <w:rPr>
                <w:sz w:val="20"/>
                <w:szCs w:val="20"/>
              </w:rPr>
              <w:t> Year</w:t>
            </w:r>
            <w:r>
              <w:rPr>
                <w:sz w:val="20"/>
                <w:szCs w:val="20"/>
              </w:rPr>
              <w:t>s</w:t>
            </w:r>
          </w:p>
        </w:tc>
        <w:tc>
          <w:tcPr>
            <w:tcW w:w="0" w:type="auto"/>
            <w:noWrap/>
            <w:vAlign w:val="bottom"/>
            <w:hideMark/>
          </w:tcPr>
          <w:p w14:paraId="7C4BAF3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8D2AFD" w14:textId="77777777" w:rsidR="00000000" w:rsidRDefault="00632532">
            <w:pPr>
              <w:pStyle w:val="a3"/>
              <w:spacing w:before="0" w:beforeAutospacing="0" w:after="0" w:afterAutospacing="0"/>
              <w:jc w:val="right"/>
              <w:rPr>
                <w:sz w:val="20"/>
                <w:szCs w:val="20"/>
              </w:rPr>
            </w:pPr>
            <w:r>
              <w:rPr>
                <w:sz w:val="20"/>
                <w:szCs w:val="20"/>
              </w:rPr>
              <w:t>6,50</w:t>
            </w:r>
            <w:r>
              <w:rPr>
                <w:sz w:val="20"/>
                <w:szCs w:val="20"/>
              </w:rPr>
              <w:t>3</w:t>
            </w:r>
          </w:p>
        </w:tc>
        <w:tc>
          <w:tcPr>
            <w:tcW w:w="0" w:type="auto"/>
            <w:noWrap/>
            <w:vAlign w:val="bottom"/>
            <w:hideMark/>
          </w:tcPr>
          <w:p w14:paraId="08B728A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59FEC3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336718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AEC0BB" w14:textId="77777777" w:rsidR="00000000" w:rsidRDefault="00632532">
            <w:pPr>
              <w:pStyle w:val="a3"/>
              <w:spacing w:before="0" w:beforeAutospacing="0" w:after="0" w:afterAutospacing="0"/>
              <w:jc w:val="right"/>
              <w:rPr>
                <w:sz w:val="20"/>
                <w:szCs w:val="20"/>
              </w:rPr>
            </w:pPr>
            <w:r>
              <w:rPr>
                <w:sz w:val="20"/>
                <w:szCs w:val="20"/>
              </w:rPr>
              <w:t>6,50</w:t>
            </w:r>
            <w:r>
              <w:rPr>
                <w:sz w:val="20"/>
                <w:szCs w:val="20"/>
              </w:rPr>
              <w:t>3</w:t>
            </w:r>
          </w:p>
        </w:tc>
        <w:tc>
          <w:tcPr>
            <w:tcW w:w="0" w:type="auto"/>
            <w:noWrap/>
            <w:vAlign w:val="bottom"/>
            <w:hideMark/>
          </w:tcPr>
          <w:p w14:paraId="0D249A9B" w14:textId="77777777" w:rsidR="00000000" w:rsidRDefault="00632532">
            <w:pPr>
              <w:pStyle w:val="a3"/>
              <w:spacing w:before="0" w:beforeAutospacing="0" w:after="0" w:afterAutospacing="0"/>
              <w:rPr>
                <w:sz w:val="20"/>
                <w:szCs w:val="20"/>
              </w:rPr>
            </w:pPr>
            <w:r>
              <w:rPr>
                <w:sz w:val="20"/>
                <w:szCs w:val="20"/>
              </w:rPr>
              <w:t> </w:t>
            </w:r>
          </w:p>
        </w:tc>
      </w:tr>
      <w:tr w:rsidR="00000000" w14:paraId="47991214" w14:textId="77777777">
        <w:trPr>
          <w:divId w:val="190609567"/>
          <w:trHeight w:val="200"/>
          <w:tblCellSpacing w:w="15" w:type="dxa"/>
        </w:trPr>
        <w:tc>
          <w:tcPr>
            <w:tcW w:w="0" w:type="auto"/>
            <w:vAlign w:val="bottom"/>
            <w:hideMark/>
          </w:tcPr>
          <w:p w14:paraId="0B4AA2E2" w14:textId="77777777" w:rsidR="00000000" w:rsidRDefault="00632532">
            <w:pPr>
              <w:pStyle w:val="a3"/>
              <w:spacing w:before="0" w:beforeAutospacing="0" w:after="0" w:afterAutospacing="0"/>
              <w:rPr>
                <w:sz w:val="20"/>
                <w:szCs w:val="20"/>
              </w:rPr>
            </w:pPr>
            <w:r>
              <w:rPr>
                <w:sz w:val="20"/>
                <w:szCs w:val="20"/>
              </w:rPr>
              <w:t>Building improvement</w:t>
            </w:r>
            <w:r>
              <w:rPr>
                <w:sz w:val="20"/>
                <w:szCs w:val="20"/>
              </w:rPr>
              <w:t>s</w:t>
            </w:r>
          </w:p>
        </w:tc>
        <w:tc>
          <w:tcPr>
            <w:tcW w:w="0" w:type="auto"/>
            <w:vAlign w:val="bottom"/>
            <w:hideMark/>
          </w:tcPr>
          <w:p w14:paraId="49576C7A" w14:textId="77777777" w:rsidR="00000000" w:rsidRDefault="00632532">
            <w:pPr>
              <w:pStyle w:val="a3"/>
              <w:spacing w:before="0" w:beforeAutospacing="0" w:after="0" w:afterAutospacing="0"/>
              <w:jc w:val="center"/>
              <w:rPr>
                <w:sz w:val="20"/>
                <w:szCs w:val="20"/>
              </w:rPr>
            </w:pPr>
            <w:r>
              <w:rPr>
                <w:sz w:val="20"/>
                <w:szCs w:val="20"/>
              </w:rPr>
              <w:t>6</w:t>
            </w:r>
            <w:r>
              <w:rPr>
                <w:sz w:val="20"/>
                <w:szCs w:val="20"/>
              </w:rPr>
              <w:t> months to</w:t>
            </w:r>
            <w:r>
              <w:rPr>
                <w:sz w:val="20"/>
                <w:szCs w:val="20"/>
              </w:rPr>
              <w:t xml:space="preserve"> </w:t>
            </w:r>
            <w:r>
              <w:rPr>
                <w:sz w:val="20"/>
                <w:szCs w:val="20"/>
              </w:rPr>
              <w:t>3</w:t>
            </w:r>
            <w:r>
              <w:rPr>
                <w:sz w:val="20"/>
                <w:szCs w:val="20"/>
              </w:rPr>
              <w:t>9</w:t>
            </w:r>
            <w:r>
              <w:rPr>
                <w:sz w:val="20"/>
                <w:szCs w:val="20"/>
              </w:rPr>
              <w:t> Year</w:t>
            </w:r>
            <w:r>
              <w:rPr>
                <w:sz w:val="20"/>
                <w:szCs w:val="20"/>
              </w:rPr>
              <w:t>s</w:t>
            </w:r>
          </w:p>
        </w:tc>
        <w:tc>
          <w:tcPr>
            <w:tcW w:w="0" w:type="auto"/>
            <w:noWrap/>
            <w:vAlign w:val="bottom"/>
            <w:hideMark/>
          </w:tcPr>
          <w:p w14:paraId="39E95CE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9D3EC4" w14:textId="77777777" w:rsidR="00000000" w:rsidRDefault="00632532">
            <w:pPr>
              <w:pStyle w:val="a3"/>
              <w:spacing w:before="0" w:beforeAutospacing="0" w:after="0" w:afterAutospacing="0"/>
              <w:jc w:val="right"/>
              <w:rPr>
                <w:sz w:val="20"/>
                <w:szCs w:val="20"/>
              </w:rPr>
            </w:pPr>
            <w:r>
              <w:rPr>
                <w:sz w:val="20"/>
                <w:szCs w:val="20"/>
              </w:rPr>
              <w:t>4,83</w:t>
            </w:r>
            <w:r>
              <w:rPr>
                <w:sz w:val="20"/>
                <w:szCs w:val="20"/>
              </w:rPr>
              <w:t>0</w:t>
            </w:r>
          </w:p>
        </w:tc>
        <w:tc>
          <w:tcPr>
            <w:tcW w:w="0" w:type="auto"/>
            <w:noWrap/>
            <w:vAlign w:val="bottom"/>
            <w:hideMark/>
          </w:tcPr>
          <w:p w14:paraId="537DB7E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905C6F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DAE5FE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5A1CB8D" w14:textId="77777777" w:rsidR="00000000" w:rsidRDefault="00632532">
            <w:pPr>
              <w:pStyle w:val="a3"/>
              <w:spacing w:before="0" w:beforeAutospacing="0" w:after="0" w:afterAutospacing="0"/>
              <w:jc w:val="right"/>
              <w:rPr>
                <w:sz w:val="20"/>
                <w:szCs w:val="20"/>
              </w:rPr>
            </w:pPr>
            <w:r>
              <w:rPr>
                <w:sz w:val="20"/>
                <w:szCs w:val="20"/>
              </w:rPr>
              <w:t>3,93</w:t>
            </w:r>
            <w:r>
              <w:rPr>
                <w:sz w:val="20"/>
                <w:szCs w:val="20"/>
              </w:rPr>
              <w:t>6</w:t>
            </w:r>
          </w:p>
        </w:tc>
        <w:tc>
          <w:tcPr>
            <w:tcW w:w="0" w:type="auto"/>
            <w:noWrap/>
            <w:vAlign w:val="bottom"/>
            <w:hideMark/>
          </w:tcPr>
          <w:p w14:paraId="5B0AC79F" w14:textId="77777777" w:rsidR="00000000" w:rsidRDefault="00632532">
            <w:pPr>
              <w:pStyle w:val="a3"/>
              <w:spacing w:before="0" w:beforeAutospacing="0" w:after="0" w:afterAutospacing="0"/>
              <w:rPr>
                <w:sz w:val="20"/>
                <w:szCs w:val="20"/>
              </w:rPr>
            </w:pPr>
            <w:r>
              <w:rPr>
                <w:sz w:val="20"/>
                <w:szCs w:val="20"/>
              </w:rPr>
              <w:t> </w:t>
            </w:r>
          </w:p>
        </w:tc>
      </w:tr>
      <w:tr w:rsidR="00000000" w14:paraId="2FFDA63D" w14:textId="77777777">
        <w:trPr>
          <w:divId w:val="190609567"/>
          <w:trHeight w:val="200"/>
          <w:tblCellSpacing w:w="15" w:type="dxa"/>
        </w:trPr>
        <w:tc>
          <w:tcPr>
            <w:tcW w:w="0" w:type="auto"/>
            <w:vAlign w:val="bottom"/>
            <w:hideMark/>
          </w:tcPr>
          <w:p w14:paraId="565751A5" w14:textId="77777777" w:rsidR="00000000" w:rsidRDefault="00632532">
            <w:pPr>
              <w:pStyle w:val="a3"/>
              <w:spacing w:before="0" w:beforeAutospacing="0" w:after="0" w:afterAutospacing="0"/>
              <w:rPr>
                <w:sz w:val="20"/>
                <w:szCs w:val="20"/>
              </w:rPr>
            </w:pPr>
            <w:r>
              <w:rPr>
                <w:sz w:val="20"/>
                <w:szCs w:val="20"/>
              </w:rPr>
              <w:t>Furniture and fixture</w:t>
            </w:r>
            <w:r>
              <w:rPr>
                <w:sz w:val="20"/>
                <w:szCs w:val="20"/>
              </w:rPr>
              <w:t>s</w:t>
            </w:r>
          </w:p>
        </w:tc>
        <w:tc>
          <w:tcPr>
            <w:tcW w:w="0" w:type="auto"/>
            <w:vAlign w:val="bottom"/>
            <w:hideMark/>
          </w:tcPr>
          <w:p w14:paraId="6EE4129C" w14:textId="77777777" w:rsidR="00000000" w:rsidRDefault="00632532">
            <w:pPr>
              <w:pStyle w:val="a3"/>
              <w:spacing w:before="0" w:beforeAutospacing="0" w:after="0" w:afterAutospacing="0"/>
              <w:jc w:val="center"/>
              <w:rPr>
                <w:sz w:val="20"/>
                <w:szCs w:val="20"/>
              </w:rPr>
            </w:pPr>
            <w:r>
              <w:rPr>
                <w:sz w:val="20"/>
                <w:szCs w:val="20"/>
              </w:rPr>
              <w:t>1</w:t>
            </w:r>
            <w:r>
              <w:rPr>
                <w:sz w:val="20"/>
                <w:szCs w:val="20"/>
              </w:rPr>
              <w:t> to</w:t>
            </w:r>
            <w:r>
              <w:rPr>
                <w:sz w:val="20"/>
                <w:szCs w:val="20"/>
              </w:rPr>
              <w:t xml:space="preserve"> </w:t>
            </w:r>
            <w:r>
              <w:rPr>
                <w:sz w:val="20"/>
                <w:szCs w:val="20"/>
              </w:rPr>
              <w:t>10 Year</w:t>
            </w:r>
            <w:r>
              <w:rPr>
                <w:sz w:val="20"/>
                <w:szCs w:val="20"/>
              </w:rPr>
              <w:t>s</w:t>
            </w:r>
          </w:p>
        </w:tc>
        <w:tc>
          <w:tcPr>
            <w:tcW w:w="0" w:type="auto"/>
            <w:noWrap/>
            <w:vAlign w:val="bottom"/>
            <w:hideMark/>
          </w:tcPr>
          <w:p w14:paraId="3EAAEB8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E1B43E2" w14:textId="77777777" w:rsidR="00000000" w:rsidRDefault="00632532">
            <w:pPr>
              <w:pStyle w:val="a3"/>
              <w:spacing w:before="0" w:beforeAutospacing="0" w:after="0" w:afterAutospacing="0"/>
              <w:jc w:val="right"/>
              <w:rPr>
                <w:sz w:val="20"/>
                <w:szCs w:val="20"/>
              </w:rPr>
            </w:pPr>
            <w:r>
              <w:rPr>
                <w:sz w:val="20"/>
                <w:szCs w:val="20"/>
              </w:rPr>
              <w:t>3,90</w:t>
            </w:r>
            <w:r>
              <w:rPr>
                <w:sz w:val="20"/>
                <w:szCs w:val="20"/>
              </w:rPr>
              <w:t>1</w:t>
            </w:r>
          </w:p>
        </w:tc>
        <w:tc>
          <w:tcPr>
            <w:tcW w:w="0" w:type="auto"/>
            <w:noWrap/>
            <w:vAlign w:val="bottom"/>
            <w:hideMark/>
          </w:tcPr>
          <w:p w14:paraId="37080FC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51A3C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605C1E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5EC4089" w14:textId="77777777" w:rsidR="00000000" w:rsidRDefault="00632532">
            <w:pPr>
              <w:pStyle w:val="a3"/>
              <w:spacing w:before="0" w:beforeAutospacing="0" w:after="0" w:afterAutospacing="0"/>
              <w:jc w:val="right"/>
              <w:rPr>
                <w:sz w:val="20"/>
                <w:szCs w:val="20"/>
              </w:rPr>
            </w:pPr>
            <w:r>
              <w:rPr>
                <w:sz w:val="20"/>
                <w:szCs w:val="20"/>
              </w:rPr>
              <w:t>2,25</w:t>
            </w:r>
            <w:r>
              <w:rPr>
                <w:sz w:val="20"/>
                <w:szCs w:val="20"/>
              </w:rPr>
              <w:t>5</w:t>
            </w:r>
          </w:p>
        </w:tc>
        <w:tc>
          <w:tcPr>
            <w:tcW w:w="0" w:type="auto"/>
            <w:noWrap/>
            <w:vAlign w:val="bottom"/>
            <w:hideMark/>
          </w:tcPr>
          <w:p w14:paraId="0374B984" w14:textId="77777777" w:rsidR="00000000" w:rsidRDefault="00632532">
            <w:pPr>
              <w:pStyle w:val="a3"/>
              <w:spacing w:before="0" w:beforeAutospacing="0" w:after="0" w:afterAutospacing="0"/>
              <w:rPr>
                <w:sz w:val="20"/>
                <w:szCs w:val="20"/>
              </w:rPr>
            </w:pPr>
            <w:r>
              <w:rPr>
                <w:sz w:val="20"/>
                <w:szCs w:val="20"/>
              </w:rPr>
              <w:t> </w:t>
            </w:r>
          </w:p>
        </w:tc>
      </w:tr>
      <w:tr w:rsidR="00000000" w14:paraId="350796DC" w14:textId="77777777">
        <w:trPr>
          <w:divId w:val="190609567"/>
          <w:trHeight w:val="200"/>
          <w:tblCellSpacing w:w="15" w:type="dxa"/>
        </w:trPr>
        <w:tc>
          <w:tcPr>
            <w:tcW w:w="0" w:type="auto"/>
            <w:vAlign w:val="bottom"/>
            <w:hideMark/>
          </w:tcPr>
          <w:p w14:paraId="30DF4F39" w14:textId="77777777" w:rsidR="00000000" w:rsidRDefault="00632532">
            <w:pPr>
              <w:pStyle w:val="a3"/>
              <w:spacing w:before="0" w:beforeAutospacing="0" w:after="0" w:afterAutospacing="0"/>
              <w:rPr>
                <w:sz w:val="20"/>
                <w:szCs w:val="20"/>
              </w:rPr>
            </w:pPr>
            <w:r>
              <w:rPr>
                <w:sz w:val="20"/>
                <w:szCs w:val="20"/>
              </w:rPr>
              <w:t>Automobil</w:t>
            </w:r>
            <w:r>
              <w:rPr>
                <w:sz w:val="20"/>
                <w:szCs w:val="20"/>
              </w:rPr>
              <w:t>e</w:t>
            </w:r>
          </w:p>
        </w:tc>
        <w:tc>
          <w:tcPr>
            <w:tcW w:w="0" w:type="auto"/>
            <w:vAlign w:val="bottom"/>
            <w:hideMark/>
          </w:tcPr>
          <w:p w14:paraId="01EF081D" w14:textId="77777777" w:rsidR="00000000" w:rsidRDefault="00632532">
            <w:pPr>
              <w:pStyle w:val="a3"/>
              <w:spacing w:before="0" w:beforeAutospacing="0" w:after="0" w:afterAutospacing="0"/>
              <w:jc w:val="center"/>
              <w:rPr>
                <w:sz w:val="20"/>
                <w:szCs w:val="20"/>
              </w:rPr>
            </w:pPr>
            <w:r>
              <w:rPr>
                <w:sz w:val="20"/>
                <w:szCs w:val="20"/>
              </w:rPr>
              <w:t>2</w:t>
            </w:r>
            <w:r>
              <w:rPr>
                <w:sz w:val="20"/>
                <w:szCs w:val="20"/>
              </w:rPr>
              <w:t xml:space="preserve"> </w:t>
            </w:r>
            <w:r>
              <w:rPr>
                <w:sz w:val="20"/>
                <w:szCs w:val="20"/>
              </w:rPr>
              <w:t>to</w:t>
            </w:r>
            <w:r>
              <w:rPr>
                <w:sz w:val="20"/>
                <w:szCs w:val="20"/>
              </w:rPr>
              <w:t xml:space="preserve"> </w:t>
            </w:r>
            <w:r>
              <w:rPr>
                <w:sz w:val="20"/>
                <w:szCs w:val="20"/>
              </w:rPr>
              <w:t>7</w:t>
            </w:r>
            <w:r>
              <w:rPr>
                <w:sz w:val="20"/>
                <w:szCs w:val="20"/>
              </w:rPr>
              <w:t> Year</w:t>
            </w:r>
            <w:r>
              <w:rPr>
                <w:sz w:val="20"/>
                <w:szCs w:val="20"/>
              </w:rPr>
              <w:t>s</w:t>
            </w:r>
          </w:p>
        </w:tc>
        <w:tc>
          <w:tcPr>
            <w:tcW w:w="0" w:type="auto"/>
            <w:noWrap/>
            <w:vAlign w:val="bottom"/>
            <w:hideMark/>
          </w:tcPr>
          <w:p w14:paraId="4A17022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BB3052" w14:textId="77777777" w:rsidR="00000000" w:rsidRDefault="00632532">
            <w:pPr>
              <w:pStyle w:val="a3"/>
              <w:spacing w:before="0" w:beforeAutospacing="0" w:after="0" w:afterAutospacing="0"/>
              <w:jc w:val="right"/>
              <w:rPr>
                <w:sz w:val="20"/>
                <w:szCs w:val="20"/>
              </w:rPr>
            </w:pPr>
            <w:r>
              <w:rPr>
                <w:sz w:val="20"/>
                <w:szCs w:val="20"/>
              </w:rPr>
              <w:t>85</w:t>
            </w:r>
            <w:r>
              <w:rPr>
                <w:sz w:val="20"/>
                <w:szCs w:val="20"/>
              </w:rPr>
              <w:t>0</w:t>
            </w:r>
          </w:p>
        </w:tc>
        <w:tc>
          <w:tcPr>
            <w:tcW w:w="0" w:type="auto"/>
            <w:noWrap/>
            <w:vAlign w:val="bottom"/>
            <w:hideMark/>
          </w:tcPr>
          <w:p w14:paraId="7B399E9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85065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651974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324ED2F" w14:textId="77777777" w:rsidR="00000000" w:rsidRDefault="00632532">
            <w:pPr>
              <w:pStyle w:val="a3"/>
              <w:spacing w:before="0" w:beforeAutospacing="0" w:after="0" w:afterAutospacing="0"/>
              <w:jc w:val="right"/>
              <w:rPr>
                <w:sz w:val="20"/>
                <w:szCs w:val="20"/>
              </w:rPr>
            </w:pPr>
            <w:r>
              <w:rPr>
                <w:sz w:val="20"/>
                <w:szCs w:val="20"/>
              </w:rPr>
              <w:t>82</w:t>
            </w:r>
            <w:r>
              <w:rPr>
                <w:sz w:val="20"/>
                <w:szCs w:val="20"/>
              </w:rPr>
              <w:t>5</w:t>
            </w:r>
          </w:p>
        </w:tc>
        <w:tc>
          <w:tcPr>
            <w:tcW w:w="0" w:type="auto"/>
            <w:noWrap/>
            <w:vAlign w:val="bottom"/>
            <w:hideMark/>
          </w:tcPr>
          <w:p w14:paraId="7AAC09F9" w14:textId="77777777" w:rsidR="00000000" w:rsidRDefault="00632532">
            <w:pPr>
              <w:pStyle w:val="a3"/>
              <w:spacing w:before="0" w:beforeAutospacing="0" w:after="0" w:afterAutospacing="0"/>
              <w:rPr>
                <w:sz w:val="20"/>
                <w:szCs w:val="20"/>
              </w:rPr>
            </w:pPr>
            <w:r>
              <w:rPr>
                <w:sz w:val="20"/>
                <w:szCs w:val="20"/>
              </w:rPr>
              <w:t> </w:t>
            </w:r>
          </w:p>
        </w:tc>
      </w:tr>
      <w:tr w:rsidR="00000000" w14:paraId="236C8EBB" w14:textId="77777777">
        <w:trPr>
          <w:divId w:val="190609567"/>
          <w:trHeight w:val="200"/>
          <w:tblCellSpacing w:w="15" w:type="dxa"/>
        </w:trPr>
        <w:tc>
          <w:tcPr>
            <w:tcW w:w="0" w:type="auto"/>
            <w:vAlign w:val="bottom"/>
            <w:hideMark/>
          </w:tcPr>
          <w:p w14:paraId="7F334412" w14:textId="77777777" w:rsidR="00000000" w:rsidRDefault="00632532">
            <w:pPr>
              <w:pStyle w:val="a3"/>
              <w:spacing w:before="0" w:beforeAutospacing="0" w:after="0" w:afterAutospacing="0"/>
              <w:rPr>
                <w:sz w:val="20"/>
                <w:szCs w:val="20"/>
              </w:rPr>
            </w:pPr>
            <w:r>
              <w:rPr>
                <w:sz w:val="20"/>
                <w:szCs w:val="20"/>
              </w:rPr>
              <w:t>Land improvement</w:t>
            </w:r>
            <w:r>
              <w:rPr>
                <w:sz w:val="20"/>
                <w:szCs w:val="20"/>
              </w:rPr>
              <w:t>s</w:t>
            </w:r>
          </w:p>
        </w:tc>
        <w:tc>
          <w:tcPr>
            <w:tcW w:w="0" w:type="auto"/>
            <w:vAlign w:val="bottom"/>
            <w:hideMark/>
          </w:tcPr>
          <w:p w14:paraId="6CC751AF" w14:textId="77777777" w:rsidR="00000000" w:rsidRDefault="00632532">
            <w:pPr>
              <w:pStyle w:val="a3"/>
              <w:spacing w:before="0" w:beforeAutospacing="0" w:after="0" w:afterAutospacing="0"/>
              <w:jc w:val="center"/>
              <w:rPr>
                <w:sz w:val="20"/>
                <w:szCs w:val="20"/>
              </w:rPr>
            </w:pPr>
            <w:r>
              <w:rPr>
                <w:sz w:val="20"/>
                <w:szCs w:val="20"/>
              </w:rPr>
              <w:t>5</w:t>
            </w:r>
            <w:r>
              <w:rPr>
                <w:sz w:val="20"/>
                <w:szCs w:val="20"/>
              </w:rPr>
              <w:t> to</w:t>
            </w:r>
            <w:r>
              <w:rPr>
                <w:sz w:val="20"/>
                <w:szCs w:val="20"/>
              </w:rPr>
              <w:t xml:space="preserve"> </w:t>
            </w:r>
            <w:r>
              <w:rPr>
                <w:sz w:val="20"/>
                <w:szCs w:val="20"/>
              </w:rPr>
              <w:t>1</w:t>
            </w:r>
            <w:r>
              <w:rPr>
                <w:sz w:val="20"/>
                <w:szCs w:val="20"/>
              </w:rPr>
              <w:t>5</w:t>
            </w:r>
            <w:r>
              <w:rPr>
                <w:sz w:val="20"/>
                <w:szCs w:val="20"/>
              </w:rPr>
              <w:t> Year</w:t>
            </w:r>
            <w:r>
              <w:rPr>
                <w:sz w:val="20"/>
                <w:szCs w:val="20"/>
              </w:rPr>
              <w:t>s</w:t>
            </w:r>
          </w:p>
        </w:tc>
        <w:tc>
          <w:tcPr>
            <w:tcW w:w="0" w:type="auto"/>
            <w:noWrap/>
            <w:vAlign w:val="bottom"/>
            <w:hideMark/>
          </w:tcPr>
          <w:p w14:paraId="35959D3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7BC0298" w14:textId="77777777" w:rsidR="00000000" w:rsidRDefault="00632532">
            <w:pPr>
              <w:pStyle w:val="a3"/>
              <w:spacing w:before="0" w:beforeAutospacing="0" w:after="0" w:afterAutospacing="0"/>
              <w:jc w:val="right"/>
              <w:rPr>
                <w:sz w:val="20"/>
                <w:szCs w:val="20"/>
              </w:rPr>
            </w:pPr>
            <w:r>
              <w:rPr>
                <w:sz w:val="20"/>
                <w:szCs w:val="20"/>
              </w:rPr>
              <w:t>55</w:t>
            </w:r>
            <w:r>
              <w:rPr>
                <w:sz w:val="20"/>
                <w:szCs w:val="20"/>
              </w:rPr>
              <w:t>8</w:t>
            </w:r>
          </w:p>
        </w:tc>
        <w:tc>
          <w:tcPr>
            <w:tcW w:w="0" w:type="auto"/>
            <w:noWrap/>
            <w:vAlign w:val="bottom"/>
            <w:hideMark/>
          </w:tcPr>
          <w:p w14:paraId="12BC57F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88456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CDC292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522E295" w14:textId="77777777" w:rsidR="00000000" w:rsidRDefault="00632532">
            <w:pPr>
              <w:pStyle w:val="a3"/>
              <w:spacing w:before="0" w:beforeAutospacing="0" w:after="0" w:afterAutospacing="0"/>
              <w:jc w:val="right"/>
              <w:rPr>
                <w:sz w:val="20"/>
                <w:szCs w:val="20"/>
              </w:rPr>
            </w:pPr>
            <w:r>
              <w:rPr>
                <w:sz w:val="20"/>
                <w:szCs w:val="20"/>
              </w:rPr>
              <w:t>40</w:t>
            </w:r>
            <w:r>
              <w:rPr>
                <w:sz w:val="20"/>
                <w:szCs w:val="20"/>
              </w:rPr>
              <w:t>3</w:t>
            </w:r>
          </w:p>
        </w:tc>
        <w:tc>
          <w:tcPr>
            <w:tcW w:w="0" w:type="auto"/>
            <w:noWrap/>
            <w:vAlign w:val="bottom"/>
            <w:hideMark/>
          </w:tcPr>
          <w:p w14:paraId="765B30D0" w14:textId="77777777" w:rsidR="00000000" w:rsidRDefault="00632532">
            <w:pPr>
              <w:pStyle w:val="a3"/>
              <w:spacing w:before="0" w:beforeAutospacing="0" w:after="0" w:afterAutospacing="0"/>
              <w:rPr>
                <w:sz w:val="20"/>
                <w:szCs w:val="20"/>
              </w:rPr>
            </w:pPr>
            <w:r>
              <w:rPr>
                <w:sz w:val="20"/>
                <w:szCs w:val="20"/>
              </w:rPr>
              <w:t> </w:t>
            </w:r>
          </w:p>
        </w:tc>
      </w:tr>
      <w:tr w:rsidR="00000000" w14:paraId="1BB5F687" w14:textId="77777777">
        <w:trPr>
          <w:divId w:val="190609567"/>
          <w:trHeight w:val="200"/>
          <w:tblCellSpacing w:w="15" w:type="dxa"/>
        </w:trPr>
        <w:tc>
          <w:tcPr>
            <w:tcW w:w="0" w:type="auto"/>
            <w:vAlign w:val="bottom"/>
            <w:hideMark/>
          </w:tcPr>
          <w:p w14:paraId="16AC5675" w14:textId="77777777" w:rsidR="00000000" w:rsidRDefault="00632532">
            <w:pPr>
              <w:pStyle w:val="a3"/>
              <w:spacing w:before="0" w:beforeAutospacing="0" w:after="0" w:afterAutospacing="0"/>
              <w:rPr>
                <w:sz w:val="20"/>
                <w:szCs w:val="20"/>
              </w:rPr>
            </w:pPr>
            <w:r>
              <w:rPr>
                <w:sz w:val="20"/>
                <w:szCs w:val="20"/>
              </w:rPr>
              <w:t>General equipmen</w:t>
            </w:r>
            <w:r>
              <w:rPr>
                <w:sz w:val="20"/>
                <w:szCs w:val="20"/>
              </w:rPr>
              <w:t>t</w:t>
            </w:r>
          </w:p>
        </w:tc>
        <w:tc>
          <w:tcPr>
            <w:tcW w:w="0" w:type="auto"/>
            <w:vAlign w:val="bottom"/>
            <w:hideMark/>
          </w:tcPr>
          <w:p w14:paraId="6C7D74A8" w14:textId="77777777" w:rsidR="00000000" w:rsidRDefault="00632532">
            <w:pPr>
              <w:pStyle w:val="a3"/>
              <w:spacing w:before="0" w:beforeAutospacing="0" w:after="0" w:afterAutospacing="0"/>
              <w:jc w:val="center"/>
              <w:rPr>
                <w:sz w:val="20"/>
                <w:szCs w:val="20"/>
              </w:rPr>
            </w:pPr>
            <w:r>
              <w:rPr>
                <w:sz w:val="20"/>
                <w:szCs w:val="20"/>
              </w:rPr>
              <w:t>3</w:t>
            </w:r>
            <w:r>
              <w:rPr>
                <w:sz w:val="20"/>
                <w:szCs w:val="20"/>
              </w:rPr>
              <w:t> to</w:t>
            </w:r>
            <w:r>
              <w:rPr>
                <w:sz w:val="20"/>
                <w:szCs w:val="20"/>
              </w:rPr>
              <w:t xml:space="preserve"> </w:t>
            </w:r>
            <w:r>
              <w:rPr>
                <w:sz w:val="20"/>
                <w:szCs w:val="20"/>
              </w:rPr>
              <w:t>5 Year</w:t>
            </w:r>
            <w:r>
              <w:rPr>
                <w:sz w:val="20"/>
                <w:szCs w:val="20"/>
              </w:rPr>
              <w:t>s</w:t>
            </w:r>
          </w:p>
        </w:tc>
        <w:tc>
          <w:tcPr>
            <w:tcW w:w="0" w:type="auto"/>
            <w:noWrap/>
            <w:vAlign w:val="bottom"/>
            <w:hideMark/>
          </w:tcPr>
          <w:p w14:paraId="23F14D0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2543C8" w14:textId="77777777" w:rsidR="00000000" w:rsidRDefault="00632532">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14:paraId="5FA656F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B63907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5A9B7F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0341F1" w14:textId="77777777" w:rsidR="00000000" w:rsidRDefault="00632532">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14:paraId="270591C5" w14:textId="77777777" w:rsidR="00000000" w:rsidRDefault="00632532">
            <w:pPr>
              <w:pStyle w:val="a3"/>
              <w:spacing w:before="0" w:beforeAutospacing="0" w:after="0" w:afterAutospacing="0"/>
              <w:rPr>
                <w:sz w:val="20"/>
                <w:szCs w:val="20"/>
              </w:rPr>
            </w:pPr>
            <w:r>
              <w:rPr>
                <w:sz w:val="20"/>
                <w:szCs w:val="20"/>
              </w:rPr>
              <w:t> </w:t>
            </w:r>
          </w:p>
        </w:tc>
      </w:tr>
      <w:tr w:rsidR="00000000" w14:paraId="26492C4B" w14:textId="77777777">
        <w:trPr>
          <w:divId w:val="190609567"/>
          <w:trHeight w:val="200"/>
          <w:tblCellSpacing w:w="15" w:type="dxa"/>
        </w:trPr>
        <w:tc>
          <w:tcPr>
            <w:tcW w:w="0" w:type="auto"/>
            <w:vAlign w:val="bottom"/>
            <w:hideMark/>
          </w:tcPr>
          <w:p w14:paraId="2EBF6938" w14:textId="77777777" w:rsidR="00000000" w:rsidRDefault="00632532">
            <w:pPr>
              <w:pStyle w:val="a3"/>
              <w:spacing w:before="0" w:beforeAutospacing="0" w:after="0" w:afterAutospacing="0"/>
              <w:rPr>
                <w:sz w:val="20"/>
                <w:szCs w:val="20"/>
              </w:rPr>
            </w:pPr>
            <w:r>
              <w:rPr>
                <w:sz w:val="20"/>
                <w:szCs w:val="20"/>
              </w:rPr>
              <w:t>Lan</w:t>
            </w:r>
            <w:r>
              <w:rPr>
                <w:sz w:val="20"/>
                <w:szCs w:val="20"/>
              </w:rPr>
              <w:t>d</w:t>
            </w:r>
          </w:p>
        </w:tc>
        <w:tc>
          <w:tcPr>
            <w:tcW w:w="0" w:type="auto"/>
            <w:vAlign w:val="bottom"/>
            <w:hideMark/>
          </w:tcPr>
          <w:p w14:paraId="00344A76"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71193E6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07C9FDB" w14:textId="77777777" w:rsidR="00000000" w:rsidRDefault="00632532">
            <w:pPr>
              <w:pStyle w:val="a3"/>
              <w:spacing w:before="0" w:beforeAutospacing="0" w:after="0" w:afterAutospacing="0"/>
              <w:jc w:val="right"/>
              <w:rPr>
                <w:sz w:val="20"/>
                <w:szCs w:val="20"/>
              </w:rPr>
            </w:pPr>
            <w:r>
              <w:rPr>
                <w:sz w:val="20"/>
                <w:szCs w:val="20"/>
              </w:rPr>
              <w:t>7,50</w:t>
            </w:r>
            <w:r>
              <w:rPr>
                <w:sz w:val="20"/>
                <w:szCs w:val="20"/>
              </w:rPr>
              <w:t>0</w:t>
            </w:r>
          </w:p>
        </w:tc>
        <w:tc>
          <w:tcPr>
            <w:tcW w:w="0" w:type="auto"/>
            <w:noWrap/>
            <w:vAlign w:val="bottom"/>
            <w:hideMark/>
          </w:tcPr>
          <w:p w14:paraId="780D8F1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36586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EEAC13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03F5C2" w14:textId="77777777" w:rsidR="00000000" w:rsidRDefault="00632532">
            <w:pPr>
              <w:pStyle w:val="a3"/>
              <w:spacing w:before="0" w:beforeAutospacing="0" w:after="0" w:afterAutospacing="0"/>
              <w:jc w:val="right"/>
              <w:rPr>
                <w:sz w:val="20"/>
                <w:szCs w:val="20"/>
              </w:rPr>
            </w:pPr>
            <w:r>
              <w:rPr>
                <w:sz w:val="20"/>
                <w:szCs w:val="20"/>
              </w:rPr>
              <w:t>7,50</w:t>
            </w:r>
            <w:r>
              <w:rPr>
                <w:sz w:val="20"/>
                <w:szCs w:val="20"/>
              </w:rPr>
              <w:t>0</w:t>
            </w:r>
          </w:p>
        </w:tc>
        <w:tc>
          <w:tcPr>
            <w:tcW w:w="0" w:type="auto"/>
            <w:noWrap/>
            <w:vAlign w:val="bottom"/>
            <w:hideMark/>
          </w:tcPr>
          <w:p w14:paraId="55F800F2" w14:textId="77777777" w:rsidR="00000000" w:rsidRDefault="00632532">
            <w:pPr>
              <w:pStyle w:val="a3"/>
              <w:spacing w:before="0" w:beforeAutospacing="0" w:after="0" w:afterAutospacing="0"/>
              <w:rPr>
                <w:sz w:val="20"/>
                <w:szCs w:val="20"/>
              </w:rPr>
            </w:pPr>
            <w:r>
              <w:rPr>
                <w:sz w:val="20"/>
                <w:szCs w:val="20"/>
              </w:rPr>
              <w:t> </w:t>
            </w:r>
          </w:p>
        </w:tc>
      </w:tr>
      <w:tr w:rsidR="00000000" w14:paraId="4E602530" w14:textId="77777777">
        <w:trPr>
          <w:divId w:val="190609567"/>
          <w:trHeight w:val="200"/>
          <w:tblCellSpacing w:w="15" w:type="dxa"/>
        </w:trPr>
        <w:tc>
          <w:tcPr>
            <w:tcW w:w="0" w:type="auto"/>
            <w:vAlign w:val="bottom"/>
            <w:hideMark/>
          </w:tcPr>
          <w:p w14:paraId="6034EDB2" w14:textId="77777777" w:rsidR="00000000" w:rsidRDefault="00632532">
            <w:pPr>
              <w:pStyle w:val="a3"/>
              <w:spacing w:before="0" w:beforeAutospacing="0" w:after="0" w:afterAutospacing="0"/>
              <w:rPr>
                <w:sz w:val="20"/>
                <w:szCs w:val="20"/>
              </w:rPr>
            </w:pPr>
            <w:r>
              <w:rPr>
                <w:sz w:val="20"/>
                <w:szCs w:val="20"/>
              </w:rPr>
              <w:t>Assets not yet placed in servic</w:t>
            </w:r>
            <w:r>
              <w:rPr>
                <w:sz w:val="20"/>
                <w:szCs w:val="20"/>
              </w:rPr>
              <w:t>e</w:t>
            </w:r>
          </w:p>
        </w:tc>
        <w:tc>
          <w:tcPr>
            <w:tcW w:w="0" w:type="auto"/>
            <w:vAlign w:val="bottom"/>
            <w:hideMark/>
          </w:tcPr>
          <w:p w14:paraId="698FA53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6C15F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38175DA" w14:textId="77777777" w:rsidR="00000000" w:rsidRDefault="00632532">
            <w:pPr>
              <w:pStyle w:val="a3"/>
              <w:spacing w:before="0" w:beforeAutospacing="0" w:after="0" w:afterAutospacing="0"/>
              <w:jc w:val="right"/>
              <w:rPr>
                <w:sz w:val="20"/>
                <w:szCs w:val="20"/>
              </w:rPr>
            </w:pPr>
            <w:r>
              <w:rPr>
                <w:sz w:val="20"/>
                <w:szCs w:val="20"/>
              </w:rPr>
              <w:t>13,39</w:t>
            </w:r>
            <w:r>
              <w:rPr>
                <w:sz w:val="20"/>
                <w:szCs w:val="20"/>
              </w:rPr>
              <w:t>1</w:t>
            </w:r>
          </w:p>
        </w:tc>
        <w:tc>
          <w:tcPr>
            <w:tcW w:w="0" w:type="auto"/>
            <w:noWrap/>
            <w:vAlign w:val="bottom"/>
            <w:hideMark/>
          </w:tcPr>
          <w:p w14:paraId="1892F08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225E0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97F385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A07795" w14:textId="77777777" w:rsidR="00000000" w:rsidRDefault="00632532">
            <w:pPr>
              <w:pStyle w:val="a3"/>
              <w:spacing w:before="0" w:beforeAutospacing="0" w:after="0" w:afterAutospacing="0"/>
              <w:jc w:val="right"/>
              <w:rPr>
                <w:sz w:val="20"/>
                <w:szCs w:val="20"/>
              </w:rPr>
            </w:pPr>
            <w:r>
              <w:rPr>
                <w:sz w:val="20"/>
                <w:szCs w:val="20"/>
              </w:rPr>
              <w:t>6,71</w:t>
            </w:r>
            <w:r>
              <w:rPr>
                <w:sz w:val="20"/>
                <w:szCs w:val="20"/>
              </w:rPr>
              <w:t>8</w:t>
            </w:r>
          </w:p>
        </w:tc>
        <w:tc>
          <w:tcPr>
            <w:tcW w:w="0" w:type="auto"/>
            <w:noWrap/>
            <w:vAlign w:val="bottom"/>
            <w:hideMark/>
          </w:tcPr>
          <w:p w14:paraId="07186826" w14:textId="77777777" w:rsidR="00000000" w:rsidRDefault="00632532">
            <w:pPr>
              <w:pStyle w:val="a3"/>
              <w:spacing w:before="0" w:beforeAutospacing="0" w:after="0" w:afterAutospacing="0"/>
              <w:rPr>
                <w:sz w:val="20"/>
                <w:szCs w:val="20"/>
              </w:rPr>
            </w:pPr>
            <w:r>
              <w:rPr>
                <w:sz w:val="20"/>
                <w:szCs w:val="20"/>
              </w:rPr>
              <w:t> </w:t>
            </w:r>
          </w:p>
        </w:tc>
      </w:tr>
      <w:tr w:rsidR="00000000" w14:paraId="1E2A8894" w14:textId="77777777">
        <w:trPr>
          <w:divId w:val="190609567"/>
          <w:trHeight w:val="200"/>
          <w:tblCellSpacing w:w="15" w:type="dxa"/>
        </w:trPr>
        <w:tc>
          <w:tcPr>
            <w:tcW w:w="0" w:type="auto"/>
            <w:vAlign w:val="bottom"/>
            <w:hideMark/>
          </w:tcPr>
          <w:p w14:paraId="597F82CB" w14:textId="77777777" w:rsidR="00000000" w:rsidRDefault="00632532">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14:paraId="0BC9963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F94881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3662A1" w14:textId="77777777" w:rsidR="00000000" w:rsidRDefault="00632532">
            <w:pPr>
              <w:pStyle w:val="a3"/>
              <w:spacing w:before="0" w:beforeAutospacing="0" w:after="0" w:afterAutospacing="0"/>
              <w:jc w:val="right"/>
              <w:rPr>
                <w:sz w:val="20"/>
                <w:szCs w:val="20"/>
              </w:rPr>
            </w:pPr>
            <w:r>
              <w:rPr>
                <w:sz w:val="20"/>
                <w:szCs w:val="20"/>
              </w:rPr>
              <w:t>115,73</w:t>
            </w:r>
            <w:r>
              <w:rPr>
                <w:sz w:val="20"/>
                <w:szCs w:val="20"/>
              </w:rPr>
              <w:t>5</w:t>
            </w:r>
          </w:p>
        </w:tc>
        <w:tc>
          <w:tcPr>
            <w:tcW w:w="0" w:type="auto"/>
            <w:noWrap/>
            <w:vAlign w:val="bottom"/>
            <w:hideMark/>
          </w:tcPr>
          <w:p w14:paraId="117286C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1A8E39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730289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930C8B" w14:textId="77777777" w:rsidR="00000000" w:rsidRDefault="00632532">
            <w:pPr>
              <w:pStyle w:val="a3"/>
              <w:spacing w:before="0" w:beforeAutospacing="0" w:after="0" w:afterAutospacing="0"/>
              <w:jc w:val="right"/>
              <w:rPr>
                <w:sz w:val="20"/>
                <w:szCs w:val="20"/>
              </w:rPr>
            </w:pPr>
            <w:r>
              <w:rPr>
                <w:sz w:val="20"/>
                <w:szCs w:val="20"/>
              </w:rPr>
              <w:t>81,91</w:t>
            </w:r>
            <w:r>
              <w:rPr>
                <w:sz w:val="20"/>
                <w:szCs w:val="20"/>
              </w:rPr>
              <w:t>7</w:t>
            </w:r>
          </w:p>
        </w:tc>
        <w:tc>
          <w:tcPr>
            <w:tcW w:w="0" w:type="auto"/>
            <w:noWrap/>
            <w:vAlign w:val="bottom"/>
            <w:hideMark/>
          </w:tcPr>
          <w:p w14:paraId="5D54ED90" w14:textId="77777777" w:rsidR="00000000" w:rsidRDefault="00632532">
            <w:pPr>
              <w:pStyle w:val="a3"/>
              <w:spacing w:before="0" w:beforeAutospacing="0" w:after="0" w:afterAutospacing="0"/>
              <w:rPr>
                <w:sz w:val="20"/>
                <w:szCs w:val="20"/>
              </w:rPr>
            </w:pPr>
            <w:r>
              <w:rPr>
                <w:sz w:val="20"/>
                <w:szCs w:val="20"/>
              </w:rPr>
              <w:t> </w:t>
            </w:r>
          </w:p>
        </w:tc>
      </w:tr>
      <w:tr w:rsidR="00000000" w14:paraId="29F73152" w14:textId="77777777">
        <w:trPr>
          <w:divId w:val="190609567"/>
          <w:trHeight w:val="200"/>
          <w:tblCellSpacing w:w="15" w:type="dxa"/>
        </w:trPr>
        <w:tc>
          <w:tcPr>
            <w:tcW w:w="0" w:type="auto"/>
            <w:vAlign w:val="bottom"/>
            <w:hideMark/>
          </w:tcPr>
          <w:p w14:paraId="60C65262" w14:textId="77777777" w:rsidR="00000000" w:rsidRDefault="00632532">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14:paraId="3353516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E674B3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BD528C" w14:textId="77777777" w:rsidR="00000000" w:rsidRDefault="00632532">
            <w:pPr>
              <w:pStyle w:val="a3"/>
              <w:spacing w:before="0" w:beforeAutospacing="0" w:after="0" w:afterAutospacing="0"/>
              <w:jc w:val="right"/>
              <w:rPr>
                <w:sz w:val="20"/>
                <w:szCs w:val="20"/>
              </w:rPr>
            </w:pPr>
            <w:r>
              <w:rPr>
                <w:sz w:val="20"/>
                <w:szCs w:val="20"/>
              </w:rPr>
              <w:t>(</w:t>
            </w:r>
            <w:r>
              <w:rPr>
                <w:sz w:val="20"/>
                <w:szCs w:val="20"/>
              </w:rPr>
              <w:t>29,68</w:t>
            </w:r>
            <w:r>
              <w:rPr>
                <w:sz w:val="20"/>
                <w:szCs w:val="20"/>
              </w:rPr>
              <w:t>6</w:t>
            </w:r>
          </w:p>
        </w:tc>
        <w:tc>
          <w:tcPr>
            <w:tcW w:w="0" w:type="auto"/>
            <w:noWrap/>
            <w:vAlign w:val="bottom"/>
            <w:hideMark/>
          </w:tcPr>
          <w:p w14:paraId="2914AF5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9972E1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7CF020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8D2400" w14:textId="77777777" w:rsidR="00000000" w:rsidRDefault="00632532">
            <w:pPr>
              <w:pStyle w:val="a3"/>
              <w:spacing w:before="0" w:beforeAutospacing="0" w:after="0" w:afterAutospacing="0"/>
              <w:jc w:val="right"/>
              <w:rPr>
                <w:sz w:val="20"/>
                <w:szCs w:val="20"/>
              </w:rPr>
            </w:pPr>
            <w:r>
              <w:rPr>
                <w:sz w:val="20"/>
                <w:szCs w:val="20"/>
              </w:rPr>
              <w:t>(</w:t>
            </w:r>
            <w:r>
              <w:rPr>
                <w:sz w:val="20"/>
                <w:szCs w:val="20"/>
              </w:rPr>
              <w:t>19,63</w:t>
            </w:r>
            <w:r>
              <w:rPr>
                <w:sz w:val="20"/>
                <w:szCs w:val="20"/>
              </w:rPr>
              <w:t>0</w:t>
            </w:r>
          </w:p>
        </w:tc>
        <w:tc>
          <w:tcPr>
            <w:tcW w:w="0" w:type="auto"/>
            <w:noWrap/>
            <w:vAlign w:val="bottom"/>
            <w:hideMark/>
          </w:tcPr>
          <w:p w14:paraId="30AAF7F5" w14:textId="77777777" w:rsidR="00000000" w:rsidRDefault="00632532">
            <w:pPr>
              <w:pStyle w:val="a3"/>
              <w:spacing w:before="0" w:beforeAutospacing="0" w:after="0" w:afterAutospacing="0"/>
              <w:rPr>
                <w:sz w:val="20"/>
                <w:szCs w:val="20"/>
              </w:rPr>
            </w:pPr>
            <w:r>
              <w:rPr>
                <w:sz w:val="20"/>
                <w:szCs w:val="20"/>
              </w:rPr>
              <w:t>)</w:t>
            </w:r>
          </w:p>
        </w:tc>
      </w:tr>
      <w:tr w:rsidR="00000000" w14:paraId="53B49D29" w14:textId="77777777">
        <w:trPr>
          <w:divId w:val="190609567"/>
          <w:trHeight w:val="200"/>
          <w:tblCellSpacing w:w="15" w:type="dxa"/>
        </w:trPr>
        <w:tc>
          <w:tcPr>
            <w:tcW w:w="0" w:type="auto"/>
            <w:vAlign w:val="bottom"/>
            <w:hideMark/>
          </w:tcPr>
          <w:p w14:paraId="0B2BDCED" w14:textId="77777777" w:rsidR="00000000" w:rsidRDefault="00632532">
            <w:pPr>
              <w:pStyle w:val="a3"/>
              <w:spacing w:before="0" w:beforeAutospacing="0" w:after="0" w:afterAutospacing="0"/>
              <w:rPr>
                <w:sz w:val="20"/>
                <w:szCs w:val="20"/>
              </w:rPr>
            </w:pPr>
            <w:r>
              <w:rPr>
                <w:sz w:val="20"/>
                <w:szCs w:val="20"/>
              </w:rPr>
              <w:t>Fixed assets, ne</w:t>
            </w:r>
            <w:r>
              <w:rPr>
                <w:sz w:val="20"/>
                <w:szCs w:val="20"/>
              </w:rPr>
              <w:t>t</w:t>
            </w:r>
          </w:p>
        </w:tc>
        <w:tc>
          <w:tcPr>
            <w:tcW w:w="0" w:type="auto"/>
            <w:vAlign w:val="bottom"/>
            <w:hideMark/>
          </w:tcPr>
          <w:p w14:paraId="2CC7242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EC38F0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F53516A" w14:textId="77777777" w:rsidR="00000000" w:rsidRDefault="00632532">
            <w:pPr>
              <w:pStyle w:val="a3"/>
              <w:spacing w:before="0" w:beforeAutospacing="0" w:after="0" w:afterAutospacing="0"/>
              <w:jc w:val="right"/>
              <w:rPr>
                <w:sz w:val="20"/>
                <w:szCs w:val="20"/>
              </w:rPr>
            </w:pPr>
            <w:r>
              <w:rPr>
                <w:sz w:val="20"/>
                <w:szCs w:val="20"/>
              </w:rPr>
              <w:t>86,04</w:t>
            </w:r>
            <w:r>
              <w:rPr>
                <w:sz w:val="20"/>
                <w:szCs w:val="20"/>
              </w:rPr>
              <w:t>9</w:t>
            </w:r>
          </w:p>
        </w:tc>
        <w:tc>
          <w:tcPr>
            <w:tcW w:w="0" w:type="auto"/>
            <w:noWrap/>
            <w:vAlign w:val="bottom"/>
            <w:hideMark/>
          </w:tcPr>
          <w:p w14:paraId="1A67472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722198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23A593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37E430A" w14:textId="77777777" w:rsidR="00000000" w:rsidRDefault="00632532">
            <w:pPr>
              <w:pStyle w:val="a3"/>
              <w:spacing w:before="0" w:beforeAutospacing="0" w:after="0" w:afterAutospacing="0"/>
              <w:jc w:val="right"/>
              <w:rPr>
                <w:sz w:val="20"/>
                <w:szCs w:val="20"/>
              </w:rPr>
            </w:pPr>
            <w:r>
              <w:rPr>
                <w:sz w:val="20"/>
                <w:szCs w:val="20"/>
              </w:rPr>
              <w:t>62,28</w:t>
            </w:r>
            <w:r>
              <w:rPr>
                <w:sz w:val="20"/>
                <w:szCs w:val="20"/>
              </w:rPr>
              <w:t>7</w:t>
            </w:r>
          </w:p>
        </w:tc>
        <w:tc>
          <w:tcPr>
            <w:tcW w:w="0" w:type="auto"/>
            <w:noWrap/>
            <w:vAlign w:val="bottom"/>
            <w:hideMark/>
          </w:tcPr>
          <w:p w14:paraId="2DDEB438" w14:textId="77777777" w:rsidR="00000000" w:rsidRDefault="00632532">
            <w:pPr>
              <w:pStyle w:val="a3"/>
              <w:spacing w:before="0" w:beforeAutospacing="0" w:after="0" w:afterAutospacing="0"/>
              <w:rPr>
                <w:sz w:val="20"/>
                <w:szCs w:val="20"/>
              </w:rPr>
            </w:pPr>
            <w:r>
              <w:rPr>
                <w:sz w:val="20"/>
                <w:szCs w:val="20"/>
              </w:rPr>
              <w:t> </w:t>
            </w:r>
          </w:p>
        </w:tc>
      </w:tr>
    </w:tbl>
    <w:p w14:paraId="52FE1F69" w14:textId="77777777" w:rsidR="00000000" w:rsidRDefault="00632532">
      <w:pPr>
        <w:pStyle w:val="a3"/>
        <w:spacing w:before="0" w:beforeAutospacing="0" w:after="0" w:afterAutospacing="0"/>
        <w:divId w:val="81537526"/>
        <w:rPr>
          <w:sz w:val="20"/>
          <w:szCs w:val="20"/>
        </w:rPr>
      </w:pPr>
      <w:r>
        <w:rPr>
          <w:sz w:val="20"/>
          <w:szCs w:val="20"/>
        </w:rPr>
        <w:t> </w:t>
      </w:r>
    </w:p>
    <w:p w14:paraId="7A07E019" w14:textId="77777777" w:rsidR="00000000" w:rsidRDefault="00632532">
      <w:pPr>
        <w:pStyle w:val="a3"/>
        <w:spacing w:before="40" w:beforeAutospacing="0" w:after="0" w:afterAutospacing="0"/>
        <w:ind w:firstLine="555"/>
        <w:divId w:val="81537526"/>
        <w:rPr>
          <w:sz w:val="20"/>
          <w:szCs w:val="20"/>
        </w:rPr>
      </w:pPr>
      <w:r>
        <w:rPr>
          <w:sz w:val="20"/>
          <w:szCs w:val="20"/>
        </w:rPr>
        <w:t xml:space="preserve">Depreciation expenses on fixed assets totaled </w:t>
      </w:r>
      <w:r>
        <w:rPr>
          <w:sz w:val="20"/>
          <w:szCs w:val="20"/>
        </w:rPr>
        <w:t>$</w:t>
      </w:r>
      <w:r>
        <w:rPr>
          <w:sz w:val="20"/>
          <w:szCs w:val="20"/>
        </w:rPr>
        <w:t>6.</w:t>
      </w:r>
      <w:r>
        <w:rPr>
          <w:sz w:val="20"/>
          <w:szCs w:val="20"/>
        </w:rPr>
        <w:t>6</w:t>
      </w:r>
      <w:r>
        <w:rPr>
          <w:sz w:val="20"/>
          <w:szCs w:val="20"/>
        </w:rPr>
        <w:t xml:space="preserve"> millio</w:t>
      </w:r>
      <w:r>
        <w:rPr>
          <w:sz w:val="20"/>
          <w:szCs w:val="20"/>
        </w:rPr>
        <w:t>n</w:t>
      </w:r>
      <w:r>
        <w:rPr>
          <w:sz w:val="20"/>
          <w:szCs w:val="20"/>
        </w:rPr>
        <w:t xml:space="preserve"> and </w:t>
      </w:r>
      <w:r>
        <w:rPr>
          <w:sz w:val="20"/>
          <w:szCs w:val="20"/>
        </w:rPr>
        <w:t>$</w:t>
      </w:r>
      <w:r>
        <w:rPr>
          <w:sz w:val="20"/>
          <w:szCs w:val="20"/>
        </w:rPr>
        <w:t>2.</w:t>
      </w:r>
      <w:r>
        <w:rPr>
          <w:sz w:val="20"/>
          <w:szCs w:val="20"/>
        </w:rPr>
        <w:t>3</w:t>
      </w:r>
      <w:r>
        <w:rPr>
          <w:sz w:val="20"/>
          <w:szCs w:val="20"/>
        </w:rPr>
        <w:t xml:space="preserve"> </w:t>
      </w:r>
      <w:r>
        <w:rPr>
          <w:sz w:val="20"/>
          <w:szCs w:val="20"/>
        </w:rPr>
        <w:t xml:space="preserve">million for the three months ended June 30, 2022 and 2021, respectively, and </w:t>
      </w:r>
      <w:r>
        <w:rPr>
          <w:sz w:val="20"/>
          <w:szCs w:val="20"/>
        </w:rPr>
        <w:t>$</w:t>
      </w:r>
      <w:r>
        <w:rPr>
          <w:sz w:val="20"/>
          <w:szCs w:val="20"/>
        </w:rPr>
        <w:t>10.</w:t>
      </w:r>
      <w:r>
        <w:rPr>
          <w:sz w:val="20"/>
          <w:szCs w:val="20"/>
        </w:rPr>
        <w:t>3</w:t>
      </w:r>
      <w:r>
        <w:rPr>
          <w:sz w:val="20"/>
          <w:szCs w:val="20"/>
        </w:rPr>
        <w:t xml:space="preserve"> millio</w:t>
      </w:r>
      <w:r>
        <w:rPr>
          <w:sz w:val="20"/>
          <w:szCs w:val="20"/>
        </w:rPr>
        <w:t>n</w:t>
      </w:r>
      <w:r>
        <w:rPr>
          <w:sz w:val="20"/>
          <w:szCs w:val="20"/>
        </w:rPr>
        <w:t xml:space="preserve"> and </w:t>
      </w:r>
      <w:r>
        <w:rPr>
          <w:sz w:val="20"/>
          <w:szCs w:val="20"/>
        </w:rPr>
        <w:t>$</w:t>
      </w:r>
      <w:r>
        <w:rPr>
          <w:sz w:val="20"/>
          <w:szCs w:val="20"/>
        </w:rPr>
        <w:t>4.</w:t>
      </w:r>
      <w:r>
        <w:rPr>
          <w:sz w:val="20"/>
          <w:szCs w:val="20"/>
        </w:rPr>
        <w:t>2</w:t>
      </w:r>
      <w:r>
        <w:rPr>
          <w:sz w:val="20"/>
          <w:szCs w:val="20"/>
        </w:rPr>
        <w:t xml:space="preserve"> million for the six months ended June 30, 2022 and 2021, respectively</w:t>
      </w:r>
      <w:r>
        <w:rPr>
          <w:sz w:val="20"/>
          <w:szCs w:val="20"/>
        </w:rPr>
        <w:t>.</w:t>
      </w:r>
      <w:r>
        <w:rPr>
          <w:sz w:val="20"/>
          <w:szCs w:val="20"/>
        </w:rPr>
        <w:t xml:space="preserve"> </w:t>
      </w:r>
    </w:p>
    <w:p w14:paraId="1B2D20EF" w14:textId="77777777" w:rsidR="00000000" w:rsidRDefault="00632532">
      <w:pPr>
        <w:pStyle w:val="a3"/>
        <w:spacing w:before="360" w:beforeAutospacing="0" w:after="0" w:afterAutospacing="0"/>
        <w:divId w:val="1480152863"/>
        <w:rPr>
          <w:sz w:val="20"/>
          <w:szCs w:val="20"/>
        </w:rPr>
      </w:pPr>
      <w:r>
        <w:rPr>
          <w:b/>
          <w:bCs/>
          <w:sz w:val="20"/>
          <w:szCs w:val="20"/>
        </w:rPr>
        <w:t>Note 6. Other Current Asset</w:t>
      </w:r>
      <w:r>
        <w:rPr>
          <w:b/>
          <w:bCs/>
          <w:sz w:val="20"/>
          <w:szCs w:val="20"/>
        </w:rPr>
        <w:t>s</w:t>
      </w:r>
    </w:p>
    <w:p w14:paraId="2D55426C" w14:textId="77777777" w:rsidR="00000000" w:rsidRDefault="00632532">
      <w:pPr>
        <w:pStyle w:val="a3"/>
        <w:spacing w:before="120" w:beforeAutospacing="0" w:after="0" w:afterAutospacing="0"/>
        <w:ind w:firstLine="555"/>
        <w:divId w:val="2045397737"/>
        <w:rPr>
          <w:sz w:val="20"/>
          <w:szCs w:val="20"/>
        </w:rPr>
      </w:pPr>
      <w:r>
        <w:rPr>
          <w:sz w:val="20"/>
          <w:szCs w:val="20"/>
        </w:rPr>
        <w:t>Other current assets consisted of the following</w:t>
      </w:r>
      <w:r>
        <w:rPr>
          <w:sz w:val="20"/>
          <w:szCs w:val="20"/>
        </w:rPr>
        <w:t>:</w:t>
      </w:r>
    </w:p>
    <w:p w14:paraId="3AE1FBA8" w14:textId="77777777" w:rsidR="00000000" w:rsidRDefault="00632532">
      <w:pPr>
        <w:pStyle w:val="a3"/>
        <w:spacing w:before="0" w:beforeAutospacing="0" w:after="0" w:afterAutospacing="0"/>
        <w:divId w:val="204539773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37"/>
        <w:gridCol w:w="160"/>
        <w:gridCol w:w="1328"/>
        <w:gridCol w:w="110"/>
        <w:gridCol w:w="167"/>
        <w:gridCol w:w="160"/>
        <w:gridCol w:w="1419"/>
        <w:gridCol w:w="125"/>
      </w:tblGrid>
      <w:tr w:rsidR="00000000" w14:paraId="35C44CDF" w14:textId="77777777">
        <w:trPr>
          <w:divId w:val="2045397737"/>
          <w:tblCellSpacing w:w="15" w:type="dxa"/>
        </w:trPr>
        <w:tc>
          <w:tcPr>
            <w:tcW w:w="2996" w:type="pct"/>
            <w:vAlign w:val="center"/>
            <w:hideMark/>
          </w:tcPr>
          <w:p w14:paraId="0A802E62" w14:textId="77777777" w:rsidR="00000000" w:rsidRDefault="00632532">
            <w:pPr>
              <w:rPr>
                <w:sz w:val="20"/>
                <w:szCs w:val="20"/>
              </w:rPr>
            </w:pPr>
          </w:p>
        </w:tc>
        <w:tc>
          <w:tcPr>
            <w:tcW w:w="50" w:type="pct"/>
            <w:vAlign w:val="center"/>
            <w:hideMark/>
          </w:tcPr>
          <w:p w14:paraId="72800A9D" w14:textId="77777777" w:rsidR="00000000" w:rsidRDefault="00632532">
            <w:pPr>
              <w:rPr>
                <w:rFonts w:eastAsia="Times New Roman"/>
                <w:sz w:val="20"/>
                <w:szCs w:val="20"/>
              </w:rPr>
            </w:pPr>
          </w:p>
        </w:tc>
        <w:tc>
          <w:tcPr>
            <w:tcW w:w="823" w:type="pct"/>
            <w:vAlign w:val="center"/>
            <w:hideMark/>
          </w:tcPr>
          <w:p w14:paraId="35241EE6" w14:textId="77777777" w:rsidR="00000000" w:rsidRDefault="00632532">
            <w:pPr>
              <w:rPr>
                <w:rFonts w:eastAsia="Times New Roman"/>
                <w:sz w:val="20"/>
                <w:szCs w:val="20"/>
              </w:rPr>
            </w:pPr>
          </w:p>
        </w:tc>
        <w:tc>
          <w:tcPr>
            <w:tcW w:w="50" w:type="pct"/>
            <w:vAlign w:val="center"/>
            <w:hideMark/>
          </w:tcPr>
          <w:p w14:paraId="45C22CC1" w14:textId="77777777" w:rsidR="00000000" w:rsidRDefault="00632532">
            <w:pPr>
              <w:rPr>
                <w:rFonts w:eastAsia="Times New Roman"/>
                <w:sz w:val="20"/>
                <w:szCs w:val="20"/>
              </w:rPr>
            </w:pPr>
          </w:p>
        </w:tc>
        <w:tc>
          <w:tcPr>
            <w:tcW w:w="100" w:type="pct"/>
            <w:vAlign w:val="center"/>
            <w:hideMark/>
          </w:tcPr>
          <w:p w14:paraId="453BC1BA" w14:textId="77777777" w:rsidR="00000000" w:rsidRDefault="00632532">
            <w:pPr>
              <w:rPr>
                <w:rFonts w:eastAsia="Times New Roman"/>
                <w:sz w:val="20"/>
                <w:szCs w:val="20"/>
              </w:rPr>
            </w:pPr>
          </w:p>
        </w:tc>
        <w:tc>
          <w:tcPr>
            <w:tcW w:w="50" w:type="pct"/>
            <w:vAlign w:val="center"/>
            <w:hideMark/>
          </w:tcPr>
          <w:p w14:paraId="2083DFB4" w14:textId="77777777" w:rsidR="00000000" w:rsidRDefault="00632532">
            <w:pPr>
              <w:rPr>
                <w:rFonts w:eastAsia="Times New Roman"/>
                <w:sz w:val="20"/>
                <w:szCs w:val="20"/>
              </w:rPr>
            </w:pPr>
          </w:p>
        </w:tc>
        <w:tc>
          <w:tcPr>
            <w:tcW w:w="879" w:type="pct"/>
            <w:vAlign w:val="center"/>
            <w:hideMark/>
          </w:tcPr>
          <w:p w14:paraId="7E29BBC7" w14:textId="77777777" w:rsidR="00000000" w:rsidRDefault="00632532">
            <w:pPr>
              <w:rPr>
                <w:rFonts w:eastAsia="Times New Roman"/>
                <w:sz w:val="20"/>
                <w:szCs w:val="20"/>
              </w:rPr>
            </w:pPr>
          </w:p>
        </w:tc>
        <w:tc>
          <w:tcPr>
            <w:tcW w:w="50" w:type="pct"/>
            <w:vAlign w:val="center"/>
            <w:hideMark/>
          </w:tcPr>
          <w:p w14:paraId="2215B4C2" w14:textId="77777777" w:rsidR="00000000" w:rsidRDefault="00632532">
            <w:pPr>
              <w:rPr>
                <w:rFonts w:eastAsia="Times New Roman"/>
                <w:sz w:val="20"/>
                <w:szCs w:val="20"/>
              </w:rPr>
            </w:pPr>
          </w:p>
        </w:tc>
      </w:tr>
      <w:tr w:rsidR="00000000" w14:paraId="7C82B0A9" w14:textId="77777777">
        <w:trPr>
          <w:divId w:val="2045397737"/>
          <w:trHeight w:val="160"/>
          <w:tblCellSpacing w:w="15" w:type="dxa"/>
        </w:trPr>
        <w:tc>
          <w:tcPr>
            <w:tcW w:w="0" w:type="auto"/>
            <w:vAlign w:val="bottom"/>
            <w:hideMark/>
          </w:tcPr>
          <w:p w14:paraId="46C5CB0C"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2D0B6281" w14:textId="77777777" w:rsidR="00000000" w:rsidRDefault="00632532">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14:paraId="28CEABDB"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BA3C4DB"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4C3C64B" w14:textId="77777777" w:rsidR="00000000" w:rsidRDefault="00632532">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14:paraId="159B290E"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9849907" w14:textId="77777777">
        <w:trPr>
          <w:divId w:val="2045397737"/>
          <w:trHeight w:val="160"/>
          <w:tblCellSpacing w:w="15" w:type="dxa"/>
        </w:trPr>
        <w:tc>
          <w:tcPr>
            <w:tcW w:w="0" w:type="auto"/>
            <w:vAlign w:val="bottom"/>
            <w:hideMark/>
          </w:tcPr>
          <w:p w14:paraId="3CC03489"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34AC5066"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19530B8"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37AF09D"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E6D94D8"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CF40C31"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08BAD8C" w14:textId="77777777">
        <w:trPr>
          <w:divId w:val="2045397737"/>
          <w:trHeight w:val="160"/>
          <w:tblCellSpacing w:w="15" w:type="dxa"/>
        </w:trPr>
        <w:tc>
          <w:tcPr>
            <w:tcW w:w="0" w:type="auto"/>
            <w:vAlign w:val="bottom"/>
            <w:hideMark/>
          </w:tcPr>
          <w:p w14:paraId="7EEF8A97" w14:textId="77777777" w:rsidR="00000000" w:rsidRDefault="00632532">
            <w:pPr>
              <w:pStyle w:val="a3"/>
              <w:spacing w:before="0" w:beforeAutospacing="0" w:after="0" w:afterAutospacing="0"/>
              <w:rPr>
                <w:sz w:val="16"/>
                <w:szCs w:val="16"/>
              </w:rPr>
            </w:pPr>
            <w:r>
              <w:rPr>
                <w:sz w:val="16"/>
                <w:szCs w:val="16"/>
              </w:rPr>
              <w:t> </w:t>
            </w:r>
          </w:p>
        </w:tc>
        <w:tc>
          <w:tcPr>
            <w:tcW w:w="0" w:type="auto"/>
            <w:gridSpan w:val="6"/>
            <w:hideMark/>
          </w:tcPr>
          <w:p w14:paraId="46A4B605"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14:paraId="37E7BEB3"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69CC552" w14:textId="77777777">
        <w:trPr>
          <w:divId w:val="2045397737"/>
          <w:trHeight w:val="200"/>
          <w:tblCellSpacing w:w="15" w:type="dxa"/>
        </w:trPr>
        <w:tc>
          <w:tcPr>
            <w:tcW w:w="0" w:type="auto"/>
            <w:vAlign w:val="bottom"/>
            <w:hideMark/>
          </w:tcPr>
          <w:p w14:paraId="198DA981" w14:textId="77777777" w:rsidR="00000000" w:rsidRDefault="00632532">
            <w:pPr>
              <w:pStyle w:val="a3"/>
              <w:spacing w:before="0" w:beforeAutospacing="0" w:after="0" w:afterAutospacing="0"/>
              <w:rPr>
                <w:sz w:val="20"/>
                <w:szCs w:val="20"/>
              </w:rPr>
            </w:pPr>
            <w:r>
              <w:rPr>
                <w:sz w:val="20"/>
                <w:szCs w:val="20"/>
              </w:rPr>
              <w:t>Reagents and supplie</w:t>
            </w:r>
            <w:r>
              <w:rPr>
                <w:sz w:val="20"/>
                <w:szCs w:val="20"/>
              </w:rPr>
              <w:t>s</w:t>
            </w:r>
          </w:p>
        </w:tc>
        <w:tc>
          <w:tcPr>
            <w:tcW w:w="0" w:type="auto"/>
            <w:noWrap/>
            <w:vAlign w:val="bottom"/>
            <w:hideMark/>
          </w:tcPr>
          <w:p w14:paraId="6AAC84F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774EB89" w14:textId="77777777" w:rsidR="00000000" w:rsidRDefault="00632532">
            <w:pPr>
              <w:pStyle w:val="a3"/>
              <w:spacing w:before="0" w:beforeAutospacing="0" w:after="0" w:afterAutospacing="0"/>
              <w:jc w:val="right"/>
              <w:rPr>
                <w:sz w:val="20"/>
                <w:szCs w:val="20"/>
              </w:rPr>
            </w:pPr>
            <w:r>
              <w:rPr>
                <w:sz w:val="20"/>
                <w:szCs w:val="20"/>
              </w:rPr>
              <w:t>11,94</w:t>
            </w:r>
            <w:r>
              <w:rPr>
                <w:sz w:val="20"/>
                <w:szCs w:val="20"/>
              </w:rPr>
              <w:t>2</w:t>
            </w:r>
          </w:p>
        </w:tc>
        <w:tc>
          <w:tcPr>
            <w:tcW w:w="0" w:type="auto"/>
            <w:noWrap/>
            <w:vAlign w:val="bottom"/>
            <w:hideMark/>
          </w:tcPr>
          <w:p w14:paraId="5B7CECB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93062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D6094F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D3F6614" w14:textId="77777777" w:rsidR="00000000" w:rsidRDefault="00632532">
            <w:pPr>
              <w:pStyle w:val="a3"/>
              <w:spacing w:before="0" w:beforeAutospacing="0" w:after="0" w:afterAutospacing="0"/>
              <w:jc w:val="right"/>
              <w:rPr>
                <w:sz w:val="20"/>
                <w:szCs w:val="20"/>
              </w:rPr>
            </w:pPr>
            <w:r>
              <w:rPr>
                <w:sz w:val="20"/>
                <w:szCs w:val="20"/>
              </w:rPr>
              <w:t>12,20</w:t>
            </w:r>
            <w:r>
              <w:rPr>
                <w:sz w:val="20"/>
                <w:szCs w:val="20"/>
              </w:rPr>
              <w:t>6</w:t>
            </w:r>
          </w:p>
        </w:tc>
        <w:tc>
          <w:tcPr>
            <w:tcW w:w="0" w:type="auto"/>
            <w:noWrap/>
            <w:vAlign w:val="bottom"/>
            <w:hideMark/>
          </w:tcPr>
          <w:p w14:paraId="443BD665" w14:textId="77777777" w:rsidR="00000000" w:rsidRDefault="00632532">
            <w:pPr>
              <w:pStyle w:val="a3"/>
              <w:spacing w:before="0" w:beforeAutospacing="0" w:after="0" w:afterAutospacing="0"/>
              <w:rPr>
                <w:sz w:val="20"/>
                <w:szCs w:val="20"/>
              </w:rPr>
            </w:pPr>
            <w:r>
              <w:rPr>
                <w:sz w:val="20"/>
                <w:szCs w:val="20"/>
              </w:rPr>
              <w:t> </w:t>
            </w:r>
          </w:p>
        </w:tc>
      </w:tr>
      <w:tr w:rsidR="00000000" w14:paraId="14E12D8B" w14:textId="77777777">
        <w:trPr>
          <w:divId w:val="2045397737"/>
          <w:trHeight w:val="200"/>
          <w:tblCellSpacing w:w="15" w:type="dxa"/>
        </w:trPr>
        <w:tc>
          <w:tcPr>
            <w:tcW w:w="0" w:type="auto"/>
            <w:vAlign w:val="bottom"/>
            <w:hideMark/>
          </w:tcPr>
          <w:p w14:paraId="074AB275" w14:textId="77777777" w:rsidR="00000000" w:rsidRDefault="00632532">
            <w:pPr>
              <w:pStyle w:val="a3"/>
              <w:spacing w:before="0" w:beforeAutospacing="0" w:after="0" w:afterAutospacing="0"/>
              <w:rPr>
                <w:sz w:val="20"/>
                <w:szCs w:val="20"/>
              </w:rPr>
            </w:pPr>
            <w:r>
              <w:rPr>
                <w:sz w:val="20"/>
                <w:szCs w:val="20"/>
              </w:rPr>
              <w:t>Prepaid expense</w:t>
            </w:r>
            <w:r>
              <w:rPr>
                <w:sz w:val="20"/>
                <w:szCs w:val="20"/>
              </w:rPr>
              <w:t>s</w:t>
            </w:r>
          </w:p>
        </w:tc>
        <w:tc>
          <w:tcPr>
            <w:tcW w:w="0" w:type="auto"/>
            <w:noWrap/>
            <w:vAlign w:val="bottom"/>
            <w:hideMark/>
          </w:tcPr>
          <w:p w14:paraId="57ACF9E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FC3D75" w14:textId="77777777" w:rsidR="00000000" w:rsidRDefault="00632532">
            <w:pPr>
              <w:pStyle w:val="a3"/>
              <w:spacing w:before="0" w:beforeAutospacing="0" w:after="0" w:afterAutospacing="0"/>
              <w:jc w:val="right"/>
              <w:rPr>
                <w:sz w:val="20"/>
                <w:szCs w:val="20"/>
              </w:rPr>
            </w:pPr>
            <w:r>
              <w:rPr>
                <w:sz w:val="20"/>
                <w:szCs w:val="20"/>
              </w:rPr>
              <w:t>9,41</w:t>
            </w:r>
            <w:r>
              <w:rPr>
                <w:sz w:val="20"/>
                <w:szCs w:val="20"/>
              </w:rPr>
              <w:t>9</w:t>
            </w:r>
          </w:p>
        </w:tc>
        <w:tc>
          <w:tcPr>
            <w:tcW w:w="0" w:type="auto"/>
            <w:noWrap/>
            <w:vAlign w:val="bottom"/>
            <w:hideMark/>
          </w:tcPr>
          <w:p w14:paraId="64CE74D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66277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D03D5C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72CB77D" w14:textId="77777777" w:rsidR="00000000" w:rsidRDefault="00632532">
            <w:pPr>
              <w:pStyle w:val="a3"/>
              <w:spacing w:before="0" w:beforeAutospacing="0" w:after="0" w:afterAutospacing="0"/>
              <w:jc w:val="right"/>
              <w:rPr>
                <w:sz w:val="20"/>
                <w:szCs w:val="20"/>
              </w:rPr>
            </w:pPr>
            <w:r>
              <w:rPr>
                <w:sz w:val="20"/>
                <w:szCs w:val="20"/>
              </w:rPr>
              <w:t>4,24</w:t>
            </w:r>
            <w:r>
              <w:rPr>
                <w:sz w:val="20"/>
                <w:szCs w:val="20"/>
              </w:rPr>
              <w:t>4</w:t>
            </w:r>
          </w:p>
        </w:tc>
        <w:tc>
          <w:tcPr>
            <w:tcW w:w="0" w:type="auto"/>
            <w:noWrap/>
            <w:vAlign w:val="bottom"/>
            <w:hideMark/>
          </w:tcPr>
          <w:p w14:paraId="198816D8" w14:textId="77777777" w:rsidR="00000000" w:rsidRDefault="00632532">
            <w:pPr>
              <w:pStyle w:val="a3"/>
              <w:spacing w:before="0" w:beforeAutospacing="0" w:after="0" w:afterAutospacing="0"/>
              <w:rPr>
                <w:sz w:val="20"/>
                <w:szCs w:val="20"/>
              </w:rPr>
            </w:pPr>
            <w:r>
              <w:rPr>
                <w:sz w:val="20"/>
                <w:szCs w:val="20"/>
              </w:rPr>
              <w:t> </w:t>
            </w:r>
          </w:p>
        </w:tc>
      </w:tr>
      <w:tr w:rsidR="00000000" w14:paraId="5C854DA0" w14:textId="77777777">
        <w:trPr>
          <w:divId w:val="2045397737"/>
          <w:trHeight w:val="200"/>
          <w:tblCellSpacing w:w="15" w:type="dxa"/>
        </w:trPr>
        <w:tc>
          <w:tcPr>
            <w:tcW w:w="0" w:type="auto"/>
            <w:vAlign w:val="bottom"/>
            <w:hideMark/>
          </w:tcPr>
          <w:p w14:paraId="1D9CF581" w14:textId="77777777" w:rsidR="00000000" w:rsidRDefault="00632532">
            <w:pPr>
              <w:pStyle w:val="a3"/>
              <w:spacing w:before="0" w:beforeAutospacing="0" w:after="0" w:afterAutospacing="0"/>
              <w:rPr>
                <w:sz w:val="20"/>
                <w:szCs w:val="20"/>
              </w:rPr>
            </w:pPr>
            <w:r>
              <w:rPr>
                <w:sz w:val="20"/>
                <w:szCs w:val="20"/>
              </w:rPr>
              <w:t>Marketable securities interest receivabl</w:t>
            </w:r>
            <w:r>
              <w:rPr>
                <w:sz w:val="20"/>
                <w:szCs w:val="20"/>
              </w:rPr>
              <w:t>e</w:t>
            </w:r>
          </w:p>
        </w:tc>
        <w:tc>
          <w:tcPr>
            <w:tcW w:w="0" w:type="auto"/>
            <w:noWrap/>
            <w:vAlign w:val="bottom"/>
            <w:hideMark/>
          </w:tcPr>
          <w:p w14:paraId="29831EB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63D5B6C" w14:textId="77777777" w:rsidR="00000000" w:rsidRDefault="00632532">
            <w:pPr>
              <w:pStyle w:val="a3"/>
              <w:spacing w:before="0" w:beforeAutospacing="0" w:after="0" w:afterAutospacing="0"/>
              <w:jc w:val="right"/>
              <w:rPr>
                <w:sz w:val="20"/>
                <w:szCs w:val="20"/>
              </w:rPr>
            </w:pPr>
            <w:r>
              <w:rPr>
                <w:sz w:val="20"/>
                <w:szCs w:val="20"/>
              </w:rPr>
              <w:t>2,69</w:t>
            </w:r>
            <w:r>
              <w:rPr>
                <w:sz w:val="20"/>
                <w:szCs w:val="20"/>
              </w:rPr>
              <w:t>2</w:t>
            </w:r>
          </w:p>
        </w:tc>
        <w:tc>
          <w:tcPr>
            <w:tcW w:w="0" w:type="auto"/>
            <w:noWrap/>
            <w:vAlign w:val="bottom"/>
            <w:hideMark/>
          </w:tcPr>
          <w:p w14:paraId="1AE9000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7B2AC1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C80B3E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81FAE3" w14:textId="77777777" w:rsidR="00000000" w:rsidRDefault="00632532">
            <w:pPr>
              <w:pStyle w:val="a3"/>
              <w:spacing w:before="0" w:beforeAutospacing="0" w:after="0" w:afterAutospacing="0"/>
              <w:jc w:val="right"/>
              <w:rPr>
                <w:sz w:val="20"/>
                <w:szCs w:val="20"/>
              </w:rPr>
            </w:pPr>
            <w:r>
              <w:rPr>
                <w:sz w:val="20"/>
                <w:szCs w:val="20"/>
              </w:rPr>
              <w:t>2,74</w:t>
            </w:r>
            <w:r>
              <w:rPr>
                <w:sz w:val="20"/>
                <w:szCs w:val="20"/>
              </w:rPr>
              <w:t>3</w:t>
            </w:r>
          </w:p>
        </w:tc>
        <w:tc>
          <w:tcPr>
            <w:tcW w:w="0" w:type="auto"/>
            <w:noWrap/>
            <w:vAlign w:val="bottom"/>
            <w:hideMark/>
          </w:tcPr>
          <w:p w14:paraId="65828DC3" w14:textId="77777777" w:rsidR="00000000" w:rsidRDefault="00632532">
            <w:pPr>
              <w:pStyle w:val="a3"/>
              <w:spacing w:before="0" w:beforeAutospacing="0" w:after="0" w:afterAutospacing="0"/>
              <w:rPr>
                <w:sz w:val="20"/>
                <w:szCs w:val="20"/>
              </w:rPr>
            </w:pPr>
            <w:r>
              <w:rPr>
                <w:sz w:val="20"/>
                <w:szCs w:val="20"/>
              </w:rPr>
              <w:t> </w:t>
            </w:r>
          </w:p>
        </w:tc>
      </w:tr>
      <w:tr w:rsidR="00000000" w14:paraId="72F49C96" w14:textId="77777777">
        <w:trPr>
          <w:divId w:val="2045397737"/>
          <w:trHeight w:val="200"/>
          <w:tblCellSpacing w:w="15" w:type="dxa"/>
        </w:trPr>
        <w:tc>
          <w:tcPr>
            <w:tcW w:w="0" w:type="auto"/>
            <w:vAlign w:val="bottom"/>
            <w:hideMark/>
          </w:tcPr>
          <w:p w14:paraId="00FFE086" w14:textId="77777777" w:rsidR="00000000" w:rsidRDefault="00632532">
            <w:pPr>
              <w:pStyle w:val="a3"/>
              <w:spacing w:before="0" w:beforeAutospacing="0" w:after="0" w:afterAutospacing="0"/>
              <w:rPr>
                <w:sz w:val="20"/>
                <w:szCs w:val="20"/>
              </w:rPr>
            </w:pPr>
            <w:r>
              <w:rPr>
                <w:sz w:val="20"/>
                <w:szCs w:val="20"/>
              </w:rPr>
              <w:t>Other receivabl</w:t>
            </w:r>
            <w:r>
              <w:rPr>
                <w:sz w:val="20"/>
                <w:szCs w:val="20"/>
              </w:rPr>
              <w:t>e</w:t>
            </w:r>
          </w:p>
        </w:tc>
        <w:tc>
          <w:tcPr>
            <w:tcW w:w="0" w:type="auto"/>
            <w:noWrap/>
            <w:vAlign w:val="bottom"/>
            <w:hideMark/>
          </w:tcPr>
          <w:p w14:paraId="73552FA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611CB46" w14:textId="77777777" w:rsidR="00000000" w:rsidRDefault="00632532">
            <w:pPr>
              <w:pStyle w:val="a3"/>
              <w:spacing w:before="0" w:beforeAutospacing="0" w:after="0" w:afterAutospacing="0"/>
              <w:jc w:val="right"/>
              <w:rPr>
                <w:sz w:val="20"/>
                <w:szCs w:val="20"/>
              </w:rPr>
            </w:pPr>
            <w:r>
              <w:rPr>
                <w:sz w:val="20"/>
                <w:szCs w:val="20"/>
              </w:rPr>
              <w:t>1,33</w:t>
            </w:r>
            <w:r>
              <w:rPr>
                <w:sz w:val="20"/>
                <w:szCs w:val="20"/>
              </w:rPr>
              <w:t>4</w:t>
            </w:r>
          </w:p>
        </w:tc>
        <w:tc>
          <w:tcPr>
            <w:tcW w:w="0" w:type="auto"/>
            <w:noWrap/>
            <w:vAlign w:val="bottom"/>
            <w:hideMark/>
          </w:tcPr>
          <w:p w14:paraId="13B004E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B844B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232036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3B9E3E7" w14:textId="77777777" w:rsidR="00000000" w:rsidRDefault="00632532">
            <w:pPr>
              <w:pStyle w:val="a3"/>
              <w:spacing w:before="0" w:beforeAutospacing="0" w:after="0" w:afterAutospacing="0"/>
              <w:jc w:val="right"/>
              <w:rPr>
                <w:sz w:val="20"/>
                <w:szCs w:val="20"/>
              </w:rPr>
            </w:pPr>
            <w:r>
              <w:rPr>
                <w:sz w:val="20"/>
                <w:szCs w:val="20"/>
              </w:rPr>
              <w:t>1,40</w:t>
            </w:r>
            <w:r>
              <w:rPr>
                <w:sz w:val="20"/>
                <w:szCs w:val="20"/>
              </w:rPr>
              <w:t>3</w:t>
            </w:r>
          </w:p>
        </w:tc>
        <w:tc>
          <w:tcPr>
            <w:tcW w:w="0" w:type="auto"/>
            <w:noWrap/>
            <w:vAlign w:val="bottom"/>
            <w:hideMark/>
          </w:tcPr>
          <w:p w14:paraId="6D69126C" w14:textId="77777777" w:rsidR="00000000" w:rsidRDefault="00632532">
            <w:pPr>
              <w:pStyle w:val="a3"/>
              <w:spacing w:before="0" w:beforeAutospacing="0" w:after="0" w:afterAutospacing="0"/>
              <w:rPr>
                <w:sz w:val="20"/>
                <w:szCs w:val="20"/>
              </w:rPr>
            </w:pPr>
            <w:r>
              <w:rPr>
                <w:sz w:val="20"/>
                <w:szCs w:val="20"/>
              </w:rPr>
              <w:t> </w:t>
            </w:r>
          </w:p>
        </w:tc>
      </w:tr>
      <w:tr w:rsidR="00000000" w14:paraId="388EDBAA" w14:textId="77777777">
        <w:trPr>
          <w:divId w:val="2045397737"/>
          <w:trHeight w:val="200"/>
          <w:tblCellSpacing w:w="15" w:type="dxa"/>
        </w:trPr>
        <w:tc>
          <w:tcPr>
            <w:tcW w:w="0" w:type="auto"/>
            <w:vAlign w:val="bottom"/>
            <w:hideMark/>
          </w:tcPr>
          <w:p w14:paraId="2D28214D" w14:textId="77777777" w:rsidR="00000000" w:rsidRDefault="00632532">
            <w:pPr>
              <w:pStyle w:val="a3"/>
              <w:spacing w:before="0" w:beforeAutospacing="0" w:after="0" w:afterAutospacing="0"/>
              <w:rPr>
                <w:sz w:val="20"/>
                <w:szCs w:val="20"/>
              </w:rPr>
            </w:pPr>
            <w:r>
              <w:rPr>
                <w:sz w:val="20"/>
                <w:szCs w:val="20"/>
              </w:rPr>
              <w:t>Prepaid income taxe</w:t>
            </w:r>
            <w:r>
              <w:rPr>
                <w:sz w:val="20"/>
                <w:szCs w:val="20"/>
              </w:rPr>
              <w:t>s</w:t>
            </w:r>
          </w:p>
        </w:tc>
        <w:tc>
          <w:tcPr>
            <w:tcW w:w="0" w:type="auto"/>
            <w:noWrap/>
            <w:vAlign w:val="bottom"/>
            <w:hideMark/>
          </w:tcPr>
          <w:p w14:paraId="779255B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3EF7060" w14:textId="77777777" w:rsidR="00000000" w:rsidRDefault="00632532">
            <w:pPr>
              <w:pStyle w:val="a3"/>
              <w:spacing w:before="0" w:beforeAutospacing="0" w:after="0" w:afterAutospacing="0"/>
              <w:jc w:val="right"/>
              <w:rPr>
                <w:sz w:val="20"/>
                <w:szCs w:val="20"/>
              </w:rPr>
            </w:pPr>
            <w:r>
              <w:rPr>
                <w:sz w:val="20"/>
                <w:szCs w:val="20"/>
              </w:rPr>
              <w:t>92</w:t>
            </w:r>
            <w:r>
              <w:rPr>
                <w:sz w:val="20"/>
                <w:szCs w:val="20"/>
              </w:rPr>
              <w:t>0</w:t>
            </w:r>
          </w:p>
        </w:tc>
        <w:tc>
          <w:tcPr>
            <w:tcW w:w="0" w:type="auto"/>
            <w:noWrap/>
            <w:vAlign w:val="bottom"/>
            <w:hideMark/>
          </w:tcPr>
          <w:p w14:paraId="53B6E88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B03016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D5959A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7D247D1" w14:textId="77777777" w:rsidR="00000000" w:rsidRDefault="00632532">
            <w:pPr>
              <w:pStyle w:val="a3"/>
              <w:spacing w:before="0" w:beforeAutospacing="0" w:after="0" w:afterAutospacing="0"/>
              <w:jc w:val="right"/>
              <w:rPr>
                <w:sz w:val="20"/>
                <w:szCs w:val="20"/>
              </w:rPr>
            </w:pPr>
            <w:r>
              <w:rPr>
                <w:sz w:val="20"/>
                <w:szCs w:val="20"/>
              </w:rPr>
              <w:t>1,71</w:t>
            </w:r>
            <w:r>
              <w:rPr>
                <w:sz w:val="20"/>
                <w:szCs w:val="20"/>
              </w:rPr>
              <w:t>6</w:t>
            </w:r>
          </w:p>
        </w:tc>
        <w:tc>
          <w:tcPr>
            <w:tcW w:w="0" w:type="auto"/>
            <w:noWrap/>
            <w:vAlign w:val="bottom"/>
            <w:hideMark/>
          </w:tcPr>
          <w:p w14:paraId="391A1470" w14:textId="77777777" w:rsidR="00000000" w:rsidRDefault="00632532">
            <w:pPr>
              <w:pStyle w:val="a3"/>
              <w:spacing w:before="0" w:beforeAutospacing="0" w:after="0" w:afterAutospacing="0"/>
              <w:rPr>
                <w:sz w:val="20"/>
                <w:szCs w:val="20"/>
              </w:rPr>
            </w:pPr>
            <w:r>
              <w:rPr>
                <w:sz w:val="20"/>
                <w:szCs w:val="20"/>
              </w:rPr>
              <w:t> </w:t>
            </w:r>
          </w:p>
        </w:tc>
      </w:tr>
      <w:tr w:rsidR="00000000" w14:paraId="31561B9B" w14:textId="77777777">
        <w:trPr>
          <w:divId w:val="2045397737"/>
          <w:trHeight w:val="200"/>
          <w:tblCellSpacing w:w="15" w:type="dxa"/>
        </w:trPr>
        <w:tc>
          <w:tcPr>
            <w:tcW w:w="0" w:type="auto"/>
            <w:vAlign w:val="bottom"/>
            <w:hideMark/>
          </w:tcPr>
          <w:p w14:paraId="5B8DCD77" w14:textId="77777777" w:rsidR="00000000" w:rsidRDefault="00632532">
            <w:pPr>
              <w:pStyle w:val="a3"/>
              <w:spacing w:before="0" w:beforeAutospacing="0" w:after="0" w:afterAutospacing="0"/>
              <w:rPr>
                <w:sz w:val="20"/>
                <w:szCs w:val="20"/>
              </w:rPr>
            </w:pPr>
            <w:r>
              <w:rPr>
                <w:sz w:val="20"/>
                <w:szCs w:val="20"/>
              </w:rPr>
              <w:t>Contract asset</w:t>
            </w:r>
            <w:r>
              <w:rPr>
                <w:sz w:val="20"/>
                <w:szCs w:val="20"/>
              </w:rPr>
              <w:t>s</w:t>
            </w:r>
          </w:p>
        </w:tc>
        <w:tc>
          <w:tcPr>
            <w:tcW w:w="0" w:type="auto"/>
            <w:noWrap/>
            <w:hideMark/>
          </w:tcPr>
          <w:p w14:paraId="6A103DB9"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0C1CC6D7" w14:textId="77777777" w:rsidR="00000000" w:rsidRDefault="00632532">
            <w:pPr>
              <w:pStyle w:val="a3"/>
              <w:spacing w:before="0" w:beforeAutospacing="0" w:after="0" w:afterAutospacing="0"/>
              <w:jc w:val="right"/>
              <w:rPr>
                <w:sz w:val="20"/>
                <w:szCs w:val="20"/>
              </w:rPr>
            </w:pPr>
            <w:r>
              <w:rPr>
                <w:sz w:val="20"/>
                <w:szCs w:val="20"/>
              </w:rPr>
              <w:t>17</w:t>
            </w:r>
            <w:r>
              <w:rPr>
                <w:sz w:val="20"/>
                <w:szCs w:val="20"/>
              </w:rPr>
              <w:t>3</w:t>
            </w:r>
          </w:p>
        </w:tc>
        <w:tc>
          <w:tcPr>
            <w:tcW w:w="0" w:type="auto"/>
            <w:noWrap/>
            <w:hideMark/>
          </w:tcPr>
          <w:p w14:paraId="4704D76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FC89E8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E77650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56BCDA1" w14:textId="77777777" w:rsidR="00000000" w:rsidRDefault="00632532">
            <w:pPr>
              <w:pStyle w:val="a3"/>
              <w:spacing w:before="0" w:beforeAutospacing="0" w:after="0" w:afterAutospacing="0"/>
              <w:jc w:val="right"/>
              <w:rPr>
                <w:sz w:val="20"/>
                <w:szCs w:val="20"/>
              </w:rPr>
            </w:pPr>
            <w:r>
              <w:rPr>
                <w:sz w:val="20"/>
                <w:szCs w:val="20"/>
              </w:rPr>
              <w:t>23</w:t>
            </w:r>
            <w:r>
              <w:rPr>
                <w:sz w:val="20"/>
                <w:szCs w:val="20"/>
              </w:rPr>
              <w:t>7</w:t>
            </w:r>
          </w:p>
        </w:tc>
        <w:tc>
          <w:tcPr>
            <w:tcW w:w="0" w:type="auto"/>
            <w:noWrap/>
            <w:vAlign w:val="bottom"/>
            <w:hideMark/>
          </w:tcPr>
          <w:p w14:paraId="43BC7EB7" w14:textId="77777777" w:rsidR="00000000" w:rsidRDefault="00632532">
            <w:pPr>
              <w:pStyle w:val="a3"/>
              <w:spacing w:before="0" w:beforeAutospacing="0" w:after="0" w:afterAutospacing="0"/>
              <w:rPr>
                <w:sz w:val="20"/>
                <w:szCs w:val="20"/>
              </w:rPr>
            </w:pPr>
            <w:r>
              <w:rPr>
                <w:sz w:val="20"/>
                <w:szCs w:val="20"/>
              </w:rPr>
              <w:t> </w:t>
            </w:r>
          </w:p>
        </w:tc>
      </w:tr>
      <w:tr w:rsidR="00000000" w14:paraId="769FF9B2" w14:textId="77777777">
        <w:trPr>
          <w:divId w:val="2045397737"/>
          <w:trHeight w:val="200"/>
          <w:tblCellSpacing w:w="15" w:type="dxa"/>
        </w:trPr>
        <w:tc>
          <w:tcPr>
            <w:tcW w:w="0" w:type="auto"/>
            <w:vAlign w:val="bottom"/>
            <w:hideMark/>
          </w:tcPr>
          <w:p w14:paraId="4F6DDD14" w14:textId="77777777" w:rsidR="00000000" w:rsidRDefault="00632532">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14:paraId="44C724F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6E17291" w14:textId="77777777" w:rsidR="00000000" w:rsidRDefault="00632532">
            <w:pPr>
              <w:pStyle w:val="a3"/>
              <w:spacing w:before="0" w:beforeAutospacing="0" w:after="0" w:afterAutospacing="0"/>
              <w:jc w:val="right"/>
              <w:rPr>
                <w:sz w:val="20"/>
                <w:szCs w:val="20"/>
              </w:rPr>
            </w:pPr>
            <w:r>
              <w:rPr>
                <w:sz w:val="20"/>
                <w:szCs w:val="20"/>
              </w:rPr>
              <w:t>26,48</w:t>
            </w:r>
            <w:r>
              <w:rPr>
                <w:sz w:val="20"/>
                <w:szCs w:val="20"/>
              </w:rPr>
              <w:t>0</w:t>
            </w:r>
          </w:p>
        </w:tc>
        <w:tc>
          <w:tcPr>
            <w:tcW w:w="0" w:type="auto"/>
            <w:noWrap/>
            <w:vAlign w:val="bottom"/>
            <w:hideMark/>
          </w:tcPr>
          <w:p w14:paraId="31F4FAE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4AE5D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A5FFBC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F4A4A73" w14:textId="77777777" w:rsidR="00000000" w:rsidRDefault="00632532">
            <w:pPr>
              <w:pStyle w:val="a3"/>
              <w:spacing w:before="0" w:beforeAutospacing="0" w:after="0" w:afterAutospacing="0"/>
              <w:jc w:val="right"/>
              <w:rPr>
                <w:sz w:val="20"/>
                <w:szCs w:val="20"/>
              </w:rPr>
            </w:pPr>
            <w:r>
              <w:rPr>
                <w:sz w:val="20"/>
                <w:szCs w:val="20"/>
              </w:rPr>
              <w:t>22,54</w:t>
            </w:r>
            <w:r>
              <w:rPr>
                <w:sz w:val="20"/>
                <w:szCs w:val="20"/>
              </w:rPr>
              <w:t>9</w:t>
            </w:r>
          </w:p>
        </w:tc>
        <w:tc>
          <w:tcPr>
            <w:tcW w:w="0" w:type="auto"/>
            <w:noWrap/>
            <w:vAlign w:val="bottom"/>
            <w:hideMark/>
          </w:tcPr>
          <w:p w14:paraId="3016D2C1" w14:textId="77777777" w:rsidR="00000000" w:rsidRDefault="00632532">
            <w:pPr>
              <w:pStyle w:val="a3"/>
              <w:spacing w:before="0" w:beforeAutospacing="0" w:after="0" w:afterAutospacing="0"/>
              <w:rPr>
                <w:sz w:val="20"/>
                <w:szCs w:val="20"/>
              </w:rPr>
            </w:pPr>
            <w:r>
              <w:rPr>
                <w:sz w:val="20"/>
                <w:szCs w:val="20"/>
              </w:rPr>
              <w:t> </w:t>
            </w:r>
          </w:p>
        </w:tc>
      </w:tr>
    </w:tbl>
    <w:p w14:paraId="723B1BB8" w14:textId="77777777" w:rsidR="00000000" w:rsidRDefault="00632532">
      <w:pPr>
        <w:pStyle w:val="a3"/>
        <w:spacing w:before="0" w:beforeAutospacing="0" w:after="0" w:afterAutospacing="0"/>
        <w:ind w:firstLine="555"/>
        <w:divId w:val="1480152863"/>
        <w:rPr>
          <w:sz w:val="20"/>
          <w:szCs w:val="20"/>
        </w:rPr>
      </w:pPr>
      <w:r>
        <w:rPr>
          <w:sz w:val="20"/>
          <w:szCs w:val="20"/>
        </w:rPr>
        <w:t> </w:t>
      </w:r>
    </w:p>
    <w:p w14:paraId="60A35E00" w14:textId="77777777" w:rsidR="00000000" w:rsidRDefault="00632532">
      <w:pPr>
        <w:pStyle w:val="a3"/>
        <w:spacing w:before="40" w:beforeAutospacing="0" w:after="0" w:afterAutospacing="0"/>
        <w:ind w:firstLine="555"/>
        <w:divId w:val="1480152863"/>
        <w:rPr>
          <w:sz w:val="20"/>
          <w:szCs w:val="20"/>
        </w:rPr>
      </w:pPr>
      <w:r>
        <w:rPr>
          <w:sz w:val="20"/>
          <w:szCs w:val="20"/>
        </w:rPr>
        <w:t>Reagents and supplies include reagents and consumables used for COVID-19 testing and genetics testing and collection kits for COVID-19 testing</w:t>
      </w:r>
      <w:r>
        <w:rPr>
          <w:sz w:val="20"/>
          <w:szCs w:val="20"/>
        </w:rPr>
        <w:t>.</w:t>
      </w:r>
      <w:r>
        <w:rPr>
          <w:sz w:val="20"/>
          <w:szCs w:val="20"/>
        </w:rPr>
        <w:t xml:space="preserve"> </w:t>
      </w:r>
    </w:p>
    <w:p w14:paraId="7659FF16" w14:textId="77777777" w:rsidR="00000000" w:rsidRDefault="00632532">
      <w:pPr>
        <w:pStyle w:val="a3"/>
        <w:spacing w:before="360" w:beforeAutospacing="0" w:after="0" w:afterAutospacing="0"/>
        <w:divId w:val="1866096016"/>
        <w:rPr>
          <w:sz w:val="20"/>
          <w:szCs w:val="20"/>
        </w:rPr>
      </w:pPr>
      <w:r>
        <w:rPr>
          <w:b/>
          <w:bCs/>
          <w:sz w:val="20"/>
          <w:szCs w:val="20"/>
        </w:rPr>
        <w:t>Note</w:t>
      </w:r>
      <w:r>
        <w:rPr>
          <w:b/>
          <w:bCs/>
          <w:sz w:val="20"/>
          <w:szCs w:val="20"/>
        </w:rPr>
        <w:t xml:space="preserve"> </w:t>
      </w:r>
      <w:r>
        <w:rPr>
          <w:b/>
          <w:bCs/>
          <w:sz w:val="20"/>
          <w:szCs w:val="20"/>
        </w:rPr>
        <w:t>7. Reporting Segment and Geographic Informatio</w:t>
      </w:r>
      <w:r>
        <w:rPr>
          <w:b/>
          <w:bCs/>
          <w:sz w:val="20"/>
          <w:szCs w:val="20"/>
        </w:rPr>
        <w:t>n</w:t>
      </w:r>
    </w:p>
    <w:p w14:paraId="759BEE11" w14:textId="77777777" w:rsidR="00000000" w:rsidRDefault="00632532">
      <w:pPr>
        <w:pStyle w:val="a3"/>
        <w:spacing w:before="120" w:beforeAutospacing="0" w:after="0" w:afterAutospacing="0"/>
        <w:ind w:firstLine="555"/>
        <w:divId w:val="1866096016"/>
        <w:rPr>
          <w:sz w:val="20"/>
          <w:szCs w:val="20"/>
        </w:rPr>
      </w:pPr>
      <w:r>
        <w:rPr>
          <w:sz w:val="20"/>
          <w:szCs w:val="20"/>
        </w:rPr>
        <w:t xml:space="preserve">The Company views its operations and manages its business </w:t>
      </w:r>
      <w:r>
        <w:rPr>
          <w:sz w:val="20"/>
          <w:szCs w:val="20"/>
        </w:rPr>
        <w:t>in</w:t>
      </w:r>
      <w:r>
        <w:rPr>
          <w:sz w:val="20"/>
          <w:szCs w:val="20"/>
        </w:rPr>
        <w:t xml:space="preserve"> </w:t>
      </w:r>
      <w:r>
        <w:rPr>
          <w:sz w:val="20"/>
          <w:szCs w:val="20"/>
        </w:rPr>
        <w:t>on</w:t>
      </w:r>
      <w:r>
        <w:rPr>
          <w:sz w:val="20"/>
          <w:szCs w:val="20"/>
        </w:rPr>
        <w:t>e</w:t>
      </w:r>
      <w:r>
        <w:rPr>
          <w:sz w:val="20"/>
          <w:szCs w:val="20"/>
        </w:rPr>
        <w:t xml:space="preserve"> reporting segment. Long-lived assets were primarily located in the United States as of June 30, 2022 and December 31, 2021</w:t>
      </w:r>
      <w:r>
        <w:rPr>
          <w:sz w:val="20"/>
          <w:szCs w:val="20"/>
        </w:rPr>
        <w:t>.</w:t>
      </w:r>
      <w:r>
        <w:rPr>
          <w:sz w:val="20"/>
          <w:szCs w:val="20"/>
        </w:rPr>
        <w:t xml:space="preserve"> Revenue by region during the three and six months ended June 30, 2022 and 2021 were as follows</w:t>
      </w:r>
      <w:r>
        <w:rPr>
          <w:sz w:val="20"/>
          <w:szCs w:val="20"/>
        </w:rPr>
        <w:t>:</w:t>
      </w:r>
    </w:p>
    <w:p w14:paraId="7A0904C6" w14:textId="77777777" w:rsidR="00000000" w:rsidRDefault="00632532">
      <w:pPr>
        <w:pStyle w:val="a3"/>
        <w:spacing w:before="0" w:beforeAutospacing="0" w:after="0" w:afterAutospacing="0"/>
        <w:divId w:val="19674064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43"/>
        <w:gridCol w:w="160"/>
        <w:gridCol w:w="844"/>
        <w:gridCol w:w="110"/>
        <w:gridCol w:w="113"/>
        <w:gridCol w:w="160"/>
        <w:gridCol w:w="912"/>
        <w:gridCol w:w="110"/>
        <w:gridCol w:w="114"/>
        <w:gridCol w:w="160"/>
        <w:gridCol w:w="762"/>
        <w:gridCol w:w="110"/>
        <w:gridCol w:w="114"/>
        <w:gridCol w:w="160"/>
        <w:gridCol w:w="1009"/>
        <w:gridCol w:w="125"/>
      </w:tblGrid>
      <w:tr w:rsidR="00000000" w14:paraId="14065A9D" w14:textId="77777777">
        <w:trPr>
          <w:divId w:val="196740643"/>
          <w:tblCellSpacing w:w="15" w:type="dxa"/>
        </w:trPr>
        <w:tc>
          <w:tcPr>
            <w:tcW w:w="2130" w:type="pct"/>
            <w:vAlign w:val="center"/>
            <w:hideMark/>
          </w:tcPr>
          <w:p w14:paraId="470910D9" w14:textId="77777777" w:rsidR="00000000" w:rsidRDefault="00632532">
            <w:pPr>
              <w:rPr>
                <w:sz w:val="20"/>
                <w:szCs w:val="20"/>
              </w:rPr>
            </w:pPr>
          </w:p>
        </w:tc>
        <w:tc>
          <w:tcPr>
            <w:tcW w:w="50" w:type="pct"/>
            <w:vAlign w:val="center"/>
            <w:hideMark/>
          </w:tcPr>
          <w:p w14:paraId="41D8247B" w14:textId="77777777" w:rsidR="00000000" w:rsidRDefault="00632532">
            <w:pPr>
              <w:rPr>
                <w:rFonts w:eastAsia="Times New Roman"/>
                <w:sz w:val="20"/>
                <w:szCs w:val="20"/>
              </w:rPr>
            </w:pPr>
          </w:p>
        </w:tc>
        <w:tc>
          <w:tcPr>
            <w:tcW w:w="539" w:type="pct"/>
            <w:vAlign w:val="center"/>
            <w:hideMark/>
          </w:tcPr>
          <w:p w14:paraId="1BFC5FBF" w14:textId="77777777" w:rsidR="00000000" w:rsidRDefault="00632532">
            <w:pPr>
              <w:rPr>
                <w:rFonts w:eastAsia="Times New Roman"/>
                <w:sz w:val="20"/>
                <w:szCs w:val="20"/>
              </w:rPr>
            </w:pPr>
          </w:p>
        </w:tc>
        <w:tc>
          <w:tcPr>
            <w:tcW w:w="50" w:type="pct"/>
            <w:vAlign w:val="center"/>
            <w:hideMark/>
          </w:tcPr>
          <w:p w14:paraId="3BF1ECCB" w14:textId="77777777" w:rsidR="00000000" w:rsidRDefault="00632532">
            <w:pPr>
              <w:rPr>
                <w:rFonts w:eastAsia="Times New Roman"/>
                <w:sz w:val="20"/>
                <w:szCs w:val="20"/>
              </w:rPr>
            </w:pPr>
          </w:p>
        </w:tc>
        <w:tc>
          <w:tcPr>
            <w:tcW w:w="71" w:type="pct"/>
            <w:vAlign w:val="center"/>
            <w:hideMark/>
          </w:tcPr>
          <w:p w14:paraId="4B15E962" w14:textId="77777777" w:rsidR="00000000" w:rsidRDefault="00632532">
            <w:pPr>
              <w:rPr>
                <w:rFonts w:eastAsia="Times New Roman"/>
                <w:sz w:val="20"/>
                <w:szCs w:val="20"/>
              </w:rPr>
            </w:pPr>
          </w:p>
        </w:tc>
        <w:tc>
          <w:tcPr>
            <w:tcW w:w="50" w:type="pct"/>
            <w:vAlign w:val="center"/>
            <w:hideMark/>
          </w:tcPr>
          <w:p w14:paraId="22A732F0" w14:textId="77777777" w:rsidR="00000000" w:rsidRDefault="00632532">
            <w:pPr>
              <w:rPr>
                <w:rFonts w:eastAsia="Times New Roman"/>
                <w:sz w:val="20"/>
                <w:szCs w:val="20"/>
              </w:rPr>
            </w:pPr>
          </w:p>
        </w:tc>
        <w:tc>
          <w:tcPr>
            <w:tcW w:w="582" w:type="pct"/>
            <w:vAlign w:val="center"/>
            <w:hideMark/>
          </w:tcPr>
          <w:p w14:paraId="0359EEF8" w14:textId="77777777" w:rsidR="00000000" w:rsidRDefault="00632532">
            <w:pPr>
              <w:rPr>
                <w:rFonts w:eastAsia="Times New Roman"/>
                <w:sz w:val="20"/>
                <w:szCs w:val="20"/>
              </w:rPr>
            </w:pPr>
          </w:p>
        </w:tc>
        <w:tc>
          <w:tcPr>
            <w:tcW w:w="50" w:type="pct"/>
            <w:vAlign w:val="center"/>
            <w:hideMark/>
          </w:tcPr>
          <w:p w14:paraId="2C31420A" w14:textId="77777777" w:rsidR="00000000" w:rsidRDefault="00632532">
            <w:pPr>
              <w:rPr>
                <w:rFonts w:eastAsia="Times New Roman"/>
                <w:sz w:val="20"/>
                <w:szCs w:val="20"/>
              </w:rPr>
            </w:pPr>
          </w:p>
        </w:tc>
        <w:tc>
          <w:tcPr>
            <w:tcW w:w="71" w:type="pct"/>
            <w:vAlign w:val="center"/>
            <w:hideMark/>
          </w:tcPr>
          <w:p w14:paraId="78BF37F8" w14:textId="77777777" w:rsidR="00000000" w:rsidRDefault="00632532">
            <w:pPr>
              <w:rPr>
                <w:rFonts w:eastAsia="Times New Roman"/>
                <w:sz w:val="20"/>
                <w:szCs w:val="20"/>
              </w:rPr>
            </w:pPr>
          </w:p>
        </w:tc>
        <w:tc>
          <w:tcPr>
            <w:tcW w:w="50" w:type="pct"/>
            <w:vAlign w:val="center"/>
            <w:hideMark/>
          </w:tcPr>
          <w:p w14:paraId="5AD32A17" w14:textId="77777777" w:rsidR="00000000" w:rsidRDefault="00632532">
            <w:pPr>
              <w:rPr>
                <w:rFonts w:eastAsia="Times New Roman"/>
                <w:sz w:val="20"/>
                <w:szCs w:val="20"/>
              </w:rPr>
            </w:pPr>
          </w:p>
        </w:tc>
        <w:tc>
          <w:tcPr>
            <w:tcW w:w="486" w:type="pct"/>
            <w:vAlign w:val="center"/>
            <w:hideMark/>
          </w:tcPr>
          <w:p w14:paraId="72029E14" w14:textId="77777777" w:rsidR="00000000" w:rsidRDefault="00632532">
            <w:pPr>
              <w:rPr>
                <w:rFonts w:eastAsia="Times New Roman"/>
                <w:sz w:val="20"/>
                <w:szCs w:val="20"/>
              </w:rPr>
            </w:pPr>
          </w:p>
        </w:tc>
        <w:tc>
          <w:tcPr>
            <w:tcW w:w="50" w:type="pct"/>
            <w:vAlign w:val="center"/>
            <w:hideMark/>
          </w:tcPr>
          <w:p w14:paraId="69774A6B" w14:textId="77777777" w:rsidR="00000000" w:rsidRDefault="00632532">
            <w:pPr>
              <w:rPr>
                <w:rFonts w:eastAsia="Times New Roman"/>
                <w:sz w:val="20"/>
                <w:szCs w:val="20"/>
              </w:rPr>
            </w:pPr>
          </w:p>
        </w:tc>
        <w:tc>
          <w:tcPr>
            <w:tcW w:w="71" w:type="pct"/>
            <w:vAlign w:val="center"/>
            <w:hideMark/>
          </w:tcPr>
          <w:p w14:paraId="206ECD1B" w14:textId="77777777" w:rsidR="00000000" w:rsidRDefault="00632532">
            <w:pPr>
              <w:rPr>
                <w:rFonts w:eastAsia="Times New Roman"/>
                <w:sz w:val="20"/>
                <w:szCs w:val="20"/>
              </w:rPr>
            </w:pPr>
          </w:p>
        </w:tc>
        <w:tc>
          <w:tcPr>
            <w:tcW w:w="50" w:type="pct"/>
            <w:vAlign w:val="center"/>
            <w:hideMark/>
          </w:tcPr>
          <w:p w14:paraId="55BF3D4E" w14:textId="77777777" w:rsidR="00000000" w:rsidRDefault="00632532">
            <w:pPr>
              <w:rPr>
                <w:rFonts w:eastAsia="Times New Roman"/>
                <w:sz w:val="20"/>
                <w:szCs w:val="20"/>
              </w:rPr>
            </w:pPr>
          </w:p>
        </w:tc>
        <w:tc>
          <w:tcPr>
            <w:tcW w:w="644" w:type="pct"/>
            <w:vAlign w:val="center"/>
            <w:hideMark/>
          </w:tcPr>
          <w:p w14:paraId="249FB187" w14:textId="77777777" w:rsidR="00000000" w:rsidRDefault="00632532">
            <w:pPr>
              <w:rPr>
                <w:rFonts w:eastAsia="Times New Roman"/>
                <w:sz w:val="20"/>
                <w:szCs w:val="20"/>
              </w:rPr>
            </w:pPr>
          </w:p>
        </w:tc>
        <w:tc>
          <w:tcPr>
            <w:tcW w:w="50" w:type="pct"/>
            <w:vAlign w:val="center"/>
            <w:hideMark/>
          </w:tcPr>
          <w:p w14:paraId="1D6A59DE" w14:textId="77777777" w:rsidR="00000000" w:rsidRDefault="00632532">
            <w:pPr>
              <w:rPr>
                <w:rFonts w:eastAsia="Times New Roman"/>
                <w:sz w:val="20"/>
                <w:szCs w:val="20"/>
              </w:rPr>
            </w:pPr>
          </w:p>
        </w:tc>
      </w:tr>
      <w:tr w:rsidR="00000000" w14:paraId="6746F743" w14:textId="77777777">
        <w:trPr>
          <w:divId w:val="196740643"/>
          <w:trHeight w:val="160"/>
          <w:tblCellSpacing w:w="15" w:type="dxa"/>
        </w:trPr>
        <w:tc>
          <w:tcPr>
            <w:tcW w:w="0" w:type="auto"/>
            <w:vAlign w:val="bottom"/>
            <w:hideMark/>
          </w:tcPr>
          <w:p w14:paraId="52CEFF04" w14:textId="77777777" w:rsidR="00000000" w:rsidRDefault="00632532">
            <w:pPr>
              <w:pStyle w:val="a3"/>
              <w:spacing w:before="0" w:beforeAutospacing="0" w:after="0" w:afterAutospacing="0"/>
              <w:rPr>
                <w:sz w:val="16"/>
                <w:szCs w:val="16"/>
              </w:rPr>
            </w:pPr>
            <w:r>
              <w:rPr>
                <w:sz w:val="16"/>
                <w:szCs w:val="16"/>
              </w:rPr>
              <w:t> </w:t>
            </w:r>
          </w:p>
        </w:tc>
        <w:tc>
          <w:tcPr>
            <w:tcW w:w="0" w:type="auto"/>
            <w:gridSpan w:val="6"/>
            <w:vAlign w:val="bottom"/>
            <w:hideMark/>
          </w:tcPr>
          <w:p w14:paraId="6A1A2F51" w14:textId="77777777" w:rsidR="00000000" w:rsidRDefault="00632532">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099621BA"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F98943E"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7B7BE6C9"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5B51AC2C"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70ECB08D" w14:textId="77777777">
        <w:trPr>
          <w:divId w:val="196740643"/>
          <w:trHeight w:val="160"/>
          <w:tblCellSpacing w:w="15" w:type="dxa"/>
        </w:trPr>
        <w:tc>
          <w:tcPr>
            <w:tcW w:w="0" w:type="auto"/>
            <w:vAlign w:val="bottom"/>
            <w:hideMark/>
          </w:tcPr>
          <w:p w14:paraId="2888B908"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202F2CC5"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4CD53245"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9F65D74"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B6C038E"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9D14550"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C5CE919"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3675885"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EBBCA7E"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5543E6E"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BEBE90F"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458E241"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27995C1" w14:textId="77777777">
        <w:trPr>
          <w:divId w:val="196740643"/>
          <w:trHeight w:val="160"/>
          <w:tblCellSpacing w:w="15" w:type="dxa"/>
        </w:trPr>
        <w:tc>
          <w:tcPr>
            <w:tcW w:w="0" w:type="auto"/>
            <w:vAlign w:val="bottom"/>
            <w:hideMark/>
          </w:tcPr>
          <w:p w14:paraId="433E025D"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vAlign w:val="bottom"/>
            <w:hideMark/>
          </w:tcPr>
          <w:p w14:paraId="3CED8E6A"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007D502E"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2797C47" w14:textId="77777777">
        <w:trPr>
          <w:divId w:val="196740643"/>
          <w:trHeight w:val="200"/>
          <w:tblCellSpacing w:w="15" w:type="dxa"/>
        </w:trPr>
        <w:tc>
          <w:tcPr>
            <w:tcW w:w="0" w:type="auto"/>
            <w:vAlign w:val="bottom"/>
            <w:hideMark/>
          </w:tcPr>
          <w:p w14:paraId="6D72EAEC" w14:textId="77777777" w:rsidR="00000000" w:rsidRDefault="00632532">
            <w:pPr>
              <w:pStyle w:val="a3"/>
              <w:spacing w:before="0" w:beforeAutospacing="0" w:after="0" w:afterAutospacing="0"/>
              <w:rPr>
                <w:sz w:val="20"/>
                <w:szCs w:val="20"/>
              </w:rPr>
            </w:pPr>
            <w:r>
              <w:rPr>
                <w:b/>
                <w:bCs/>
                <w:sz w:val="20"/>
                <w:szCs w:val="20"/>
              </w:rPr>
              <w:t>Revenue</w:t>
            </w:r>
            <w:r>
              <w:rPr>
                <w:b/>
                <w:bCs/>
                <w:sz w:val="20"/>
                <w:szCs w:val="20"/>
              </w:rPr>
              <w:t>:</w:t>
            </w:r>
          </w:p>
        </w:tc>
        <w:tc>
          <w:tcPr>
            <w:tcW w:w="0" w:type="auto"/>
            <w:gridSpan w:val="2"/>
            <w:hideMark/>
          </w:tcPr>
          <w:p w14:paraId="6CAB54EB" w14:textId="77777777" w:rsidR="00000000" w:rsidRDefault="00632532">
            <w:pPr>
              <w:pStyle w:val="a3"/>
              <w:spacing w:before="0" w:beforeAutospacing="0" w:after="0" w:afterAutospacing="0"/>
              <w:jc w:val="center"/>
              <w:rPr>
                <w:sz w:val="20"/>
                <w:szCs w:val="20"/>
              </w:rPr>
            </w:pPr>
            <w:r>
              <w:rPr>
                <w:sz w:val="20"/>
                <w:szCs w:val="20"/>
              </w:rPr>
              <w:t> </w:t>
            </w:r>
          </w:p>
        </w:tc>
        <w:tc>
          <w:tcPr>
            <w:tcW w:w="0" w:type="auto"/>
            <w:hideMark/>
          </w:tcPr>
          <w:p w14:paraId="03E5BEE0" w14:textId="77777777" w:rsidR="00000000" w:rsidRDefault="00632532">
            <w:pPr>
              <w:pStyle w:val="a3"/>
              <w:spacing w:before="0" w:beforeAutospacing="0" w:after="0" w:afterAutospacing="0"/>
              <w:jc w:val="center"/>
              <w:rPr>
                <w:sz w:val="20"/>
                <w:szCs w:val="20"/>
              </w:rPr>
            </w:pPr>
            <w:r>
              <w:rPr>
                <w:sz w:val="20"/>
                <w:szCs w:val="20"/>
              </w:rPr>
              <w:t> </w:t>
            </w:r>
          </w:p>
        </w:tc>
        <w:tc>
          <w:tcPr>
            <w:tcW w:w="0" w:type="auto"/>
            <w:hideMark/>
          </w:tcPr>
          <w:p w14:paraId="1FD84276"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hideMark/>
          </w:tcPr>
          <w:p w14:paraId="467A6D5A" w14:textId="77777777" w:rsidR="00000000" w:rsidRDefault="00632532">
            <w:pPr>
              <w:pStyle w:val="a3"/>
              <w:spacing w:before="0" w:beforeAutospacing="0" w:after="0" w:afterAutospacing="0"/>
              <w:jc w:val="center"/>
              <w:rPr>
                <w:sz w:val="20"/>
                <w:szCs w:val="20"/>
              </w:rPr>
            </w:pPr>
            <w:r>
              <w:rPr>
                <w:sz w:val="20"/>
                <w:szCs w:val="20"/>
              </w:rPr>
              <w:t> </w:t>
            </w:r>
          </w:p>
        </w:tc>
        <w:tc>
          <w:tcPr>
            <w:tcW w:w="0" w:type="auto"/>
            <w:hideMark/>
          </w:tcPr>
          <w:p w14:paraId="61C1F048" w14:textId="77777777" w:rsidR="00000000" w:rsidRDefault="00632532">
            <w:pPr>
              <w:pStyle w:val="a3"/>
              <w:spacing w:before="0" w:beforeAutospacing="0" w:after="0" w:afterAutospacing="0"/>
              <w:jc w:val="center"/>
              <w:rPr>
                <w:sz w:val="20"/>
                <w:szCs w:val="20"/>
              </w:rPr>
            </w:pPr>
            <w:r>
              <w:rPr>
                <w:sz w:val="20"/>
                <w:szCs w:val="20"/>
              </w:rPr>
              <w:t> </w:t>
            </w:r>
          </w:p>
        </w:tc>
        <w:tc>
          <w:tcPr>
            <w:tcW w:w="0" w:type="auto"/>
            <w:hideMark/>
          </w:tcPr>
          <w:p w14:paraId="682BEB25"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hideMark/>
          </w:tcPr>
          <w:p w14:paraId="77E8E758" w14:textId="77777777" w:rsidR="00000000" w:rsidRDefault="00632532">
            <w:pPr>
              <w:pStyle w:val="a3"/>
              <w:spacing w:before="0" w:beforeAutospacing="0" w:after="0" w:afterAutospacing="0"/>
              <w:jc w:val="center"/>
              <w:rPr>
                <w:sz w:val="20"/>
                <w:szCs w:val="20"/>
              </w:rPr>
            </w:pPr>
            <w:r>
              <w:rPr>
                <w:sz w:val="20"/>
                <w:szCs w:val="20"/>
              </w:rPr>
              <w:t> </w:t>
            </w:r>
          </w:p>
        </w:tc>
        <w:tc>
          <w:tcPr>
            <w:tcW w:w="0" w:type="auto"/>
            <w:hideMark/>
          </w:tcPr>
          <w:p w14:paraId="3D00134E" w14:textId="77777777" w:rsidR="00000000" w:rsidRDefault="00632532">
            <w:pPr>
              <w:pStyle w:val="a3"/>
              <w:spacing w:before="0" w:beforeAutospacing="0" w:after="0" w:afterAutospacing="0"/>
              <w:jc w:val="center"/>
              <w:rPr>
                <w:sz w:val="20"/>
                <w:szCs w:val="20"/>
              </w:rPr>
            </w:pPr>
            <w:r>
              <w:rPr>
                <w:sz w:val="20"/>
                <w:szCs w:val="20"/>
              </w:rPr>
              <w:t> </w:t>
            </w:r>
          </w:p>
        </w:tc>
        <w:tc>
          <w:tcPr>
            <w:tcW w:w="0" w:type="auto"/>
            <w:hideMark/>
          </w:tcPr>
          <w:p w14:paraId="46F16663"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hideMark/>
          </w:tcPr>
          <w:p w14:paraId="35F1AFA5" w14:textId="77777777" w:rsidR="00000000" w:rsidRDefault="00632532">
            <w:pPr>
              <w:pStyle w:val="a3"/>
              <w:spacing w:before="0" w:beforeAutospacing="0" w:after="0" w:afterAutospacing="0"/>
              <w:jc w:val="center"/>
              <w:rPr>
                <w:sz w:val="20"/>
                <w:szCs w:val="20"/>
              </w:rPr>
            </w:pPr>
            <w:r>
              <w:rPr>
                <w:sz w:val="20"/>
                <w:szCs w:val="20"/>
              </w:rPr>
              <w:t> </w:t>
            </w:r>
          </w:p>
        </w:tc>
        <w:tc>
          <w:tcPr>
            <w:tcW w:w="0" w:type="auto"/>
            <w:hideMark/>
          </w:tcPr>
          <w:p w14:paraId="13EC11F4" w14:textId="77777777" w:rsidR="00000000" w:rsidRDefault="00632532">
            <w:pPr>
              <w:pStyle w:val="a3"/>
              <w:spacing w:before="0" w:beforeAutospacing="0" w:after="0" w:afterAutospacing="0"/>
              <w:jc w:val="center"/>
              <w:rPr>
                <w:sz w:val="20"/>
                <w:szCs w:val="20"/>
              </w:rPr>
            </w:pPr>
            <w:r>
              <w:rPr>
                <w:sz w:val="20"/>
                <w:szCs w:val="20"/>
              </w:rPr>
              <w:t> </w:t>
            </w:r>
          </w:p>
        </w:tc>
      </w:tr>
      <w:tr w:rsidR="00000000" w14:paraId="4FF39426" w14:textId="77777777">
        <w:trPr>
          <w:divId w:val="196740643"/>
          <w:trHeight w:val="200"/>
          <w:tblCellSpacing w:w="15" w:type="dxa"/>
        </w:trPr>
        <w:tc>
          <w:tcPr>
            <w:tcW w:w="0" w:type="auto"/>
            <w:vAlign w:val="bottom"/>
            <w:hideMark/>
          </w:tcPr>
          <w:p w14:paraId="69A1AA4C" w14:textId="77777777" w:rsidR="00000000" w:rsidRDefault="00632532">
            <w:pPr>
              <w:pStyle w:val="a3"/>
              <w:spacing w:before="0" w:beforeAutospacing="0" w:after="0" w:afterAutospacing="0"/>
              <w:rPr>
                <w:sz w:val="20"/>
                <w:szCs w:val="20"/>
              </w:rPr>
            </w:pPr>
            <w:r>
              <w:rPr>
                <w:sz w:val="20"/>
                <w:szCs w:val="20"/>
              </w:rPr>
              <w:t>United State</w:t>
            </w:r>
            <w:r>
              <w:rPr>
                <w:sz w:val="20"/>
                <w:szCs w:val="20"/>
              </w:rPr>
              <w:t>s</w:t>
            </w:r>
          </w:p>
        </w:tc>
        <w:tc>
          <w:tcPr>
            <w:tcW w:w="0" w:type="auto"/>
            <w:noWrap/>
            <w:vAlign w:val="bottom"/>
            <w:hideMark/>
          </w:tcPr>
          <w:p w14:paraId="7A0F252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2108F66" w14:textId="77777777" w:rsidR="00000000" w:rsidRDefault="00632532">
            <w:pPr>
              <w:pStyle w:val="a3"/>
              <w:spacing w:before="0" w:beforeAutospacing="0" w:after="0" w:afterAutospacing="0"/>
              <w:jc w:val="right"/>
              <w:rPr>
                <w:sz w:val="20"/>
                <w:szCs w:val="20"/>
              </w:rPr>
            </w:pPr>
            <w:r>
              <w:rPr>
                <w:sz w:val="20"/>
                <w:szCs w:val="20"/>
              </w:rPr>
              <w:t>122,09</w:t>
            </w:r>
            <w:r>
              <w:rPr>
                <w:sz w:val="20"/>
                <w:szCs w:val="20"/>
              </w:rPr>
              <w:t>6</w:t>
            </w:r>
          </w:p>
        </w:tc>
        <w:tc>
          <w:tcPr>
            <w:tcW w:w="0" w:type="auto"/>
            <w:noWrap/>
            <w:vAlign w:val="bottom"/>
            <w:hideMark/>
          </w:tcPr>
          <w:p w14:paraId="405A143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AC786B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387B51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83AAC9C" w14:textId="77777777" w:rsidR="00000000" w:rsidRDefault="00632532">
            <w:pPr>
              <w:pStyle w:val="a3"/>
              <w:spacing w:before="0" w:beforeAutospacing="0" w:after="0" w:afterAutospacing="0"/>
              <w:jc w:val="right"/>
              <w:rPr>
                <w:sz w:val="20"/>
                <w:szCs w:val="20"/>
              </w:rPr>
            </w:pPr>
            <w:r>
              <w:rPr>
                <w:sz w:val="20"/>
                <w:szCs w:val="20"/>
              </w:rPr>
              <w:t>149,86</w:t>
            </w:r>
            <w:r>
              <w:rPr>
                <w:sz w:val="20"/>
                <w:szCs w:val="20"/>
              </w:rPr>
              <w:t>2</w:t>
            </w:r>
          </w:p>
        </w:tc>
        <w:tc>
          <w:tcPr>
            <w:tcW w:w="0" w:type="auto"/>
            <w:noWrap/>
            <w:vAlign w:val="bottom"/>
            <w:hideMark/>
          </w:tcPr>
          <w:p w14:paraId="7DFCCF8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6B2A62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E9C982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88611A6" w14:textId="77777777" w:rsidR="00000000" w:rsidRDefault="00632532">
            <w:pPr>
              <w:pStyle w:val="a3"/>
              <w:spacing w:before="0" w:beforeAutospacing="0" w:after="0" w:afterAutospacing="0"/>
              <w:jc w:val="right"/>
              <w:rPr>
                <w:sz w:val="20"/>
                <w:szCs w:val="20"/>
              </w:rPr>
            </w:pPr>
            <w:r>
              <w:rPr>
                <w:sz w:val="20"/>
                <w:szCs w:val="20"/>
              </w:rPr>
              <w:t>439,28</w:t>
            </w:r>
            <w:r>
              <w:rPr>
                <w:sz w:val="20"/>
                <w:szCs w:val="20"/>
              </w:rPr>
              <w:t>6</w:t>
            </w:r>
          </w:p>
        </w:tc>
        <w:tc>
          <w:tcPr>
            <w:tcW w:w="0" w:type="auto"/>
            <w:noWrap/>
            <w:vAlign w:val="bottom"/>
            <w:hideMark/>
          </w:tcPr>
          <w:p w14:paraId="1A5FBBF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5BB929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7F418E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A6C3288" w14:textId="77777777" w:rsidR="00000000" w:rsidRDefault="00632532">
            <w:pPr>
              <w:pStyle w:val="a3"/>
              <w:spacing w:before="0" w:beforeAutospacing="0" w:after="0" w:afterAutospacing="0"/>
              <w:jc w:val="right"/>
              <w:rPr>
                <w:sz w:val="20"/>
                <w:szCs w:val="20"/>
              </w:rPr>
            </w:pPr>
            <w:r>
              <w:rPr>
                <w:sz w:val="20"/>
                <w:szCs w:val="20"/>
              </w:rPr>
              <w:t>507,39</w:t>
            </w:r>
            <w:r>
              <w:rPr>
                <w:sz w:val="20"/>
                <w:szCs w:val="20"/>
              </w:rPr>
              <w:t>9</w:t>
            </w:r>
          </w:p>
        </w:tc>
        <w:tc>
          <w:tcPr>
            <w:tcW w:w="0" w:type="auto"/>
            <w:noWrap/>
            <w:vAlign w:val="bottom"/>
            <w:hideMark/>
          </w:tcPr>
          <w:p w14:paraId="43DB525D" w14:textId="77777777" w:rsidR="00000000" w:rsidRDefault="00632532">
            <w:pPr>
              <w:pStyle w:val="a3"/>
              <w:spacing w:before="0" w:beforeAutospacing="0" w:after="0" w:afterAutospacing="0"/>
              <w:rPr>
                <w:sz w:val="20"/>
                <w:szCs w:val="20"/>
              </w:rPr>
            </w:pPr>
            <w:r>
              <w:rPr>
                <w:sz w:val="20"/>
                <w:szCs w:val="20"/>
              </w:rPr>
              <w:t> </w:t>
            </w:r>
          </w:p>
        </w:tc>
      </w:tr>
      <w:tr w:rsidR="00000000" w14:paraId="7EF4A924" w14:textId="77777777">
        <w:trPr>
          <w:divId w:val="196740643"/>
          <w:trHeight w:val="200"/>
          <w:tblCellSpacing w:w="15" w:type="dxa"/>
        </w:trPr>
        <w:tc>
          <w:tcPr>
            <w:tcW w:w="0" w:type="auto"/>
            <w:vAlign w:val="bottom"/>
            <w:hideMark/>
          </w:tcPr>
          <w:p w14:paraId="4E8751E4" w14:textId="77777777" w:rsidR="00000000" w:rsidRDefault="00632532">
            <w:pPr>
              <w:pStyle w:val="a3"/>
              <w:spacing w:before="0" w:beforeAutospacing="0" w:after="0" w:afterAutospacing="0"/>
              <w:rPr>
                <w:sz w:val="20"/>
                <w:szCs w:val="20"/>
              </w:rPr>
            </w:pPr>
            <w:r>
              <w:rPr>
                <w:sz w:val="20"/>
                <w:szCs w:val="20"/>
              </w:rPr>
              <w:t>Foreig</w:t>
            </w:r>
            <w:r>
              <w:rPr>
                <w:sz w:val="20"/>
                <w:szCs w:val="20"/>
              </w:rPr>
              <w:t>n</w:t>
            </w:r>
          </w:p>
        </w:tc>
        <w:tc>
          <w:tcPr>
            <w:tcW w:w="0" w:type="auto"/>
            <w:noWrap/>
            <w:vAlign w:val="bottom"/>
            <w:hideMark/>
          </w:tcPr>
          <w:p w14:paraId="385D7AB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53A4F24" w14:textId="77777777" w:rsidR="00000000" w:rsidRDefault="00632532">
            <w:pPr>
              <w:pStyle w:val="a3"/>
              <w:spacing w:before="0" w:beforeAutospacing="0" w:after="0" w:afterAutospacing="0"/>
              <w:jc w:val="right"/>
              <w:rPr>
                <w:sz w:val="20"/>
                <w:szCs w:val="20"/>
              </w:rPr>
            </w:pPr>
            <w:r>
              <w:rPr>
                <w:sz w:val="20"/>
                <w:szCs w:val="20"/>
              </w:rPr>
              <w:t>3,24</w:t>
            </w:r>
            <w:r>
              <w:rPr>
                <w:sz w:val="20"/>
                <w:szCs w:val="20"/>
              </w:rPr>
              <w:t>5</w:t>
            </w:r>
          </w:p>
        </w:tc>
        <w:tc>
          <w:tcPr>
            <w:tcW w:w="0" w:type="auto"/>
            <w:noWrap/>
            <w:vAlign w:val="bottom"/>
            <w:hideMark/>
          </w:tcPr>
          <w:p w14:paraId="58FB17E8"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33D0F4A0"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24573B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7437C5" w14:textId="77777777" w:rsidR="00000000" w:rsidRDefault="00632532">
            <w:pPr>
              <w:pStyle w:val="a3"/>
              <w:spacing w:before="0" w:beforeAutospacing="0" w:after="0" w:afterAutospacing="0"/>
              <w:jc w:val="right"/>
              <w:rPr>
                <w:sz w:val="20"/>
                <w:szCs w:val="20"/>
              </w:rPr>
            </w:pPr>
            <w:r>
              <w:rPr>
                <w:sz w:val="20"/>
                <w:szCs w:val="20"/>
              </w:rPr>
              <w:t>3,75</w:t>
            </w:r>
            <w:r>
              <w:rPr>
                <w:sz w:val="20"/>
                <w:szCs w:val="20"/>
              </w:rPr>
              <w:t>4</w:t>
            </w:r>
          </w:p>
        </w:tc>
        <w:tc>
          <w:tcPr>
            <w:tcW w:w="0" w:type="auto"/>
            <w:noWrap/>
            <w:vAlign w:val="bottom"/>
            <w:hideMark/>
          </w:tcPr>
          <w:p w14:paraId="1E8C851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DB8FD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528F61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F753D19" w14:textId="77777777" w:rsidR="00000000" w:rsidRDefault="00632532">
            <w:pPr>
              <w:pStyle w:val="a3"/>
              <w:spacing w:before="0" w:beforeAutospacing="0" w:after="0" w:afterAutospacing="0"/>
              <w:jc w:val="right"/>
              <w:rPr>
                <w:sz w:val="20"/>
                <w:szCs w:val="20"/>
              </w:rPr>
            </w:pPr>
            <w:r>
              <w:rPr>
                <w:sz w:val="20"/>
                <w:szCs w:val="20"/>
              </w:rPr>
              <w:t>6,32</w:t>
            </w:r>
            <w:r>
              <w:rPr>
                <w:sz w:val="20"/>
                <w:szCs w:val="20"/>
              </w:rPr>
              <w:t>3</w:t>
            </w:r>
          </w:p>
        </w:tc>
        <w:tc>
          <w:tcPr>
            <w:tcW w:w="0" w:type="auto"/>
            <w:noWrap/>
            <w:vAlign w:val="bottom"/>
            <w:hideMark/>
          </w:tcPr>
          <w:p w14:paraId="0FB5CE36"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4CB4B732"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BE4E13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6A1C677" w14:textId="77777777" w:rsidR="00000000" w:rsidRDefault="00632532">
            <w:pPr>
              <w:pStyle w:val="a3"/>
              <w:spacing w:before="0" w:beforeAutospacing="0" w:after="0" w:afterAutospacing="0"/>
              <w:jc w:val="right"/>
              <w:rPr>
                <w:sz w:val="20"/>
                <w:szCs w:val="20"/>
              </w:rPr>
            </w:pPr>
            <w:r>
              <w:rPr>
                <w:sz w:val="20"/>
                <w:szCs w:val="20"/>
              </w:rPr>
              <w:t>5,64</w:t>
            </w:r>
            <w:r>
              <w:rPr>
                <w:sz w:val="20"/>
                <w:szCs w:val="20"/>
              </w:rPr>
              <w:t>6</w:t>
            </w:r>
          </w:p>
        </w:tc>
        <w:tc>
          <w:tcPr>
            <w:tcW w:w="0" w:type="auto"/>
            <w:noWrap/>
            <w:vAlign w:val="bottom"/>
            <w:hideMark/>
          </w:tcPr>
          <w:p w14:paraId="27478CE3" w14:textId="77777777" w:rsidR="00000000" w:rsidRDefault="00632532">
            <w:pPr>
              <w:pStyle w:val="a3"/>
              <w:spacing w:before="0" w:beforeAutospacing="0" w:after="0" w:afterAutospacing="0"/>
              <w:rPr>
                <w:sz w:val="20"/>
                <w:szCs w:val="20"/>
              </w:rPr>
            </w:pPr>
            <w:r>
              <w:rPr>
                <w:sz w:val="20"/>
                <w:szCs w:val="20"/>
              </w:rPr>
              <w:t> </w:t>
            </w:r>
          </w:p>
        </w:tc>
      </w:tr>
      <w:tr w:rsidR="00000000" w14:paraId="23089E54" w14:textId="77777777">
        <w:trPr>
          <w:divId w:val="196740643"/>
          <w:trHeight w:val="200"/>
          <w:tblCellSpacing w:w="15" w:type="dxa"/>
        </w:trPr>
        <w:tc>
          <w:tcPr>
            <w:tcW w:w="0" w:type="auto"/>
            <w:vAlign w:val="bottom"/>
            <w:hideMark/>
          </w:tcPr>
          <w:p w14:paraId="0B09D1A1" w14:textId="77777777" w:rsidR="00000000" w:rsidRDefault="00632532">
            <w:pPr>
              <w:pStyle w:val="a3"/>
              <w:spacing w:before="0" w:beforeAutospacing="0" w:after="0" w:afterAutospacing="0"/>
              <w:rPr>
                <w:sz w:val="20"/>
                <w:szCs w:val="20"/>
              </w:rPr>
            </w:pPr>
            <w:r>
              <w:rPr>
                <w:sz w:val="20"/>
                <w:szCs w:val="20"/>
              </w:rPr>
              <w:t>Tota</w:t>
            </w:r>
            <w:r>
              <w:rPr>
                <w:sz w:val="20"/>
                <w:szCs w:val="20"/>
              </w:rPr>
              <w:t>l</w:t>
            </w:r>
          </w:p>
        </w:tc>
        <w:tc>
          <w:tcPr>
            <w:tcW w:w="0" w:type="auto"/>
            <w:noWrap/>
            <w:hideMark/>
          </w:tcPr>
          <w:p w14:paraId="12BBB13B" w14:textId="77777777" w:rsidR="00000000" w:rsidRDefault="00632532">
            <w:pPr>
              <w:pStyle w:val="a3"/>
              <w:spacing w:before="0" w:beforeAutospacing="0" w:after="0" w:afterAutospacing="0"/>
              <w:rPr>
                <w:sz w:val="20"/>
                <w:szCs w:val="20"/>
              </w:rPr>
            </w:pPr>
            <w:r>
              <w:rPr>
                <w:sz w:val="20"/>
                <w:szCs w:val="20"/>
              </w:rPr>
              <w:t>$</w:t>
            </w:r>
          </w:p>
        </w:tc>
        <w:tc>
          <w:tcPr>
            <w:tcW w:w="0" w:type="auto"/>
            <w:hideMark/>
          </w:tcPr>
          <w:p w14:paraId="458AF090" w14:textId="77777777" w:rsidR="00000000" w:rsidRDefault="00632532">
            <w:pPr>
              <w:pStyle w:val="a3"/>
              <w:spacing w:before="0" w:beforeAutospacing="0" w:after="0" w:afterAutospacing="0"/>
              <w:jc w:val="right"/>
              <w:rPr>
                <w:sz w:val="20"/>
                <w:szCs w:val="20"/>
              </w:rPr>
            </w:pPr>
            <w:r>
              <w:rPr>
                <w:sz w:val="20"/>
                <w:szCs w:val="20"/>
              </w:rPr>
              <w:t>125,34</w:t>
            </w:r>
            <w:r>
              <w:rPr>
                <w:sz w:val="20"/>
                <w:szCs w:val="20"/>
              </w:rPr>
              <w:t>1</w:t>
            </w:r>
          </w:p>
        </w:tc>
        <w:tc>
          <w:tcPr>
            <w:tcW w:w="0" w:type="auto"/>
            <w:noWrap/>
            <w:hideMark/>
          </w:tcPr>
          <w:p w14:paraId="7E3B8CC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D942DD8" w14:textId="77777777" w:rsidR="00000000" w:rsidRDefault="00632532">
            <w:pPr>
              <w:pStyle w:val="a3"/>
              <w:spacing w:before="0" w:beforeAutospacing="0" w:after="0" w:afterAutospacing="0"/>
              <w:rPr>
                <w:sz w:val="20"/>
                <w:szCs w:val="20"/>
              </w:rPr>
            </w:pPr>
            <w:r>
              <w:rPr>
                <w:sz w:val="20"/>
                <w:szCs w:val="20"/>
              </w:rPr>
              <w:t> </w:t>
            </w:r>
          </w:p>
        </w:tc>
        <w:tc>
          <w:tcPr>
            <w:tcW w:w="0" w:type="auto"/>
            <w:noWrap/>
            <w:hideMark/>
          </w:tcPr>
          <w:p w14:paraId="48AF8E03" w14:textId="77777777" w:rsidR="00000000" w:rsidRDefault="00632532">
            <w:pPr>
              <w:pStyle w:val="a3"/>
              <w:spacing w:before="0" w:beforeAutospacing="0" w:after="0" w:afterAutospacing="0"/>
              <w:rPr>
                <w:sz w:val="20"/>
                <w:szCs w:val="20"/>
              </w:rPr>
            </w:pPr>
            <w:r>
              <w:rPr>
                <w:sz w:val="20"/>
                <w:szCs w:val="20"/>
              </w:rPr>
              <w:t>$</w:t>
            </w:r>
          </w:p>
        </w:tc>
        <w:tc>
          <w:tcPr>
            <w:tcW w:w="0" w:type="auto"/>
            <w:hideMark/>
          </w:tcPr>
          <w:p w14:paraId="11E7DB11" w14:textId="77777777" w:rsidR="00000000" w:rsidRDefault="00632532">
            <w:pPr>
              <w:pStyle w:val="a3"/>
              <w:spacing w:before="0" w:beforeAutospacing="0" w:after="0" w:afterAutospacing="0"/>
              <w:jc w:val="right"/>
              <w:rPr>
                <w:sz w:val="20"/>
                <w:szCs w:val="20"/>
              </w:rPr>
            </w:pPr>
            <w:r>
              <w:rPr>
                <w:sz w:val="20"/>
                <w:szCs w:val="20"/>
              </w:rPr>
              <w:t>153,61</w:t>
            </w:r>
            <w:r>
              <w:rPr>
                <w:sz w:val="20"/>
                <w:szCs w:val="20"/>
              </w:rPr>
              <w:t>6</w:t>
            </w:r>
          </w:p>
        </w:tc>
        <w:tc>
          <w:tcPr>
            <w:tcW w:w="0" w:type="auto"/>
            <w:noWrap/>
            <w:hideMark/>
          </w:tcPr>
          <w:p w14:paraId="06CBC3B7"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52200138"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hideMark/>
          </w:tcPr>
          <w:p w14:paraId="30DBB4F6" w14:textId="77777777" w:rsidR="00000000" w:rsidRDefault="00632532">
            <w:pPr>
              <w:pStyle w:val="a3"/>
              <w:spacing w:before="0" w:beforeAutospacing="0" w:after="0" w:afterAutospacing="0"/>
              <w:rPr>
                <w:sz w:val="20"/>
                <w:szCs w:val="20"/>
              </w:rPr>
            </w:pPr>
            <w:r>
              <w:rPr>
                <w:sz w:val="20"/>
                <w:szCs w:val="20"/>
              </w:rPr>
              <w:t>$</w:t>
            </w:r>
          </w:p>
        </w:tc>
        <w:tc>
          <w:tcPr>
            <w:tcW w:w="0" w:type="auto"/>
            <w:hideMark/>
          </w:tcPr>
          <w:p w14:paraId="77B9FF41" w14:textId="77777777" w:rsidR="00000000" w:rsidRDefault="00632532">
            <w:pPr>
              <w:pStyle w:val="a3"/>
              <w:spacing w:before="0" w:beforeAutospacing="0" w:after="0" w:afterAutospacing="0"/>
              <w:jc w:val="right"/>
              <w:rPr>
                <w:sz w:val="20"/>
                <w:szCs w:val="20"/>
              </w:rPr>
            </w:pPr>
            <w:r>
              <w:rPr>
                <w:sz w:val="20"/>
                <w:szCs w:val="20"/>
              </w:rPr>
              <w:t>445,60</w:t>
            </w:r>
            <w:r>
              <w:rPr>
                <w:sz w:val="20"/>
                <w:szCs w:val="20"/>
              </w:rPr>
              <w:t>9</w:t>
            </w:r>
          </w:p>
        </w:tc>
        <w:tc>
          <w:tcPr>
            <w:tcW w:w="0" w:type="auto"/>
            <w:noWrap/>
            <w:hideMark/>
          </w:tcPr>
          <w:p w14:paraId="3582622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5FCC158" w14:textId="77777777" w:rsidR="00000000" w:rsidRDefault="00632532">
            <w:pPr>
              <w:pStyle w:val="a3"/>
              <w:spacing w:before="0" w:beforeAutospacing="0" w:after="0" w:afterAutospacing="0"/>
              <w:rPr>
                <w:sz w:val="20"/>
                <w:szCs w:val="20"/>
              </w:rPr>
            </w:pPr>
            <w:r>
              <w:rPr>
                <w:sz w:val="20"/>
                <w:szCs w:val="20"/>
              </w:rPr>
              <w:t> </w:t>
            </w:r>
          </w:p>
        </w:tc>
        <w:tc>
          <w:tcPr>
            <w:tcW w:w="0" w:type="auto"/>
            <w:noWrap/>
            <w:hideMark/>
          </w:tcPr>
          <w:p w14:paraId="2C922FE0" w14:textId="77777777" w:rsidR="00000000" w:rsidRDefault="00632532">
            <w:pPr>
              <w:pStyle w:val="a3"/>
              <w:spacing w:before="0" w:beforeAutospacing="0" w:after="0" w:afterAutospacing="0"/>
              <w:rPr>
                <w:sz w:val="20"/>
                <w:szCs w:val="20"/>
              </w:rPr>
            </w:pPr>
            <w:r>
              <w:rPr>
                <w:sz w:val="20"/>
                <w:szCs w:val="20"/>
              </w:rPr>
              <w:t>$</w:t>
            </w:r>
          </w:p>
        </w:tc>
        <w:tc>
          <w:tcPr>
            <w:tcW w:w="0" w:type="auto"/>
            <w:hideMark/>
          </w:tcPr>
          <w:p w14:paraId="7F437538" w14:textId="77777777" w:rsidR="00000000" w:rsidRDefault="00632532">
            <w:pPr>
              <w:pStyle w:val="a3"/>
              <w:spacing w:before="0" w:beforeAutospacing="0" w:after="0" w:afterAutospacing="0"/>
              <w:jc w:val="right"/>
              <w:rPr>
                <w:sz w:val="20"/>
                <w:szCs w:val="20"/>
              </w:rPr>
            </w:pPr>
            <w:r>
              <w:rPr>
                <w:sz w:val="20"/>
                <w:szCs w:val="20"/>
              </w:rPr>
              <w:t>513,04</w:t>
            </w:r>
            <w:r>
              <w:rPr>
                <w:sz w:val="20"/>
                <w:szCs w:val="20"/>
              </w:rPr>
              <w:t>5</w:t>
            </w:r>
          </w:p>
        </w:tc>
        <w:tc>
          <w:tcPr>
            <w:tcW w:w="0" w:type="auto"/>
            <w:noWrap/>
            <w:hideMark/>
          </w:tcPr>
          <w:p w14:paraId="59F4E52C" w14:textId="77777777" w:rsidR="00000000" w:rsidRDefault="00632532">
            <w:pPr>
              <w:pStyle w:val="a3"/>
              <w:spacing w:before="0" w:beforeAutospacing="0" w:after="0" w:afterAutospacing="0"/>
              <w:rPr>
                <w:sz w:val="20"/>
                <w:szCs w:val="20"/>
              </w:rPr>
            </w:pPr>
            <w:r>
              <w:rPr>
                <w:sz w:val="20"/>
                <w:szCs w:val="20"/>
              </w:rPr>
              <w:t> </w:t>
            </w:r>
          </w:p>
        </w:tc>
      </w:tr>
    </w:tbl>
    <w:p w14:paraId="1CAED216" w14:textId="77777777" w:rsidR="00000000" w:rsidRDefault="00632532">
      <w:pPr>
        <w:pStyle w:val="a3"/>
        <w:spacing w:before="0" w:beforeAutospacing="0" w:after="0" w:afterAutospacing="0"/>
        <w:rPr>
          <w:sz w:val="20"/>
          <w:szCs w:val="20"/>
        </w:rPr>
      </w:pPr>
      <w:r>
        <w:rPr>
          <w:sz w:val="20"/>
          <w:szCs w:val="20"/>
        </w:rPr>
        <w:t> </w:t>
      </w:r>
    </w:p>
    <w:p w14:paraId="79BE5A19" w14:textId="77777777" w:rsidR="00000000" w:rsidRDefault="00632532">
      <w:pPr>
        <w:pStyle w:val="a3"/>
        <w:spacing w:before="240" w:beforeAutospacing="0" w:after="0" w:afterAutospacing="0"/>
        <w:jc w:val="center"/>
        <w:rPr>
          <w:sz w:val="20"/>
          <w:szCs w:val="20"/>
        </w:rPr>
      </w:pPr>
      <w:r>
        <w:rPr>
          <w:sz w:val="20"/>
          <w:szCs w:val="20"/>
        </w:rPr>
        <w:t>1</w:t>
      </w:r>
      <w:r>
        <w:rPr>
          <w:sz w:val="20"/>
          <w:szCs w:val="20"/>
        </w:rPr>
        <w:t>5</w:t>
      </w:r>
    </w:p>
    <w:p w14:paraId="1693758F" w14:textId="77777777" w:rsidR="00000000" w:rsidRDefault="00632532">
      <w:pPr>
        <w:rPr>
          <w:rFonts w:eastAsia="Times New Roman"/>
        </w:rPr>
      </w:pPr>
      <w:r>
        <w:rPr>
          <w:rFonts w:eastAsia="Times New Roman"/>
        </w:rPr>
        <w:pict w14:anchorId="61EF03C5">
          <v:rect id="_x0000_i1041" style="width:0;height:1.5pt" o:hralign="center" o:hrstd="t" o:hr="t" fillcolor="#a0a0a0" stroked="f"/>
        </w:pict>
      </w:r>
    </w:p>
    <w:p w14:paraId="3211A7D2" w14:textId="77777777" w:rsidR="00000000" w:rsidRDefault="00632532">
      <w:pPr>
        <w:pStyle w:val="a3"/>
        <w:spacing w:before="360" w:beforeAutospacing="0" w:after="0" w:afterAutospacing="0"/>
        <w:divId w:val="2103716517"/>
        <w:rPr>
          <w:sz w:val="20"/>
          <w:szCs w:val="20"/>
        </w:rPr>
      </w:pPr>
      <w:r>
        <w:rPr>
          <w:b/>
          <w:bCs/>
          <w:sz w:val="20"/>
          <w:szCs w:val="20"/>
        </w:rPr>
        <w:t>Note</w:t>
      </w:r>
      <w:r>
        <w:rPr>
          <w:b/>
          <w:bCs/>
          <w:sz w:val="20"/>
          <w:szCs w:val="20"/>
        </w:rPr>
        <w:t xml:space="preserve"> </w:t>
      </w:r>
      <w:r>
        <w:rPr>
          <w:b/>
          <w:bCs/>
          <w:sz w:val="20"/>
          <w:szCs w:val="20"/>
        </w:rPr>
        <w:t>8. Debt, Commitments and Contingencie</w:t>
      </w:r>
      <w:r>
        <w:rPr>
          <w:b/>
          <w:bCs/>
          <w:sz w:val="20"/>
          <w:szCs w:val="20"/>
        </w:rPr>
        <w:t>s</w:t>
      </w:r>
    </w:p>
    <w:p w14:paraId="6A5FF7F5" w14:textId="77777777" w:rsidR="00000000" w:rsidRDefault="00632532">
      <w:pPr>
        <w:pStyle w:val="a3"/>
        <w:spacing w:before="0" w:beforeAutospacing="0" w:after="0" w:afterAutospacing="0"/>
        <w:divId w:val="2103716517"/>
        <w:rPr>
          <w:sz w:val="20"/>
          <w:szCs w:val="20"/>
        </w:rPr>
      </w:pPr>
      <w:r>
        <w:rPr>
          <w:sz w:val="20"/>
          <w:szCs w:val="20"/>
        </w:rPr>
        <w:t> </w:t>
      </w:r>
    </w:p>
    <w:p w14:paraId="7EB85595" w14:textId="77777777" w:rsidR="00000000" w:rsidRDefault="00632532">
      <w:pPr>
        <w:pStyle w:val="a3"/>
        <w:spacing w:before="0" w:beforeAutospacing="0" w:after="0" w:afterAutospacing="0"/>
        <w:divId w:val="2103716517"/>
        <w:rPr>
          <w:sz w:val="20"/>
          <w:szCs w:val="20"/>
        </w:rPr>
      </w:pPr>
      <w:r>
        <w:rPr>
          <w:b/>
          <w:bCs/>
          <w:i/>
          <w:iCs/>
          <w:sz w:val="20"/>
          <w:szCs w:val="20"/>
        </w:rPr>
        <w:t>Deb</w:t>
      </w:r>
      <w:r>
        <w:rPr>
          <w:b/>
          <w:bCs/>
          <w:i/>
          <w:iCs/>
          <w:sz w:val="20"/>
          <w:szCs w:val="20"/>
        </w:rPr>
        <w:t>t</w:t>
      </w:r>
    </w:p>
    <w:p w14:paraId="00B81E55" w14:textId="77777777" w:rsidR="00000000" w:rsidRDefault="00632532">
      <w:pPr>
        <w:pStyle w:val="a3"/>
        <w:spacing w:before="120" w:beforeAutospacing="0" w:after="0" w:afterAutospacing="0"/>
        <w:ind w:firstLine="555"/>
        <w:divId w:val="2103716517"/>
        <w:rPr>
          <w:sz w:val="20"/>
          <w:szCs w:val="20"/>
        </w:rPr>
      </w:pPr>
      <w:r>
        <w:rPr>
          <w:sz w:val="20"/>
          <w:szCs w:val="20"/>
        </w:rPr>
        <w:t xml:space="preserve">As of June 30, 2022, the Company had an outstanding borrowing of </w:t>
      </w:r>
      <w:r>
        <w:rPr>
          <w:sz w:val="20"/>
          <w:szCs w:val="20"/>
        </w:rPr>
        <w:t>$</w:t>
      </w:r>
      <w:r>
        <w:rPr>
          <w:sz w:val="20"/>
          <w:szCs w:val="20"/>
        </w:rPr>
        <w:t>15.</w:t>
      </w:r>
      <w:r>
        <w:rPr>
          <w:sz w:val="20"/>
          <w:szCs w:val="20"/>
        </w:rPr>
        <w:t>0</w:t>
      </w:r>
      <w:r>
        <w:rPr>
          <w:sz w:val="20"/>
          <w:szCs w:val="20"/>
        </w:rPr>
        <w:t xml:space="preserve"> millio</w:t>
      </w:r>
      <w:r>
        <w:rPr>
          <w:sz w:val="20"/>
          <w:szCs w:val="20"/>
        </w:rPr>
        <w:t>n</w:t>
      </w:r>
      <w:r>
        <w:rPr>
          <w:sz w:val="20"/>
          <w:szCs w:val="20"/>
        </w:rPr>
        <w:t xml:space="preserve"> under its margin account with the custodian of the Company’s marketable debt security inve</w:t>
      </w:r>
      <w:r>
        <w:rPr>
          <w:sz w:val="20"/>
          <w:szCs w:val="20"/>
        </w:rPr>
        <w:t>stment account, Pershing Advisor Solutions, LLC, a BNY Mellon Company. Margin account borrowings were used for the purchase of real property located in El Monte, California in 2020. The securities in the brokerage account were used as collateral for the ma</w:t>
      </w:r>
      <w:r>
        <w:rPr>
          <w:sz w:val="20"/>
          <w:szCs w:val="20"/>
        </w:rPr>
        <w:t>rgin loan. The custodian can issue a margin call at any time. The interest rate on the margin loan was the effective federal funds rate, or EFFR, plus a spread. The EFFR and/or the spread can be changed by BNY Mellon at any time. The interest was</w:t>
      </w:r>
      <w:r>
        <w:rPr>
          <w:sz w:val="20"/>
          <w:szCs w:val="20"/>
        </w:rPr>
        <w:t xml:space="preserve"> </w:t>
      </w:r>
      <w:r>
        <w:rPr>
          <w:sz w:val="20"/>
          <w:szCs w:val="20"/>
        </w:rPr>
        <w:t>1</w:t>
      </w:r>
      <w:r>
        <w:rPr>
          <w:sz w:val="20"/>
          <w:szCs w:val="20"/>
        </w:rPr>
        <w:t>% at the</w:t>
      </w:r>
      <w:r>
        <w:rPr>
          <w:sz w:val="20"/>
          <w:szCs w:val="20"/>
        </w:rPr>
        <w:t xml:space="preserve"> time of withdrawal of </w:t>
      </w:r>
      <w:r>
        <w:rPr>
          <w:sz w:val="20"/>
          <w:szCs w:val="20"/>
        </w:rPr>
        <w:t>$</w:t>
      </w:r>
      <w:r>
        <w:rPr>
          <w:sz w:val="20"/>
          <w:szCs w:val="20"/>
        </w:rPr>
        <w:t>15.</w:t>
      </w:r>
      <w:r>
        <w:rPr>
          <w:sz w:val="20"/>
          <w:szCs w:val="20"/>
        </w:rPr>
        <w:t>0</w:t>
      </w:r>
      <w:r>
        <w:rPr>
          <w:sz w:val="20"/>
          <w:szCs w:val="20"/>
        </w:rPr>
        <w:t xml:space="preserve"> million from the margin account, and the interest rate at June 30, 2022 was less than</w:t>
      </w:r>
      <w:r>
        <w:rPr>
          <w:sz w:val="20"/>
          <w:szCs w:val="20"/>
        </w:rPr>
        <w:t xml:space="preserve"> </w:t>
      </w:r>
      <w:r>
        <w:rPr>
          <w:sz w:val="20"/>
          <w:szCs w:val="20"/>
        </w:rPr>
        <w:t>2</w:t>
      </w:r>
      <w:r>
        <w:rPr>
          <w:sz w:val="20"/>
          <w:szCs w:val="20"/>
        </w:rPr>
        <w:t>%</w:t>
      </w:r>
      <w:r>
        <w:rPr>
          <w:sz w:val="20"/>
          <w:szCs w:val="20"/>
        </w:rPr>
        <w:t>. The Company did not make any other withdrawals from the margin account, and the outstanding balance is included in the accompanying Conde</w:t>
      </w:r>
      <w:r>
        <w:rPr>
          <w:sz w:val="20"/>
          <w:szCs w:val="20"/>
        </w:rPr>
        <w:t>nsed Consolidated Balance Sheets. The related interest expenses for the three and six months ended June 30, 2022 were</w:t>
      </w:r>
      <w:r>
        <w:rPr>
          <w:sz w:val="20"/>
          <w:szCs w:val="20"/>
        </w:rPr>
        <w:t xml:space="preserve"> </w:t>
      </w:r>
      <w:r>
        <w:rPr>
          <w:sz w:val="20"/>
          <w:szCs w:val="20"/>
        </w:rPr>
        <w:t>$</w:t>
      </w:r>
      <w:r>
        <w:rPr>
          <w:sz w:val="20"/>
          <w:szCs w:val="20"/>
        </w:rPr>
        <w:t>50,00</w:t>
      </w:r>
      <w:r>
        <w:rPr>
          <w:sz w:val="20"/>
          <w:szCs w:val="20"/>
        </w:rPr>
        <w:t>0</w:t>
      </w:r>
      <w:r>
        <w:rPr>
          <w:sz w:val="20"/>
          <w:szCs w:val="20"/>
        </w:rPr>
        <w:t xml:space="preserve"> and </w:t>
      </w:r>
      <w:r>
        <w:rPr>
          <w:sz w:val="20"/>
          <w:szCs w:val="20"/>
        </w:rPr>
        <w:t>$</w:t>
      </w:r>
      <w:r>
        <w:rPr>
          <w:sz w:val="20"/>
          <w:szCs w:val="20"/>
        </w:rPr>
        <w:t>79,00</w:t>
      </w:r>
      <w:r>
        <w:rPr>
          <w:sz w:val="20"/>
          <w:szCs w:val="20"/>
        </w:rPr>
        <w:t>0</w:t>
      </w:r>
      <w:r>
        <w:rPr>
          <w:sz w:val="20"/>
          <w:szCs w:val="20"/>
        </w:rPr>
        <w:t xml:space="preserve">, respectively. The related interest expenses for the three and six months ended June 30, 2021 were </w:t>
      </w:r>
      <w:r>
        <w:rPr>
          <w:sz w:val="20"/>
          <w:szCs w:val="20"/>
        </w:rPr>
        <w:t>$</w:t>
      </w:r>
      <w:r>
        <w:rPr>
          <w:sz w:val="20"/>
          <w:szCs w:val="20"/>
        </w:rPr>
        <w:t>29,00</w:t>
      </w:r>
      <w:r>
        <w:rPr>
          <w:sz w:val="20"/>
          <w:szCs w:val="20"/>
        </w:rPr>
        <w:t>0</w:t>
      </w:r>
      <w:r>
        <w:rPr>
          <w:sz w:val="20"/>
          <w:szCs w:val="20"/>
        </w:rPr>
        <w:t xml:space="preserve"> and </w:t>
      </w:r>
      <w:r>
        <w:rPr>
          <w:sz w:val="20"/>
          <w:szCs w:val="20"/>
        </w:rPr>
        <w:t>$</w:t>
      </w:r>
      <w:r>
        <w:rPr>
          <w:sz w:val="20"/>
          <w:szCs w:val="20"/>
        </w:rPr>
        <w:t>58,00</w:t>
      </w:r>
      <w:r>
        <w:rPr>
          <w:sz w:val="20"/>
          <w:szCs w:val="20"/>
        </w:rPr>
        <w:t>0</w:t>
      </w:r>
      <w:r>
        <w:rPr>
          <w:sz w:val="20"/>
          <w:szCs w:val="20"/>
        </w:rPr>
        <w:t>, respectively</w:t>
      </w:r>
      <w:r>
        <w:rPr>
          <w:sz w:val="20"/>
          <w:szCs w:val="20"/>
        </w:rPr>
        <w:t>.</w:t>
      </w:r>
    </w:p>
    <w:p w14:paraId="32705741" w14:textId="77777777" w:rsidR="00000000" w:rsidRDefault="00632532">
      <w:pPr>
        <w:pStyle w:val="a3"/>
        <w:spacing w:before="240" w:beforeAutospacing="0" w:after="0" w:afterAutospacing="0"/>
        <w:ind w:firstLine="555"/>
        <w:divId w:val="2103716517"/>
        <w:rPr>
          <w:sz w:val="20"/>
          <w:szCs w:val="20"/>
        </w:rPr>
      </w:pPr>
      <w:r>
        <w:rPr>
          <w:sz w:val="20"/>
          <w:szCs w:val="20"/>
        </w:rPr>
        <w:t>Notes payable as of June 30, 2022 consisted of</w:t>
      </w:r>
      <w:r>
        <w:rPr>
          <w:sz w:val="20"/>
          <w:szCs w:val="20"/>
        </w:rPr>
        <w:t xml:space="preserve"> </w:t>
      </w:r>
      <w:r>
        <w:rPr>
          <w:sz w:val="20"/>
          <w:szCs w:val="20"/>
        </w:rPr>
        <w:t>$</w:t>
      </w:r>
      <w:r>
        <w:rPr>
          <w:sz w:val="20"/>
          <w:szCs w:val="20"/>
        </w:rPr>
        <w:t>3.</w:t>
      </w:r>
      <w:r>
        <w:rPr>
          <w:sz w:val="20"/>
          <w:szCs w:val="20"/>
        </w:rPr>
        <w:t>8</w:t>
      </w:r>
      <w:r>
        <w:rPr>
          <w:sz w:val="20"/>
          <w:szCs w:val="20"/>
        </w:rPr>
        <w:t xml:space="preserve"> millio</w:t>
      </w:r>
      <w:r>
        <w:rPr>
          <w:sz w:val="20"/>
          <w:szCs w:val="20"/>
        </w:rPr>
        <w:t>n</w:t>
      </w:r>
      <w:r>
        <w:rPr>
          <w:sz w:val="20"/>
          <w:szCs w:val="20"/>
        </w:rPr>
        <w:t xml:space="preserve"> of notes payable related to an installment sale contract the Company entered in February 2022 for a building and </w:t>
      </w:r>
      <w:r>
        <w:rPr>
          <w:sz w:val="20"/>
          <w:szCs w:val="20"/>
        </w:rPr>
        <w:t>$</w:t>
      </w:r>
      <w:r>
        <w:rPr>
          <w:sz w:val="20"/>
          <w:szCs w:val="20"/>
        </w:rPr>
        <w:t>5.</w:t>
      </w:r>
      <w:r>
        <w:rPr>
          <w:sz w:val="20"/>
          <w:szCs w:val="20"/>
        </w:rPr>
        <w:t>3</w:t>
      </w:r>
      <w:r>
        <w:rPr>
          <w:sz w:val="20"/>
          <w:szCs w:val="20"/>
        </w:rPr>
        <w:t xml:space="preserve"> millio</w:t>
      </w:r>
      <w:r>
        <w:rPr>
          <w:sz w:val="20"/>
          <w:szCs w:val="20"/>
        </w:rPr>
        <w:t>n</w:t>
      </w:r>
      <w:r>
        <w:rPr>
          <w:sz w:val="20"/>
          <w:szCs w:val="20"/>
        </w:rPr>
        <w:t xml:space="preserve"> of notes payable to Xilong Scientific Co., Ltd, or Xil</w:t>
      </w:r>
      <w:r>
        <w:rPr>
          <w:sz w:val="20"/>
          <w:szCs w:val="20"/>
        </w:rPr>
        <w:t>ong Scientific, by Fujian Fujun Gene Biotech Co., Ltd., or FF Gene Biotech.</w:t>
      </w:r>
      <w:r>
        <w:rPr>
          <w:sz w:val="20"/>
          <w:szCs w:val="20"/>
        </w:rPr>
        <w:t xml:space="preserve"> </w:t>
      </w:r>
      <w:r>
        <w:rPr>
          <w:sz w:val="20"/>
          <w:szCs w:val="20"/>
        </w:rPr>
        <w:t>The notes payable related to the installment sale are due in February 2030, and the interest rate is</w:t>
      </w:r>
      <w:r>
        <w:rPr>
          <w:sz w:val="20"/>
          <w:szCs w:val="20"/>
        </w:rPr>
        <w:t xml:space="preserve"> </w:t>
      </w:r>
      <w:r>
        <w:rPr>
          <w:sz w:val="20"/>
          <w:szCs w:val="20"/>
        </w:rPr>
        <w:t>1.0</w:t>
      </w:r>
      <w:r>
        <w:rPr>
          <w:sz w:val="20"/>
          <w:szCs w:val="20"/>
        </w:rPr>
        <w:t>8</w:t>
      </w:r>
      <w:r>
        <w:rPr>
          <w:sz w:val="20"/>
          <w:szCs w:val="20"/>
        </w:rPr>
        <w:t>%</w:t>
      </w:r>
      <w:r>
        <w:rPr>
          <w:sz w:val="20"/>
          <w:szCs w:val="20"/>
        </w:rPr>
        <w:t>.</w:t>
      </w:r>
      <w:r>
        <w:rPr>
          <w:sz w:val="20"/>
          <w:szCs w:val="20"/>
        </w:rPr>
        <w:t xml:space="preserve"> The current portion and noncurrent portion are </w:t>
      </w:r>
      <w:r>
        <w:rPr>
          <w:sz w:val="20"/>
          <w:szCs w:val="20"/>
        </w:rPr>
        <w:t>$</w:t>
      </w:r>
      <w:r>
        <w:rPr>
          <w:sz w:val="20"/>
          <w:szCs w:val="20"/>
        </w:rPr>
        <w:t>461,00</w:t>
      </w:r>
      <w:r>
        <w:rPr>
          <w:sz w:val="20"/>
          <w:szCs w:val="20"/>
        </w:rPr>
        <w:t>0</w:t>
      </w:r>
      <w:r>
        <w:rPr>
          <w:sz w:val="20"/>
          <w:szCs w:val="20"/>
        </w:rPr>
        <w:t xml:space="preserve"> and </w:t>
      </w:r>
      <w:r>
        <w:rPr>
          <w:sz w:val="20"/>
          <w:szCs w:val="20"/>
        </w:rPr>
        <w:t>$</w:t>
      </w:r>
      <w:r>
        <w:rPr>
          <w:sz w:val="20"/>
          <w:szCs w:val="20"/>
        </w:rPr>
        <w:t>3.</w:t>
      </w:r>
      <w:r>
        <w:rPr>
          <w:sz w:val="20"/>
          <w:szCs w:val="20"/>
        </w:rPr>
        <w:t>4</w:t>
      </w:r>
      <w:r>
        <w:rPr>
          <w:sz w:val="20"/>
          <w:szCs w:val="20"/>
        </w:rPr>
        <w:t xml:space="preserve"> millio</w:t>
      </w:r>
      <w:r>
        <w:rPr>
          <w:sz w:val="20"/>
          <w:szCs w:val="20"/>
        </w:rPr>
        <w:t>n</w:t>
      </w:r>
      <w:r>
        <w:rPr>
          <w:sz w:val="20"/>
          <w:szCs w:val="20"/>
        </w:rPr>
        <w:t>, respectively, and the noncurrent portion is included in the other long-term liabilities in the accompanying Condensed Consolidated Balance Sheet.</w:t>
      </w:r>
      <w:r>
        <w:rPr>
          <w:sz w:val="20"/>
          <w:szCs w:val="20"/>
        </w:rPr>
        <w:t xml:space="preserve"> </w:t>
      </w:r>
      <w:r>
        <w:rPr>
          <w:sz w:val="20"/>
          <w:szCs w:val="20"/>
        </w:rPr>
        <w:t>The notes payable to Xilong Scientific are due on December 31, 2022, and the interest rate on the loan is</w:t>
      </w:r>
      <w:r>
        <w:rPr>
          <w:sz w:val="20"/>
          <w:szCs w:val="20"/>
        </w:rPr>
        <w:t xml:space="preserve"> </w:t>
      </w:r>
      <w:r>
        <w:rPr>
          <w:sz w:val="20"/>
          <w:szCs w:val="20"/>
        </w:rPr>
        <w:t>4.</w:t>
      </w:r>
      <w:r>
        <w:rPr>
          <w:sz w:val="20"/>
          <w:szCs w:val="20"/>
        </w:rPr>
        <w:t>9</w:t>
      </w:r>
      <w:r>
        <w:rPr>
          <w:sz w:val="20"/>
          <w:szCs w:val="20"/>
        </w:rPr>
        <w:t>7</w:t>
      </w:r>
      <w:r>
        <w:rPr>
          <w:sz w:val="20"/>
          <w:szCs w:val="20"/>
        </w:rPr>
        <w:t>%</w:t>
      </w:r>
      <w:r>
        <w:rPr>
          <w:sz w:val="20"/>
          <w:szCs w:val="20"/>
        </w:rPr>
        <w:t>.</w:t>
      </w:r>
      <w:r>
        <w:rPr>
          <w:sz w:val="20"/>
          <w:szCs w:val="20"/>
        </w:rPr>
        <w:t xml:space="preserve"> The related interest expenses for the three and six months ended June 30, 2022 were </w:t>
      </w:r>
      <w:r>
        <w:rPr>
          <w:sz w:val="20"/>
          <w:szCs w:val="20"/>
        </w:rPr>
        <w:t>$</w:t>
      </w:r>
      <w:r>
        <w:rPr>
          <w:sz w:val="20"/>
          <w:szCs w:val="20"/>
        </w:rPr>
        <w:t>77,00</w:t>
      </w:r>
      <w:r>
        <w:rPr>
          <w:sz w:val="20"/>
          <w:szCs w:val="20"/>
        </w:rPr>
        <w:t>0</w:t>
      </w:r>
      <w:r>
        <w:rPr>
          <w:sz w:val="20"/>
          <w:szCs w:val="20"/>
        </w:rPr>
        <w:t xml:space="preserve"> and </w:t>
      </w:r>
      <w:r>
        <w:rPr>
          <w:sz w:val="20"/>
          <w:szCs w:val="20"/>
        </w:rPr>
        <w:t>$</w:t>
      </w:r>
      <w:r>
        <w:rPr>
          <w:sz w:val="20"/>
          <w:szCs w:val="20"/>
        </w:rPr>
        <w:t>156,00</w:t>
      </w:r>
      <w:r>
        <w:rPr>
          <w:sz w:val="20"/>
          <w:szCs w:val="20"/>
        </w:rPr>
        <w:t>0</w:t>
      </w:r>
      <w:r>
        <w:rPr>
          <w:sz w:val="20"/>
          <w:szCs w:val="20"/>
        </w:rPr>
        <w:t>, respectively, and there were</w:t>
      </w:r>
      <w:r>
        <w:rPr>
          <w:sz w:val="20"/>
          <w:szCs w:val="20"/>
        </w:rPr>
        <w:t xml:space="preserve"> </w:t>
      </w:r>
      <w:r>
        <w:rPr>
          <w:sz w:val="20"/>
          <w:szCs w:val="20"/>
        </w:rPr>
        <w:t>n</w:t>
      </w:r>
      <w:r>
        <w:rPr>
          <w:sz w:val="20"/>
          <w:szCs w:val="20"/>
        </w:rPr>
        <w:t>o</w:t>
      </w:r>
      <w:r>
        <w:rPr>
          <w:sz w:val="20"/>
          <w:szCs w:val="20"/>
        </w:rPr>
        <w:t xml:space="preserve"> related interest expenses for the three and six months ended June 30, 2021 as the Company did</w:t>
      </w:r>
      <w:r>
        <w:rPr>
          <w:sz w:val="20"/>
          <w:szCs w:val="20"/>
        </w:rPr>
        <w:t xml:space="preserve"> </w:t>
      </w:r>
      <w:r>
        <w:rPr>
          <w:sz w:val="20"/>
          <w:szCs w:val="20"/>
        </w:rPr>
        <w:t>n</w:t>
      </w:r>
      <w:r>
        <w:rPr>
          <w:sz w:val="20"/>
          <w:szCs w:val="20"/>
        </w:rPr>
        <w:t>o</w:t>
      </w:r>
      <w:r>
        <w:rPr>
          <w:sz w:val="20"/>
          <w:szCs w:val="20"/>
        </w:rPr>
        <w:t>t have notes paya</w:t>
      </w:r>
      <w:r>
        <w:rPr>
          <w:sz w:val="20"/>
          <w:szCs w:val="20"/>
        </w:rPr>
        <w:t>ble to Xilong Scientific until the second quarter of 2021 and did</w:t>
      </w:r>
      <w:r>
        <w:rPr>
          <w:sz w:val="20"/>
          <w:szCs w:val="20"/>
        </w:rPr>
        <w:t xml:space="preserve"> </w:t>
      </w:r>
      <w:r>
        <w:rPr>
          <w:sz w:val="20"/>
          <w:szCs w:val="20"/>
        </w:rPr>
        <w:t>n</w:t>
      </w:r>
      <w:r>
        <w:rPr>
          <w:sz w:val="20"/>
          <w:szCs w:val="20"/>
        </w:rPr>
        <w:t>o</w:t>
      </w:r>
      <w:r>
        <w:rPr>
          <w:sz w:val="20"/>
          <w:szCs w:val="20"/>
        </w:rPr>
        <w:t>t have installment sale contract in 2021</w:t>
      </w:r>
      <w:r>
        <w:rPr>
          <w:sz w:val="20"/>
          <w:szCs w:val="20"/>
        </w:rPr>
        <w:t>.</w:t>
      </w:r>
    </w:p>
    <w:p w14:paraId="1AD0312F" w14:textId="77777777" w:rsidR="00000000" w:rsidRDefault="00632532">
      <w:pPr>
        <w:pStyle w:val="a3"/>
        <w:spacing w:before="360" w:beforeAutospacing="0" w:after="0" w:afterAutospacing="0"/>
        <w:divId w:val="2103716517"/>
        <w:rPr>
          <w:sz w:val="20"/>
          <w:szCs w:val="20"/>
        </w:rPr>
      </w:pPr>
      <w:r>
        <w:rPr>
          <w:b/>
          <w:bCs/>
          <w:i/>
          <w:iCs/>
          <w:sz w:val="20"/>
          <w:szCs w:val="20"/>
        </w:rPr>
        <w:t>Operating Lease</w:t>
      </w:r>
      <w:r>
        <w:rPr>
          <w:b/>
          <w:bCs/>
          <w:i/>
          <w:iCs/>
          <w:sz w:val="20"/>
          <w:szCs w:val="20"/>
        </w:rPr>
        <w:t>s</w:t>
      </w:r>
    </w:p>
    <w:p w14:paraId="3FFB8B83" w14:textId="77777777" w:rsidR="00000000" w:rsidRDefault="00632532">
      <w:pPr>
        <w:pStyle w:val="a3"/>
        <w:spacing w:before="120" w:beforeAutospacing="0" w:after="0" w:afterAutospacing="0"/>
        <w:ind w:firstLine="555"/>
        <w:divId w:val="2103716517"/>
        <w:rPr>
          <w:sz w:val="20"/>
          <w:szCs w:val="20"/>
        </w:rPr>
      </w:pPr>
      <w:r>
        <w:rPr>
          <w:sz w:val="20"/>
          <w:szCs w:val="20"/>
        </w:rPr>
        <w:t>See Note 9, Leases, for further information</w:t>
      </w:r>
      <w:r>
        <w:rPr>
          <w:sz w:val="20"/>
          <w:szCs w:val="20"/>
        </w:rPr>
        <w:t>.</w:t>
      </w:r>
      <w:r>
        <w:rPr>
          <w:sz w:val="20"/>
          <w:szCs w:val="20"/>
        </w:rPr>
        <w:t xml:space="preserve"> </w:t>
      </w:r>
    </w:p>
    <w:p w14:paraId="302401F6" w14:textId="77777777" w:rsidR="00000000" w:rsidRDefault="00632532">
      <w:pPr>
        <w:pStyle w:val="a3"/>
        <w:spacing w:before="360" w:beforeAutospacing="0" w:after="0" w:afterAutospacing="0"/>
        <w:divId w:val="2103716517"/>
        <w:rPr>
          <w:sz w:val="20"/>
          <w:szCs w:val="20"/>
        </w:rPr>
      </w:pPr>
      <w:r>
        <w:rPr>
          <w:b/>
          <w:bCs/>
          <w:i/>
          <w:iCs/>
          <w:sz w:val="20"/>
          <w:szCs w:val="20"/>
        </w:rPr>
        <w:t>Purchase Obligation</w:t>
      </w:r>
      <w:r>
        <w:rPr>
          <w:b/>
          <w:bCs/>
          <w:i/>
          <w:iCs/>
          <w:sz w:val="20"/>
          <w:szCs w:val="20"/>
        </w:rPr>
        <w:t>s</w:t>
      </w:r>
    </w:p>
    <w:p w14:paraId="706C0298" w14:textId="77777777" w:rsidR="00000000" w:rsidRDefault="00632532">
      <w:pPr>
        <w:pStyle w:val="a3"/>
        <w:spacing w:before="120" w:beforeAutospacing="0" w:after="0" w:afterAutospacing="0"/>
        <w:ind w:firstLine="555"/>
        <w:divId w:val="2103716517"/>
        <w:rPr>
          <w:sz w:val="20"/>
          <w:szCs w:val="20"/>
        </w:rPr>
      </w:pPr>
      <w:r>
        <w:rPr>
          <w:sz w:val="20"/>
          <w:szCs w:val="20"/>
        </w:rPr>
        <w:t xml:space="preserve">As of June 30, 2022, the Company had non-cancelable purchase obligations of </w:t>
      </w:r>
      <w:r>
        <w:rPr>
          <w:sz w:val="20"/>
          <w:szCs w:val="20"/>
        </w:rPr>
        <w:t>$</w:t>
      </w:r>
      <w:r>
        <w:rPr>
          <w:sz w:val="20"/>
          <w:szCs w:val="20"/>
        </w:rPr>
        <w:t>22.</w:t>
      </w:r>
      <w:r>
        <w:rPr>
          <w:sz w:val="20"/>
          <w:szCs w:val="20"/>
        </w:rPr>
        <w:t>8</w:t>
      </w:r>
      <w:r>
        <w:rPr>
          <w:sz w:val="20"/>
          <w:szCs w:val="20"/>
        </w:rPr>
        <w:t xml:space="preserve"> millio</w:t>
      </w:r>
      <w:r>
        <w:rPr>
          <w:sz w:val="20"/>
          <w:szCs w:val="20"/>
        </w:rPr>
        <w:t>n</w:t>
      </w:r>
      <w:r>
        <w:rPr>
          <w:sz w:val="20"/>
          <w:szCs w:val="20"/>
        </w:rPr>
        <w:t xml:space="preserve">, of which, </w:t>
      </w:r>
      <w:r>
        <w:rPr>
          <w:sz w:val="20"/>
          <w:szCs w:val="20"/>
        </w:rPr>
        <w:t>$</w:t>
      </w:r>
      <w:r>
        <w:rPr>
          <w:sz w:val="20"/>
          <w:szCs w:val="20"/>
        </w:rPr>
        <w:t>7.</w:t>
      </w:r>
      <w:r>
        <w:rPr>
          <w:sz w:val="20"/>
          <w:szCs w:val="20"/>
        </w:rPr>
        <w:t>7</w:t>
      </w:r>
      <w:r>
        <w:rPr>
          <w:sz w:val="20"/>
          <w:szCs w:val="20"/>
        </w:rPr>
        <w:t xml:space="preserve"> millio</w:t>
      </w:r>
      <w:r>
        <w:rPr>
          <w:sz w:val="20"/>
          <w:szCs w:val="20"/>
        </w:rPr>
        <w:t>n</w:t>
      </w:r>
      <w:r>
        <w:rPr>
          <w:sz w:val="20"/>
          <w:szCs w:val="20"/>
        </w:rPr>
        <w:t xml:space="preserve"> for reagents and other supplies, </w:t>
      </w:r>
      <w:r>
        <w:rPr>
          <w:sz w:val="20"/>
          <w:szCs w:val="20"/>
        </w:rPr>
        <w:t>$</w:t>
      </w:r>
      <w:r>
        <w:rPr>
          <w:sz w:val="20"/>
          <w:szCs w:val="20"/>
        </w:rPr>
        <w:t>6.</w:t>
      </w:r>
      <w:r>
        <w:rPr>
          <w:sz w:val="20"/>
          <w:szCs w:val="20"/>
        </w:rPr>
        <w:t>6</w:t>
      </w:r>
      <w:r>
        <w:rPr>
          <w:sz w:val="20"/>
          <w:szCs w:val="20"/>
        </w:rPr>
        <w:t xml:space="preserve"> millio</w:t>
      </w:r>
      <w:r>
        <w:rPr>
          <w:sz w:val="20"/>
          <w:szCs w:val="20"/>
        </w:rPr>
        <w:t>n</w:t>
      </w:r>
      <w:r>
        <w:rPr>
          <w:sz w:val="20"/>
          <w:szCs w:val="20"/>
        </w:rPr>
        <w:t xml:space="preserve"> for services, </w:t>
      </w:r>
      <w:r>
        <w:rPr>
          <w:sz w:val="20"/>
          <w:szCs w:val="20"/>
        </w:rPr>
        <w:t>$</w:t>
      </w:r>
      <w:r>
        <w:rPr>
          <w:sz w:val="20"/>
          <w:szCs w:val="20"/>
        </w:rPr>
        <w:t>995,00</w:t>
      </w:r>
      <w:r>
        <w:rPr>
          <w:sz w:val="20"/>
          <w:szCs w:val="20"/>
        </w:rPr>
        <w:t>0</w:t>
      </w:r>
      <w:r>
        <w:rPr>
          <w:sz w:val="20"/>
          <w:szCs w:val="20"/>
        </w:rPr>
        <w:t xml:space="preserve"> for software, and</w:t>
      </w:r>
      <w:r>
        <w:rPr>
          <w:sz w:val="20"/>
          <w:szCs w:val="20"/>
        </w:rPr>
        <w:t xml:space="preserve"> </w:t>
      </w:r>
      <w:r>
        <w:rPr>
          <w:sz w:val="20"/>
          <w:szCs w:val="20"/>
        </w:rPr>
        <w:t>$</w:t>
      </w:r>
      <w:r>
        <w:rPr>
          <w:sz w:val="20"/>
          <w:szCs w:val="20"/>
        </w:rPr>
        <w:t>732,00</w:t>
      </w:r>
      <w:r>
        <w:rPr>
          <w:sz w:val="20"/>
          <w:szCs w:val="20"/>
        </w:rPr>
        <w:t>0</w:t>
      </w:r>
      <w:r>
        <w:rPr>
          <w:sz w:val="20"/>
          <w:szCs w:val="20"/>
        </w:rPr>
        <w:t xml:space="preserve"> for medical lab equipment are payable within t</w:t>
      </w:r>
      <w:r>
        <w:rPr>
          <w:sz w:val="20"/>
          <w:szCs w:val="20"/>
        </w:rPr>
        <w:t xml:space="preserve">welve months, and </w:t>
      </w:r>
      <w:r>
        <w:rPr>
          <w:sz w:val="20"/>
          <w:szCs w:val="20"/>
        </w:rPr>
        <w:t>$</w:t>
      </w:r>
      <w:r>
        <w:rPr>
          <w:sz w:val="20"/>
          <w:szCs w:val="20"/>
        </w:rPr>
        <w:t>6.</w:t>
      </w:r>
      <w:r>
        <w:rPr>
          <w:sz w:val="20"/>
          <w:szCs w:val="20"/>
        </w:rPr>
        <w:t>7</w:t>
      </w:r>
      <w:r>
        <w:rPr>
          <w:sz w:val="20"/>
          <w:szCs w:val="20"/>
        </w:rPr>
        <w:t xml:space="preserve"> millio</w:t>
      </w:r>
      <w:r>
        <w:rPr>
          <w:sz w:val="20"/>
          <w:szCs w:val="20"/>
        </w:rPr>
        <w:t>n</w:t>
      </w:r>
      <w:r>
        <w:rPr>
          <w:sz w:val="20"/>
          <w:szCs w:val="20"/>
        </w:rPr>
        <w:t xml:space="preserve"> for services is payable within the next twenty-four months</w:t>
      </w:r>
      <w:r>
        <w:rPr>
          <w:sz w:val="20"/>
          <w:szCs w:val="20"/>
        </w:rPr>
        <w:t>.</w:t>
      </w:r>
      <w:r>
        <w:rPr>
          <w:sz w:val="20"/>
          <w:szCs w:val="20"/>
        </w:rPr>
        <w:t xml:space="preserve"> </w:t>
      </w:r>
    </w:p>
    <w:p w14:paraId="7AAC8550" w14:textId="77777777" w:rsidR="00000000" w:rsidRDefault="00632532">
      <w:pPr>
        <w:pStyle w:val="a3"/>
        <w:spacing w:before="360" w:beforeAutospacing="0" w:after="0" w:afterAutospacing="0"/>
        <w:divId w:val="2103716517"/>
        <w:rPr>
          <w:sz w:val="20"/>
          <w:szCs w:val="20"/>
        </w:rPr>
      </w:pPr>
      <w:r>
        <w:rPr>
          <w:b/>
          <w:bCs/>
          <w:i/>
          <w:iCs/>
          <w:sz w:val="20"/>
          <w:szCs w:val="20"/>
        </w:rPr>
        <w:t>Contingencie</w:t>
      </w:r>
      <w:r>
        <w:rPr>
          <w:b/>
          <w:bCs/>
          <w:i/>
          <w:iCs/>
          <w:sz w:val="20"/>
          <w:szCs w:val="20"/>
        </w:rPr>
        <w:t>s</w:t>
      </w:r>
    </w:p>
    <w:p w14:paraId="47835742" w14:textId="77777777" w:rsidR="00000000" w:rsidRDefault="00632532">
      <w:pPr>
        <w:pStyle w:val="a3"/>
        <w:spacing w:before="120" w:beforeAutospacing="0" w:after="0" w:afterAutospacing="0"/>
        <w:ind w:firstLine="555"/>
        <w:divId w:val="2103716517"/>
        <w:rPr>
          <w:sz w:val="20"/>
          <w:szCs w:val="20"/>
        </w:rPr>
      </w:pPr>
      <w:r>
        <w:rPr>
          <w:sz w:val="20"/>
          <w:szCs w:val="20"/>
        </w:rPr>
        <w:t>From time to time, the Company may be subject to legal proceedings and claims arising in the ordinary course of business. In the opinion of management</w:t>
      </w:r>
      <w:r>
        <w:rPr>
          <w:sz w:val="20"/>
          <w:szCs w:val="20"/>
        </w:rPr>
        <w:t>, the outcome of these matters would not have a material effect on the Company’s condensed consolidated financial position, results of operations or cash flows</w:t>
      </w:r>
      <w:r>
        <w:rPr>
          <w:sz w:val="20"/>
          <w:szCs w:val="20"/>
        </w:rPr>
        <w:t>.</w:t>
      </w:r>
    </w:p>
    <w:p w14:paraId="14B748EF" w14:textId="77777777" w:rsidR="00000000" w:rsidRDefault="00632532">
      <w:pPr>
        <w:pStyle w:val="a3"/>
        <w:spacing w:before="240" w:beforeAutospacing="0" w:after="0" w:afterAutospacing="0"/>
        <w:ind w:firstLine="555"/>
        <w:divId w:val="2103716517"/>
        <w:rPr>
          <w:sz w:val="20"/>
          <w:szCs w:val="20"/>
        </w:rPr>
      </w:pPr>
      <w:r>
        <w:rPr>
          <w:sz w:val="20"/>
          <w:szCs w:val="20"/>
        </w:rPr>
        <w:t>The Company has received a Civil Investigative Demand, or CID, issued by the U.S. Department of Justice pursuant to the False Claims Act related to its investigation of allegations of medically unnecessary laboratory testing, improper billing for laborator</w:t>
      </w:r>
      <w:r>
        <w:rPr>
          <w:sz w:val="20"/>
          <w:szCs w:val="20"/>
        </w:rPr>
        <w:t xml:space="preserve">y testing, and remuneration received or provided in violation of the Anti-Kickback Statute and the Stark Law. This CID requests information and records relating to certain of the Company’s customers named in the CID, which represent a small portion of the </w:t>
      </w:r>
      <w:r>
        <w:rPr>
          <w:sz w:val="20"/>
          <w:szCs w:val="20"/>
        </w:rPr>
        <w:t>Company’s revenues. The Company is fully cooperating with the U.S. Department of Justice to promptly respond to the requests for information in this CID, and does not presently expect this CID or resulting investigation to have a material adverse impact. H</w:t>
      </w:r>
      <w:r>
        <w:rPr>
          <w:sz w:val="20"/>
          <w:szCs w:val="20"/>
        </w:rPr>
        <w:t>owever, the Company cannot predict when the investigation will be resolved, the outcome of the investigation or its potential impact, which may ultimately be greater than the Company currently expects</w:t>
      </w:r>
      <w:r>
        <w:rPr>
          <w:sz w:val="20"/>
          <w:szCs w:val="20"/>
        </w:rPr>
        <w:t>.</w:t>
      </w:r>
      <w:r>
        <w:rPr>
          <w:sz w:val="20"/>
          <w:szCs w:val="20"/>
        </w:rPr>
        <w:t xml:space="preserve"> </w:t>
      </w:r>
    </w:p>
    <w:p w14:paraId="5675B703" w14:textId="77777777" w:rsidR="00000000" w:rsidRDefault="00632532">
      <w:pPr>
        <w:pStyle w:val="a3"/>
        <w:spacing w:before="360" w:beforeAutospacing="0" w:after="0" w:afterAutospacing="0"/>
        <w:divId w:val="1478180424"/>
        <w:rPr>
          <w:sz w:val="20"/>
          <w:szCs w:val="20"/>
        </w:rPr>
      </w:pPr>
      <w:r>
        <w:rPr>
          <w:b/>
          <w:bCs/>
          <w:sz w:val="20"/>
          <w:szCs w:val="20"/>
        </w:rPr>
        <w:t>Note 9. Lease</w:t>
      </w:r>
      <w:r>
        <w:rPr>
          <w:b/>
          <w:bCs/>
          <w:sz w:val="20"/>
          <w:szCs w:val="20"/>
        </w:rPr>
        <w:t>s</w:t>
      </w:r>
    </w:p>
    <w:p w14:paraId="7CFAE526" w14:textId="77777777" w:rsidR="00000000" w:rsidRDefault="00632532">
      <w:pPr>
        <w:pStyle w:val="a3"/>
        <w:spacing w:before="120" w:beforeAutospacing="0" w:after="0" w:afterAutospacing="0"/>
        <w:divId w:val="1478180424"/>
        <w:rPr>
          <w:sz w:val="20"/>
          <w:szCs w:val="20"/>
        </w:rPr>
      </w:pPr>
      <w:r>
        <w:rPr>
          <w:b/>
          <w:bCs/>
          <w:i/>
          <w:iCs/>
          <w:sz w:val="20"/>
          <w:szCs w:val="20"/>
        </w:rPr>
        <w:t>Lesse</w:t>
      </w:r>
      <w:r>
        <w:rPr>
          <w:b/>
          <w:bCs/>
          <w:i/>
          <w:iCs/>
          <w:sz w:val="20"/>
          <w:szCs w:val="20"/>
        </w:rPr>
        <w:t>e</w:t>
      </w:r>
    </w:p>
    <w:p w14:paraId="4035D4B2" w14:textId="77777777" w:rsidR="00000000" w:rsidRDefault="00632532">
      <w:pPr>
        <w:pStyle w:val="a3"/>
        <w:spacing w:before="120" w:beforeAutospacing="0" w:after="0" w:afterAutospacing="0"/>
        <w:ind w:firstLine="555"/>
        <w:divId w:val="1478180424"/>
        <w:rPr>
          <w:sz w:val="20"/>
          <w:szCs w:val="20"/>
        </w:rPr>
      </w:pPr>
      <w:r>
        <w:rPr>
          <w:sz w:val="20"/>
          <w:szCs w:val="20"/>
        </w:rPr>
        <w:t>The Company is party as a lesse</w:t>
      </w:r>
      <w:r>
        <w:rPr>
          <w:sz w:val="20"/>
          <w:szCs w:val="20"/>
        </w:rPr>
        <w:t>e to various non-cancelable operating leases with varying terms through</w:t>
      </w:r>
      <w:r>
        <w:rPr>
          <w:sz w:val="20"/>
          <w:szCs w:val="20"/>
        </w:rPr>
        <w:t xml:space="preserve"> </w:t>
      </w:r>
      <w:r>
        <w:rPr>
          <w:sz w:val="20"/>
          <w:szCs w:val="20"/>
        </w:rPr>
        <w:t>March 202</w:t>
      </w:r>
      <w:r>
        <w:rPr>
          <w:sz w:val="20"/>
          <w:szCs w:val="20"/>
        </w:rPr>
        <w:t>8</w:t>
      </w:r>
      <w:r>
        <w:rPr>
          <w:sz w:val="20"/>
          <w:szCs w:val="20"/>
        </w:rPr>
        <w:t xml:space="preserve"> primarily for laboratory and office space and equipment. The Company has options to renew some of these leases after their expirations. On a lease-by-lease basis, the Compan</w:t>
      </w:r>
      <w:r>
        <w:rPr>
          <w:sz w:val="20"/>
          <w:szCs w:val="20"/>
        </w:rPr>
        <w:t>y considers such options, which may be elected at the Company’s sole discretion, in determining the lease term. The Company also has three finance leases for lab equipment through December 2026, one of which was acquired in a recent business combination. T</w:t>
      </w:r>
      <w:r>
        <w:rPr>
          <w:sz w:val="20"/>
          <w:szCs w:val="20"/>
        </w:rPr>
        <w:t>he Company retained acquirees’ classification of its leases. The Company does not have any leases with variable lease payments. The Company’s operating lease agreements do not contain any residual value guarantees, material restrictive covenants, bargain p</w:t>
      </w:r>
      <w:r>
        <w:rPr>
          <w:sz w:val="20"/>
          <w:szCs w:val="20"/>
        </w:rPr>
        <w:t>urchase options or asset retirement obligations</w:t>
      </w:r>
      <w:r>
        <w:rPr>
          <w:sz w:val="20"/>
          <w:szCs w:val="20"/>
        </w:rPr>
        <w:t>.</w:t>
      </w:r>
    </w:p>
    <w:p w14:paraId="6C2D8E19" w14:textId="77777777" w:rsidR="00000000" w:rsidRDefault="00632532">
      <w:pPr>
        <w:pStyle w:val="a3"/>
        <w:spacing w:before="240" w:beforeAutospacing="0" w:after="0" w:afterAutospacing="0"/>
        <w:jc w:val="center"/>
        <w:divId w:val="1478180424"/>
        <w:rPr>
          <w:sz w:val="20"/>
          <w:szCs w:val="20"/>
        </w:rPr>
      </w:pPr>
      <w:r>
        <w:rPr>
          <w:sz w:val="20"/>
          <w:szCs w:val="20"/>
        </w:rPr>
        <w:t>1</w:t>
      </w:r>
      <w:r>
        <w:rPr>
          <w:sz w:val="20"/>
          <w:szCs w:val="20"/>
        </w:rPr>
        <w:t>6</w:t>
      </w:r>
    </w:p>
    <w:p w14:paraId="2AB14254" w14:textId="77777777" w:rsidR="00000000" w:rsidRDefault="00632532">
      <w:pPr>
        <w:divId w:val="1478180424"/>
        <w:rPr>
          <w:rFonts w:eastAsia="Times New Roman"/>
        </w:rPr>
      </w:pPr>
      <w:r>
        <w:rPr>
          <w:rFonts w:eastAsia="Times New Roman"/>
        </w:rPr>
        <w:pict w14:anchorId="2970847E">
          <v:rect id="_x0000_i1042" style="width:0;height:1.5pt" o:hralign="center" o:hrstd="t" o:hr="t" fillcolor="#a0a0a0" stroked="f"/>
        </w:pict>
      </w:r>
    </w:p>
    <w:p w14:paraId="6D4A640F" w14:textId="77777777" w:rsidR="00000000" w:rsidRDefault="00632532">
      <w:pPr>
        <w:pStyle w:val="a3"/>
        <w:spacing w:before="240" w:beforeAutospacing="0" w:after="0" w:afterAutospacing="0"/>
        <w:ind w:firstLine="555"/>
        <w:divId w:val="1478180424"/>
        <w:rPr>
          <w:sz w:val="20"/>
          <w:szCs w:val="20"/>
        </w:rPr>
      </w:pPr>
      <w:r>
        <w:rPr>
          <w:sz w:val="20"/>
          <w:szCs w:val="20"/>
        </w:rPr>
        <w:t>The Company’s headquarters are located in Temple City, California, which is comprised of various corporate offices and a laboratory certified under the Clinical Laborat</w:t>
      </w:r>
      <w:r>
        <w:rPr>
          <w:sz w:val="20"/>
          <w:szCs w:val="20"/>
        </w:rPr>
        <w:t>ory Improvement Amendments of 1988, or CLIA, accredited by the College of American Pathologists, or CAP, and licensed by the State of California Department of Public Health. Other CLIA-certified laboratories are located in Houston, Texas; Alpharetta, Georg</w:t>
      </w:r>
      <w:r>
        <w:rPr>
          <w:sz w:val="20"/>
          <w:szCs w:val="20"/>
        </w:rPr>
        <w:t>ia; Phoenix, Arizona; New York, New York; Irving, Texas; and Needham, Massachusetts. Additional offices are located in Atlanta, Georgia and are used for certain report generation functions</w:t>
      </w:r>
      <w:r>
        <w:rPr>
          <w:sz w:val="20"/>
          <w:szCs w:val="20"/>
        </w:rPr>
        <w:t>.</w:t>
      </w:r>
    </w:p>
    <w:p w14:paraId="59ED8198" w14:textId="77777777" w:rsidR="00000000" w:rsidRDefault="00632532">
      <w:pPr>
        <w:pStyle w:val="a3"/>
        <w:spacing w:before="240" w:beforeAutospacing="0" w:after="0" w:afterAutospacing="0"/>
        <w:ind w:firstLine="555"/>
        <w:divId w:val="1169179986"/>
        <w:rPr>
          <w:sz w:val="20"/>
          <w:szCs w:val="20"/>
        </w:rPr>
      </w:pPr>
      <w:r>
        <w:rPr>
          <w:sz w:val="20"/>
          <w:szCs w:val="20"/>
        </w:rPr>
        <w:t>The operating and finance lease right-of-use asset, short-term lea</w:t>
      </w:r>
      <w:r>
        <w:rPr>
          <w:sz w:val="20"/>
          <w:szCs w:val="20"/>
        </w:rPr>
        <w:t>se liabilities, and long-term lease liabilities as of June 30, 2022 and December 31, 2021 were as follows</w:t>
      </w:r>
      <w:r>
        <w:rPr>
          <w:sz w:val="20"/>
          <w:szCs w:val="20"/>
        </w:rPr>
        <w:t>:</w:t>
      </w:r>
    </w:p>
    <w:p w14:paraId="07917EA9" w14:textId="77777777" w:rsidR="00000000" w:rsidRDefault="00632532">
      <w:pPr>
        <w:pStyle w:val="a3"/>
        <w:spacing w:before="0" w:beforeAutospacing="0" w:after="0" w:afterAutospacing="0"/>
        <w:ind w:firstLine="555"/>
        <w:divId w:val="116917998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40"/>
        <w:gridCol w:w="160"/>
        <w:gridCol w:w="1328"/>
        <w:gridCol w:w="110"/>
        <w:gridCol w:w="163"/>
        <w:gridCol w:w="161"/>
        <w:gridCol w:w="1419"/>
        <w:gridCol w:w="125"/>
      </w:tblGrid>
      <w:tr w:rsidR="00000000" w14:paraId="724030DD" w14:textId="77777777">
        <w:trPr>
          <w:divId w:val="1169179986"/>
          <w:tblCellSpacing w:w="15" w:type="dxa"/>
        </w:trPr>
        <w:tc>
          <w:tcPr>
            <w:tcW w:w="2998" w:type="pct"/>
            <w:vAlign w:val="center"/>
            <w:hideMark/>
          </w:tcPr>
          <w:p w14:paraId="73B4D615" w14:textId="77777777" w:rsidR="00000000" w:rsidRDefault="00632532">
            <w:pPr>
              <w:rPr>
                <w:sz w:val="20"/>
                <w:szCs w:val="20"/>
              </w:rPr>
            </w:pPr>
          </w:p>
        </w:tc>
        <w:tc>
          <w:tcPr>
            <w:tcW w:w="50" w:type="pct"/>
            <w:vAlign w:val="center"/>
            <w:hideMark/>
          </w:tcPr>
          <w:p w14:paraId="7B85E8C6" w14:textId="77777777" w:rsidR="00000000" w:rsidRDefault="00632532">
            <w:pPr>
              <w:rPr>
                <w:rFonts w:eastAsia="Times New Roman"/>
                <w:sz w:val="20"/>
                <w:szCs w:val="20"/>
              </w:rPr>
            </w:pPr>
          </w:p>
        </w:tc>
        <w:tc>
          <w:tcPr>
            <w:tcW w:w="823" w:type="pct"/>
            <w:vAlign w:val="center"/>
            <w:hideMark/>
          </w:tcPr>
          <w:p w14:paraId="5B3FEB97" w14:textId="77777777" w:rsidR="00000000" w:rsidRDefault="00632532">
            <w:pPr>
              <w:rPr>
                <w:rFonts w:eastAsia="Times New Roman"/>
                <w:sz w:val="20"/>
                <w:szCs w:val="20"/>
              </w:rPr>
            </w:pPr>
          </w:p>
        </w:tc>
        <w:tc>
          <w:tcPr>
            <w:tcW w:w="50" w:type="pct"/>
            <w:vAlign w:val="center"/>
            <w:hideMark/>
          </w:tcPr>
          <w:p w14:paraId="3E3DDCD8" w14:textId="77777777" w:rsidR="00000000" w:rsidRDefault="00632532">
            <w:pPr>
              <w:rPr>
                <w:rFonts w:eastAsia="Times New Roman"/>
                <w:sz w:val="20"/>
                <w:szCs w:val="20"/>
              </w:rPr>
            </w:pPr>
          </w:p>
        </w:tc>
        <w:tc>
          <w:tcPr>
            <w:tcW w:w="98" w:type="pct"/>
            <w:vAlign w:val="center"/>
            <w:hideMark/>
          </w:tcPr>
          <w:p w14:paraId="664E0DE7" w14:textId="77777777" w:rsidR="00000000" w:rsidRDefault="00632532">
            <w:pPr>
              <w:rPr>
                <w:rFonts w:eastAsia="Times New Roman"/>
                <w:sz w:val="20"/>
                <w:szCs w:val="20"/>
              </w:rPr>
            </w:pPr>
          </w:p>
        </w:tc>
        <w:tc>
          <w:tcPr>
            <w:tcW w:w="50" w:type="pct"/>
            <w:vAlign w:val="center"/>
            <w:hideMark/>
          </w:tcPr>
          <w:p w14:paraId="5B78430A" w14:textId="77777777" w:rsidR="00000000" w:rsidRDefault="00632532">
            <w:pPr>
              <w:rPr>
                <w:rFonts w:eastAsia="Times New Roman"/>
                <w:sz w:val="20"/>
                <w:szCs w:val="20"/>
              </w:rPr>
            </w:pPr>
          </w:p>
        </w:tc>
        <w:tc>
          <w:tcPr>
            <w:tcW w:w="879" w:type="pct"/>
            <w:vAlign w:val="center"/>
            <w:hideMark/>
          </w:tcPr>
          <w:p w14:paraId="2FB0B498" w14:textId="77777777" w:rsidR="00000000" w:rsidRDefault="00632532">
            <w:pPr>
              <w:rPr>
                <w:rFonts w:eastAsia="Times New Roman"/>
                <w:sz w:val="20"/>
                <w:szCs w:val="20"/>
              </w:rPr>
            </w:pPr>
          </w:p>
        </w:tc>
        <w:tc>
          <w:tcPr>
            <w:tcW w:w="50" w:type="pct"/>
            <w:vAlign w:val="center"/>
            <w:hideMark/>
          </w:tcPr>
          <w:p w14:paraId="290CFC85" w14:textId="77777777" w:rsidR="00000000" w:rsidRDefault="00632532">
            <w:pPr>
              <w:rPr>
                <w:rFonts w:eastAsia="Times New Roman"/>
                <w:sz w:val="20"/>
                <w:szCs w:val="20"/>
              </w:rPr>
            </w:pPr>
          </w:p>
        </w:tc>
      </w:tr>
      <w:tr w:rsidR="00000000" w14:paraId="2C04F2B4" w14:textId="77777777">
        <w:trPr>
          <w:divId w:val="1169179986"/>
          <w:trHeight w:val="160"/>
          <w:tblCellSpacing w:w="15" w:type="dxa"/>
        </w:trPr>
        <w:tc>
          <w:tcPr>
            <w:tcW w:w="0" w:type="auto"/>
            <w:vAlign w:val="bottom"/>
            <w:hideMark/>
          </w:tcPr>
          <w:p w14:paraId="239F711E"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36C355DB" w14:textId="77777777" w:rsidR="00000000" w:rsidRDefault="00632532">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14:paraId="7EC170BF"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E0F4672"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B0E7562" w14:textId="77777777" w:rsidR="00000000" w:rsidRDefault="00632532">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14:paraId="44B9EEA4"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2188663D" w14:textId="77777777">
        <w:trPr>
          <w:divId w:val="1169179986"/>
          <w:trHeight w:val="160"/>
          <w:tblCellSpacing w:w="15" w:type="dxa"/>
        </w:trPr>
        <w:tc>
          <w:tcPr>
            <w:tcW w:w="0" w:type="auto"/>
            <w:vAlign w:val="bottom"/>
            <w:hideMark/>
          </w:tcPr>
          <w:p w14:paraId="54DFB729"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25827C95"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9F22E0F"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ADDA553"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41C63FB"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0344D5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534E5C2" w14:textId="77777777">
        <w:trPr>
          <w:divId w:val="1169179986"/>
          <w:trHeight w:val="160"/>
          <w:tblCellSpacing w:w="15" w:type="dxa"/>
        </w:trPr>
        <w:tc>
          <w:tcPr>
            <w:tcW w:w="0" w:type="auto"/>
            <w:vAlign w:val="bottom"/>
            <w:hideMark/>
          </w:tcPr>
          <w:p w14:paraId="08C70569"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6"/>
            <w:vAlign w:val="bottom"/>
            <w:hideMark/>
          </w:tcPr>
          <w:p w14:paraId="5627390D"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39C4927F"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672F531" w14:textId="77777777">
        <w:trPr>
          <w:divId w:val="1169179986"/>
          <w:trHeight w:val="200"/>
          <w:tblCellSpacing w:w="15" w:type="dxa"/>
        </w:trPr>
        <w:tc>
          <w:tcPr>
            <w:tcW w:w="0" w:type="auto"/>
            <w:hideMark/>
          </w:tcPr>
          <w:p w14:paraId="195F123B" w14:textId="77777777" w:rsidR="00000000" w:rsidRDefault="00632532">
            <w:pPr>
              <w:pStyle w:val="a3"/>
              <w:spacing w:before="0" w:beforeAutospacing="0" w:after="0" w:afterAutospacing="0"/>
              <w:rPr>
                <w:sz w:val="20"/>
                <w:szCs w:val="20"/>
              </w:rPr>
            </w:pPr>
            <w:r>
              <w:rPr>
                <w:sz w:val="20"/>
                <w:szCs w:val="20"/>
              </w:rPr>
              <w:t>Operating lease ROU asset, ne</w:t>
            </w:r>
            <w:r>
              <w:rPr>
                <w:sz w:val="20"/>
                <w:szCs w:val="20"/>
              </w:rPr>
              <w:t>t</w:t>
            </w:r>
          </w:p>
        </w:tc>
        <w:tc>
          <w:tcPr>
            <w:tcW w:w="0" w:type="auto"/>
            <w:noWrap/>
            <w:vAlign w:val="bottom"/>
            <w:hideMark/>
          </w:tcPr>
          <w:p w14:paraId="6F4B113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DE126A8" w14:textId="77777777" w:rsidR="00000000" w:rsidRDefault="00632532">
            <w:pPr>
              <w:pStyle w:val="a3"/>
              <w:spacing w:before="0" w:beforeAutospacing="0" w:after="0" w:afterAutospacing="0"/>
              <w:jc w:val="right"/>
              <w:rPr>
                <w:sz w:val="20"/>
                <w:szCs w:val="20"/>
              </w:rPr>
            </w:pPr>
            <w:r>
              <w:rPr>
                <w:sz w:val="20"/>
                <w:szCs w:val="20"/>
              </w:rPr>
              <w:t>18,03</w:t>
            </w:r>
            <w:r>
              <w:rPr>
                <w:sz w:val="20"/>
                <w:szCs w:val="20"/>
              </w:rPr>
              <w:t>4</w:t>
            </w:r>
          </w:p>
        </w:tc>
        <w:tc>
          <w:tcPr>
            <w:tcW w:w="0" w:type="auto"/>
            <w:noWrap/>
            <w:vAlign w:val="bottom"/>
            <w:hideMark/>
          </w:tcPr>
          <w:p w14:paraId="3194B84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6D321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52750B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050EE81" w14:textId="77777777" w:rsidR="00000000" w:rsidRDefault="00632532">
            <w:pPr>
              <w:pStyle w:val="a3"/>
              <w:spacing w:before="0" w:beforeAutospacing="0" w:after="0" w:afterAutospacing="0"/>
              <w:jc w:val="right"/>
              <w:rPr>
                <w:sz w:val="20"/>
                <w:szCs w:val="20"/>
              </w:rPr>
            </w:pPr>
            <w:r>
              <w:rPr>
                <w:sz w:val="20"/>
                <w:szCs w:val="20"/>
              </w:rPr>
              <w:t>7,14</w:t>
            </w:r>
            <w:r>
              <w:rPr>
                <w:sz w:val="20"/>
                <w:szCs w:val="20"/>
              </w:rPr>
              <w:t>1</w:t>
            </w:r>
          </w:p>
        </w:tc>
        <w:tc>
          <w:tcPr>
            <w:tcW w:w="0" w:type="auto"/>
            <w:noWrap/>
            <w:vAlign w:val="bottom"/>
            <w:hideMark/>
          </w:tcPr>
          <w:p w14:paraId="0BDA72CE" w14:textId="77777777" w:rsidR="00000000" w:rsidRDefault="00632532">
            <w:pPr>
              <w:pStyle w:val="a3"/>
              <w:spacing w:before="0" w:beforeAutospacing="0" w:after="0" w:afterAutospacing="0"/>
              <w:rPr>
                <w:sz w:val="20"/>
                <w:szCs w:val="20"/>
              </w:rPr>
            </w:pPr>
            <w:r>
              <w:rPr>
                <w:sz w:val="20"/>
                <w:szCs w:val="20"/>
              </w:rPr>
              <w:t> </w:t>
            </w:r>
          </w:p>
        </w:tc>
      </w:tr>
      <w:tr w:rsidR="00000000" w14:paraId="0758697C" w14:textId="77777777">
        <w:trPr>
          <w:divId w:val="1169179986"/>
          <w:trHeight w:val="200"/>
          <w:tblCellSpacing w:w="15" w:type="dxa"/>
        </w:trPr>
        <w:tc>
          <w:tcPr>
            <w:tcW w:w="0" w:type="auto"/>
            <w:hideMark/>
          </w:tcPr>
          <w:p w14:paraId="13354706" w14:textId="77777777" w:rsidR="00000000" w:rsidRDefault="00632532">
            <w:pPr>
              <w:pStyle w:val="a3"/>
              <w:spacing w:before="0" w:beforeAutospacing="0" w:after="0" w:afterAutospacing="0"/>
              <w:rPr>
                <w:sz w:val="20"/>
                <w:szCs w:val="20"/>
              </w:rPr>
            </w:pPr>
            <w:r>
              <w:rPr>
                <w:sz w:val="20"/>
                <w:szCs w:val="20"/>
              </w:rPr>
              <w:t>Operating lease liabilities, short ter</w:t>
            </w:r>
            <w:r>
              <w:rPr>
                <w:sz w:val="20"/>
                <w:szCs w:val="20"/>
              </w:rPr>
              <w:t>m</w:t>
            </w:r>
          </w:p>
        </w:tc>
        <w:tc>
          <w:tcPr>
            <w:tcW w:w="0" w:type="auto"/>
            <w:noWrap/>
            <w:vAlign w:val="bottom"/>
            <w:hideMark/>
          </w:tcPr>
          <w:p w14:paraId="7DF26C1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828E5E6" w14:textId="77777777" w:rsidR="00000000" w:rsidRDefault="00632532">
            <w:pPr>
              <w:pStyle w:val="a3"/>
              <w:spacing w:before="0" w:beforeAutospacing="0" w:after="0" w:afterAutospacing="0"/>
              <w:jc w:val="right"/>
              <w:rPr>
                <w:sz w:val="20"/>
                <w:szCs w:val="20"/>
              </w:rPr>
            </w:pPr>
            <w:r>
              <w:rPr>
                <w:sz w:val="20"/>
                <w:szCs w:val="20"/>
              </w:rPr>
              <w:t>6,21</w:t>
            </w:r>
            <w:r>
              <w:rPr>
                <w:sz w:val="20"/>
                <w:szCs w:val="20"/>
              </w:rPr>
              <w:t>6</w:t>
            </w:r>
          </w:p>
        </w:tc>
        <w:tc>
          <w:tcPr>
            <w:tcW w:w="0" w:type="auto"/>
            <w:noWrap/>
            <w:vAlign w:val="bottom"/>
            <w:hideMark/>
          </w:tcPr>
          <w:p w14:paraId="3408900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78A56D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131C74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DB6B47B" w14:textId="77777777" w:rsidR="00000000" w:rsidRDefault="00632532">
            <w:pPr>
              <w:pStyle w:val="a3"/>
              <w:spacing w:before="0" w:beforeAutospacing="0" w:after="0" w:afterAutospacing="0"/>
              <w:jc w:val="right"/>
              <w:rPr>
                <w:sz w:val="20"/>
                <w:szCs w:val="20"/>
              </w:rPr>
            </w:pPr>
            <w:r>
              <w:rPr>
                <w:sz w:val="20"/>
                <w:szCs w:val="20"/>
              </w:rPr>
              <w:t>1,84</w:t>
            </w:r>
            <w:r>
              <w:rPr>
                <w:sz w:val="20"/>
                <w:szCs w:val="20"/>
              </w:rPr>
              <w:t>2</w:t>
            </w:r>
          </w:p>
        </w:tc>
        <w:tc>
          <w:tcPr>
            <w:tcW w:w="0" w:type="auto"/>
            <w:noWrap/>
            <w:vAlign w:val="bottom"/>
            <w:hideMark/>
          </w:tcPr>
          <w:p w14:paraId="35368350" w14:textId="77777777" w:rsidR="00000000" w:rsidRDefault="00632532">
            <w:pPr>
              <w:pStyle w:val="a3"/>
              <w:spacing w:before="0" w:beforeAutospacing="0" w:after="0" w:afterAutospacing="0"/>
              <w:rPr>
                <w:sz w:val="20"/>
                <w:szCs w:val="20"/>
              </w:rPr>
            </w:pPr>
            <w:r>
              <w:rPr>
                <w:sz w:val="20"/>
                <w:szCs w:val="20"/>
              </w:rPr>
              <w:t> </w:t>
            </w:r>
          </w:p>
        </w:tc>
      </w:tr>
      <w:tr w:rsidR="00000000" w14:paraId="5F7E0911" w14:textId="77777777">
        <w:trPr>
          <w:divId w:val="1169179986"/>
          <w:trHeight w:val="200"/>
          <w:tblCellSpacing w:w="15" w:type="dxa"/>
        </w:trPr>
        <w:tc>
          <w:tcPr>
            <w:tcW w:w="0" w:type="auto"/>
            <w:hideMark/>
          </w:tcPr>
          <w:p w14:paraId="65D37038" w14:textId="77777777" w:rsidR="00000000" w:rsidRDefault="00632532">
            <w:pPr>
              <w:pStyle w:val="a3"/>
              <w:spacing w:before="0" w:beforeAutospacing="0" w:after="0" w:afterAutospacing="0"/>
              <w:rPr>
                <w:sz w:val="20"/>
                <w:szCs w:val="20"/>
              </w:rPr>
            </w:pPr>
            <w:r>
              <w:rPr>
                <w:sz w:val="20"/>
                <w:szCs w:val="20"/>
              </w:rPr>
              <w:t>Operating lease liabilities, long ter</w:t>
            </w:r>
            <w:r>
              <w:rPr>
                <w:sz w:val="20"/>
                <w:szCs w:val="20"/>
              </w:rPr>
              <w:t>m</w:t>
            </w:r>
          </w:p>
        </w:tc>
        <w:tc>
          <w:tcPr>
            <w:tcW w:w="0" w:type="auto"/>
            <w:noWrap/>
            <w:vAlign w:val="bottom"/>
            <w:hideMark/>
          </w:tcPr>
          <w:p w14:paraId="7B84FAB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7925D26" w14:textId="77777777" w:rsidR="00000000" w:rsidRDefault="00632532">
            <w:pPr>
              <w:pStyle w:val="a3"/>
              <w:spacing w:before="0" w:beforeAutospacing="0" w:after="0" w:afterAutospacing="0"/>
              <w:jc w:val="right"/>
              <w:rPr>
                <w:sz w:val="20"/>
                <w:szCs w:val="20"/>
              </w:rPr>
            </w:pPr>
            <w:r>
              <w:rPr>
                <w:sz w:val="20"/>
                <w:szCs w:val="20"/>
              </w:rPr>
              <w:t>11,89</w:t>
            </w:r>
            <w:r>
              <w:rPr>
                <w:sz w:val="20"/>
                <w:szCs w:val="20"/>
              </w:rPr>
              <w:t>2</w:t>
            </w:r>
          </w:p>
        </w:tc>
        <w:tc>
          <w:tcPr>
            <w:tcW w:w="0" w:type="auto"/>
            <w:noWrap/>
            <w:vAlign w:val="bottom"/>
            <w:hideMark/>
          </w:tcPr>
          <w:p w14:paraId="050C569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62CC40"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A42949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74AF018" w14:textId="77777777" w:rsidR="00000000" w:rsidRDefault="00632532">
            <w:pPr>
              <w:pStyle w:val="a3"/>
              <w:spacing w:before="0" w:beforeAutospacing="0" w:after="0" w:afterAutospacing="0"/>
              <w:jc w:val="right"/>
              <w:rPr>
                <w:sz w:val="20"/>
                <w:szCs w:val="20"/>
              </w:rPr>
            </w:pPr>
            <w:r>
              <w:rPr>
                <w:sz w:val="20"/>
                <w:szCs w:val="20"/>
              </w:rPr>
              <w:t>5,34</w:t>
            </w:r>
            <w:r>
              <w:rPr>
                <w:sz w:val="20"/>
                <w:szCs w:val="20"/>
              </w:rPr>
              <w:t>4</w:t>
            </w:r>
          </w:p>
        </w:tc>
        <w:tc>
          <w:tcPr>
            <w:tcW w:w="0" w:type="auto"/>
            <w:noWrap/>
            <w:vAlign w:val="bottom"/>
            <w:hideMark/>
          </w:tcPr>
          <w:p w14:paraId="40E9AC26" w14:textId="77777777" w:rsidR="00000000" w:rsidRDefault="00632532">
            <w:pPr>
              <w:pStyle w:val="a3"/>
              <w:spacing w:before="0" w:beforeAutospacing="0" w:after="0" w:afterAutospacing="0"/>
              <w:rPr>
                <w:sz w:val="20"/>
                <w:szCs w:val="20"/>
              </w:rPr>
            </w:pPr>
            <w:r>
              <w:rPr>
                <w:sz w:val="20"/>
                <w:szCs w:val="20"/>
              </w:rPr>
              <w:t> </w:t>
            </w:r>
          </w:p>
        </w:tc>
      </w:tr>
      <w:tr w:rsidR="00000000" w14:paraId="75E48F24" w14:textId="77777777">
        <w:trPr>
          <w:divId w:val="1169179986"/>
          <w:trHeight w:val="200"/>
          <w:tblCellSpacing w:w="15" w:type="dxa"/>
        </w:trPr>
        <w:tc>
          <w:tcPr>
            <w:tcW w:w="0" w:type="auto"/>
            <w:hideMark/>
          </w:tcPr>
          <w:p w14:paraId="012EB429" w14:textId="77777777" w:rsidR="00000000" w:rsidRDefault="00632532">
            <w:pPr>
              <w:pStyle w:val="a3"/>
              <w:spacing w:before="0" w:beforeAutospacing="0" w:after="0" w:afterAutospacing="0"/>
              <w:rPr>
                <w:sz w:val="20"/>
                <w:szCs w:val="20"/>
              </w:rPr>
            </w:pPr>
            <w:r>
              <w:rPr>
                <w:sz w:val="20"/>
                <w:szCs w:val="20"/>
              </w:rPr>
              <w:t>Finance lease ROU asset, ne</w:t>
            </w:r>
            <w:r>
              <w:rPr>
                <w:sz w:val="20"/>
                <w:szCs w:val="20"/>
              </w:rPr>
              <w:t>t</w:t>
            </w:r>
          </w:p>
        </w:tc>
        <w:tc>
          <w:tcPr>
            <w:tcW w:w="0" w:type="auto"/>
            <w:noWrap/>
            <w:vAlign w:val="bottom"/>
            <w:hideMark/>
          </w:tcPr>
          <w:p w14:paraId="77C23A5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1453DAD" w14:textId="77777777" w:rsidR="00000000" w:rsidRDefault="00632532">
            <w:pPr>
              <w:pStyle w:val="a3"/>
              <w:spacing w:before="0" w:beforeAutospacing="0" w:after="0" w:afterAutospacing="0"/>
              <w:jc w:val="right"/>
              <w:rPr>
                <w:sz w:val="20"/>
                <w:szCs w:val="20"/>
              </w:rPr>
            </w:pPr>
            <w:r>
              <w:rPr>
                <w:sz w:val="20"/>
                <w:szCs w:val="20"/>
              </w:rPr>
              <w:t>2,67</w:t>
            </w:r>
            <w:r>
              <w:rPr>
                <w:sz w:val="20"/>
                <w:szCs w:val="20"/>
              </w:rPr>
              <w:t>1</w:t>
            </w:r>
          </w:p>
        </w:tc>
        <w:tc>
          <w:tcPr>
            <w:tcW w:w="0" w:type="auto"/>
            <w:noWrap/>
            <w:vAlign w:val="bottom"/>
            <w:hideMark/>
          </w:tcPr>
          <w:p w14:paraId="085BF70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20B80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140173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2C787CC" w14:textId="77777777" w:rsidR="00000000" w:rsidRDefault="00632532">
            <w:pPr>
              <w:pStyle w:val="a3"/>
              <w:spacing w:before="0" w:beforeAutospacing="0" w:after="0" w:afterAutospacing="0"/>
              <w:jc w:val="right"/>
              <w:rPr>
                <w:sz w:val="20"/>
                <w:szCs w:val="20"/>
              </w:rPr>
            </w:pPr>
            <w:r>
              <w:rPr>
                <w:sz w:val="20"/>
                <w:szCs w:val="20"/>
              </w:rPr>
              <w:t>1,73</w:t>
            </w:r>
            <w:r>
              <w:rPr>
                <w:sz w:val="20"/>
                <w:szCs w:val="20"/>
              </w:rPr>
              <w:t>5</w:t>
            </w:r>
          </w:p>
        </w:tc>
        <w:tc>
          <w:tcPr>
            <w:tcW w:w="0" w:type="auto"/>
            <w:noWrap/>
            <w:vAlign w:val="bottom"/>
            <w:hideMark/>
          </w:tcPr>
          <w:p w14:paraId="4BB18FC0" w14:textId="77777777" w:rsidR="00000000" w:rsidRDefault="00632532">
            <w:pPr>
              <w:pStyle w:val="a3"/>
              <w:spacing w:before="0" w:beforeAutospacing="0" w:after="0" w:afterAutospacing="0"/>
              <w:rPr>
                <w:sz w:val="20"/>
                <w:szCs w:val="20"/>
              </w:rPr>
            </w:pPr>
            <w:r>
              <w:rPr>
                <w:sz w:val="20"/>
                <w:szCs w:val="20"/>
              </w:rPr>
              <w:t> </w:t>
            </w:r>
          </w:p>
        </w:tc>
      </w:tr>
      <w:tr w:rsidR="00000000" w14:paraId="6101D289" w14:textId="77777777">
        <w:trPr>
          <w:divId w:val="1169179986"/>
          <w:trHeight w:val="200"/>
          <w:tblCellSpacing w:w="15" w:type="dxa"/>
        </w:trPr>
        <w:tc>
          <w:tcPr>
            <w:tcW w:w="0" w:type="auto"/>
            <w:hideMark/>
          </w:tcPr>
          <w:p w14:paraId="5C54427A" w14:textId="77777777" w:rsidR="00000000" w:rsidRDefault="00632532">
            <w:pPr>
              <w:pStyle w:val="a3"/>
              <w:spacing w:before="0" w:beforeAutospacing="0" w:after="0" w:afterAutospacing="0"/>
              <w:rPr>
                <w:sz w:val="20"/>
                <w:szCs w:val="20"/>
              </w:rPr>
            </w:pPr>
            <w:r>
              <w:rPr>
                <w:sz w:val="20"/>
                <w:szCs w:val="20"/>
              </w:rPr>
              <w:t>Finance lease liabilities, short ter</w:t>
            </w:r>
            <w:r>
              <w:rPr>
                <w:sz w:val="20"/>
                <w:szCs w:val="20"/>
              </w:rPr>
              <w:t>m</w:t>
            </w:r>
          </w:p>
        </w:tc>
        <w:tc>
          <w:tcPr>
            <w:tcW w:w="0" w:type="auto"/>
            <w:noWrap/>
            <w:vAlign w:val="bottom"/>
            <w:hideMark/>
          </w:tcPr>
          <w:p w14:paraId="2787197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4E8A73A" w14:textId="77777777" w:rsidR="00000000" w:rsidRDefault="00632532">
            <w:pPr>
              <w:pStyle w:val="a3"/>
              <w:spacing w:before="0" w:beforeAutospacing="0" w:after="0" w:afterAutospacing="0"/>
              <w:jc w:val="right"/>
              <w:rPr>
                <w:sz w:val="20"/>
                <w:szCs w:val="20"/>
              </w:rPr>
            </w:pPr>
            <w:r>
              <w:rPr>
                <w:sz w:val="20"/>
                <w:szCs w:val="20"/>
              </w:rPr>
              <w:t>74</w:t>
            </w:r>
            <w:r>
              <w:rPr>
                <w:sz w:val="20"/>
                <w:szCs w:val="20"/>
              </w:rPr>
              <w:t>1</w:t>
            </w:r>
          </w:p>
        </w:tc>
        <w:tc>
          <w:tcPr>
            <w:tcW w:w="0" w:type="auto"/>
            <w:noWrap/>
            <w:vAlign w:val="bottom"/>
            <w:hideMark/>
          </w:tcPr>
          <w:p w14:paraId="6C640A0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4E0891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4F881E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C9BBA55" w14:textId="77777777" w:rsidR="00000000" w:rsidRDefault="00632532">
            <w:pPr>
              <w:pStyle w:val="a3"/>
              <w:spacing w:before="0" w:beforeAutospacing="0" w:after="0" w:afterAutospacing="0"/>
              <w:jc w:val="right"/>
              <w:rPr>
                <w:sz w:val="20"/>
                <w:szCs w:val="20"/>
              </w:rPr>
            </w:pPr>
            <w:r>
              <w:rPr>
                <w:sz w:val="20"/>
                <w:szCs w:val="20"/>
              </w:rPr>
              <w:t>33</w:t>
            </w:r>
            <w:r>
              <w:rPr>
                <w:sz w:val="20"/>
                <w:szCs w:val="20"/>
              </w:rPr>
              <w:t>2</w:t>
            </w:r>
          </w:p>
        </w:tc>
        <w:tc>
          <w:tcPr>
            <w:tcW w:w="0" w:type="auto"/>
            <w:noWrap/>
            <w:vAlign w:val="bottom"/>
            <w:hideMark/>
          </w:tcPr>
          <w:p w14:paraId="4D4812B0" w14:textId="77777777" w:rsidR="00000000" w:rsidRDefault="00632532">
            <w:pPr>
              <w:pStyle w:val="a3"/>
              <w:spacing w:before="0" w:beforeAutospacing="0" w:after="0" w:afterAutospacing="0"/>
              <w:rPr>
                <w:sz w:val="20"/>
                <w:szCs w:val="20"/>
              </w:rPr>
            </w:pPr>
            <w:r>
              <w:rPr>
                <w:sz w:val="20"/>
                <w:szCs w:val="20"/>
              </w:rPr>
              <w:t> </w:t>
            </w:r>
          </w:p>
        </w:tc>
      </w:tr>
      <w:tr w:rsidR="00000000" w14:paraId="3E2A6E80" w14:textId="77777777">
        <w:trPr>
          <w:divId w:val="1169179986"/>
          <w:trHeight w:val="200"/>
          <w:tblCellSpacing w:w="15" w:type="dxa"/>
        </w:trPr>
        <w:tc>
          <w:tcPr>
            <w:tcW w:w="0" w:type="auto"/>
            <w:hideMark/>
          </w:tcPr>
          <w:p w14:paraId="1DF6C17D" w14:textId="77777777" w:rsidR="00000000" w:rsidRDefault="00632532">
            <w:pPr>
              <w:pStyle w:val="a3"/>
              <w:spacing w:before="0" w:beforeAutospacing="0" w:after="0" w:afterAutospacing="0"/>
              <w:rPr>
                <w:sz w:val="20"/>
                <w:szCs w:val="20"/>
              </w:rPr>
            </w:pPr>
            <w:r>
              <w:rPr>
                <w:sz w:val="20"/>
                <w:szCs w:val="20"/>
              </w:rPr>
              <w:t>Finance lease liabilities, long ter</w:t>
            </w:r>
            <w:r>
              <w:rPr>
                <w:sz w:val="20"/>
                <w:szCs w:val="20"/>
              </w:rPr>
              <w:t>m</w:t>
            </w:r>
          </w:p>
        </w:tc>
        <w:tc>
          <w:tcPr>
            <w:tcW w:w="0" w:type="auto"/>
            <w:noWrap/>
            <w:vAlign w:val="bottom"/>
            <w:hideMark/>
          </w:tcPr>
          <w:p w14:paraId="1E69AB9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6E83E6E" w14:textId="77777777" w:rsidR="00000000" w:rsidRDefault="00632532">
            <w:pPr>
              <w:pStyle w:val="a3"/>
              <w:spacing w:before="0" w:beforeAutospacing="0" w:after="0" w:afterAutospacing="0"/>
              <w:jc w:val="right"/>
              <w:rPr>
                <w:sz w:val="20"/>
                <w:szCs w:val="20"/>
              </w:rPr>
            </w:pPr>
            <w:r>
              <w:rPr>
                <w:sz w:val="20"/>
                <w:szCs w:val="20"/>
              </w:rPr>
              <w:t>1,93</w:t>
            </w:r>
            <w:r>
              <w:rPr>
                <w:sz w:val="20"/>
                <w:szCs w:val="20"/>
              </w:rPr>
              <w:t>8</w:t>
            </w:r>
          </w:p>
        </w:tc>
        <w:tc>
          <w:tcPr>
            <w:tcW w:w="0" w:type="auto"/>
            <w:noWrap/>
            <w:vAlign w:val="bottom"/>
            <w:hideMark/>
          </w:tcPr>
          <w:p w14:paraId="26AFF0D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6B7D4CE"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56BB51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00FB794" w14:textId="77777777" w:rsidR="00000000" w:rsidRDefault="00632532">
            <w:pPr>
              <w:pStyle w:val="a3"/>
              <w:spacing w:before="0" w:beforeAutospacing="0" w:after="0" w:afterAutospacing="0"/>
              <w:jc w:val="right"/>
              <w:rPr>
                <w:sz w:val="20"/>
                <w:szCs w:val="20"/>
              </w:rPr>
            </w:pPr>
            <w:r>
              <w:rPr>
                <w:sz w:val="20"/>
                <w:szCs w:val="20"/>
              </w:rPr>
              <w:t>1,39</w:t>
            </w:r>
            <w:r>
              <w:rPr>
                <w:sz w:val="20"/>
                <w:szCs w:val="20"/>
              </w:rPr>
              <w:t>8</w:t>
            </w:r>
          </w:p>
        </w:tc>
        <w:tc>
          <w:tcPr>
            <w:tcW w:w="0" w:type="auto"/>
            <w:noWrap/>
            <w:vAlign w:val="bottom"/>
            <w:hideMark/>
          </w:tcPr>
          <w:p w14:paraId="5602A2BF" w14:textId="77777777" w:rsidR="00000000" w:rsidRDefault="00632532">
            <w:pPr>
              <w:pStyle w:val="a3"/>
              <w:spacing w:before="0" w:beforeAutospacing="0" w:after="0" w:afterAutospacing="0"/>
              <w:rPr>
                <w:sz w:val="20"/>
                <w:szCs w:val="20"/>
              </w:rPr>
            </w:pPr>
            <w:r>
              <w:rPr>
                <w:sz w:val="20"/>
                <w:szCs w:val="20"/>
              </w:rPr>
              <w:t> </w:t>
            </w:r>
          </w:p>
        </w:tc>
      </w:tr>
    </w:tbl>
    <w:p w14:paraId="7CDDFAAA" w14:textId="77777777" w:rsidR="00000000" w:rsidRDefault="00632532">
      <w:pPr>
        <w:pStyle w:val="a3"/>
        <w:spacing w:before="240" w:beforeAutospacing="0" w:after="0" w:afterAutospacing="0"/>
        <w:ind w:firstLine="555"/>
        <w:divId w:val="485973600"/>
        <w:rPr>
          <w:sz w:val="20"/>
          <w:szCs w:val="20"/>
        </w:rPr>
      </w:pPr>
      <w:r>
        <w:rPr>
          <w:sz w:val="20"/>
          <w:szCs w:val="20"/>
        </w:rPr>
        <w:t>The following was operating and finance lease expense</w:t>
      </w:r>
      <w:r>
        <w:rPr>
          <w:sz w:val="20"/>
          <w:szCs w:val="20"/>
        </w:rPr>
        <w:t>:</w:t>
      </w:r>
    </w:p>
    <w:p w14:paraId="6AE6479D" w14:textId="77777777" w:rsidR="00000000" w:rsidRDefault="00632532">
      <w:pPr>
        <w:pStyle w:val="a3"/>
        <w:spacing w:before="0" w:beforeAutospacing="0" w:after="0" w:afterAutospacing="0"/>
        <w:divId w:val="48597360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9"/>
        <w:gridCol w:w="160"/>
        <w:gridCol w:w="825"/>
        <w:gridCol w:w="110"/>
        <w:gridCol w:w="112"/>
        <w:gridCol w:w="160"/>
        <w:gridCol w:w="893"/>
        <w:gridCol w:w="110"/>
        <w:gridCol w:w="113"/>
        <w:gridCol w:w="160"/>
        <w:gridCol w:w="894"/>
        <w:gridCol w:w="110"/>
        <w:gridCol w:w="113"/>
        <w:gridCol w:w="160"/>
        <w:gridCol w:w="972"/>
        <w:gridCol w:w="125"/>
      </w:tblGrid>
      <w:tr w:rsidR="00000000" w14:paraId="61E4D387" w14:textId="77777777">
        <w:trPr>
          <w:divId w:val="485973600"/>
          <w:tblCellSpacing w:w="15" w:type="dxa"/>
        </w:trPr>
        <w:tc>
          <w:tcPr>
            <w:tcW w:w="2096" w:type="pct"/>
            <w:vAlign w:val="center"/>
            <w:hideMark/>
          </w:tcPr>
          <w:p w14:paraId="1F56359E" w14:textId="77777777" w:rsidR="00000000" w:rsidRDefault="00632532">
            <w:pPr>
              <w:rPr>
                <w:sz w:val="20"/>
                <w:szCs w:val="20"/>
              </w:rPr>
            </w:pPr>
          </w:p>
        </w:tc>
        <w:tc>
          <w:tcPr>
            <w:tcW w:w="50" w:type="pct"/>
            <w:vAlign w:val="center"/>
            <w:hideMark/>
          </w:tcPr>
          <w:p w14:paraId="4953B14F" w14:textId="77777777" w:rsidR="00000000" w:rsidRDefault="00632532">
            <w:pPr>
              <w:rPr>
                <w:rFonts w:eastAsia="Times New Roman"/>
                <w:sz w:val="20"/>
                <w:szCs w:val="20"/>
              </w:rPr>
            </w:pPr>
          </w:p>
        </w:tc>
        <w:tc>
          <w:tcPr>
            <w:tcW w:w="527" w:type="pct"/>
            <w:vAlign w:val="center"/>
            <w:hideMark/>
          </w:tcPr>
          <w:p w14:paraId="2AC60568" w14:textId="77777777" w:rsidR="00000000" w:rsidRDefault="00632532">
            <w:pPr>
              <w:rPr>
                <w:rFonts w:eastAsia="Times New Roman"/>
                <w:sz w:val="20"/>
                <w:szCs w:val="20"/>
              </w:rPr>
            </w:pPr>
          </w:p>
        </w:tc>
        <w:tc>
          <w:tcPr>
            <w:tcW w:w="50" w:type="pct"/>
            <w:vAlign w:val="center"/>
            <w:hideMark/>
          </w:tcPr>
          <w:p w14:paraId="09CA3B3B" w14:textId="77777777" w:rsidR="00000000" w:rsidRDefault="00632532">
            <w:pPr>
              <w:rPr>
                <w:rFonts w:eastAsia="Times New Roman"/>
                <w:sz w:val="20"/>
                <w:szCs w:val="20"/>
              </w:rPr>
            </w:pPr>
          </w:p>
        </w:tc>
        <w:tc>
          <w:tcPr>
            <w:tcW w:w="70" w:type="pct"/>
            <w:vAlign w:val="center"/>
            <w:hideMark/>
          </w:tcPr>
          <w:p w14:paraId="2E4EEEBF" w14:textId="77777777" w:rsidR="00000000" w:rsidRDefault="00632532">
            <w:pPr>
              <w:rPr>
                <w:rFonts w:eastAsia="Times New Roman"/>
                <w:sz w:val="20"/>
                <w:szCs w:val="20"/>
              </w:rPr>
            </w:pPr>
          </w:p>
        </w:tc>
        <w:tc>
          <w:tcPr>
            <w:tcW w:w="50" w:type="pct"/>
            <w:vAlign w:val="center"/>
            <w:hideMark/>
          </w:tcPr>
          <w:p w14:paraId="2529E496" w14:textId="77777777" w:rsidR="00000000" w:rsidRDefault="00632532">
            <w:pPr>
              <w:rPr>
                <w:rFonts w:eastAsia="Times New Roman"/>
                <w:sz w:val="20"/>
                <w:szCs w:val="20"/>
              </w:rPr>
            </w:pPr>
          </w:p>
        </w:tc>
        <w:tc>
          <w:tcPr>
            <w:tcW w:w="571" w:type="pct"/>
            <w:vAlign w:val="center"/>
            <w:hideMark/>
          </w:tcPr>
          <w:p w14:paraId="5333281B" w14:textId="77777777" w:rsidR="00000000" w:rsidRDefault="00632532">
            <w:pPr>
              <w:rPr>
                <w:rFonts w:eastAsia="Times New Roman"/>
                <w:sz w:val="20"/>
                <w:szCs w:val="20"/>
              </w:rPr>
            </w:pPr>
          </w:p>
        </w:tc>
        <w:tc>
          <w:tcPr>
            <w:tcW w:w="50" w:type="pct"/>
            <w:vAlign w:val="center"/>
            <w:hideMark/>
          </w:tcPr>
          <w:p w14:paraId="6C9676F0" w14:textId="77777777" w:rsidR="00000000" w:rsidRDefault="00632532">
            <w:pPr>
              <w:rPr>
                <w:rFonts w:eastAsia="Times New Roman"/>
                <w:sz w:val="20"/>
                <w:szCs w:val="20"/>
              </w:rPr>
            </w:pPr>
          </w:p>
        </w:tc>
        <w:tc>
          <w:tcPr>
            <w:tcW w:w="70" w:type="pct"/>
            <w:vAlign w:val="center"/>
            <w:hideMark/>
          </w:tcPr>
          <w:p w14:paraId="635DBAF0" w14:textId="77777777" w:rsidR="00000000" w:rsidRDefault="00632532">
            <w:pPr>
              <w:rPr>
                <w:rFonts w:eastAsia="Times New Roman"/>
                <w:sz w:val="20"/>
                <w:szCs w:val="20"/>
              </w:rPr>
            </w:pPr>
          </w:p>
        </w:tc>
        <w:tc>
          <w:tcPr>
            <w:tcW w:w="50" w:type="pct"/>
            <w:vAlign w:val="center"/>
            <w:hideMark/>
          </w:tcPr>
          <w:p w14:paraId="1DD97CCE" w14:textId="77777777" w:rsidR="00000000" w:rsidRDefault="00632532">
            <w:pPr>
              <w:rPr>
                <w:rFonts w:eastAsia="Times New Roman"/>
                <w:sz w:val="20"/>
                <w:szCs w:val="20"/>
              </w:rPr>
            </w:pPr>
          </w:p>
        </w:tc>
        <w:tc>
          <w:tcPr>
            <w:tcW w:w="571" w:type="pct"/>
            <w:vAlign w:val="center"/>
            <w:hideMark/>
          </w:tcPr>
          <w:p w14:paraId="3B95A8BA" w14:textId="77777777" w:rsidR="00000000" w:rsidRDefault="00632532">
            <w:pPr>
              <w:rPr>
                <w:rFonts w:eastAsia="Times New Roman"/>
                <w:sz w:val="20"/>
                <w:szCs w:val="20"/>
              </w:rPr>
            </w:pPr>
          </w:p>
        </w:tc>
        <w:tc>
          <w:tcPr>
            <w:tcW w:w="50" w:type="pct"/>
            <w:vAlign w:val="center"/>
            <w:hideMark/>
          </w:tcPr>
          <w:p w14:paraId="7776C2C1" w14:textId="77777777" w:rsidR="00000000" w:rsidRDefault="00632532">
            <w:pPr>
              <w:rPr>
                <w:rFonts w:eastAsia="Times New Roman"/>
                <w:sz w:val="20"/>
                <w:szCs w:val="20"/>
              </w:rPr>
            </w:pPr>
          </w:p>
        </w:tc>
        <w:tc>
          <w:tcPr>
            <w:tcW w:w="70" w:type="pct"/>
            <w:vAlign w:val="center"/>
            <w:hideMark/>
          </w:tcPr>
          <w:p w14:paraId="221A687E" w14:textId="77777777" w:rsidR="00000000" w:rsidRDefault="00632532">
            <w:pPr>
              <w:rPr>
                <w:rFonts w:eastAsia="Times New Roman"/>
                <w:sz w:val="20"/>
                <w:szCs w:val="20"/>
              </w:rPr>
            </w:pPr>
          </w:p>
        </w:tc>
        <w:tc>
          <w:tcPr>
            <w:tcW w:w="50" w:type="pct"/>
            <w:vAlign w:val="center"/>
            <w:hideMark/>
          </w:tcPr>
          <w:p w14:paraId="6A275F58" w14:textId="77777777" w:rsidR="00000000" w:rsidRDefault="00632532">
            <w:pPr>
              <w:rPr>
                <w:rFonts w:eastAsia="Times New Roman"/>
                <w:sz w:val="20"/>
                <w:szCs w:val="20"/>
              </w:rPr>
            </w:pPr>
          </w:p>
        </w:tc>
        <w:tc>
          <w:tcPr>
            <w:tcW w:w="621" w:type="pct"/>
            <w:vAlign w:val="center"/>
            <w:hideMark/>
          </w:tcPr>
          <w:p w14:paraId="0381AE4E" w14:textId="77777777" w:rsidR="00000000" w:rsidRDefault="00632532">
            <w:pPr>
              <w:rPr>
                <w:rFonts w:eastAsia="Times New Roman"/>
                <w:sz w:val="20"/>
                <w:szCs w:val="20"/>
              </w:rPr>
            </w:pPr>
          </w:p>
        </w:tc>
        <w:tc>
          <w:tcPr>
            <w:tcW w:w="50" w:type="pct"/>
            <w:vAlign w:val="center"/>
            <w:hideMark/>
          </w:tcPr>
          <w:p w14:paraId="21089911" w14:textId="77777777" w:rsidR="00000000" w:rsidRDefault="00632532">
            <w:pPr>
              <w:rPr>
                <w:rFonts w:eastAsia="Times New Roman"/>
                <w:sz w:val="20"/>
                <w:szCs w:val="20"/>
              </w:rPr>
            </w:pPr>
          </w:p>
        </w:tc>
      </w:tr>
      <w:tr w:rsidR="00000000" w14:paraId="2BEA0643" w14:textId="77777777">
        <w:trPr>
          <w:divId w:val="485973600"/>
          <w:trHeight w:val="160"/>
          <w:tblCellSpacing w:w="15" w:type="dxa"/>
        </w:trPr>
        <w:tc>
          <w:tcPr>
            <w:tcW w:w="0" w:type="auto"/>
            <w:vAlign w:val="bottom"/>
            <w:hideMark/>
          </w:tcPr>
          <w:p w14:paraId="2293BE48" w14:textId="77777777" w:rsidR="00000000" w:rsidRDefault="00632532">
            <w:pPr>
              <w:pStyle w:val="a3"/>
              <w:spacing w:before="0" w:beforeAutospacing="0" w:after="0" w:afterAutospacing="0"/>
              <w:rPr>
                <w:sz w:val="20"/>
                <w:szCs w:val="20"/>
              </w:rPr>
            </w:pPr>
            <w:r>
              <w:rPr>
                <w:sz w:val="20"/>
                <w:szCs w:val="20"/>
              </w:rPr>
              <w:t> </w:t>
            </w:r>
          </w:p>
        </w:tc>
        <w:tc>
          <w:tcPr>
            <w:tcW w:w="0" w:type="auto"/>
            <w:gridSpan w:val="6"/>
            <w:vAlign w:val="bottom"/>
            <w:hideMark/>
          </w:tcPr>
          <w:p w14:paraId="18F79AA3" w14:textId="77777777" w:rsidR="00000000" w:rsidRDefault="00632532">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6DF427D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AA87D81" w14:textId="77777777" w:rsidR="00000000" w:rsidRDefault="00632532">
            <w:pPr>
              <w:pStyle w:val="a3"/>
              <w:spacing w:before="0" w:beforeAutospacing="0" w:after="0" w:afterAutospacing="0"/>
              <w:rPr>
                <w:sz w:val="16"/>
                <w:szCs w:val="16"/>
              </w:rPr>
            </w:pPr>
            <w:r>
              <w:rPr>
                <w:sz w:val="16"/>
                <w:szCs w:val="16"/>
              </w:rPr>
              <w:t> </w:t>
            </w:r>
          </w:p>
        </w:tc>
        <w:tc>
          <w:tcPr>
            <w:tcW w:w="0" w:type="auto"/>
            <w:gridSpan w:val="6"/>
            <w:vAlign w:val="bottom"/>
            <w:hideMark/>
          </w:tcPr>
          <w:p w14:paraId="3CE38C04"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007F3A3E"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193AF41" w14:textId="77777777">
        <w:trPr>
          <w:divId w:val="485973600"/>
          <w:trHeight w:val="160"/>
          <w:tblCellSpacing w:w="15" w:type="dxa"/>
        </w:trPr>
        <w:tc>
          <w:tcPr>
            <w:tcW w:w="0" w:type="auto"/>
            <w:vAlign w:val="bottom"/>
            <w:hideMark/>
          </w:tcPr>
          <w:p w14:paraId="4BFEF27C"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EA96298"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3380D6E"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867EEE1"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7644173C"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D3C4F6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DBF374C"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2BB95BBE"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10148B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94E586A"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3DA29122"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0A6944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F63DECB" w14:textId="77777777">
        <w:trPr>
          <w:divId w:val="485973600"/>
          <w:trHeight w:val="160"/>
          <w:tblCellSpacing w:w="15" w:type="dxa"/>
        </w:trPr>
        <w:tc>
          <w:tcPr>
            <w:tcW w:w="0" w:type="auto"/>
            <w:vAlign w:val="bottom"/>
            <w:hideMark/>
          </w:tcPr>
          <w:p w14:paraId="09B71853" w14:textId="77777777" w:rsidR="00000000" w:rsidRDefault="00632532">
            <w:pPr>
              <w:pStyle w:val="a3"/>
              <w:spacing w:before="0" w:beforeAutospacing="0" w:after="0" w:afterAutospacing="0"/>
              <w:rPr>
                <w:sz w:val="20"/>
                <w:szCs w:val="20"/>
              </w:rPr>
            </w:pPr>
            <w:r>
              <w:rPr>
                <w:sz w:val="20"/>
                <w:szCs w:val="20"/>
              </w:rPr>
              <w:t> </w:t>
            </w:r>
          </w:p>
        </w:tc>
        <w:tc>
          <w:tcPr>
            <w:tcW w:w="0" w:type="auto"/>
            <w:gridSpan w:val="14"/>
            <w:vAlign w:val="bottom"/>
            <w:hideMark/>
          </w:tcPr>
          <w:p w14:paraId="502CD51C"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62F86C69"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10A4EDED" w14:textId="77777777">
        <w:trPr>
          <w:divId w:val="485973600"/>
          <w:trHeight w:val="200"/>
          <w:tblCellSpacing w:w="15" w:type="dxa"/>
        </w:trPr>
        <w:tc>
          <w:tcPr>
            <w:tcW w:w="0" w:type="auto"/>
            <w:vAlign w:val="bottom"/>
            <w:hideMark/>
          </w:tcPr>
          <w:p w14:paraId="65670C1A" w14:textId="77777777" w:rsidR="00000000" w:rsidRDefault="00632532">
            <w:pPr>
              <w:pStyle w:val="a3"/>
              <w:spacing w:before="0" w:beforeAutospacing="0" w:after="0" w:afterAutospacing="0"/>
              <w:rPr>
                <w:sz w:val="20"/>
                <w:szCs w:val="20"/>
              </w:rPr>
            </w:pPr>
            <w:r>
              <w:rPr>
                <w:sz w:val="20"/>
                <w:szCs w:val="20"/>
              </w:rPr>
              <w:t>Operating lease cos</w:t>
            </w:r>
            <w:r>
              <w:rPr>
                <w:sz w:val="20"/>
                <w:szCs w:val="20"/>
              </w:rPr>
              <w:t>t</w:t>
            </w:r>
          </w:p>
        </w:tc>
        <w:tc>
          <w:tcPr>
            <w:tcW w:w="0" w:type="auto"/>
            <w:noWrap/>
            <w:vAlign w:val="bottom"/>
            <w:hideMark/>
          </w:tcPr>
          <w:p w14:paraId="3D48331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5DDA812" w14:textId="77777777" w:rsidR="00000000" w:rsidRDefault="00632532">
            <w:pPr>
              <w:pStyle w:val="a3"/>
              <w:spacing w:before="0" w:beforeAutospacing="0" w:after="0" w:afterAutospacing="0"/>
              <w:jc w:val="right"/>
              <w:rPr>
                <w:sz w:val="20"/>
                <w:szCs w:val="20"/>
              </w:rPr>
            </w:pPr>
            <w:r>
              <w:rPr>
                <w:sz w:val="20"/>
                <w:szCs w:val="20"/>
              </w:rPr>
              <w:t>1,36</w:t>
            </w:r>
            <w:r>
              <w:rPr>
                <w:sz w:val="20"/>
                <w:szCs w:val="20"/>
              </w:rPr>
              <w:t>6</w:t>
            </w:r>
          </w:p>
        </w:tc>
        <w:tc>
          <w:tcPr>
            <w:tcW w:w="0" w:type="auto"/>
            <w:noWrap/>
            <w:vAlign w:val="bottom"/>
            <w:hideMark/>
          </w:tcPr>
          <w:p w14:paraId="7385676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DD6C8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C987BC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0D1AF94" w14:textId="77777777" w:rsidR="00000000" w:rsidRDefault="00632532">
            <w:pPr>
              <w:pStyle w:val="a3"/>
              <w:spacing w:before="0" w:beforeAutospacing="0" w:after="0" w:afterAutospacing="0"/>
              <w:jc w:val="right"/>
              <w:rPr>
                <w:sz w:val="20"/>
                <w:szCs w:val="20"/>
              </w:rPr>
            </w:pPr>
            <w:r>
              <w:rPr>
                <w:sz w:val="20"/>
                <w:szCs w:val="20"/>
              </w:rPr>
              <w:t>23</w:t>
            </w:r>
            <w:r>
              <w:rPr>
                <w:sz w:val="20"/>
                <w:szCs w:val="20"/>
              </w:rPr>
              <w:t>2</w:t>
            </w:r>
          </w:p>
        </w:tc>
        <w:tc>
          <w:tcPr>
            <w:tcW w:w="0" w:type="auto"/>
            <w:noWrap/>
            <w:vAlign w:val="bottom"/>
            <w:hideMark/>
          </w:tcPr>
          <w:p w14:paraId="5749874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AD75F5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371A7C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A3E8450" w14:textId="77777777" w:rsidR="00000000" w:rsidRDefault="00632532">
            <w:pPr>
              <w:pStyle w:val="a3"/>
              <w:spacing w:before="0" w:beforeAutospacing="0" w:after="0" w:afterAutospacing="0"/>
              <w:jc w:val="right"/>
              <w:rPr>
                <w:sz w:val="20"/>
                <w:szCs w:val="20"/>
              </w:rPr>
            </w:pPr>
            <w:r>
              <w:rPr>
                <w:sz w:val="20"/>
                <w:szCs w:val="20"/>
              </w:rPr>
              <w:t>1,90</w:t>
            </w:r>
            <w:r>
              <w:rPr>
                <w:sz w:val="20"/>
                <w:szCs w:val="20"/>
              </w:rPr>
              <w:t>4</w:t>
            </w:r>
          </w:p>
        </w:tc>
        <w:tc>
          <w:tcPr>
            <w:tcW w:w="0" w:type="auto"/>
            <w:noWrap/>
            <w:vAlign w:val="bottom"/>
            <w:hideMark/>
          </w:tcPr>
          <w:p w14:paraId="7B66D73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5A3C6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7CB3D7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B01CB1C" w14:textId="77777777" w:rsidR="00000000" w:rsidRDefault="00632532">
            <w:pPr>
              <w:pStyle w:val="a3"/>
              <w:spacing w:before="0" w:beforeAutospacing="0" w:after="0" w:afterAutospacing="0"/>
              <w:jc w:val="right"/>
              <w:rPr>
                <w:sz w:val="20"/>
                <w:szCs w:val="20"/>
              </w:rPr>
            </w:pPr>
            <w:r>
              <w:rPr>
                <w:sz w:val="20"/>
                <w:szCs w:val="20"/>
              </w:rPr>
              <w:t>30</w:t>
            </w:r>
            <w:r>
              <w:rPr>
                <w:sz w:val="20"/>
                <w:szCs w:val="20"/>
              </w:rPr>
              <w:t>1</w:t>
            </w:r>
          </w:p>
        </w:tc>
        <w:tc>
          <w:tcPr>
            <w:tcW w:w="0" w:type="auto"/>
            <w:noWrap/>
            <w:vAlign w:val="bottom"/>
            <w:hideMark/>
          </w:tcPr>
          <w:p w14:paraId="4ED9B295" w14:textId="77777777" w:rsidR="00000000" w:rsidRDefault="00632532">
            <w:pPr>
              <w:pStyle w:val="a3"/>
              <w:spacing w:before="0" w:beforeAutospacing="0" w:after="0" w:afterAutospacing="0"/>
              <w:rPr>
                <w:sz w:val="20"/>
                <w:szCs w:val="20"/>
              </w:rPr>
            </w:pPr>
            <w:r>
              <w:rPr>
                <w:sz w:val="20"/>
                <w:szCs w:val="20"/>
              </w:rPr>
              <w:t> </w:t>
            </w:r>
          </w:p>
        </w:tc>
      </w:tr>
      <w:tr w:rsidR="00000000" w14:paraId="64E712A9" w14:textId="77777777">
        <w:trPr>
          <w:divId w:val="485973600"/>
          <w:trHeight w:val="200"/>
          <w:tblCellSpacing w:w="15" w:type="dxa"/>
        </w:trPr>
        <w:tc>
          <w:tcPr>
            <w:tcW w:w="0" w:type="auto"/>
            <w:vAlign w:val="bottom"/>
            <w:hideMark/>
          </w:tcPr>
          <w:p w14:paraId="224850E0" w14:textId="77777777" w:rsidR="00000000" w:rsidRDefault="00632532">
            <w:pPr>
              <w:pStyle w:val="a3"/>
              <w:spacing w:before="0" w:beforeAutospacing="0" w:after="0" w:afterAutospacing="0"/>
              <w:rPr>
                <w:sz w:val="20"/>
                <w:szCs w:val="20"/>
              </w:rPr>
            </w:pPr>
            <w:r>
              <w:rPr>
                <w:sz w:val="20"/>
                <w:szCs w:val="20"/>
              </w:rPr>
              <w:t>Finance lease cost</w:t>
            </w:r>
            <w:r>
              <w:rPr>
                <w:sz w:val="20"/>
                <w:szCs w:val="20"/>
              </w:rPr>
              <w:t>:</w:t>
            </w:r>
          </w:p>
        </w:tc>
        <w:tc>
          <w:tcPr>
            <w:tcW w:w="0" w:type="auto"/>
            <w:gridSpan w:val="2"/>
            <w:vAlign w:val="bottom"/>
            <w:hideMark/>
          </w:tcPr>
          <w:p w14:paraId="4B53688E"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9DEFEDA"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AE3E748"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742C992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FD8CB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0C575F"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7B8099F8"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F9FC3B8"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F2430CC"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A7102D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C86A7FA" w14:textId="77777777" w:rsidR="00000000" w:rsidRDefault="00632532">
            <w:pPr>
              <w:pStyle w:val="a3"/>
              <w:spacing w:before="0" w:beforeAutospacing="0" w:after="0" w:afterAutospacing="0"/>
              <w:rPr>
                <w:sz w:val="20"/>
                <w:szCs w:val="20"/>
              </w:rPr>
            </w:pPr>
            <w:r>
              <w:rPr>
                <w:sz w:val="20"/>
                <w:szCs w:val="20"/>
              </w:rPr>
              <w:t> </w:t>
            </w:r>
          </w:p>
        </w:tc>
      </w:tr>
      <w:tr w:rsidR="00000000" w14:paraId="5DBE4708" w14:textId="77777777">
        <w:trPr>
          <w:divId w:val="485973600"/>
          <w:trHeight w:val="200"/>
          <w:tblCellSpacing w:w="15" w:type="dxa"/>
        </w:trPr>
        <w:tc>
          <w:tcPr>
            <w:tcW w:w="0" w:type="auto"/>
            <w:vAlign w:val="bottom"/>
            <w:hideMark/>
          </w:tcPr>
          <w:p w14:paraId="0FC3CC5E" w14:textId="77777777" w:rsidR="00000000" w:rsidRDefault="00632532">
            <w:pPr>
              <w:pStyle w:val="a3"/>
              <w:spacing w:before="0" w:beforeAutospacing="0" w:after="0" w:afterAutospacing="0"/>
              <w:ind w:left="200"/>
              <w:rPr>
                <w:sz w:val="20"/>
                <w:szCs w:val="20"/>
              </w:rPr>
            </w:pPr>
            <w:r>
              <w:rPr>
                <w:sz w:val="20"/>
                <w:szCs w:val="20"/>
              </w:rPr>
              <w:t>Amortization of ROU asset</w:t>
            </w:r>
            <w:r>
              <w:rPr>
                <w:sz w:val="20"/>
                <w:szCs w:val="20"/>
              </w:rPr>
              <w:t>s</w:t>
            </w:r>
          </w:p>
        </w:tc>
        <w:tc>
          <w:tcPr>
            <w:tcW w:w="0" w:type="auto"/>
            <w:noWrap/>
            <w:vAlign w:val="bottom"/>
            <w:hideMark/>
          </w:tcPr>
          <w:p w14:paraId="6583E5F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1B5C27" w14:textId="77777777" w:rsidR="00000000" w:rsidRDefault="00632532">
            <w:pPr>
              <w:pStyle w:val="a3"/>
              <w:spacing w:before="0" w:beforeAutospacing="0" w:after="0" w:afterAutospacing="0"/>
              <w:jc w:val="right"/>
              <w:rPr>
                <w:sz w:val="20"/>
                <w:szCs w:val="20"/>
              </w:rPr>
            </w:pPr>
            <w:r>
              <w:rPr>
                <w:sz w:val="20"/>
                <w:szCs w:val="20"/>
              </w:rPr>
              <w:t>16</w:t>
            </w:r>
            <w:r>
              <w:rPr>
                <w:sz w:val="20"/>
                <w:szCs w:val="20"/>
              </w:rPr>
              <w:t>9</w:t>
            </w:r>
          </w:p>
        </w:tc>
        <w:tc>
          <w:tcPr>
            <w:tcW w:w="0" w:type="auto"/>
            <w:noWrap/>
            <w:vAlign w:val="bottom"/>
            <w:hideMark/>
          </w:tcPr>
          <w:p w14:paraId="04AB08F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8348B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78A5B2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D858A9"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3CE35A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ECC42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E2DAB1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0A520C" w14:textId="77777777" w:rsidR="00000000" w:rsidRDefault="00632532">
            <w:pPr>
              <w:pStyle w:val="a3"/>
              <w:spacing w:before="0" w:beforeAutospacing="0" w:after="0" w:afterAutospacing="0"/>
              <w:jc w:val="right"/>
              <w:rPr>
                <w:sz w:val="20"/>
                <w:szCs w:val="20"/>
              </w:rPr>
            </w:pPr>
            <w:r>
              <w:rPr>
                <w:sz w:val="20"/>
                <w:szCs w:val="20"/>
              </w:rPr>
              <w:t>26</w:t>
            </w:r>
            <w:r>
              <w:rPr>
                <w:sz w:val="20"/>
                <w:szCs w:val="20"/>
              </w:rPr>
              <w:t>5</w:t>
            </w:r>
          </w:p>
        </w:tc>
        <w:tc>
          <w:tcPr>
            <w:tcW w:w="0" w:type="auto"/>
            <w:noWrap/>
            <w:vAlign w:val="bottom"/>
            <w:hideMark/>
          </w:tcPr>
          <w:p w14:paraId="1BFA806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1C0A5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2C5842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6C5A70"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DD6350F" w14:textId="77777777" w:rsidR="00000000" w:rsidRDefault="00632532">
            <w:pPr>
              <w:pStyle w:val="a3"/>
              <w:spacing w:before="0" w:beforeAutospacing="0" w:after="0" w:afterAutospacing="0"/>
              <w:rPr>
                <w:sz w:val="20"/>
                <w:szCs w:val="20"/>
              </w:rPr>
            </w:pPr>
            <w:r>
              <w:rPr>
                <w:sz w:val="20"/>
                <w:szCs w:val="20"/>
              </w:rPr>
              <w:t> </w:t>
            </w:r>
          </w:p>
        </w:tc>
      </w:tr>
      <w:tr w:rsidR="00000000" w14:paraId="35C5E652" w14:textId="77777777">
        <w:trPr>
          <w:divId w:val="485973600"/>
          <w:trHeight w:val="200"/>
          <w:tblCellSpacing w:w="15" w:type="dxa"/>
        </w:trPr>
        <w:tc>
          <w:tcPr>
            <w:tcW w:w="0" w:type="auto"/>
            <w:vAlign w:val="bottom"/>
            <w:hideMark/>
          </w:tcPr>
          <w:p w14:paraId="67B7DBCA" w14:textId="77777777" w:rsidR="00000000" w:rsidRDefault="00632532">
            <w:pPr>
              <w:pStyle w:val="a3"/>
              <w:spacing w:before="0" w:beforeAutospacing="0" w:after="0" w:afterAutospacing="0"/>
              <w:ind w:left="200"/>
              <w:rPr>
                <w:sz w:val="20"/>
                <w:szCs w:val="20"/>
              </w:rPr>
            </w:pPr>
            <w:r>
              <w:rPr>
                <w:sz w:val="20"/>
                <w:szCs w:val="20"/>
              </w:rPr>
              <w:t>Interest on lease liabilitie</w:t>
            </w:r>
            <w:r>
              <w:rPr>
                <w:sz w:val="20"/>
                <w:szCs w:val="20"/>
              </w:rPr>
              <w:t>s</w:t>
            </w:r>
          </w:p>
        </w:tc>
        <w:tc>
          <w:tcPr>
            <w:tcW w:w="0" w:type="auto"/>
            <w:noWrap/>
            <w:vAlign w:val="bottom"/>
            <w:hideMark/>
          </w:tcPr>
          <w:p w14:paraId="1377C51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D04AEE" w14:textId="77777777" w:rsidR="00000000" w:rsidRDefault="00632532">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14:paraId="75D7954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86B8B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D68D19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93D85E4"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5846553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D40139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E3B93C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A19EBA" w14:textId="77777777" w:rsidR="00000000" w:rsidRDefault="00632532">
            <w:pPr>
              <w:pStyle w:val="a3"/>
              <w:spacing w:before="0" w:beforeAutospacing="0" w:after="0" w:afterAutospacing="0"/>
              <w:jc w:val="right"/>
              <w:rPr>
                <w:sz w:val="20"/>
                <w:szCs w:val="20"/>
              </w:rPr>
            </w:pPr>
            <w:r>
              <w:rPr>
                <w:sz w:val="20"/>
                <w:szCs w:val="20"/>
              </w:rPr>
              <w:t>3</w:t>
            </w:r>
            <w:r>
              <w:rPr>
                <w:sz w:val="20"/>
                <w:szCs w:val="20"/>
              </w:rPr>
              <w:t>5</w:t>
            </w:r>
          </w:p>
        </w:tc>
        <w:tc>
          <w:tcPr>
            <w:tcW w:w="0" w:type="auto"/>
            <w:noWrap/>
            <w:vAlign w:val="bottom"/>
            <w:hideMark/>
          </w:tcPr>
          <w:p w14:paraId="6953001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3746E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3A6D50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46EBE5"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5D48A2E" w14:textId="77777777" w:rsidR="00000000" w:rsidRDefault="00632532">
            <w:pPr>
              <w:pStyle w:val="a3"/>
              <w:spacing w:before="0" w:beforeAutospacing="0" w:after="0" w:afterAutospacing="0"/>
              <w:rPr>
                <w:sz w:val="20"/>
                <w:szCs w:val="20"/>
              </w:rPr>
            </w:pPr>
            <w:r>
              <w:rPr>
                <w:sz w:val="20"/>
                <w:szCs w:val="20"/>
              </w:rPr>
              <w:t> </w:t>
            </w:r>
          </w:p>
        </w:tc>
      </w:tr>
      <w:tr w:rsidR="00000000" w14:paraId="45E396F7" w14:textId="77777777">
        <w:trPr>
          <w:divId w:val="485973600"/>
          <w:trHeight w:val="200"/>
          <w:tblCellSpacing w:w="15" w:type="dxa"/>
        </w:trPr>
        <w:tc>
          <w:tcPr>
            <w:tcW w:w="0" w:type="auto"/>
            <w:vAlign w:val="bottom"/>
            <w:hideMark/>
          </w:tcPr>
          <w:p w14:paraId="0421A8F1" w14:textId="77777777" w:rsidR="00000000" w:rsidRDefault="00632532">
            <w:pPr>
              <w:pStyle w:val="a3"/>
              <w:spacing w:before="0" w:beforeAutospacing="0" w:after="0" w:afterAutospacing="0"/>
              <w:rPr>
                <w:sz w:val="20"/>
                <w:szCs w:val="20"/>
              </w:rPr>
            </w:pPr>
            <w:r>
              <w:rPr>
                <w:sz w:val="20"/>
                <w:szCs w:val="20"/>
              </w:rPr>
              <w:t>Short-term lease cos</w:t>
            </w:r>
            <w:r>
              <w:rPr>
                <w:sz w:val="20"/>
                <w:szCs w:val="20"/>
              </w:rPr>
              <w:t>t</w:t>
            </w:r>
          </w:p>
        </w:tc>
        <w:tc>
          <w:tcPr>
            <w:tcW w:w="0" w:type="auto"/>
            <w:noWrap/>
            <w:vAlign w:val="bottom"/>
            <w:hideMark/>
          </w:tcPr>
          <w:p w14:paraId="1A5ACE2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A3E5F8" w14:textId="77777777" w:rsidR="00000000" w:rsidRDefault="00632532">
            <w:pPr>
              <w:pStyle w:val="a3"/>
              <w:spacing w:before="0" w:beforeAutospacing="0" w:after="0" w:afterAutospacing="0"/>
              <w:jc w:val="right"/>
              <w:rPr>
                <w:sz w:val="20"/>
                <w:szCs w:val="20"/>
              </w:rPr>
            </w:pPr>
            <w:r>
              <w:rPr>
                <w:sz w:val="20"/>
                <w:szCs w:val="20"/>
              </w:rPr>
              <w:t>83</w:t>
            </w:r>
            <w:r>
              <w:rPr>
                <w:sz w:val="20"/>
                <w:szCs w:val="20"/>
              </w:rPr>
              <w:t>4</w:t>
            </w:r>
          </w:p>
        </w:tc>
        <w:tc>
          <w:tcPr>
            <w:tcW w:w="0" w:type="auto"/>
            <w:noWrap/>
            <w:vAlign w:val="bottom"/>
            <w:hideMark/>
          </w:tcPr>
          <w:p w14:paraId="32BA243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0C835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D1751E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AE1F0D" w14:textId="77777777" w:rsidR="00000000" w:rsidRDefault="00632532">
            <w:pPr>
              <w:pStyle w:val="a3"/>
              <w:spacing w:before="0" w:beforeAutospacing="0" w:after="0" w:afterAutospacing="0"/>
              <w:jc w:val="right"/>
              <w:rPr>
                <w:sz w:val="20"/>
                <w:szCs w:val="20"/>
              </w:rPr>
            </w:pPr>
            <w:r>
              <w:rPr>
                <w:sz w:val="20"/>
                <w:szCs w:val="20"/>
              </w:rPr>
              <w:t>6</w:t>
            </w:r>
            <w:r>
              <w:rPr>
                <w:sz w:val="20"/>
                <w:szCs w:val="20"/>
              </w:rPr>
              <w:t>1</w:t>
            </w:r>
          </w:p>
        </w:tc>
        <w:tc>
          <w:tcPr>
            <w:tcW w:w="0" w:type="auto"/>
            <w:noWrap/>
            <w:vAlign w:val="bottom"/>
            <w:hideMark/>
          </w:tcPr>
          <w:p w14:paraId="2CEA138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FC322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81C012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564A429" w14:textId="77777777" w:rsidR="00000000" w:rsidRDefault="00632532">
            <w:pPr>
              <w:pStyle w:val="a3"/>
              <w:spacing w:before="0" w:beforeAutospacing="0" w:after="0" w:afterAutospacing="0"/>
              <w:jc w:val="right"/>
              <w:rPr>
                <w:sz w:val="20"/>
                <w:szCs w:val="20"/>
              </w:rPr>
            </w:pPr>
            <w:r>
              <w:rPr>
                <w:sz w:val="20"/>
                <w:szCs w:val="20"/>
              </w:rPr>
              <w:t>93</w:t>
            </w:r>
            <w:r>
              <w:rPr>
                <w:sz w:val="20"/>
                <w:szCs w:val="20"/>
              </w:rPr>
              <w:t>1</w:t>
            </w:r>
          </w:p>
        </w:tc>
        <w:tc>
          <w:tcPr>
            <w:tcW w:w="0" w:type="auto"/>
            <w:noWrap/>
            <w:vAlign w:val="bottom"/>
            <w:hideMark/>
          </w:tcPr>
          <w:p w14:paraId="10FA89D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85F75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C6F557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62FB14B" w14:textId="77777777" w:rsidR="00000000" w:rsidRDefault="00632532">
            <w:pPr>
              <w:pStyle w:val="a3"/>
              <w:spacing w:before="0" w:beforeAutospacing="0" w:after="0" w:afterAutospacing="0"/>
              <w:jc w:val="right"/>
              <w:rPr>
                <w:sz w:val="20"/>
                <w:szCs w:val="20"/>
              </w:rPr>
            </w:pPr>
            <w:r>
              <w:rPr>
                <w:sz w:val="20"/>
                <w:szCs w:val="20"/>
              </w:rPr>
              <w:t>19</w:t>
            </w:r>
            <w:r>
              <w:rPr>
                <w:sz w:val="20"/>
                <w:szCs w:val="20"/>
              </w:rPr>
              <w:t>2</w:t>
            </w:r>
          </w:p>
        </w:tc>
        <w:tc>
          <w:tcPr>
            <w:tcW w:w="0" w:type="auto"/>
            <w:noWrap/>
            <w:vAlign w:val="bottom"/>
            <w:hideMark/>
          </w:tcPr>
          <w:p w14:paraId="0EB16104" w14:textId="77777777" w:rsidR="00000000" w:rsidRDefault="00632532">
            <w:pPr>
              <w:pStyle w:val="a3"/>
              <w:spacing w:before="0" w:beforeAutospacing="0" w:after="0" w:afterAutospacing="0"/>
              <w:rPr>
                <w:sz w:val="20"/>
                <w:szCs w:val="20"/>
              </w:rPr>
            </w:pPr>
            <w:r>
              <w:rPr>
                <w:sz w:val="20"/>
                <w:szCs w:val="20"/>
              </w:rPr>
              <w:t> </w:t>
            </w:r>
          </w:p>
        </w:tc>
      </w:tr>
      <w:tr w:rsidR="00000000" w14:paraId="29434B75" w14:textId="77777777">
        <w:trPr>
          <w:divId w:val="485973600"/>
          <w:trHeight w:val="200"/>
          <w:tblCellSpacing w:w="15" w:type="dxa"/>
        </w:trPr>
        <w:tc>
          <w:tcPr>
            <w:tcW w:w="0" w:type="auto"/>
            <w:vAlign w:val="bottom"/>
            <w:hideMark/>
          </w:tcPr>
          <w:p w14:paraId="47236AA1" w14:textId="77777777" w:rsidR="00000000" w:rsidRDefault="00632532">
            <w:pPr>
              <w:pStyle w:val="a3"/>
              <w:spacing w:before="0" w:beforeAutospacing="0" w:after="0" w:afterAutospacing="0"/>
              <w:rPr>
                <w:sz w:val="20"/>
                <w:szCs w:val="20"/>
              </w:rPr>
            </w:pPr>
            <w:r>
              <w:rPr>
                <w:sz w:val="20"/>
                <w:szCs w:val="20"/>
              </w:rPr>
              <w:t>Total lease cos</w:t>
            </w:r>
            <w:r>
              <w:rPr>
                <w:sz w:val="20"/>
                <w:szCs w:val="20"/>
              </w:rPr>
              <w:t>t</w:t>
            </w:r>
          </w:p>
        </w:tc>
        <w:tc>
          <w:tcPr>
            <w:tcW w:w="0" w:type="auto"/>
            <w:noWrap/>
            <w:vAlign w:val="bottom"/>
            <w:hideMark/>
          </w:tcPr>
          <w:p w14:paraId="34BE87B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C696089" w14:textId="77777777" w:rsidR="00000000" w:rsidRDefault="00632532">
            <w:pPr>
              <w:pStyle w:val="a3"/>
              <w:spacing w:before="0" w:beforeAutospacing="0" w:after="0" w:afterAutospacing="0"/>
              <w:jc w:val="right"/>
              <w:rPr>
                <w:sz w:val="20"/>
                <w:szCs w:val="20"/>
              </w:rPr>
            </w:pPr>
            <w:r>
              <w:rPr>
                <w:sz w:val="20"/>
                <w:szCs w:val="20"/>
              </w:rPr>
              <w:t>2,39</w:t>
            </w:r>
            <w:r>
              <w:rPr>
                <w:sz w:val="20"/>
                <w:szCs w:val="20"/>
              </w:rPr>
              <w:t>0</w:t>
            </w:r>
          </w:p>
        </w:tc>
        <w:tc>
          <w:tcPr>
            <w:tcW w:w="0" w:type="auto"/>
            <w:noWrap/>
            <w:vAlign w:val="bottom"/>
            <w:hideMark/>
          </w:tcPr>
          <w:p w14:paraId="41A90E3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92E81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7DD7B5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6D2788C" w14:textId="77777777" w:rsidR="00000000" w:rsidRDefault="00632532">
            <w:pPr>
              <w:pStyle w:val="a3"/>
              <w:spacing w:before="0" w:beforeAutospacing="0" w:after="0" w:afterAutospacing="0"/>
              <w:jc w:val="right"/>
              <w:rPr>
                <w:sz w:val="20"/>
                <w:szCs w:val="20"/>
              </w:rPr>
            </w:pPr>
            <w:r>
              <w:rPr>
                <w:sz w:val="20"/>
                <w:szCs w:val="20"/>
              </w:rPr>
              <w:t>29</w:t>
            </w:r>
            <w:r>
              <w:rPr>
                <w:sz w:val="20"/>
                <w:szCs w:val="20"/>
              </w:rPr>
              <w:t>3</w:t>
            </w:r>
          </w:p>
        </w:tc>
        <w:tc>
          <w:tcPr>
            <w:tcW w:w="0" w:type="auto"/>
            <w:noWrap/>
            <w:vAlign w:val="bottom"/>
            <w:hideMark/>
          </w:tcPr>
          <w:p w14:paraId="336783E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53CF89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F1A468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E1051F5" w14:textId="77777777" w:rsidR="00000000" w:rsidRDefault="00632532">
            <w:pPr>
              <w:pStyle w:val="a3"/>
              <w:spacing w:before="0" w:beforeAutospacing="0" w:after="0" w:afterAutospacing="0"/>
              <w:jc w:val="right"/>
              <w:rPr>
                <w:sz w:val="20"/>
                <w:szCs w:val="20"/>
              </w:rPr>
            </w:pPr>
            <w:r>
              <w:rPr>
                <w:sz w:val="20"/>
                <w:szCs w:val="20"/>
              </w:rPr>
              <w:t>3,13</w:t>
            </w:r>
            <w:r>
              <w:rPr>
                <w:sz w:val="20"/>
                <w:szCs w:val="20"/>
              </w:rPr>
              <w:t>5</w:t>
            </w:r>
          </w:p>
        </w:tc>
        <w:tc>
          <w:tcPr>
            <w:tcW w:w="0" w:type="auto"/>
            <w:noWrap/>
            <w:vAlign w:val="bottom"/>
            <w:hideMark/>
          </w:tcPr>
          <w:p w14:paraId="7324DE3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86E0FB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15DC59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572BB40" w14:textId="77777777" w:rsidR="00000000" w:rsidRDefault="00632532">
            <w:pPr>
              <w:pStyle w:val="a3"/>
              <w:spacing w:before="0" w:beforeAutospacing="0" w:after="0" w:afterAutospacing="0"/>
              <w:jc w:val="right"/>
              <w:rPr>
                <w:sz w:val="20"/>
                <w:szCs w:val="20"/>
              </w:rPr>
            </w:pPr>
            <w:r>
              <w:rPr>
                <w:sz w:val="20"/>
                <w:szCs w:val="20"/>
              </w:rPr>
              <w:t>49</w:t>
            </w:r>
            <w:r>
              <w:rPr>
                <w:sz w:val="20"/>
                <w:szCs w:val="20"/>
              </w:rPr>
              <w:t>3</w:t>
            </w:r>
          </w:p>
        </w:tc>
        <w:tc>
          <w:tcPr>
            <w:tcW w:w="0" w:type="auto"/>
            <w:noWrap/>
            <w:vAlign w:val="bottom"/>
            <w:hideMark/>
          </w:tcPr>
          <w:p w14:paraId="7D866E52" w14:textId="77777777" w:rsidR="00000000" w:rsidRDefault="00632532">
            <w:pPr>
              <w:pStyle w:val="a3"/>
              <w:spacing w:before="0" w:beforeAutospacing="0" w:after="0" w:afterAutospacing="0"/>
              <w:rPr>
                <w:sz w:val="20"/>
                <w:szCs w:val="20"/>
              </w:rPr>
            </w:pPr>
            <w:r>
              <w:rPr>
                <w:sz w:val="20"/>
                <w:szCs w:val="20"/>
              </w:rPr>
              <w:t> </w:t>
            </w:r>
          </w:p>
        </w:tc>
      </w:tr>
    </w:tbl>
    <w:p w14:paraId="15B29129" w14:textId="77777777" w:rsidR="00000000" w:rsidRDefault="00632532">
      <w:pPr>
        <w:pStyle w:val="a3"/>
        <w:spacing w:before="240" w:beforeAutospacing="0" w:after="0" w:afterAutospacing="0"/>
        <w:ind w:firstLine="555"/>
        <w:divId w:val="1078096368"/>
        <w:rPr>
          <w:sz w:val="20"/>
          <w:szCs w:val="20"/>
        </w:rPr>
      </w:pPr>
      <w:r>
        <w:rPr>
          <w:sz w:val="20"/>
          <w:szCs w:val="20"/>
        </w:rPr>
        <w:t>Supplemental information related to operating leases and finance lease was the following</w:t>
      </w:r>
      <w:r>
        <w:rPr>
          <w:sz w:val="20"/>
          <w:szCs w:val="20"/>
        </w:rPr>
        <w:t>:</w:t>
      </w:r>
    </w:p>
    <w:p w14:paraId="7E779A92" w14:textId="77777777" w:rsidR="00000000" w:rsidRDefault="00632532">
      <w:pPr>
        <w:pStyle w:val="a3"/>
        <w:spacing w:before="0" w:beforeAutospacing="0" w:after="0" w:afterAutospacing="0"/>
        <w:divId w:val="107809636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88"/>
        <w:gridCol w:w="111"/>
        <w:gridCol w:w="1765"/>
        <w:gridCol w:w="242"/>
      </w:tblGrid>
      <w:tr w:rsidR="00000000" w14:paraId="09DE78AF" w14:textId="77777777">
        <w:trPr>
          <w:divId w:val="1078096368"/>
          <w:tblCellSpacing w:w="15" w:type="dxa"/>
        </w:trPr>
        <w:tc>
          <w:tcPr>
            <w:tcW w:w="3789" w:type="pct"/>
            <w:vAlign w:val="center"/>
            <w:hideMark/>
          </w:tcPr>
          <w:p w14:paraId="4D71DA95" w14:textId="77777777" w:rsidR="00000000" w:rsidRDefault="00632532">
            <w:pPr>
              <w:rPr>
                <w:sz w:val="20"/>
                <w:szCs w:val="20"/>
              </w:rPr>
            </w:pPr>
          </w:p>
        </w:tc>
        <w:tc>
          <w:tcPr>
            <w:tcW w:w="50" w:type="pct"/>
            <w:vAlign w:val="center"/>
            <w:hideMark/>
          </w:tcPr>
          <w:p w14:paraId="23DB7699" w14:textId="77777777" w:rsidR="00000000" w:rsidRDefault="00632532">
            <w:pPr>
              <w:rPr>
                <w:rFonts w:eastAsia="Times New Roman"/>
                <w:sz w:val="20"/>
                <w:szCs w:val="20"/>
              </w:rPr>
            </w:pPr>
          </w:p>
        </w:tc>
        <w:tc>
          <w:tcPr>
            <w:tcW w:w="1110" w:type="pct"/>
            <w:vAlign w:val="center"/>
            <w:hideMark/>
          </w:tcPr>
          <w:p w14:paraId="356197B6" w14:textId="77777777" w:rsidR="00000000" w:rsidRDefault="00632532">
            <w:pPr>
              <w:rPr>
                <w:rFonts w:eastAsia="Times New Roman"/>
                <w:sz w:val="20"/>
                <w:szCs w:val="20"/>
              </w:rPr>
            </w:pPr>
          </w:p>
        </w:tc>
        <w:tc>
          <w:tcPr>
            <w:tcW w:w="50" w:type="pct"/>
            <w:vAlign w:val="center"/>
            <w:hideMark/>
          </w:tcPr>
          <w:p w14:paraId="7C05E992" w14:textId="77777777" w:rsidR="00000000" w:rsidRDefault="00632532">
            <w:pPr>
              <w:rPr>
                <w:rFonts w:eastAsia="Times New Roman"/>
                <w:sz w:val="20"/>
                <w:szCs w:val="20"/>
              </w:rPr>
            </w:pPr>
          </w:p>
        </w:tc>
      </w:tr>
      <w:tr w:rsidR="00000000" w14:paraId="44A333EF" w14:textId="77777777">
        <w:trPr>
          <w:divId w:val="1078096368"/>
          <w:trHeight w:val="160"/>
          <w:tblCellSpacing w:w="15" w:type="dxa"/>
        </w:trPr>
        <w:tc>
          <w:tcPr>
            <w:tcW w:w="0" w:type="auto"/>
            <w:hideMark/>
          </w:tcPr>
          <w:p w14:paraId="36C881C1"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45269B16" w14:textId="77777777" w:rsidR="00000000" w:rsidRDefault="00632532">
            <w:pPr>
              <w:pStyle w:val="a3"/>
              <w:spacing w:before="0" w:beforeAutospacing="0" w:after="0" w:afterAutospacing="0"/>
              <w:jc w:val="center"/>
              <w:rPr>
                <w:sz w:val="16"/>
                <w:szCs w:val="16"/>
              </w:rPr>
            </w:pPr>
            <w:r>
              <w:rPr>
                <w:b/>
                <w:bCs/>
                <w:sz w:val="16"/>
                <w:szCs w:val="16"/>
              </w:rPr>
              <w:t>June 30, 202</w:t>
            </w:r>
            <w:r>
              <w:rPr>
                <w:b/>
                <w:bCs/>
                <w:sz w:val="16"/>
                <w:szCs w:val="16"/>
              </w:rPr>
              <w:t>2</w:t>
            </w:r>
          </w:p>
        </w:tc>
        <w:tc>
          <w:tcPr>
            <w:tcW w:w="0" w:type="auto"/>
            <w:vAlign w:val="bottom"/>
            <w:hideMark/>
          </w:tcPr>
          <w:p w14:paraId="751869E4"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E4061DA" w14:textId="77777777">
        <w:trPr>
          <w:divId w:val="1078096368"/>
          <w:trHeight w:val="200"/>
          <w:tblCellSpacing w:w="15" w:type="dxa"/>
        </w:trPr>
        <w:tc>
          <w:tcPr>
            <w:tcW w:w="0" w:type="auto"/>
            <w:vAlign w:val="bottom"/>
            <w:hideMark/>
          </w:tcPr>
          <w:p w14:paraId="440C2513" w14:textId="77777777" w:rsidR="00000000" w:rsidRDefault="00632532">
            <w:pPr>
              <w:pStyle w:val="a3"/>
              <w:spacing w:before="0" w:beforeAutospacing="0" w:after="0" w:afterAutospacing="0"/>
              <w:rPr>
                <w:sz w:val="20"/>
                <w:szCs w:val="20"/>
              </w:rPr>
            </w:pPr>
            <w:r>
              <w:rPr>
                <w:sz w:val="20"/>
                <w:szCs w:val="20"/>
              </w:rPr>
              <w:t>Weighted average remaining lease term - operating lease</w:t>
            </w:r>
            <w:r>
              <w:rPr>
                <w:sz w:val="20"/>
                <w:szCs w:val="20"/>
              </w:rPr>
              <w:t>s</w:t>
            </w:r>
          </w:p>
        </w:tc>
        <w:tc>
          <w:tcPr>
            <w:tcW w:w="0" w:type="auto"/>
            <w:gridSpan w:val="2"/>
            <w:vAlign w:val="bottom"/>
            <w:hideMark/>
          </w:tcPr>
          <w:p w14:paraId="20F72E29" w14:textId="77777777" w:rsidR="00000000" w:rsidRDefault="00632532">
            <w:pPr>
              <w:pStyle w:val="a3"/>
              <w:spacing w:before="0" w:beforeAutospacing="0" w:after="0" w:afterAutospacing="0"/>
              <w:jc w:val="right"/>
              <w:rPr>
                <w:sz w:val="20"/>
                <w:szCs w:val="20"/>
              </w:rPr>
            </w:pPr>
            <w:r>
              <w:rPr>
                <w:sz w:val="20"/>
                <w:szCs w:val="20"/>
              </w:rPr>
              <w:t>3.5</w:t>
            </w:r>
            <w:r>
              <w:rPr>
                <w:sz w:val="20"/>
                <w:szCs w:val="20"/>
              </w:rPr>
              <w:t>4</w:t>
            </w:r>
            <w:r>
              <w:rPr>
                <w:sz w:val="20"/>
                <w:szCs w:val="20"/>
              </w:rPr>
              <w:t> year</w:t>
            </w:r>
            <w:r>
              <w:rPr>
                <w:sz w:val="20"/>
                <w:szCs w:val="20"/>
              </w:rPr>
              <w:t>s</w:t>
            </w:r>
          </w:p>
        </w:tc>
        <w:tc>
          <w:tcPr>
            <w:tcW w:w="0" w:type="auto"/>
            <w:vAlign w:val="bottom"/>
            <w:hideMark/>
          </w:tcPr>
          <w:p w14:paraId="45B28FB8" w14:textId="77777777" w:rsidR="00000000" w:rsidRDefault="00632532">
            <w:pPr>
              <w:pStyle w:val="a3"/>
              <w:spacing w:before="0" w:beforeAutospacing="0" w:after="0" w:afterAutospacing="0"/>
              <w:jc w:val="right"/>
              <w:rPr>
                <w:sz w:val="20"/>
                <w:szCs w:val="20"/>
              </w:rPr>
            </w:pPr>
            <w:r>
              <w:rPr>
                <w:sz w:val="20"/>
                <w:szCs w:val="20"/>
              </w:rPr>
              <w:t> </w:t>
            </w:r>
          </w:p>
        </w:tc>
      </w:tr>
      <w:tr w:rsidR="00000000" w14:paraId="640CF281" w14:textId="77777777">
        <w:trPr>
          <w:divId w:val="1078096368"/>
          <w:trHeight w:val="200"/>
          <w:tblCellSpacing w:w="15" w:type="dxa"/>
        </w:trPr>
        <w:tc>
          <w:tcPr>
            <w:tcW w:w="0" w:type="auto"/>
            <w:vAlign w:val="bottom"/>
            <w:hideMark/>
          </w:tcPr>
          <w:p w14:paraId="36F6EA7F" w14:textId="77777777" w:rsidR="00000000" w:rsidRDefault="00632532">
            <w:pPr>
              <w:pStyle w:val="a3"/>
              <w:spacing w:before="0" w:beforeAutospacing="0" w:after="0" w:afterAutospacing="0"/>
              <w:rPr>
                <w:sz w:val="20"/>
                <w:szCs w:val="20"/>
              </w:rPr>
            </w:pPr>
            <w:r>
              <w:rPr>
                <w:sz w:val="20"/>
                <w:szCs w:val="20"/>
              </w:rPr>
              <w:t>Weighted average discount rate - operating lease</w:t>
            </w:r>
            <w:r>
              <w:rPr>
                <w:sz w:val="20"/>
                <w:szCs w:val="20"/>
              </w:rPr>
              <w:t>s</w:t>
            </w:r>
          </w:p>
        </w:tc>
        <w:tc>
          <w:tcPr>
            <w:tcW w:w="0" w:type="auto"/>
            <w:noWrap/>
            <w:vAlign w:val="bottom"/>
            <w:hideMark/>
          </w:tcPr>
          <w:p w14:paraId="398EDF2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14C7C5" w14:textId="77777777" w:rsidR="00000000" w:rsidRDefault="00632532">
            <w:pPr>
              <w:pStyle w:val="a3"/>
              <w:spacing w:before="0" w:beforeAutospacing="0" w:after="0" w:afterAutospacing="0"/>
              <w:jc w:val="right"/>
              <w:rPr>
                <w:sz w:val="20"/>
                <w:szCs w:val="20"/>
              </w:rPr>
            </w:pPr>
            <w:r>
              <w:rPr>
                <w:sz w:val="20"/>
                <w:szCs w:val="20"/>
              </w:rPr>
              <w:t>3.8</w:t>
            </w:r>
            <w:r>
              <w:rPr>
                <w:sz w:val="20"/>
                <w:szCs w:val="20"/>
              </w:rPr>
              <w:t>1</w:t>
            </w:r>
          </w:p>
        </w:tc>
        <w:tc>
          <w:tcPr>
            <w:tcW w:w="0" w:type="auto"/>
            <w:noWrap/>
            <w:vAlign w:val="bottom"/>
            <w:hideMark/>
          </w:tcPr>
          <w:p w14:paraId="6D40A528" w14:textId="77777777" w:rsidR="00000000" w:rsidRDefault="00632532">
            <w:pPr>
              <w:pStyle w:val="a3"/>
              <w:spacing w:before="0" w:beforeAutospacing="0" w:after="0" w:afterAutospacing="0"/>
              <w:rPr>
                <w:sz w:val="20"/>
                <w:szCs w:val="20"/>
              </w:rPr>
            </w:pPr>
            <w:r>
              <w:rPr>
                <w:sz w:val="20"/>
                <w:szCs w:val="20"/>
              </w:rPr>
              <w:t>%</w:t>
            </w:r>
          </w:p>
        </w:tc>
      </w:tr>
      <w:tr w:rsidR="00000000" w14:paraId="6E17CBD5" w14:textId="77777777">
        <w:trPr>
          <w:divId w:val="1078096368"/>
          <w:trHeight w:val="200"/>
          <w:tblCellSpacing w:w="15" w:type="dxa"/>
        </w:trPr>
        <w:tc>
          <w:tcPr>
            <w:tcW w:w="0" w:type="auto"/>
            <w:vAlign w:val="bottom"/>
            <w:hideMark/>
          </w:tcPr>
          <w:p w14:paraId="5FC02C2F" w14:textId="77777777" w:rsidR="00000000" w:rsidRDefault="00632532">
            <w:pPr>
              <w:pStyle w:val="a3"/>
              <w:spacing w:before="0" w:beforeAutospacing="0" w:after="0" w:afterAutospacing="0"/>
              <w:rPr>
                <w:sz w:val="20"/>
                <w:szCs w:val="20"/>
              </w:rPr>
            </w:pPr>
            <w:r>
              <w:rPr>
                <w:sz w:val="20"/>
                <w:szCs w:val="20"/>
              </w:rPr>
              <w:t>Weighted average remaining lease term -finance leas</w:t>
            </w:r>
            <w:r>
              <w:rPr>
                <w:sz w:val="20"/>
                <w:szCs w:val="20"/>
              </w:rPr>
              <w:t>e</w:t>
            </w:r>
          </w:p>
        </w:tc>
        <w:tc>
          <w:tcPr>
            <w:tcW w:w="0" w:type="auto"/>
            <w:gridSpan w:val="2"/>
            <w:vAlign w:val="bottom"/>
            <w:hideMark/>
          </w:tcPr>
          <w:p w14:paraId="6A6BE16F" w14:textId="77777777" w:rsidR="00000000" w:rsidRDefault="00632532">
            <w:pPr>
              <w:pStyle w:val="a3"/>
              <w:spacing w:before="0" w:beforeAutospacing="0" w:after="0" w:afterAutospacing="0"/>
              <w:jc w:val="right"/>
              <w:rPr>
                <w:sz w:val="20"/>
                <w:szCs w:val="20"/>
              </w:rPr>
            </w:pPr>
            <w:r>
              <w:rPr>
                <w:sz w:val="20"/>
                <w:szCs w:val="20"/>
              </w:rPr>
              <w:t>3.7</w:t>
            </w:r>
            <w:r>
              <w:rPr>
                <w:sz w:val="20"/>
                <w:szCs w:val="20"/>
              </w:rPr>
              <w:t>1</w:t>
            </w:r>
            <w:r>
              <w:rPr>
                <w:sz w:val="20"/>
                <w:szCs w:val="20"/>
              </w:rPr>
              <w:t> year</w:t>
            </w:r>
            <w:r>
              <w:rPr>
                <w:sz w:val="20"/>
                <w:szCs w:val="20"/>
              </w:rPr>
              <w:t>s</w:t>
            </w:r>
          </w:p>
        </w:tc>
        <w:tc>
          <w:tcPr>
            <w:tcW w:w="0" w:type="auto"/>
            <w:vAlign w:val="bottom"/>
            <w:hideMark/>
          </w:tcPr>
          <w:p w14:paraId="47B461C6" w14:textId="77777777" w:rsidR="00000000" w:rsidRDefault="00632532">
            <w:pPr>
              <w:pStyle w:val="a3"/>
              <w:spacing w:before="0" w:beforeAutospacing="0" w:after="0" w:afterAutospacing="0"/>
              <w:jc w:val="right"/>
              <w:rPr>
                <w:sz w:val="20"/>
                <w:szCs w:val="20"/>
              </w:rPr>
            </w:pPr>
            <w:r>
              <w:rPr>
                <w:sz w:val="20"/>
                <w:szCs w:val="20"/>
              </w:rPr>
              <w:t> </w:t>
            </w:r>
          </w:p>
        </w:tc>
      </w:tr>
      <w:tr w:rsidR="00000000" w14:paraId="5EEBE144" w14:textId="77777777">
        <w:trPr>
          <w:divId w:val="1078096368"/>
          <w:trHeight w:val="200"/>
          <w:tblCellSpacing w:w="15" w:type="dxa"/>
        </w:trPr>
        <w:tc>
          <w:tcPr>
            <w:tcW w:w="0" w:type="auto"/>
            <w:vAlign w:val="bottom"/>
            <w:hideMark/>
          </w:tcPr>
          <w:p w14:paraId="21F3A198" w14:textId="77777777" w:rsidR="00000000" w:rsidRDefault="00632532">
            <w:pPr>
              <w:pStyle w:val="a3"/>
              <w:spacing w:before="0" w:beforeAutospacing="0" w:after="0" w:afterAutospacing="0"/>
              <w:rPr>
                <w:sz w:val="20"/>
                <w:szCs w:val="20"/>
              </w:rPr>
            </w:pPr>
            <w:r>
              <w:rPr>
                <w:sz w:val="20"/>
                <w:szCs w:val="20"/>
              </w:rPr>
              <w:t>Weighted average discount rate - finance leas</w:t>
            </w:r>
            <w:r>
              <w:rPr>
                <w:sz w:val="20"/>
                <w:szCs w:val="20"/>
              </w:rPr>
              <w:t>e</w:t>
            </w:r>
          </w:p>
        </w:tc>
        <w:tc>
          <w:tcPr>
            <w:tcW w:w="0" w:type="auto"/>
            <w:noWrap/>
            <w:vAlign w:val="bottom"/>
            <w:hideMark/>
          </w:tcPr>
          <w:p w14:paraId="1A8AF76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41B9DA" w14:textId="77777777" w:rsidR="00000000" w:rsidRDefault="00632532">
            <w:pPr>
              <w:pStyle w:val="a3"/>
              <w:spacing w:before="0" w:beforeAutospacing="0" w:after="0" w:afterAutospacing="0"/>
              <w:jc w:val="right"/>
              <w:rPr>
                <w:sz w:val="20"/>
                <w:szCs w:val="20"/>
              </w:rPr>
            </w:pPr>
            <w:r>
              <w:rPr>
                <w:sz w:val="20"/>
                <w:szCs w:val="20"/>
              </w:rPr>
              <w:t>3.6</w:t>
            </w:r>
            <w:r>
              <w:rPr>
                <w:sz w:val="20"/>
                <w:szCs w:val="20"/>
              </w:rPr>
              <w:t>1</w:t>
            </w:r>
          </w:p>
        </w:tc>
        <w:tc>
          <w:tcPr>
            <w:tcW w:w="0" w:type="auto"/>
            <w:noWrap/>
            <w:vAlign w:val="bottom"/>
            <w:hideMark/>
          </w:tcPr>
          <w:p w14:paraId="5483CA11" w14:textId="77777777" w:rsidR="00000000" w:rsidRDefault="00632532">
            <w:pPr>
              <w:pStyle w:val="a3"/>
              <w:spacing w:before="0" w:beforeAutospacing="0" w:after="0" w:afterAutospacing="0"/>
              <w:rPr>
                <w:sz w:val="20"/>
                <w:szCs w:val="20"/>
              </w:rPr>
            </w:pPr>
            <w:r>
              <w:rPr>
                <w:sz w:val="20"/>
                <w:szCs w:val="20"/>
              </w:rPr>
              <w:t>%</w:t>
            </w:r>
          </w:p>
        </w:tc>
      </w:tr>
    </w:tbl>
    <w:p w14:paraId="1A2DC78B" w14:textId="77777777" w:rsidR="00000000" w:rsidRDefault="00632532">
      <w:pPr>
        <w:pStyle w:val="a3"/>
        <w:spacing w:before="240" w:beforeAutospacing="0" w:after="0" w:afterAutospacing="0"/>
        <w:ind w:firstLine="555"/>
        <w:divId w:val="1392264687"/>
        <w:rPr>
          <w:sz w:val="20"/>
          <w:szCs w:val="20"/>
        </w:rPr>
      </w:pPr>
      <w:r>
        <w:rPr>
          <w:sz w:val="20"/>
          <w:szCs w:val="20"/>
        </w:rPr>
        <w:t>The following is a maturity analysis of operating and finance lease liabilities using undiscounted cash flows on an annual basis with renewal periods included</w:t>
      </w:r>
      <w:r>
        <w:rPr>
          <w:sz w:val="20"/>
          <w:szCs w:val="20"/>
        </w:rPr>
        <w:t>:</w:t>
      </w:r>
    </w:p>
    <w:p w14:paraId="694CF12A" w14:textId="77777777" w:rsidR="00000000" w:rsidRDefault="00632532">
      <w:pPr>
        <w:pStyle w:val="a3"/>
        <w:spacing w:before="0" w:beforeAutospacing="0" w:after="0" w:afterAutospacing="0"/>
        <w:divId w:val="139226468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64"/>
        <w:gridCol w:w="160"/>
        <w:gridCol w:w="1353"/>
        <w:gridCol w:w="127"/>
        <w:gridCol w:w="160"/>
        <w:gridCol w:w="160"/>
        <w:gridCol w:w="1340"/>
        <w:gridCol w:w="142"/>
      </w:tblGrid>
      <w:tr w:rsidR="00000000" w14:paraId="655B13D9" w14:textId="77777777">
        <w:trPr>
          <w:divId w:val="1392264687"/>
          <w:tblCellSpacing w:w="15" w:type="dxa"/>
        </w:trPr>
        <w:tc>
          <w:tcPr>
            <w:tcW w:w="3018" w:type="pct"/>
            <w:vAlign w:val="center"/>
            <w:hideMark/>
          </w:tcPr>
          <w:p w14:paraId="47CCD803" w14:textId="77777777" w:rsidR="00000000" w:rsidRDefault="00632532">
            <w:pPr>
              <w:rPr>
                <w:sz w:val="20"/>
                <w:szCs w:val="20"/>
              </w:rPr>
            </w:pPr>
          </w:p>
        </w:tc>
        <w:tc>
          <w:tcPr>
            <w:tcW w:w="50" w:type="pct"/>
            <w:vAlign w:val="center"/>
            <w:hideMark/>
          </w:tcPr>
          <w:p w14:paraId="1887B951" w14:textId="77777777" w:rsidR="00000000" w:rsidRDefault="00632532">
            <w:pPr>
              <w:rPr>
                <w:rFonts w:eastAsia="Times New Roman"/>
                <w:sz w:val="20"/>
                <w:szCs w:val="20"/>
              </w:rPr>
            </w:pPr>
          </w:p>
        </w:tc>
        <w:tc>
          <w:tcPr>
            <w:tcW w:w="844" w:type="pct"/>
            <w:vAlign w:val="center"/>
            <w:hideMark/>
          </w:tcPr>
          <w:p w14:paraId="29DD242E" w14:textId="77777777" w:rsidR="00000000" w:rsidRDefault="00632532">
            <w:pPr>
              <w:rPr>
                <w:rFonts w:eastAsia="Times New Roman"/>
                <w:sz w:val="20"/>
                <w:szCs w:val="20"/>
              </w:rPr>
            </w:pPr>
          </w:p>
        </w:tc>
        <w:tc>
          <w:tcPr>
            <w:tcW w:w="50" w:type="pct"/>
            <w:vAlign w:val="center"/>
            <w:hideMark/>
          </w:tcPr>
          <w:p w14:paraId="23C1C4B1" w14:textId="77777777" w:rsidR="00000000" w:rsidRDefault="00632532">
            <w:pPr>
              <w:rPr>
                <w:rFonts w:eastAsia="Times New Roman"/>
                <w:sz w:val="20"/>
                <w:szCs w:val="20"/>
              </w:rPr>
            </w:pPr>
          </w:p>
        </w:tc>
        <w:tc>
          <w:tcPr>
            <w:tcW w:w="101" w:type="pct"/>
            <w:vAlign w:val="center"/>
            <w:hideMark/>
          </w:tcPr>
          <w:p w14:paraId="5BA374D2" w14:textId="77777777" w:rsidR="00000000" w:rsidRDefault="00632532">
            <w:pPr>
              <w:rPr>
                <w:rFonts w:eastAsia="Times New Roman"/>
                <w:sz w:val="20"/>
                <w:szCs w:val="20"/>
              </w:rPr>
            </w:pPr>
          </w:p>
        </w:tc>
        <w:tc>
          <w:tcPr>
            <w:tcW w:w="50" w:type="pct"/>
            <w:vAlign w:val="center"/>
            <w:hideMark/>
          </w:tcPr>
          <w:p w14:paraId="28C570CF" w14:textId="77777777" w:rsidR="00000000" w:rsidRDefault="00632532">
            <w:pPr>
              <w:rPr>
                <w:rFonts w:eastAsia="Times New Roman"/>
                <w:sz w:val="20"/>
                <w:szCs w:val="20"/>
              </w:rPr>
            </w:pPr>
          </w:p>
        </w:tc>
        <w:tc>
          <w:tcPr>
            <w:tcW w:w="835" w:type="pct"/>
            <w:vAlign w:val="center"/>
            <w:hideMark/>
          </w:tcPr>
          <w:p w14:paraId="39858AD8" w14:textId="77777777" w:rsidR="00000000" w:rsidRDefault="00632532">
            <w:pPr>
              <w:rPr>
                <w:rFonts w:eastAsia="Times New Roman"/>
                <w:sz w:val="20"/>
                <w:szCs w:val="20"/>
              </w:rPr>
            </w:pPr>
          </w:p>
        </w:tc>
        <w:tc>
          <w:tcPr>
            <w:tcW w:w="50" w:type="pct"/>
            <w:vAlign w:val="center"/>
            <w:hideMark/>
          </w:tcPr>
          <w:p w14:paraId="532C4B8C" w14:textId="77777777" w:rsidR="00000000" w:rsidRDefault="00632532">
            <w:pPr>
              <w:rPr>
                <w:rFonts w:eastAsia="Times New Roman"/>
                <w:sz w:val="20"/>
                <w:szCs w:val="20"/>
              </w:rPr>
            </w:pPr>
          </w:p>
        </w:tc>
      </w:tr>
      <w:tr w:rsidR="00000000" w14:paraId="66BD394D" w14:textId="77777777">
        <w:trPr>
          <w:divId w:val="1392264687"/>
          <w:trHeight w:val="160"/>
          <w:tblCellSpacing w:w="15" w:type="dxa"/>
        </w:trPr>
        <w:tc>
          <w:tcPr>
            <w:tcW w:w="0" w:type="auto"/>
            <w:vAlign w:val="bottom"/>
            <w:hideMark/>
          </w:tcPr>
          <w:p w14:paraId="72154B70"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35FBFF33" w14:textId="77777777" w:rsidR="00000000" w:rsidRDefault="00632532">
            <w:pPr>
              <w:pStyle w:val="a3"/>
              <w:spacing w:before="0" w:beforeAutospacing="0" w:after="0" w:afterAutospacing="0"/>
              <w:jc w:val="center"/>
              <w:rPr>
                <w:sz w:val="16"/>
                <w:szCs w:val="16"/>
              </w:rPr>
            </w:pPr>
            <w:r>
              <w:rPr>
                <w:b/>
                <w:bCs/>
                <w:sz w:val="16"/>
                <w:szCs w:val="16"/>
              </w:rPr>
              <w:t>Operating Lease</w:t>
            </w:r>
            <w:r>
              <w:rPr>
                <w:b/>
                <w:bCs/>
                <w:sz w:val="16"/>
                <w:szCs w:val="16"/>
              </w:rPr>
              <w:t>s</w:t>
            </w:r>
          </w:p>
        </w:tc>
        <w:tc>
          <w:tcPr>
            <w:tcW w:w="0" w:type="auto"/>
            <w:vAlign w:val="bottom"/>
            <w:hideMark/>
          </w:tcPr>
          <w:p w14:paraId="1F7A169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9C0F772"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AE1956C" w14:textId="77777777" w:rsidR="00000000" w:rsidRDefault="00632532">
            <w:pPr>
              <w:pStyle w:val="a3"/>
              <w:spacing w:before="0" w:beforeAutospacing="0" w:after="0" w:afterAutospacing="0"/>
              <w:jc w:val="center"/>
              <w:rPr>
                <w:sz w:val="16"/>
                <w:szCs w:val="16"/>
              </w:rPr>
            </w:pPr>
            <w:r>
              <w:rPr>
                <w:b/>
                <w:bCs/>
                <w:sz w:val="16"/>
                <w:szCs w:val="16"/>
              </w:rPr>
              <w:t>Finance Leas</w:t>
            </w:r>
            <w:r>
              <w:rPr>
                <w:b/>
                <w:bCs/>
                <w:sz w:val="16"/>
                <w:szCs w:val="16"/>
              </w:rPr>
              <w:t>e</w:t>
            </w:r>
          </w:p>
        </w:tc>
        <w:tc>
          <w:tcPr>
            <w:tcW w:w="0" w:type="auto"/>
            <w:vAlign w:val="bottom"/>
            <w:hideMark/>
          </w:tcPr>
          <w:p w14:paraId="6B2E353C"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10BA1DEF" w14:textId="77777777">
        <w:trPr>
          <w:divId w:val="1392264687"/>
          <w:trHeight w:val="160"/>
          <w:tblCellSpacing w:w="15" w:type="dxa"/>
        </w:trPr>
        <w:tc>
          <w:tcPr>
            <w:tcW w:w="0" w:type="auto"/>
            <w:vAlign w:val="bottom"/>
            <w:hideMark/>
          </w:tcPr>
          <w:p w14:paraId="044C3E94" w14:textId="77777777" w:rsidR="00000000" w:rsidRDefault="00632532">
            <w:pPr>
              <w:pStyle w:val="a3"/>
              <w:spacing w:before="0" w:beforeAutospacing="0" w:after="0" w:afterAutospacing="0"/>
              <w:rPr>
                <w:sz w:val="20"/>
                <w:szCs w:val="20"/>
              </w:rPr>
            </w:pPr>
            <w:r>
              <w:rPr>
                <w:sz w:val="20"/>
                <w:szCs w:val="20"/>
              </w:rPr>
              <w:t> </w:t>
            </w:r>
          </w:p>
        </w:tc>
        <w:tc>
          <w:tcPr>
            <w:tcW w:w="0" w:type="auto"/>
            <w:gridSpan w:val="6"/>
            <w:vAlign w:val="bottom"/>
            <w:hideMark/>
          </w:tcPr>
          <w:p w14:paraId="7C09740D"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11B61115"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F0DD02B" w14:textId="77777777">
        <w:trPr>
          <w:divId w:val="1392264687"/>
          <w:trHeight w:val="200"/>
          <w:tblCellSpacing w:w="15" w:type="dxa"/>
        </w:trPr>
        <w:tc>
          <w:tcPr>
            <w:tcW w:w="0" w:type="auto"/>
            <w:vAlign w:val="bottom"/>
            <w:hideMark/>
          </w:tcPr>
          <w:p w14:paraId="4F1B225B" w14:textId="77777777" w:rsidR="00000000" w:rsidRDefault="00632532">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vAlign w:val="bottom"/>
            <w:hideMark/>
          </w:tcPr>
          <w:p w14:paraId="5F01D04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3A1129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53AF15"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6708C3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C14201" w14:textId="77777777" w:rsidR="00000000" w:rsidRDefault="00632532">
            <w:pPr>
              <w:pStyle w:val="a3"/>
              <w:spacing w:before="0" w:beforeAutospacing="0" w:after="0" w:afterAutospacing="0"/>
              <w:rPr>
                <w:sz w:val="20"/>
                <w:szCs w:val="20"/>
              </w:rPr>
            </w:pPr>
            <w:r>
              <w:rPr>
                <w:sz w:val="20"/>
                <w:szCs w:val="20"/>
              </w:rPr>
              <w:t> </w:t>
            </w:r>
          </w:p>
        </w:tc>
      </w:tr>
      <w:tr w:rsidR="00000000" w14:paraId="3B9F484D" w14:textId="77777777">
        <w:trPr>
          <w:divId w:val="1392264687"/>
          <w:trHeight w:val="200"/>
          <w:tblCellSpacing w:w="15" w:type="dxa"/>
        </w:trPr>
        <w:tc>
          <w:tcPr>
            <w:tcW w:w="0" w:type="auto"/>
            <w:vAlign w:val="bottom"/>
            <w:hideMark/>
          </w:tcPr>
          <w:p w14:paraId="0FF7D71E" w14:textId="77777777" w:rsidR="00000000" w:rsidRDefault="00632532">
            <w:pPr>
              <w:pStyle w:val="a3"/>
              <w:spacing w:before="0" w:beforeAutospacing="0" w:after="0" w:afterAutospacing="0"/>
              <w:rPr>
                <w:sz w:val="20"/>
                <w:szCs w:val="20"/>
              </w:rPr>
            </w:pPr>
            <w:r>
              <w:rPr>
                <w:sz w:val="20"/>
                <w:szCs w:val="20"/>
              </w:rPr>
              <w:t>2022 (remaining 6 months</w:t>
            </w:r>
            <w:r>
              <w:rPr>
                <w:sz w:val="20"/>
                <w:szCs w:val="20"/>
              </w:rPr>
              <w:t>)</w:t>
            </w:r>
          </w:p>
        </w:tc>
        <w:tc>
          <w:tcPr>
            <w:tcW w:w="0" w:type="auto"/>
            <w:noWrap/>
            <w:vAlign w:val="bottom"/>
            <w:hideMark/>
          </w:tcPr>
          <w:p w14:paraId="3204570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B8BFCDD" w14:textId="77777777" w:rsidR="00000000" w:rsidRDefault="00632532">
            <w:pPr>
              <w:pStyle w:val="a3"/>
              <w:spacing w:before="0" w:beforeAutospacing="0" w:after="0" w:afterAutospacing="0"/>
              <w:jc w:val="right"/>
              <w:rPr>
                <w:sz w:val="20"/>
                <w:szCs w:val="20"/>
              </w:rPr>
            </w:pPr>
            <w:r>
              <w:rPr>
                <w:sz w:val="20"/>
                <w:szCs w:val="20"/>
              </w:rPr>
              <w:t>3,45</w:t>
            </w:r>
            <w:r>
              <w:rPr>
                <w:sz w:val="20"/>
                <w:szCs w:val="20"/>
              </w:rPr>
              <w:t>1</w:t>
            </w:r>
          </w:p>
        </w:tc>
        <w:tc>
          <w:tcPr>
            <w:tcW w:w="0" w:type="auto"/>
            <w:noWrap/>
            <w:vAlign w:val="bottom"/>
            <w:hideMark/>
          </w:tcPr>
          <w:p w14:paraId="7470892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C4A28C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40B607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3818177" w14:textId="77777777" w:rsidR="00000000" w:rsidRDefault="00632532">
            <w:pPr>
              <w:pStyle w:val="a3"/>
              <w:spacing w:before="0" w:beforeAutospacing="0" w:after="0" w:afterAutospacing="0"/>
              <w:jc w:val="right"/>
              <w:rPr>
                <w:sz w:val="20"/>
                <w:szCs w:val="20"/>
              </w:rPr>
            </w:pPr>
            <w:r>
              <w:rPr>
                <w:sz w:val="20"/>
                <w:szCs w:val="20"/>
              </w:rPr>
              <w:t>41</w:t>
            </w:r>
            <w:r>
              <w:rPr>
                <w:sz w:val="20"/>
                <w:szCs w:val="20"/>
              </w:rPr>
              <w:t>2</w:t>
            </w:r>
          </w:p>
        </w:tc>
        <w:tc>
          <w:tcPr>
            <w:tcW w:w="0" w:type="auto"/>
            <w:noWrap/>
            <w:vAlign w:val="bottom"/>
            <w:hideMark/>
          </w:tcPr>
          <w:p w14:paraId="3A5074D8" w14:textId="77777777" w:rsidR="00000000" w:rsidRDefault="00632532">
            <w:pPr>
              <w:pStyle w:val="a3"/>
              <w:spacing w:before="0" w:beforeAutospacing="0" w:after="0" w:afterAutospacing="0"/>
              <w:rPr>
                <w:sz w:val="20"/>
                <w:szCs w:val="20"/>
              </w:rPr>
            </w:pPr>
            <w:r>
              <w:rPr>
                <w:sz w:val="20"/>
                <w:szCs w:val="20"/>
              </w:rPr>
              <w:t> </w:t>
            </w:r>
          </w:p>
        </w:tc>
      </w:tr>
      <w:tr w:rsidR="00000000" w14:paraId="4D240C51" w14:textId="77777777">
        <w:trPr>
          <w:divId w:val="1392264687"/>
          <w:trHeight w:val="200"/>
          <w:tblCellSpacing w:w="15" w:type="dxa"/>
        </w:trPr>
        <w:tc>
          <w:tcPr>
            <w:tcW w:w="0" w:type="auto"/>
            <w:vAlign w:val="bottom"/>
            <w:hideMark/>
          </w:tcPr>
          <w:p w14:paraId="68A596E6" w14:textId="77777777" w:rsidR="00000000" w:rsidRDefault="00632532">
            <w:pPr>
              <w:pStyle w:val="a3"/>
              <w:spacing w:before="0" w:beforeAutospacing="0" w:after="0" w:afterAutospacing="0"/>
              <w:rPr>
                <w:sz w:val="20"/>
                <w:szCs w:val="20"/>
              </w:rPr>
            </w:pPr>
            <w:r>
              <w:rPr>
                <w:sz w:val="20"/>
                <w:szCs w:val="20"/>
              </w:rPr>
              <w:t>202</w:t>
            </w:r>
            <w:r>
              <w:rPr>
                <w:sz w:val="20"/>
                <w:szCs w:val="20"/>
              </w:rPr>
              <w:t>3</w:t>
            </w:r>
          </w:p>
        </w:tc>
        <w:tc>
          <w:tcPr>
            <w:tcW w:w="0" w:type="auto"/>
            <w:noWrap/>
            <w:vAlign w:val="bottom"/>
            <w:hideMark/>
          </w:tcPr>
          <w:p w14:paraId="339AE91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ED1B01" w14:textId="77777777" w:rsidR="00000000" w:rsidRDefault="00632532">
            <w:pPr>
              <w:pStyle w:val="a3"/>
              <w:spacing w:before="0" w:beforeAutospacing="0" w:after="0" w:afterAutospacing="0"/>
              <w:jc w:val="right"/>
              <w:rPr>
                <w:sz w:val="20"/>
                <w:szCs w:val="20"/>
              </w:rPr>
            </w:pPr>
            <w:r>
              <w:rPr>
                <w:sz w:val="20"/>
                <w:szCs w:val="20"/>
              </w:rPr>
              <w:t>6,61</w:t>
            </w:r>
            <w:r>
              <w:rPr>
                <w:sz w:val="20"/>
                <w:szCs w:val="20"/>
              </w:rPr>
              <w:t>3</w:t>
            </w:r>
          </w:p>
        </w:tc>
        <w:tc>
          <w:tcPr>
            <w:tcW w:w="0" w:type="auto"/>
            <w:noWrap/>
            <w:vAlign w:val="bottom"/>
            <w:hideMark/>
          </w:tcPr>
          <w:p w14:paraId="1B31D4A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B8A61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3C9D2B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0A5C66A" w14:textId="77777777" w:rsidR="00000000" w:rsidRDefault="00632532">
            <w:pPr>
              <w:pStyle w:val="a3"/>
              <w:spacing w:before="0" w:beforeAutospacing="0" w:after="0" w:afterAutospacing="0"/>
              <w:jc w:val="right"/>
              <w:rPr>
                <w:sz w:val="20"/>
                <w:szCs w:val="20"/>
              </w:rPr>
            </w:pPr>
            <w:r>
              <w:rPr>
                <w:sz w:val="20"/>
                <w:szCs w:val="20"/>
              </w:rPr>
              <w:t>82</w:t>
            </w:r>
            <w:r>
              <w:rPr>
                <w:sz w:val="20"/>
                <w:szCs w:val="20"/>
              </w:rPr>
              <w:t>5</w:t>
            </w:r>
          </w:p>
        </w:tc>
        <w:tc>
          <w:tcPr>
            <w:tcW w:w="0" w:type="auto"/>
            <w:noWrap/>
            <w:vAlign w:val="bottom"/>
            <w:hideMark/>
          </w:tcPr>
          <w:p w14:paraId="22B9CE17" w14:textId="77777777" w:rsidR="00000000" w:rsidRDefault="00632532">
            <w:pPr>
              <w:pStyle w:val="a3"/>
              <w:spacing w:before="0" w:beforeAutospacing="0" w:after="0" w:afterAutospacing="0"/>
              <w:rPr>
                <w:sz w:val="20"/>
                <w:szCs w:val="20"/>
              </w:rPr>
            </w:pPr>
            <w:r>
              <w:rPr>
                <w:sz w:val="20"/>
                <w:szCs w:val="20"/>
              </w:rPr>
              <w:t> </w:t>
            </w:r>
          </w:p>
        </w:tc>
      </w:tr>
      <w:tr w:rsidR="00000000" w14:paraId="21163C6D" w14:textId="77777777">
        <w:trPr>
          <w:divId w:val="1392264687"/>
          <w:trHeight w:val="200"/>
          <w:tblCellSpacing w:w="15" w:type="dxa"/>
        </w:trPr>
        <w:tc>
          <w:tcPr>
            <w:tcW w:w="0" w:type="auto"/>
            <w:vAlign w:val="bottom"/>
            <w:hideMark/>
          </w:tcPr>
          <w:p w14:paraId="7AF94F99" w14:textId="77777777" w:rsidR="00000000" w:rsidRDefault="00632532">
            <w:pPr>
              <w:pStyle w:val="a3"/>
              <w:spacing w:before="0" w:beforeAutospacing="0" w:after="0" w:afterAutospacing="0"/>
              <w:rPr>
                <w:sz w:val="20"/>
                <w:szCs w:val="20"/>
              </w:rPr>
            </w:pPr>
            <w:r>
              <w:rPr>
                <w:sz w:val="20"/>
                <w:szCs w:val="20"/>
              </w:rPr>
              <w:t>202</w:t>
            </w:r>
            <w:r>
              <w:rPr>
                <w:sz w:val="20"/>
                <w:szCs w:val="20"/>
              </w:rPr>
              <w:t>4</w:t>
            </w:r>
          </w:p>
        </w:tc>
        <w:tc>
          <w:tcPr>
            <w:tcW w:w="0" w:type="auto"/>
            <w:noWrap/>
            <w:vAlign w:val="bottom"/>
            <w:hideMark/>
          </w:tcPr>
          <w:p w14:paraId="496F880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6C37B71" w14:textId="77777777" w:rsidR="00000000" w:rsidRDefault="00632532">
            <w:pPr>
              <w:pStyle w:val="a3"/>
              <w:spacing w:before="0" w:beforeAutospacing="0" w:after="0" w:afterAutospacing="0"/>
              <w:jc w:val="right"/>
              <w:rPr>
                <w:sz w:val="20"/>
                <w:szCs w:val="20"/>
              </w:rPr>
            </w:pPr>
            <w:r>
              <w:rPr>
                <w:sz w:val="20"/>
                <w:szCs w:val="20"/>
              </w:rPr>
              <w:t>4,09</w:t>
            </w:r>
            <w:r>
              <w:rPr>
                <w:sz w:val="20"/>
                <w:szCs w:val="20"/>
              </w:rPr>
              <w:t>3</w:t>
            </w:r>
          </w:p>
        </w:tc>
        <w:tc>
          <w:tcPr>
            <w:tcW w:w="0" w:type="auto"/>
            <w:noWrap/>
            <w:vAlign w:val="bottom"/>
            <w:hideMark/>
          </w:tcPr>
          <w:p w14:paraId="24638FA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8A6E8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BBE223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340354" w14:textId="77777777" w:rsidR="00000000" w:rsidRDefault="00632532">
            <w:pPr>
              <w:pStyle w:val="a3"/>
              <w:spacing w:before="0" w:beforeAutospacing="0" w:after="0" w:afterAutospacing="0"/>
              <w:jc w:val="right"/>
              <w:rPr>
                <w:sz w:val="20"/>
                <w:szCs w:val="20"/>
              </w:rPr>
            </w:pPr>
            <w:r>
              <w:rPr>
                <w:sz w:val="20"/>
                <w:szCs w:val="20"/>
              </w:rPr>
              <w:t>81</w:t>
            </w:r>
            <w:r>
              <w:rPr>
                <w:sz w:val="20"/>
                <w:szCs w:val="20"/>
              </w:rPr>
              <w:t>8</w:t>
            </w:r>
          </w:p>
        </w:tc>
        <w:tc>
          <w:tcPr>
            <w:tcW w:w="0" w:type="auto"/>
            <w:noWrap/>
            <w:vAlign w:val="bottom"/>
            <w:hideMark/>
          </w:tcPr>
          <w:p w14:paraId="5E709BCF" w14:textId="77777777" w:rsidR="00000000" w:rsidRDefault="00632532">
            <w:pPr>
              <w:pStyle w:val="a3"/>
              <w:spacing w:before="0" w:beforeAutospacing="0" w:after="0" w:afterAutospacing="0"/>
              <w:rPr>
                <w:sz w:val="20"/>
                <w:szCs w:val="20"/>
              </w:rPr>
            </w:pPr>
            <w:r>
              <w:rPr>
                <w:sz w:val="20"/>
                <w:szCs w:val="20"/>
              </w:rPr>
              <w:t> </w:t>
            </w:r>
          </w:p>
        </w:tc>
      </w:tr>
      <w:tr w:rsidR="00000000" w14:paraId="658B1DE5" w14:textId="77777777">
        <w:trPr>
          <w:divId w:val="1392264687"/>
          <w:trHeight w:val="200"/>
          <w:tblCellSpacing w:w="15" w:type="dxa"/>
        </w:trPr>
        <w:tc>
          <w:tcPr>
            <w:tcW w:w="0" w:type="auto"/>
            <w:vAlign w:val="bottom"/>
            <w:hideMark/>
          </w:tcPr>
          <w:p w14:paraId="6D18EE79" w14:textId="77777777" w:rsidR="00000000" w:rsidRDefault="00632532">
            <w:pPr>
              <w:pStyle w:val="a3"/>
              <w:spacing w:before="0" w:beforeAutospacing="0" w:after="0" w:afterAutospacing="0"/>
              <w:rPr>
                <w:sz w:val="20"/>
                <w:szCs w:val="20"/>
              </w:rPr>
            </w:pPr>
            <w:r>
              <w:rPr>
                <w:sz w:val="20"/>
                <w:szCs w:val="20"/>
              </w:rPr>
              <w:t>202</w:t>
            </w:r>
            <w:r>
              <w:rPr>
                <w:sz w:val="20"/>
                <w:szCs w:val="20"/>
              </w:rPr>
              <w:t>5</w:t>
            </w:r>
          </w:p>
        </w:tc>
        <w:tc>
          <w:tcPr>
            <w:tcW w:w="0" w:type="auto"/>
            <w:noWrap/>
            <w:vAlign w:val="bottom"/>
            <w:hideMark/>
          </w:tcPr>
          <w:p w14:paraId="70817FB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0E18CD" w14:textId="77777777" w:rsidR="00000000" w:rsidRDefault="00632532">
            <w:pPr>
              <w:pStyle w:val="a3"/>
              <w:spacing w:before="0" w:beforeAutospacing="0" w:after="0" w:afterAutospacing="0"/>
              <w:jc w:val="right"/>
              <w:rPr>
                <w:sz w:val="20"/>
                <w:szCs w:val="20"/>
              </w:rPr>
            </w:pPr>
            <w:r>
              <w:rPr>
                <w:sz w:val="20"/>
                <w:szCs w:val="20"/>
              </w:rPr>
              <w:t>2,12</w:t>
            </w:r>
            <w:r>
              <w:rPr>
                <w:sz w:val="20"/>
                <w:szCs w:val="20"/>
              </w:rPr>
              <w:t>4</w:t>
            </w:r>
          </w:p>
        </w:tc>
        <w:tc>
          <w:tcPr>
            <w:tcW w:w="0" w:type="auto"/>
            <w:noWrap/>
            <w:vAlign w:val="bottom"/>
            <w:hideMark/>
          </w:tcPr>
          <w:p w14:paraId="3EDA51A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7B640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0BA7EF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DA5E308" w14:textId="77777777" w:rsidR="00000000" w:rsidRDefault="00632532">
            <w:pPr>
              <w:pStyle w:val="a3"/>
              <w:spacing w:before="0" w:beforeAutospacing="0" w:after="0" w:afterAutospacing="0"/>
              <w:jc w:val="right"/>
              <w:rPr>
                <w:sz w:val="20"/>
                <w:szCs w:val="20"/>
              </w:rPr>
            </w:pPr>
            <w:r>
              <w:rPr>
                <w:sz w:val="20"/>
                <w:szCs w:val="20"/>
              </w:rPr>
              <w:t>44</w:t>
            </w:r>
            <w:r>
              <w:rPr>
                <w:sz w:val="20"/>
                <w:szCs w:val="20"/>
              </w:rPr>
              <w:t>0</w:t>
            </w:r>
          </w:p>
        </w:tc>
        <w:tc>
          <w:tcPr>
            <w:tcW w:w="0" w:type="auto"/>
            <w:noWrap/>
            <w:vAlign w:val="bottom"/>
            <w:hideMark/>
          </w:tcPr>
          <w:p w14:paraId="40039C2C" w14:textId="77777777" w:rsidR="00000000" w:rsidRDefault="00632532">
            <w:pPr>
              <w:pStyle w:val="a3"/>
              <w:spacing w:before="0" w:beforeAutospacing="0" w:after="0" w:afterAutospacing="0"/>
              <w:rPr>
                <w:sz w:val="20"/>
                <w:szCs w:val="20"/>
              </w:rPr>
            </w:pPr>
            <w:r>
              <w:rPr>
                <w:sz w:val="20"/>
                <w:szCs w:val="20"/>
              </w:rPr>
              <w:t> </w:t>
            </w:r>
          </w:p>
        </w:tc>
      </w:tr>
      <w:tr w:rsidR="00000000" w14:paraId="253A4962" w14:textId="77777777">
        <w:trPr>
          <w:divId w:val="1392264687"/>
          <w:trHeight w:val="200"/>
          <w:tblCellSpacing w:w="15" w:type="dxa"/>
        </w:trPr>
        <w:tc>
          <w:tcPr>
            <w:tcW w:w="0" w:type="auto"/>
            <w:vAlign w:val="bottom"/>
            <w:hideMark/>
          </w:tcPr>
          <w:p w14:paraId="2506D932" w14:textId="77777777" w:rsidR="00000000" w:rsidRDefault="00632532">
            <w:pPr>
              <w:pStyle w:val="a3"/>
              <w:spacing w:before="0" w:beforeAutospacing="0" w:after="0" w:afterAutospacing="0"/>
              <w:rPr>
                <w:sz w:val="20"/>
                <w:szCs w:val="20"/>
              </w:rPr>
            </w:pPr>
            <w:r>
              <w:rPr>
                <w:sz w:val="20"/>
                <w:szCs w:val="20"/>
              </w:rPr>
              <w:t>202</w:t>
            </w:r>
            <w:r>
              <w:rPr>
                <w:sz w:val="20"/>
                <w:szCs w:val="20"/>
              </w:rPr>
              <w:t>6</w:t>
            </w:r>
          </w:p>
        </w:tc>
        <w:tc>
          <w:tcPr>
            <w:tcW w:w="0" w:type="auto"/>
            <w:noWrap/>
            <w:vAlign w:val="bottom"/>
            <w:hideMark/>
          </w:tcPr>
          <w:p w14:paraId="12C7286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D66F8EC" w14:textId="77777777" w:rsidR="00000000" w:rsidRDefault="00632532">
            <w:pPr>
              <w:pStyle w:val="a3"/>
              <w:spacing w:before="0" w:beforeAutospacing="0" w:after="0" w:afterAutospacing="0"/>
              <w:jc w:val="right"/>
              <w:rPr>
                <w:sz w:val="20"/>
                <w:szCs w:val="20"/>
              </w:rPr>
            </w:pPr>
            <w:r>
              <w:rPr>
                <w:sz w:val="20"/>
                <w:szCs w:val="20"/>
              </w:rPr>
              <w:t>1,52</w:t>
            </w:r>
            <w:r>
              <w:rPr>
                <w:sz w:val="20"/>
                <w:szCs w:val="20"/>
              </w:rPr>
              <w:t>3</w:t>
            </w:r>
          </w:p>
        </w:tc>
        <w:tc>
          <w:tcPr>
            <w:tcW w:w="0" w:type="auto"/>
            <w:noWrap/>
            <w:vAlign w:val="bottom"/>
            <w:hideMark/>
          </w:tcPr>
          <w:p w14:paraId="7268645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9DDC84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C58221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C204983" w14:textId="77777777" w:rsidR="00000000" w:rsidRDefault="00632532">
            <w:pPr>
              <w:pStyle w:val="a3"/>
              <w:spacing w:before="0" w:beforeAutospacing="0" w:after="0" w:afterAutospacing="0"/>
              <w:jc w:val="right"/>
              <w:rPr>
                <w:sz w:val="20"/>
                <w:szCs w:val="20"/>
              </w:rPr>
            </w:pPr>
            <w:r>
              <w:rPr>
                <w:sz w:val="20"/>
                <w:szCs w:val="20"/>
              </w:rPr>
              <w:t>36</w:t>
            </w:r>
            <w:r>
              <w:rPr>
                <w:sz w:val="20"/>
                <w:szCs w:val="20"/>
              </w:rPr>
              <w:t>6</w:t>
            </w:r>
          </w:p>
        </w:tc>
        <w:tc>
          <w:tcPr>
            <w:tcW w:w="0" w:type="auto"/>
            <w:noWrap/>
            <w:vAlign w:val="bottom"/>
            <w:hideMark/>
          </w:tcPr>
          <w:p w14:paraId="1DB0DDD0" w14:textId="77777777" w:rsidR="00000000" w:rsidRDefault="00632532">
            <w:pPr>
              <w:pStyle w:val="a3"/>
              <w:spacing w:before="0" w:beforeAutospacing="0" w:after="0" w:afterAutospacing="0"/>
              <w:rPr>
                <w:sz w:val="20"/>
                <w:szCs w:val="20"/>
              </w:rPr>
            </w:pPr>
            <w:r>
              <w:rPr>
                <w:sz w:val="20"/>
                <w:szCs w:val="20"/>
              </w:rPr>
              <w:t> </w:t>
            </w:r>
          </w:p>
        </w:tc>
      </w:tr>
      <w:tr w:rsidR="00000000" w14:paraId="324A411E" w14:textId="77777777">
        <w:trPr>
          <w:divId w:val="1392264687"/>
          <w:trHeight w:val="200"/>
          <w:tblCellSpacing w:w="15" w:type="dxa"/>
        </w:trPr>
        <w:tc>
          <w:tcPr>
            <w:tcW w:w="0" w:type="auto"/>
            <w:vAlign w:val="bottom"/>
            <w:hideMark/>
          </w:tcPr>
          <w:p w14:paraId="481DFFC1" w14:textId="77777777" w:rsidR="00000000" w:rsidRDefault="00632532">
            <w:pPr>
              <w:pStyle w:val="a3"/>
              <w:spacing w:before="0" w:beforeAutospacing="0" w:after="0" w:afterAutospacing="0"/>
              <w:rPr>
                <w:sz w:val="20"/>
                <w:szCs w:val="20"/>
              </w:rPr>
            </w:pPr>
            <w:r>
              <w:rPr>
                <w:sz w:val="20"/>
                <w:szCs w:val="20"/>
              </w:rPr>
              <w:t>202</w:t>
            </w:r>
            <w:r>
              <w:rPr>
                <w:sz w:val="20"/>
                <w:szCs w:val="20"/>
              </w:rPr>
              <w:t>7</w:t>
            </w:r>
          </w:p>
        </w:tc>
        <w:tc>
          <w:tcPr>
            <w:tcW w:w="0" w:type="auto"/>
            <w:noWrap/>
            <w:vAlign w:val="bottom"/>
            <w:hideMark/>
          </w:tcPr>
          <w:p w14:paraId="41E9701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7D3E07" w14:textId="77777777" w:rsidR="00000000" w:rsidRDefault="00632532">
            <w:pPr>
              <w:pStyle w:val="a3"/>
              <w:spacing w:before="0" w:beforeAutospacing="0" w:after="0" w:afterAutospacing="0"/>
              <w:jc w:val="right"/>
              <w:rPr>
                <w:sz w:val="20"/>
                <w:szCs w:val="20"/>
              </w:rPr>
            </w:pPr>
            <w:r>
              <w:rPr>
                <w:sz w:val="20"/>
                <w:szCs w:val="20"/>
              </w:rPr>
              <w:t>1,36</w:t>
            </w:r>
            <w:r>
              <w:rPr>
                <w:sz w:val="20"/>
                <w:szCs w:val="20"/>
              </w:rPr>
              <w:t>0</w:t>
            </w:r>
          </w:p>
        </w:tc>
        <w:tc>
          <w:tcPr>
            <w:tcW w:w="0" w:type="auto"/>
            <w:noWrap/>
            <w:vAlign w:val="bottom"/>
            <w:hideMark/>
          </w:tcPr>
          <w:p w14:paraId="66C1641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28ABA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74D15F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3502301"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645BD6BF" w14:textId="77777777" w:rsidR="00000000" w:rsidRDefault="00632532">
            <w:pPr>
              <w:pStyle w:val="a3"/>
              <w:spacing w:before="0" w:beforeAutospacing="0" w:after="0" w:afterAutospacing="0"/>
              <w:rPr>
                <w:sz w:val="20"/>
                <w:szCs w:val="20"/>
              </w:rPr>
            </w:pPr>
            <w:r>
              <w:rPr>
                <w:sz w:val="20"/>
                <w:szCs w:val="20"/>
              </w:rPr>
              <w:t> </w:t>
            </w:r>
          </w:p>
        </w:tc>
      </w:tr>
      <w:tr w:rsidR="00000000" w14:paraId="7F792AD2" w14:textId="77777777">
        <w:trPr>
          <w:divId w:val="1392264687"/>
          <w:trHeight w:val="200"/>
          <w:tblCellSpacing w:w="15" w:type="dxa"/>
        </w:trPr>
        <w:tc>
          <w:tcPr>
            <w:tcW w:w="0" w:type="auto"/>
            <w:vAlign w:val="bottom"/>
            <w:hideMark/>
          </w:tcPr>
          <w:p w14:paraId="65B0ECAB" w14:textId="77777777" w:rsidR="00000000" w:rsidRDefault="00632532">
            <w:pPr>
              <w:pStyle w:val="a3"/>
              <w:spacing w:before="0" w:beforeAutospacing="0" w:after="0" w:afterAutospacing="0"/>
              <w:rPr>
                <w:sz w:val="20"/>
                <w:szCs w:val="20"/>
              </w:rPr>
            </w:pPr>
            <w:r>
              <w:rPr>
                <w:sz w:val="20"/>
                <w:szCs w:val="20"/>
              </w:rPr>
              <w:t>Thereafte</w:t>
            </w:r>
            <w:r>
              <w:rPr>
                <w:sz w:val="20"/>
                <w:szCs w:val="20"/>
              </w:rPr>
              <w:t>r</w:t>
            </w:r>
          </w:p>
        </w:tc>
        <w:tc>
          <w:tcPr>
            <w:tcW w:w="0" w:type="auto"/>
            <w:noWrap/>
            <w:vAlign w:val="bottom"/>
            <w:hideMark/>
          </w:tcPr>
          <w:p w14:paraId="4F7454F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ECFA80" w14:textId="77777777" w:rsidR="00000000" w:rsidRDefault="00632532">
            <w:pPr>
              <w:pStyle w:val="a3"/>
              <w:spacing w:before="0" w:beforeAutospacing="0" w:after="0" w:afterAutospacing="0"/>
              <w:jc w:val="right"/>
              <w:rPr>
                <w:sz w:val="20"/>
                <w:szCs w:val="20"/>
              </w:rPr>
            </w:pPr>
            <w:r>
              <w:rPr>
                <w:sz w:val="20"/>
                <w:szCs w:val="20"/>
              </w:rPr>
              <w:t>21</w:t>
            </w:r>
            <w:r>
              <w:rPr>
                <w:sz w:val="20"/>
                <w:szCs w:val="20"/>
              </w:rPr>
              <w:t>7</w:t>
            </w:r>
          </w:p>
        </w:tc>
        <w:tc>
          <w:tcPr>
            <w:tcW w:w="0" w:type="auto"/>
            <w:noWrap/>
            <w:vAlign w:val="bottom"/>
            <w:hideMark/>
          </w:tcPr>
          <w:p w14:paraId="6A52C7C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4C62D5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1C6A14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C26C503"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7660ED36" w14:textId="77777777" w:rsidR="00000000" w:rsidRDefault="00632532">
            <w:pPr>
              <w:pStyle w:val="a3"/>
              <w:spacing w:before="0" w:beforeAutospacing="0" w:after="0" w:afterAutospacing="0"/>
              <w:rPr>
                <w:sz w:val="20"/>
                <w:szCs w:val="20"/>
              </w:rPr>
            </w:pPr>
            <w:r>
              <w:rPr>
                <w:sz w:val="20"/>
                <w:szCs w:val="20"/>
              </w:rPr>
              <w:t> </w:t>
            </w:r>
          </w:p>
        </w:tc>
      </w:tr>
      <w:tr w:rsidR="00000000" w14:paraId="1FF7F095" w14:textId="77777777">
        <w:trPr>
          <w:divId w:val="1392264687"/>
          <w:trHeight w:val="200"/>
          <w:tblCellSpacing w:w="15" w:type="dxa"/>
        </w:trPr>
        <w:tc>
          <w:tcPr>
            <w:tcW w:w="0" w:type="auto"/>
            <w:vAlign w:val="bottom"/>
            <w:hideMark/>
          </w:tcPr>
          <w:p w14:paraId="666CC461" w14:textId="77777777" w:rsidR="00000000" w:rsidRDefault="00632532">
            <w:pPr>
              <w:pStyle w:val="a3"/>
              <w:spacing w:before="0" w:beforeAutospacing="0" w:after="0" w:afterAutospacing="0"/>
              <w:ind w:left="100"/>
              <w:rPr>
                <w:sz w:val="20"/>
                <w:szCs w:val="20"/>
              </w:rPr>
            </w:pPr>
            <w:r>
              <w:rPr>
                <w:sz w:val="20"/>
                <w:szCs w:val="20"/>
              </w:rPr>
              <w:t>Total lease payment</w:t>
            </w:r>
            <w:r>
              <w:rPr>
                <w:sz w:val="20"/>
                <w:szCs w:val="20"/>
              </w:rPr>
              <w:t>s</w:t>
            </w:r>
          </w:p>
        </w:tc>
        <w:tc>
          <w:tcPr>
            <w:tcW w:w="0" w:type="auto"/>
            <w:noWrap/>
            <w:vAlign w:val="bottom"/>
            <w:hideMark/>
          </w:tcPr>
          <w:p w14:paraId="75B6B47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D35793D" w14:textId="77777777" w:rsidR="00000000" w:rsidRDefault="00632532">
            <w:pPr>
              <w:pStyle w:val="a3"/>
              <w:spacing w:before="0" w:beforeAutospacing="0" w:after="0" w:afterAutospacing="0"/>
              <w:jc w:val="right"/>
              <w:rPr>
                <w:sz w:val="20"/>
                <w:szCs w:val="20"/>
              </w:rPr>
            </w:pPr>
            <w:r>
              <w:rPr>
                <w:sz w:val="20"/>
                <w:szCs w:val="20"/>
              </w:rPr>
              <w:t>19,38</w:t>
            </w:r>
            <w:r>
              <w:rPr>
                <w:sz w:val="20"/>
                <w:szCs w:val="20"/>
              </w:rPr>
              <w:t>1</w:t>
            </w:r>
          </w:p>
        </w:tc>
        <w:tc>
          <w:tcPr>
            <w:tcW w:w="0" w:type="auto"/>
            <w:noWrap/>
            <w:vAlign w:val="bottom"/>
            <w:hideMark/>
          </w:tcPr>
          <w:p w14:paraId="077914D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225E4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0882E5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3660025" w14:textId="77777777" w:rsidR="00000000" w:rsidRDefault="00632532">
            <w:pPr>
              <w:pStyle w:val="a3"/>
              <w:spacing w:before="0" w:beforeAutospacing="0" w:after="0" w:afterAutospacing="0"/>
              <w:jc w:val="right"/>
              <w:rPr>
                <w:sz w:val="20"/>
                <w:szCs w:val="20"/>
              </w:rPr>
            </w:pPr>
            <w:r>
              <w:rPr>
                <w:sz w:val="20"/>
                <w:szCs w:val="20"/>
              </w:rPr>
              <w:t>2,86</w:t>
            </w:r>
            <w:r>
              <w:rPr>
                <w:sz w:val="20"/>
                <w:szCs w:val="20"/>
              </w:rPr>
              <w:t>1</w:t>
            </w:r>
          </w:p>
        </w:tc>
        <w:tc>
          <w:tcPr>
            <w:tcW w:w="0" w:type="auto"/>
            <w:noWrap/>
            <w:vAlign w:val="bottom"/>
            <w:hideMark/>
          </w:tcPr>
          <w:p w14:paraId="7B2044AF" w14:textId="77777777" w:rsidR="00000000" w:rsidRDefault="00632532">
            <w:pPr>
              <w:pStyle w:val="a3"/>
              <w:spacing w:before="0" w:beforeAutospacing="0" w:after="0" w:afterAutospacing="0"/>
              <w:rPr>
                <w:sz w:val="20"/>
                <w:szCs w:val="20"/>
              </w:rPr>
            </w:pPr>
            <w:r>
              <w:rPr>
                <w:sz w:val="20"/>
                <w:szCs w:val="20"/>
              </w:rPr>
              <w:t> </w:t>
            </w:r>
          </w:p>
        </w:tc>
      </w:tr>
      <w:tr w:rsidR="00000000" w14:paraId="11973B82" w14:textId="77777777">
        <w:trPr>
          <w:divId w:val="1392264687"/>
          <w:trHeight w:val="200"/>
          <w:tblCellSpacing w:w="15" w:type="dxa"/>
        </w:trPr>
        <w:tc>
          <w:tcPr>
            <w:tcW w:w="0" w:type="auto"/>
            <w:vAlign w:val="bottom"/>
            <w:hideMark/>
          </w:tcPr>
          <w:p w14:paraId="05D55A3A" w14:textId="77777777" w:rsidR="00000000" w:rsidRDefault="00632532">
            <w:pPr>
              <w:pStyle w:val="a3"/>
              <w:spacing w:before="0" w:beforeAutospacing="0" w:after="0" w:afterAutospacing="0"/>
              <w:rPr>
                <w:sz w:val="20"/>
                <w:szCs w:val="20"/>
              </w:rPr>
            </w:pPr>
            <w:r>
              <w:rPr>
                <w:sz w:val="20"/>
                <w:szCs w:val="20"/>
              </w:rPr>
              <w:t>Less imputed interes</w:t>
            </w:r>
            <w:r>
              <w:rPr>
                <w:sz w:val="20"/>
                <w:szCs w:val="20"/>
              </w:rPr>
              <w:t>t</w:t>
            </w:r>
          </w:p>
        </w:tc>
        <w:tc>
          <w:tcPr>
            <w:tcW w:w="0" w:type="auto"/>
            <w:noWrap/>
            <w:vAlign w:val="bottom"/>
            <w:hideMark/>
          </w:tcPr>
          <w:p w14:paraId="64F30B3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02BE0F" w14:textId="77777777" w:rsidR="00000000" w:rsidRDefault="00632532">
            <w:pPr>
              <w:pStyle w:val="a3"/>
              <w:spacing w:before="0" w:beforeAutospacing="0" w:after="0" w:afterAutospacing="0"/>
              <w:jc w:val="right"/>
              <w:rPr>
                <w:sz w:val="20"/>
                <w:szCs w:val="20"/>
              </w:rPr>
            </w:pPr>
            <w:r>
              <w:rPr>
                <w:sz w:val="20"/>
                <w:szCs w:val="20"/>
              </w:rPr>
              <w:t>(</w:t>
            </w:r>
            <w:r>
              <w:rPr>
                <w:sz w:val="20"/>
                <w:szCs w:val="20"/>
              </w:rPr>
              <w:t>1,27</w:t>
            </w:r>
            <w:r>
              <w:rPr>
                <w:sz w:val="20"/>
                <w:szCs w:val="20"/>
              </w:rPr>
              <w:t>3</w:t>
            </w:r>
          </w:p>
        </w:tc>
        <w:tc>
          <w:tcPr>
            <w:tcW w:w="0" w:type="auto"/>
            <w:noWrap/>
            <w:vAlign w:val="bottom"/>
            <w:hideMark/>
          </w:tcPr>
          <w:p w14:paraId="1342274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BEABDB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77D024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1CD2DBF" w14:textId="77777777" w:rsidR="00000000" w:rsidRDefault="00632532">
            <w:pPr>
              <w:pStyle w:val="a3"/>
              <w:spacing w:before="0" w:beforeAutospacing="0" w:after="0" w:afterAutospacing="0"/>
              <w:jc w:val="right"/>
              <w:rPr>
                <w:sz w:val="20"/>
                <w:szCs w:val="20"/>
              </w:rPr>
            </w:pPr>
            <w:r>
              <w:rPr>
                <w:sz w:val="20"/>
                <w:szCs w:val="20"/>
              </w:rPr>
              <w:t>(</w:t>
            </w:r>
            <w:r>
              <w:rPr>
                <w:sz w:val="20"/>
                <w:szCs w:val="20"/>
              </w:rPr>
              <w:t>18</w:t>
            </w:r>
            <w:r>
              <w:rPr>
                <w:sz w:val="20"/>
                <w:szCs w:val="20"/>
              </w:rPr>
              <w:t>2</w:t>
            </w:r>
          </w:p>
        </w:tc>
        <w:tc>
          <w:tcPr>
            <w:tcW w:w="0" w:type="auto"/>
            <w:noWrap/>
            <w:vAlign w:val="bottom"/>
            <w:hideMark/>
          </w:tcPr>
          <w:p w14:paraId="3760A498" w14:textId="77777777" w:rsidR="00000000" w:rsidRDefault="00632532">
            <w:pPr>
              <w:pStyle w:val="a3"/>
              <w:spacing w:before="0" w:beforeAutospacing="0" w:after="0" w:afterAutospacing="0"/>
              <w:rPr>
                <w:sz w:val="20"/>
                <w:szCs w:val="20"/>
              </w:rPr>
            </w:pPr>
            <w:r>
              <w:rPr>
                <w:sz w:val="20"/>
                <w:szCs w:val="20"/>
              </w:rPr>
              <w:t>)</w:t>
            </w:r>
          </w:p>
        </w:tc>
      </w:tr>
      <w:tr w:rsidR="00000000" w14:paraId="2FC3CA00" w14:textId="77777777">
        <w:trPr>
          <w:divId w:val="1392264687"/>
          <w:trHeight w:val="200"/>
          <w:tblCellSpacing w:w="15" w:type="dxa"/>
        </w:trPr>
        <w:tc>
          <w:tcPr>
            <w:tcW w:w="0" w:type="auto"/>
            <w:vAlign w:val="bottom"/>
            <w:hideMark/>
          </w:tcPr>
          <w:p w14:paraId="71D29E00" w14:textId="77777777" w:rsidR="00000000" w:rsidRDefault="00632532">
            <w:pPr>
              <w:pStyle w:val="a3"/>
              <w:spacing w:before="0" w:beforeAutospacing="0" w:after="0" w:afterAutospacing="0"/>
              <w:ind w:left="100"/>
              <w:rPr>
                <w:sz w:val="20"/>
                <w:szCs w:val="20"/>
              </w:rPr>
            </w:pPr>
            <w:r>
              <w:rPr>
                <w:sz w:val="20"/>
                <w:szCs w:val="20"/>
              </w:rPr>
              <w:t>Tota</w:t>
            </w:r>
            <w:r>
              <w:rPr>
                <w:sz w:val="20"/>
                <w:szCs w:val="20"/>
              </w:rPr>
              <w:t>l</w:t>
            </w:r>
          </w:p>
        </w:tc>
        <w:tc>
          <w:tcPr>
            <w:tcW w:w="0" w:type="auto"/>
            <w:noWrap/>
            <w:vAlign w:val="bottom"/>
            <w:hideMark/>
          </w:tcPr>
          <w:p w14:paraId="3804538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905EAEB" w14:textId="77777777" w:rsidR="00000000" w:rsidRDefault="00632532">
            <w:pPr>
              <w:pStyle w:val="a3"/>
              <w:spacing w:before="0" w:beforeAutospacing="0" w:after="0" w:afterAutospacing="0"/>
              <w:jc w:val="right"/>
              <w:rPr>
                <w:sz w:val="20"/>
                <w:szCs w:val="20"/>
              </w:rPr>
            </w:pPr>
            <w:r>
              <w:rPr>
                <w:sz w:val="20"/>
                <w:szCs w:val="20"/>
              </w:rPr>
              <w:t>18,10</w:t>
            </w:r>
            <w:r>
              <w:rPr>
                <w:sz w:val="20"/>
                <w:szCs w:val="20"/>
              </w:rPr>
              <w:t>8</w:t>
            </w:r>
          </w:p>
        </w:tc>
        <w:tc>
          <w:tcPr>
            <w:tcW w:w="0" w:type="auto"/>
            <w:noWrap/>
            <w:vAlign w:val="bottom"/>
            <w:hideMark/>
          </w:tcPr>
          <w:p w14:paraId="1311F0A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4AABE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5B1D0A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19F5E2E" w14:textId="77777777" w:rsidR="00000000" w:rsidRDefault="00632532">
            <w:pPr>
              <w:pStyle w:val="a3"/>
              <w:spacing w:before="0" w:beforeAutospacing="0" w:after="0" w:afterAutospacing="0"/>
              <w:jc w:val="right"/>
              <w:rPr>
                <w:sz w:val="20"/>
                <w:szCs w:val="20"/>
              </w:rPr>
            </w:pPr>
            <w:r>
              <w:rPr>
                <w:sz w:val="20"/>
                <w:szCs w:val="20"/>
              </w:rPr>
              <w:t>2,67</w:t>
            </w:r>
            <w:r>
              <w:rPr>
                <w:sz w:val="20"/>
                <w:szCs w:val="20"/>
              </w:rPr>
              <w:t>9</w:t>
            </w:r>
          </w:p>
        </w:tc>
        <w:tc>
          <w:tcPr>
            <w:tcW w:w="0" w:type="auto"/>
            <w:noWrap/>
            <w:vAlign w:val="bottom"/>
            <w:hideMark/>
          </w:tcPr>
          <w:p w14:paraId="19ECE2C1" w14:textId="77777777" w:rsidR="00000000" w:rsidRDefault="00632532">
            <w:pPr>
              <w:pStyle w:val="a3"/>
              <w:spacing w:before="0" w:beforeAutospacing="0" w:after="0" w:afterAutospacing="0"/>
              <w:rPr>
                <w:sz w:val="20"/>
                <w:szCs w:val="20"/>
              </w:rPr>
            </w:pPr>
            <w:r>
              <w:rPr>
                <w:sz w:val="20"/>
                <w:szCs w:val="20"/>
              </w:rPr>
              <w:t> </w:t>
            </w:r>
          </w:p>
        </w:tc>
      </w:tr>
    </w:tbl>
    <w:p w14:paraId="05292B35" w14:textId="77777777" w:rsidR="00000000" w:rsidRDefault="00632532">
      <w:pPr>
        <w:pStyle w:val="a3"/>
        <w:spacing w:before="0" w:beforeAutospacing="0" w:after="0" w:afterAutospacing="0"/>
        <w:divId w:val="1392264687"/>
        <w:rPr>
          <w:sz w:val="20"/>
          <w:szCs w:val="20"/>
        </w:rPr>
      </w:pPr>
      <w:r>
        <w:rPr>
          <w:sz w:val="20"/>
          <w:szCs w:val="20"/>
        </w:rPr>
        <w:t> </w:t>
      </w:r>
    </w:p>
    <w:p w14:paraId="176B557E" w14:textId="77777777" w:rsidR="00000000" w:rsidRDefault="00632532">
      <w:pPr>
        <w:pStyle w:val="a3"/>
        <w:spacing w:before="240" w:beforeAutospacing="0" w:after="0" w:afterAutospacing="0"/>
        <w:jc w:val="center"/>
        <w:divId w:val="1392264687"/>
        <w:rPr>
          <w:sz w:val="20"/>
          <w:szCs w:val="20"/>
        </w:rPr>
      </w:pPr>
      <w:r>
        <w:rPr>
          <w:sz w:val="20"/>
          <w:szCs w:val="20"/>
        </w:rPr>
        <w:t>1</w:t>
      </w:r>
      <w:r>
        <w:rPr>
          <w:sz w:val="20"/>
          <w:szCs w:val="20"/>
        </w:rPr>
        <w:t>7</w:t>
      </w:r>
    </w:p>
    <w:p w14:paraId="0BBB6FF5" w14:textId="77777777" w:rsidR="00000000" w:rsidRDefault="00632532">
      <w:pPr>
        <w:divId w:val="1392264687"/>
        <w:rPr>
          <w:rFonts w:eastAsia="Times New Roman"/>
          <w:sz w:val="20"/>
          <w:szCs w:val="20"/>
        </w:rPr>
      </w:pPr>
      <w:r>
        <w:rPr>
          <w:rFonts w:eastAsia="Times New Roman"/>
          <w:sz w:val="20"/>
          <w:szCs w:val="20"/>
        </w:rPr>
        <w:pict w14:anchorId="5C97AD23">
          <v:rect id="_x0000_i1043" style="width:0;height:1.5pt" o:hralign="center" o:hrstd="t" o:hr="t" fillcolor="#a0a0a0" stroked="f"/>
        </w:pict>
      </w:r>
    </w:p>
    <w:p w14:paraId="30C2D1C9" w14:textId="77777777" w:rsidR="00000000" w:rsidRDefault="00632532">
      <w:pPr>
        <w:pStyle w:val="a3"/>
        <w:spacing w:before="360" w:beforeAutospacing="0" w:after="0" w:afterAutospacing="0"/>
        <w:divId w:val="1478180424"/>
        <w:rPr>
          <w:sz w:val="20"/>
          <w:szCs w:val="20"/>
        </w:rPr>
      </w:pPr>
      <w:r>
        <w:rPr>
          <w:b/>
          <w:bCs/>
          <w:i/>
          <w:iCs/>
          <w:sz w:val="20"/>
          <w:szCs w:val="20"/>
        </w:rPr>
        <w:t>Lesso</w:t>
      </w:r>
      <w:r>
        <w:rPr>
          <w:b/>
          <w:bCs/>
          <w:i/>
          <w:iCs/>
          <w:sz w:val="20"/>
          <w:szCs w:val="20"/>
        </w:rPr>
        <w:t>r</w:t>
      </w:r>
    </w:p>
    <w:p w14:paraId="3CF6E64F" w14:textId="77777777" w:rsidR="00000000" w:rsidRDefault="00632532">
      <w:pPr>
        <w:pStyle w:val="a3"/>
        <w:spacing w:before="120" w:beforeAutospacing="0" w:after="0" w:afterAutospacing="0"/>
        <w:ind w:firstLine="555"/>
        <w:divId w:val="1478180424"/>
        <w:rPr>
          <w:sz w:val="20"/>
          <w:szCs w:val="20"/>
        </w:rPr>
      </w:pPr>
      <w:r>
        <w:rPr>
          <w:sz w:val="20"/>
          <w:szCs w:val="20"/>
        </w:rPr>
        <w:t>The Company leases out space in buildings it owns and leases to third-party tenants under noncancelable operating leases. As of June 30, 2022, the remaining lease terms left range from</w:t>
      </w:r>
      <w:r>
        <w:rPr>
          <w:sz w:val="20"/>
          <w:szCs w:val="20"/>
        </w:rPr>
        <w:t xml:space="preserve"> </w:t>
      </w:r>
      <w:r>
        <w:rPr>
          <w:sz w:val="20"/>
          <w:szCs w:val="20"/>
        </w:rPr>
        <w:t>6</w:t>
      </w:r>
      <w:r>
        <w:rPr>
          <w:sz w:val="20"/>
          <w:szCs w:val="20"/>
        </w:rPr>
        <w:t xml:space="preserve"> months to</w:t>
      </w:r>
      <w:r>
        <w:rPr>
          <w:sz w:val="20"/>
          <w:szCs w:val="20"/>
        </w:rPr>
        <w:t xml:space="preserve"> </w:t>
      </w:r>
      <w:r>
        <w:rPr>
          <w:sz w:val="20"/>
          <w:szCs w:val="20"/>
        </w:rPr>
        <w:t>3</w:t>
      </w:r>
      <w:r>
        <w:rPr>
          <w:sz w:val="20"/>
          <w:szCs w:val="20"/>
        </w:rPr>
        <w:t>8</w:t>
      </w:r>
      <w:r>
        <w:rPr>
          <w:sz w:val="20"/>
          <w:szCs w:val="20"/>
        </w:rPr>
        <w:t xml:space="preserve"> months, inclu</w:t>
      </w:r>
      <w:r>
        <w:rPr>
          <w:sz w:val="20"/>
          <w:szCs w:val="20"/>
        </w:rPr>
        <w:t>ding renewal options and may include rent escalation clauses. Lease income primarily represents fixed lease payments from tenants recognized on a straight-line basis over the application lease term. Variable lease income represents tenant payments for real</w:t>
      </w:r>
      <w:r>
        <w:rPr>
          <w:sz w:val="20"/>
          <w:szCs w:val="20"/>
        </w:rPr>
        <w:t xml:space="preserve"> estate taxes, insurance and maintenance</w:t>
      </w:r>
      <w:r>
        <w:rPr>
          <w:sz w:val="20"/>
          <w:szCs w:val="20"/>
        </w:rPr>
        <w:t>.</w:t>
      </w:r>
    </w:p>
    <w:p w14:paraId="66EE39D1" w14:textId="77777777" w:rsidR="00000000" w:rsidRDefault="00632532">
      <w:pPr>
        <w:pStyle w:val="a3"/>
        <w:spacing w:before="240" w:beforeAutospacing="0" w:after="0" w:afterAutospacing="0"/>
        <w:ind w:firstLine="555"/>
        <w:divId w:val="1478180424"/>
        <w:rPr>
          <w:sz w:val="20"/>
          <w:szCs w:val="20"/>
        </w:rPr>
      </w:pPr>
      <w:r>
        <w:rPr>
          <w:sz w:val="20"/>
          <w:szCs w:val="20"/>
        </w:rPr>
        <w:t>The lease income was included in interest and other income, net, in the accompanying Condensed Consolidated Statements of Income.</w:t>
      </w:r>
      <w:r>
        <w:rPr>
          <w:sz w:val="20"/>
          <w:szCs w:val="20"/>
        </w:rPr>
        <w:t xml:space="preserve"> </w:t>
      </w:r>
      <w:r>
        <w:rPr>
          <w:sz w:val="20"/>
          <w:szCs w:val="20"/>
        </w:rPr>
        <w:t>Total lease income was as follows</w:t>
      </w:r>
      <w:r>
        <w:rPr>
          <w:sz w:val="20"/>
          <w:szCs w:val="20"/>
        </w:rPr>
        <w:t>:</w:t>
      </w:r>
    </w:p>
    <w:p w14:paraId="5C2CEDF3" w14:textId="77777777" w:rsidR="00000000" w:rsidRDefault="00632532">
      <w:pPr>
        <w:pStyle w:val="a3"/>
        <w:spacing w:before="0" w:beforeAutospacing="0" w:after="0" w:afterAutospacing="0"/>
        <w:ind w:firstLine="555"/>
        <w:divId w:val="184038490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56"/>
        <w:gridCol w:w="160"/>
        <w:gridCol w:w="826"/>
        <w:gridCol w:w="110"/>
        <w:gridCol w:w="112"/>
        <w:gridCol w:w="160"/>
        <w:gridCol w:w="892"/>
        <w:gridCol w:w="110"/>
        <w:gridCol w:w="112"/>
        <w:gridCol w:w="160"/>
        <w:gridCol w:w="775"/>
        <w:gridCol w:w="110"/>
        <w:gridCol w:w="121"/>
        <w:gridCol w:w="160"/>
        <w:gridCol w:w="1117"/>
        <w:gridCol w:w="125"/>
      </w:tblGrid>
      <w:tr w:rsidR="00000000" w14:paraId="31776C40" w14:textId="77777777">
        <w:trPr>
          <w:divId w:val="1840384905"/>
          <w:tblCellSpacing w:w="15" w:type="dxa"/>
        </w:trPr>
        <w:tc>
          <w:tcPr>
            <w:tcW w:w="2075" w:type="pct"/>
            <w:vAlign w:val="center"/>
            <w:hideMark/>
          </w:tcPr>
          <w:p w14:paraId="42B17A1D" w14:textId="77777777" w:rsidR="00000000" w:rsidRDefault="00632532">
            <w:pPr>
              <w:rPr>
                <w:sz w:val="20"/>
                <w:szCs w:val="20"/>
              </w:rPr>
            </w:pPr>
          </w:p>
        </w:tc>
        <w:tc>
          <w:tcPr>
            <w:tcW w:w="50" w:type="pct"/>
            <w:vAlign w:val="center"/>
            <w:hideMark/>
          </w:tcPr>
          <w:p w14:paraId="2DA68786" w14:textId="77777777" w:rsidR="00000000" w:rsidRDefault="00632532">
            <w:pPr>
              <w:rPr>
                <w:rFonts w:eastAsia="Times New Roman"/>
                <w:sz w:val="20"/>
                <w:szCs w:val="20"/>
              </w:rPr>
            </w:pPr>
          </w:p>
        </w:tc>
        <w:tc>
          <w:tcPr>
            <w:tcW w:w="527" w:type="pct"/>
            <w:vAlign w:val="center"/>
            <w:hideMark/>
          </w:tcPr>
          <w:p w14:paraId="68A9E31D" w14:textId="77777777" w:rsidR="00000000" w:rsidRDefault="00632532">
            <w:pPr>
              <w:rPr>
                <w:rFonts w:eastAsia="Times New Roman"/>
                <w:sz w:val="20"/>
                <w:szCs w:val="20"/>
              </w:rPr>
            </w:pPr>
          </w:p>
        </w:tc>
        <w:tc>
          <w:tcPr>
            <w:tcW w:w="50" w:type="pct"/>
            <w:vAlign w:val="center"/>
            <w:hideMark/>
          </w:tcPr>
          <w:p w14:paraId="587ABBA8" w14:textId="77777777" w:rsidR="00000000" w:rsidRDefault="00632532">
            <w:pPr>
              <w:rPr>
                <w:rFonts w:eastAsia="Times New Roman"/>
                <w:sz w:val="20"/>
                <w:szCs w:val="20"/>
              </w:rPr>
            </w:pPr>
          </w:p>
        </w:tc>
        <w:tc>
          <w:tcPr>
            <w:tcW w:w="70" w:type="pct"/>
            <w:vAlign w:val="center"/>
            <w:hideMark/>
          </w:tcPr>
          <w:p w14:paraId="777DF9FD" w14:textId="77777777" w:rsidR="00000000" w:rsidRDefault="00632532">
            <w:pPr>
              <w:rPr>
                <w:rFonts w:eastAsia="Times New Roman"/>
                <w:sz w:val="20"/>
                <w:szCs w:val="20"/>
              </w:rPr>
            </w:pPr>
          </w:p>
        </w:tc>
        <w:tc>
          <w:tcPr>
            <w:tcW w:w="50" w:type="pct"/>
            <w:vAlign w:val="center"/>
            <w:hideMark/>
          </w:tcPr>
          <w:p w14:paraId="36EC5692" w14:textId="77777777" w:rsidR="00000000" w:rsidRDefault="00632532">
            <w:pPr>
              <w:rPr>
                <w:rFonts w:eastAsia="Times New Roman"/>
                <w:sz w:val="20"/>
                <w:szCs w:val="20"/>
              </w:rPr>
            </w:pPr>
          </w:p>
        </w:tc>
        <w:tc>
          <w:tcPr>
            <w:tcW w:w="569" w:type="pct"/>
            <w:vAlign w:val="center"/>
            <w:hideMark/>
          </w:tcPr>
          <w:p w14:paraId="23C1FC07" w14:textId="77777777" w:rsidR="00000000" w:rsidRDefault="00632532">
            <w:pPr>
              <w:rPr>
                <w:rFonts w:eastAsia="Times New Roman"/>
                <w:sz w:val="20"/>
                <w:szCs w:val="20"/>
              </w:rPr>
            </w:pPr>
          </w:p>
        </w:tc>
        <w:tc>
          <w:tcPr>
            <w:tcW w:w="50" w:type="pct"/>
            <w:vAlign w:val="center"/>
            <w:hideMark/>
          </w:tcPr>
          <w:p w14:paraId="63EE5BFA" w14:textId="77777777" w:rsidR="00000000" w:rsidRDefault="00632532">
            <w:pPr>
              <w:rPr>
                <w:rFonts w:eastAsia="Times New Roman"/>
                <w:sz w:val="20"/>
                <w:szCs w:val="20"/>
              </w:rPr>
            </w:pPr>
          </w:p>
        </w:tc>
        <w:tc>
          <w:tcPr>
            <w:tcW w:w="70" w:type="pct"/>
            <w:vAlign w:val="center"/>
            <w:hideMark/>
          </w:tcPr>
          <w:p w14:paraId="4A4B71F1" w14:textId="77777777" w:rsidR="00000000" w:rsidRDefault="00632532">
            <w:pPr>
              <w:rPr>
                <w:rFonts w:eastAsia="Times New Roman"/>
                <w:sz w:val="20"/>
                <w:szCs w:val="20"/>
              </w:rPr>
            </w:pPr>
          </w:p>
        </w:tc>
        <w:tc>
          <w:tcPr>
            <w:tcW w:w="50" w:type="pct"/>
            <w:vAlign w:val="center"/>
            <w:hideMark/>
          </w:tcPr>
          <w:p w14:paraId="4B5F0883" w14:textId="77777777" w:rsidR="00000000" w:rsidRDefault="00632532">
            <w:pPr>
              <w:rPr>
                <w:rFonts w:eastAsia="Times New Roman"/>
                <w:sz w:val="20"/>
                <w:szCs w:val="20"/>
              </w:rPr>
            </w:pPr>
          </w:p>
        </w:tc>
        <w:tc>
          <w:tcPr>
            <w:tcW w:w="495" w:type="pct"/>
            <w:vAlign w:val="center"/>
            <w:hideMark/>
          </w:tcPr>
          <w:p w14:paraId="17D65AE4" w14:textId="77777777" w:rsidR="00000000" w:rsidRDefault="00632532">
            <w:pPr>
              <w:rPr>
                <w:rFonts w:eastAsia="Times New Roman"/>
                <w:sz w:val="20"/>
                <w:szCs w:val="20"/>
              </w:rPr>
            </w:pPr>
          </w:p>
        </w:tc>
        <w:tc>
          <w:tcPr>
            <w:tcW w:w="50" w:type="pct"/>
            <w:vAlign w:val="center"/>
            <w:hideMark/>
          </w:tcPr>
          <w:p w14:paraId="15699361" w14:textId="77777777" w:rsidR="00000000" w:rsidRDefault="00632532">
            <w:pPr>
              <w:rPr>
                <w:rFonts w:eastAsia="Times New Roman"/>
                <w:sz w:val="20"/>
                <w:szCs w:val="20"/>
              </w:rPr>
            </w:pPr>
          </w:p>
        </w:tc>
        <w:tc>
          <w:tcPr>
            <w:tcW w:w="76" w:type="pct"/>
            <w:vAlign w:val="center"/>
            <w:hideMark/>
          </w:tcPr>
          <w:p w14:paraId="0E47ACB5" w14:textId="77777777" w:rsidR="00000000" w:rsidRDefault="00632532">
            <w:pPr>
              <w:rPr>
                <w:rFonts w:eastAsia="Times New Roman"/>
                <w:sz w:val="20"/>
                <w:szCs w:val="20"/>
              </w:rPr>
            </w:pPr>
          </w:p>
        </w:tc>
        <w:tc>
          <w:tcPr>
            <w:tcW w:w="50" w:type="pct"/>
            <w:vAlign w:val="center"/>
            <w:hideMark/>
          </w:tcPr>
          <w:p w14:paraId="6EB965A1" w14:textId="77777777" w:rsidR="00000000" w:rsidRDefault="00632532">
            <w:pPr>
              <w:rPr>
                <w:rFonts w:eastAsia="Times New Roman"/>
                <w:sz w:val="20"/>
                <w:szCs w:val="20"/>
              </w:rPr>
            </w:pPr>
          </w:p>
        </w:tc>
        <w:tc>
          <w:tcPr>
            <w:tcW w:w="713" w:type="pct"/>
            <w:vAlign w:val="center"/>
            <w:hideMark/>
          </w:tcPr>
          <w:p w14:paraId="597CD570" w14:textId="77777777" w:rsidR="00000000" w:rsidRDefault="00632532">
            <w:pPr>
              <w:rPr>
                <w:rFonts w:eastAsia="Times New Roman"/>
                <w:sz w:val="20"/>
                <w:szCs w:val="20"/>
              </w:rPr>
            </w:pPr>
          </w:p>
        </w:tc>
        <w:tc>
          <w:tcPr>
            <w:tcW w:w="50" w:type="pct"/>
            <w:vAlign w:val="center"/>
            <w:hideMark/>
          </w:tcPr>
          <w:p w14:paraId="2514FE95" w14:textId="77777777" w:rsidR="00000000" w:rsidRDefault="00632532">
            <w:pPr>
              <w:rPr>
                <w:rFonts w:eastAsia="Times New Roman"/>
                <w:sz w:val="20"/>
                <w:szCs w:val="20"/>
              </w:rPr>
            </w:pPr>
          </w:p>
        </w:tc>
      </w:tr>
      <w:tr w:rsidR="00000000" w14:paraId="49AA1DF7" w14:textId="77777777">
        <w:trPr>
          <w:divId w:val="1840384905"/>
          <w:trHeight w:val="160"/>
          <w:tblCellSpacing w:w="15" w:type="dxa"/>
        </w:trPr>
        <w:tc>
          <w:tcPr>
            <w:tcW w:w="0" w:type="auto"/>
            <w:vAlign w:val="bottom"/>
            <w:hideMark/>
          </w:tcPr>
          <w:p w14:paraId="4D80B016"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6"/>
            <w:vAlign w:val="bottom"/>
            <w:hideMark/>
          </w:tcPr>
          <w:p w14:paraId="5CF017DA" w14:textId="77777777" w:rsidR="00000000" w:rsidRDefault="00632532">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01CFFA90"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2CC1D2A" w14:textId="77777777" w:rsidR="00000000" w:rsidRDefault="00632532">
            <w:pPr>
              <w:pStyle w:val="a3"/>
              <w:spacing w:before="0" w:beforeAutospacing="0" w:after="0" w:afterAutospacing="0"/>
              <w:rPr>
                <w:sz w:val="16"/>
                <w:szCs w:val="16"/>
              </w:rPr>
            </w:pPr>
            <w:r>
              <w:rPr>
                <w:sz w:val="16"/>
                <w:szCs w:val="16"/>
              </w:rPr>
              <w:t> </w:t>
            </w:r>
          </w:p>
        </w:tc>
        <w:tc>
          <w:tcPr>
            <w:tcW w:w="0" w:type="auto"/>
            <w:gridSpan w:val="6"/>
            <w:vAlign w:val="bottom"/>
            <w:hideMark/>
          </w:tcPr>
          <w:p w14:paraId="0B87863E"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6935A28E"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8837B00" w14:textId="77777777">
        <w:trPr>
          <w:divId w:val="1840384905"/>
          <w:trHeight w:val="160"/>
          <w:tblCellSpacing w:w="15" w:type="dxa"/>
        </w:trPr>
        <w:tc>
          <w:tcPr>
            <w:tcW w:w="0" w:type="auto"/>
            <w:vAlign w:val="bottom"/>
            <w:hideMark/>
          </w:tcPr>
          <w:p w14:paraId="1E4C7AA7"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770A1E0C"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5A2FBA3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40742DD"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559D20A7"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7FA96F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37F261A"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2FE58425"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30B4AF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347E988"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68D6CD49"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38E6348"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103B3753" w14:textId="77777777">
        <w:trPr>
          <w:divId w:val="1840384905"/>
          <w:trHeight w:val="160"/>
          <w:tblCellSpacing w:w="15" w:type="dxa"/>
        </w:trPr>
        <w:tc>
          <w:tcPr>
            <w:tcW w:w="0" w:type="auto"/>
            <w:vAlign w:val="bottom"/>
            <w:hideMark/>
          </w:tcPr>
          <w:p w14:paraId="47129188"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14"/>
            <w:vAlign w:val="bottom"/>
            <w:hideMark/>
          </w:tcPr>
          <w:p w14:paraId="2E65E2C7"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15B9B401"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2D63E692" w14:textId="77777777">
        <w:trPr>
          <w:divId w:val="1840384905"/>
          <w:trHeight w:val="200"/>
          <w:tblCellSpacing w:w="15" w:type="dxa"/>
        </w:trPr>
        <w:tc>
          <w:tcPr>
            <w:tcW w:w="0" w:type="auto"/>
            <w:hideMark/>
          </w:tcPr>
          <w:p w14:paraId="4AC61E07" w14:textId="77777777" w:rsidR="00000000" w:rsidRDefault="00632532">
            <w:pPr>
              <w:pStyle w:val="a3"/>
              <w:spacing w:before="0" w:beforeAutospacing="0" w:after="0" w:afterAutospacing="0"/>
              <w:rPr>
                <w:sz w:val="20"/>
                <w:szCs w:val="20"/>
              </w:rPr>
            </w:pPr>
            <w:r>
              <w:rPr>
                <w:sz w:val="20"/>
                <w:szCs w:val="20"/>
              </w:rPr>
              <w:t>Lease incom</w:t>
            </w:r>
            <w:r>
              <w:rPr>
                <w:sz w:val="20"/>
                <w:szCs w:val="20"/>
              </w:rPr>
              <w:t>e</w:t>
            </w:r>
          </w:p>
        </w:tc>
        <w:tc>
          <w:tcPr>
            <w:tcW w:w="0" w:type="auto"/>
            <w:noWrap/>
            <w:vAlign w:val="bottom"/>
            <w:hideMark/>
          </w:tcPr>
          <w:p w14:paraId="2D7AD93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CEB2728" w14:textId="77777777" w:rsidR="00000000" w:rsidRDefault="00632532">
            <w:pPr>
              <w:pStyle w:val="a3"/>
              <w:spacing w:before="0" w:beforeAutospacing="0" w:after="0" w:afterAutospacing="0"/>
              <w:jc w:val="right"/>
              <w:rPr>
                <w:sz w:val="20"/>
                <w:szCs w:val="20"/>
              </w:rPr>
            </w:pPr>
            <w:r>
              <w:rPr>
                <w:sz w:val="20"/>
                <w:szCs w:val="20"/>
              </w:rPr>
              <w:t>8</w:t>
            </w:r>
            <w:r>
              <w:rPr>
                <w:sz w:val="20"/>
                <w:szCs w:val="20"/>
              </w:rPr>
              <w:t>4</w:t>
            </w:r>
          </w:p>
        </w:tc>
        <w:tc>
          <w:tcPr>
            <w:tcW w:w="0" w:type="auto"/>
            <w:noWrap/>
            <w:vAlign w:val="bottom"/>
            <w:hideMark/>
          </w:tcPr>
          <w:p w14:paraId="444A1B1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9FF5C2F"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48074C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F0DD4BB" w14:textId="77777777" w:rsidR="00000000" w:rsidRDefault="00632532">
            <w:pPr>
              <w:pStyle w:val="a3"/>
              <w:spacing w:before="0" w:beforeAutospacing="0" w:after="0" w:afterAutospacing="0"/>
              <w:jc w:val="right"/>
              <w:rPr>
                <w:sz w:val="20"/>
                <w:szCs w:val="20"/>
              </w:rPr>
            </w:pPr>
            <w:r>
              <w:rPr>
                <w:sz w:val="20"/>
                <w:szCs w:val="20"/>
              </w:rPr>
              <w:t>8</w:t>
            </w:r>
            <w:r>
              <w:rPr>
                <w:sz w:val="20"/>
                <w:szCs w:val="20"/>
              </w:rPr>
              <w:t>1</w:t>
            </w:r>
          </w:p>
        </w:tc>
        <w:tc>
          <w:tcPr>
            <w:tcW w:w="0" w:type="auto"/>
            <w:noWrap/>
            <w:vAlign w:val="bottom"/>
            <w:hideMark/>
          </w:tcPr>
          <w:p w14:paraId="60A6F83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8DB14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6D77D7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3F5E5D3" w14:textId="77777777" w:rsidR="00000000" w:rsidRDefault="00632532">
            <w:pPr>
              <w:pStyle w:val="a3"/>
              <w:spacing w:before="0" w:beforeAutospacing="0" w:after="0" w:afterAutospacing="0"/>
              <w:jc w:val="right"/>
              <w:rPr>
                <w:sz w:val="20"/>
                <w:szCs w:val="20"/>
              </w:rPr>
            </w:pPr>
            <w:r>
              <w:rPr>
                <w:sz w:val="20"/>
                <w:szCs w:val="20"/>
              </w:rPr>
              <w:t>18</w:t>
            </w:r>
            <w:r>
              <w:rPr>
                <w:sz w:val="20"/>
                <w:szCs w:val="20"/>
              </w:rPr>
              <w:t>1</w:t>
            </w:r>
          </w:p>
        </w:tc>
        <w:tc>
          <w:tcPr>
            <w:tcW w:w="0" w:type="auto"/>
            <w:noWrap/>
            <w:vAlign w:val="bottom"/>
            <w:hideMark/>
          </w:tcPr>
          <w:p w14:paraId="2B7EA48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7B60F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C445A0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53E4DAD" w14:textId="77777777" w:rsidR="00000000" w:rsidRDefault="00632532">
            <w:pPr>
              <w:pStyle w:val="a3"/>
              <w:spacing w:before="0" w:beforeAutospacing="0" w:after="0" w:afterAutospacing="0"/>
              <w:jc w:val="right"/>
              <w:rPr>
                <w:sz w:val="20"/>
                <w:szCs w:val="20"/>
              </w:rPr>
            </w:pPr>
            <w:r>
              <w:rPr>
                <w:sz w:val="20"/>
                <w:szCs w:val="20"/>
              </w:rPr>
              <w:t>23</w:t>
            </w:r>
            <w:r>
              <w:rPr>
                <w:sz w:val="20"/>
                <w:szCs w:val="20"/>
              </w:rPr>
              <w:t>7</w:t>
            </w:r>
          </w:p>
        </w:tc>
        <w:tc>
          <w:tcPr>
            <w:tcW w:w="0" w:type="auto"/>
            <w:noWrap/>
            <w:vAlign w:val="bottom"/>
            <w:hideMark/>
          </w:tcPr>
          <w:p w14:paraId="2236DA5D" w14:textId="77777777" w:rsidR="00000000" w:rsidRDefault="00632532">
            <w:pPr>
              <w:pStyle w:val="a3"/>
              <w:spacing w:before="0" w:beforeAutospacing="0" w:after="0" w:afterAutospacing="0"/>
              <w:rPr>
                <w:sz w:val="20"/>
                <w:szCs w:val="20"/>
              </w:rPr>
            </w:pPr>
            <w:r>
              <w:rPr>
                <w:sz w:val="20"/>
                <w:szCs w:val="20"/>
              </w:rPr>
              <w:t> </w:t>
            </w:r>
          </w:p>
        </w:tc>
      </w:tr>
      <w:tr w:rsidR="00000000" w14:paraId="05A6093E" w14:textId="77777777">
        <w:trPr>
          <w:divId w:val="1840384905"/>
          <w:trHeight w:val="200"/>
          <w:tblCellSpacing w:w="15" w:type="dxa"/>
        </w:trPr>
        <w:tc>
          <w:tcPr>
            <w:tcW w:w="0" w:type="auto"/>
            <w:hideMark/>
          </w:tcPr>
          <w:p w14:paraId="6C913F23" w14:textId="77777777" w:rsidR="00000000" w:rsidRDefault="00632532">
            <w:pPr>
              <w:pStyle w:val="a3"/>
              <w:spacing w:before="0" w:beforeAutospacing="0" w:after="0" w:afterAutospacing="0"/>
              <w:rPr>
                <w:sz w:val="20"/>
                <w:szCs w:val="20"/>
              </w:rPr>
            </w:pPr>
            <w:r>
              <w:rPr>
                <w:sz w:val="20"/>
                <w:szCs w:val="20"/>
              </w:rPr>
              <w:t>Variable lease incom</w:t>
            </w:r>
            <w:r>
              <w:rPr>
                <w:sz w:val="20"/>
                <w:szCs w:val="20"/>
              </w:rPr>
              <w:t>e</w:t>
            </w:r>
          </w:p>
        </w:tc>
        <w:tc>
          <w:tcPr>
            <w:tcW w:w="0" w:type="auto"/>
            <w:noWrap/>
            <w:vAlign w:val="bottom"/>
            <w:hideMark/>
          </w:tcPr>
          <w:p w14:paraId="1B30023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BD21CC0" w14:textId="77777777" w:rsidR="00000000" w:rsidRDefault="00632532">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14:paraId="66A5B5A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35F76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761AF7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956223" w14:textId="77777777" w:rsidR="00000000" w:rsidRDefault="00632532">
            <w:pPr>
              <w:pStyle w:val="a3"/>
              <w:spacing w:before="0" w:beforeAutospacing="0" w:after="0" w:afterAutospacing="0"/>
              <w:jc w:val="right"/>
              <w:rPr>
                <w:sz w:val="20"/>
                <w:szCs w:val="20"/>
              </w:rPr>
            </w:pPr>
            <w:r>
              <w:rPr>
                <w:sz w:val="20"/>
                <w:szCs w:val="20"/>
              </w:rPr>
              <w:t>4</w:t>
            </w:r>
          </w:p>
        </w:tc>
        <w:tc>
          <w:tcPr>
            <w:tcW w:w="0" w:type="auto"/>
            <w:noWrap/>
            <w:vAlign w:val="bottom"/>
            <w:hideMark/>
          </w:tcPr>
          <w:p w14:paraId="72E2C6E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F6A02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06AF69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2822949" w14:textId="77777777" w:rsidR="00000000" w:rsidRDefault="00632532">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14:paraId="0676D09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2D04D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51FEA6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711929" w14:textId="77777777" w:rsidR="00000000" w:rsidRDefault="00632532">
            <w:pPr>
              <w:pStyle w:val="a3"/>
              <w:spacing w:before="0" w:beforeAutospacing="0" w:after="0" w:afterAutospacing="0"/>
              <w:jc w:val="right"/>
              <w:rPr>
                <w:sz w:val="20"/>
                <w:szCs w:val="20"/>
              </w:rPr>
            </w:pPr>
            <w:r>
              <w:rPr>
                <w:sz w:val="20"/>
                <w:szCs w:val="20"/>
              </w:rPr>
              <w:t>5</w:t>
            </w:r>
          </w:p>
        </w:tc>
        <w:tc>
          <w:tcPr>
            <w:tcW w:w="0" w:type="auto"/>
            <w:noWrap/>
            <w:vAlign w:val="bottom"/>
            <w:hideMark/>
          </w:tcPr>
          <w:p w14:paraId="21DF1143" w14:textId="77777777" w:rsidR="00000000" w:rsidRDefault="00632532">
            <w:pPr>
              <w:pStyle w:val="a3"/>
              <w:spacing w:before="0" w:beforeAutospacing="0" w:after="0" w:afterAutospacing="0"/>
              <w:rPr>
                <w:sz w:val="20"/>
                <w:szCs w:val="20"/>
              </w:rPr>
            </w:pPr>
            <w:r>
              <w:rPr>
                <w:sz w:val="20"/>
                <w:szCs w:val="20"/>
              </w:rPr>
              <w:t> </w:t>
            </w:r>
          </w:p>
        </w:tc>
      </w:tr>
      <w:tr w:rsidR="00000000" w14:paraId="325321D5" w14:textId="77777777">
        <w:trPr>
          <w:divId w:val="1840384905"/>
          <w:trHeight w:val="200"/>
          <w:tblCellSpacing w:w="15" w:type="dxa"/>
        </w:trPr>
        <w:tc>
          <w:tcPr>
            <w:tcW w:w="0" w:type="auto"/>
            <w:hideMark/>
          </w:tcPr>
          <w:p w14:paraId="4DBD3117" w14:textId="77777777" w:rsidR="00000000" w:rsidRDefault="00632532">
            <w:pPr>
              <w:pStyle w:val="a3"/>
              <w:spacing w:before="0" w:beforeAutospacing="0" w:after="0" w:afterAutospacing="0"/>
              <w:rPr>
                <w:sz w:val="20"/>
                <w:szCs w:val="20"/>
              </w:rPr>
            </w:pPr>
            <w:r>
              <w:rPr>
                <w:sz w:val="20"/>
                <w:szCs w:val="20"/>
              </w:rPr>
              <w:t>Total lease incom</w:t>
            </w:r>
            <w:r>
              <w:rPr>
                <w:sz w:val="20"/>
                <w:szCs w:val="20"/>
              </w:rPr>
              <w:t>e</w:t>
            </w:r>
          </w:p>
        </w:tc>
        <w:tc>
          <w:tcPr>
            <w:tcW w:w="0" w:type="auto"/>
            <w:noWrap/>
            <w:vAlign w:val="bottom"/>
            <w:hideMark/>
          </w:tcPr>
          <w:p w14:paraId="6E11279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3284C02" w14:textId="77777777" w:rsidR="00000000" w:rsidRDefault="00632532">
            <w:pPr>
              <w:pStyle w:val="a3"/>
              <w:spacing w:before="0" w:beforeAutospacing="0" w:after="0" w:afterAutospacing="0"/>
              <w:jc w:val="right"/>
              <w:rPr>
                <w:sz w:val="20"/>
                <w:szCs w:val="20"/>
              </w:rPr>
            </w:pPr>
            <w:r>
              <w:rPr>
                <w:sz w:val="20"/>
                <w:szCs w:val="20"/>
              </w:rPr>
              <w:t>9</w:t>
            </w:r>
            <w:r>
              <w:rPr>
                <w:sz w:val="20"/>
                <w:szCs w:val="20"/>
              </w:rPr>
              <w:t>5</w:t>
            </w:r>
          </w:p>
        </w:tc>
        <w:tc>
          <w:tcPr>
            <w:tcW w:w="0" w:type="auto"/>
            <w:noWrap/>
            <w:vAlign w:val="bottom"/>
            <w:hideMark/>
          </w:tcPr>
          <w:p w14:paraId="5BF8AA4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A9B03F"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1DB592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6F7CECF" w14:textId="77777777" w:rsidR="00000000" w:rsidRDefault="00632532">
            <w:pPr>
              <w:pStyle w:val="a3"/>
              <w:spacing w:before="0" w:beforeAutospacing="0" w:after="0" w:afterAutospacing="0"/>
              <w:jc w:val="right"/>
              <w:rPr>
                <w:sz w:val="20"/>
                <w:szCs w:val="20"/>
              </w:rPr>
            </w:pPr>
            <w:r>
              <w:rPr>
                <w:sz w:val="20"/>
                <w:szCs w:val="20"/>
              </w:rPr>
              <w:t>8</w:t>
            </w:r>
            <w:r>
              <w:rPr>
                <w:sz w:val="20"/>
                <w:szCs w:val="20"/>
              </w:rPr>
              <w:t>5</w:t>
            </w:r>
          </w:p>
        </w:tc>
        <w:tc>
          <w:tcPr>
            <w:tcW w:w="0" w:type="auto"/>
            <w:noWrap/>
            <w:vAlign w:val="bottom"/>
            <w:hideMark/>
          </w:tcPr>
          <w:p w14:paraId="1BC5CA6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F24D7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391F69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1ACDE96" w14:textId="77777777" w:rsidR="00000000" w:rsidRDefault="00632532">
            <w:pPr>
              <w:pStyle w:val="a3"/>
              <w:spacing w:before="0" w:beforeAutospacing="0" w:after="0" w:afterAutospacing="0"/>
              <w:jc w:val="right"/>
              <w:rPr>
                <w:sz w:val="20"/>
                <w:szCs w:val="20"/>
              </w:rPr>
            </w:pPr>
            <w:r>
              <w:rPr>
                <w:sz w:val="20"/>
                <w:szCs w:val="20"/>
              </w:rPr>
              <w:t>19</w:t>
            </w:r>
            <w:r>
              <w:rPr>
                <w:sz w:val="20"/>
                <w:szCs w:val="20"/>
              </w:rPr>
              <w:t>3</w:t>
            </w:r>
          </w:p>
        </w:tc>
        <w:tc>
          <w:tcPr>
            <w:tcW w:w="0" w:type="auto"/>
            <w:noWrap/>
            <w:vAlign w:val="bottom"/>
            <w:hideMark/>
          </w:tcPr>
          <w:p w14:paraId="4FE3E60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FC6398"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185C23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379A076" w14:textId="77777777" w:rsidR="00000000" w:rsidRDefault="00632532">
            <w:pPr>
              <w:pStyle w:val="a3"/>
              <w:spacing w:before="0" w:beforeAutospacing="0" w:after="0" w:afterAutospacing="0"/>
              <w:jc w:val="right"/>
              <w:rPr>
                <w:sz w:val="20"/>
                <w:szCs w:val="20"/>
              </w:rPr>
            </w:pPr>
            <w:r>
              <w:rPr>
                <w:sz w:val="20"/>
                <w:szCs w:val="20"/>
              </w:rPr>
              <w:t>24</w:t>
            </w:r>
            <w:r>
              <w:rPr>
                <w:sz w:val="20"/>
                <w:szCs w:val="20"/>
              </w:rPr>
              <w:t>2</w:t>
            </w:r>
          </w:p>
        </w:tc>
        <w:tc>
          <w:tcPr>
            <w:tcW w:w="0" w:type="auto"/>
            <w:noWrap/>
            <w:vAlign w:val="bottom"/>
            <w:hideMark/>
          </w:tcPr>
          <w:p w14:paraId="7C0DA3D5" w14:textId="77777777" w:rsidR="00000000" w:rsidRDefault="00632532">
            <w:pPr>
              <w:pStyle w:val="a3"/>
              <w:spacing w:before="0" w:beforeAutospacing="0" w:after="0" w:afterAutospacing="0"/>
              <w:rPr>
                <w:sz w:val="20"/>
                <w:szCs w:val="20"/>
              </w:rPr>
            </w:pPr>
            <w:r>
              <w:rPr>
                <w:sz w:val="20"/>
                <w:szCs w:val="20"/>
              </w:rPr>
              <w:t> </w:t>
            </w:r>
          </w:p>
        </w:tc>
      </w:tr>
    </w:tbl>
    <w:p w14:paraId="3A45C12B" w14:textId="77777777" w:rsidR="00000000" w:rsidRDefault="00632532">
      <w:pPr>
        <w:pStyle w:val="a3"/>
        <w:spacing w:before="240" w:beforeAutospacing="0" w:after="0" w:afterAutospacing="0"/>
        <w:ind w:firstLine="555"/>
        <w:divId w:val="529027140"/>
        <w:rPr>
          <w:sz w:val="20"/>
          <w:szCs w:val="20"/>
        </w:rPr>
      </w:pPr>
      <w:r>
        <w:rPr>
          <w:sz w:val="20"/>
          <w:szCs w:val="20"/>
        </w:rPr>
        <w:t>Future fixed lease payments from tenants for all noncancelable operating leases as of June 30, 2022 are as follows</w:t>
      </w:r>
      <w:r>
        <w:rPr>
          <w:sz w:val="20"/>
          <w:szCs w:val="20"/>
        </w:rPr>
        <w:t>:</w:t>
      </w:r>
    </w:p>
    <w:p w14:paraId="211071D4" w14:textId="77777777" w:rsidR="00000000" w:rsidRDefault="00632532">
      <w:pPr>
        <w:pStyle w:val="a3"/>
        <w:spacing w:before="0" w:beforeAutospacing="0" w:after="0" w:afterAutospacing="0"/>
        <w:divId w:val="52902714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53"/>
        <w:gridCol w:w="161"/>
        <w:gridCol w:w="1867"/>
        <w:gridCol w:w="125"/>
      </w:tblGrid>
      <w:tr w:rsidR="00000000" w14:paraId="5668DD6C" w14:textId="77777777">
        <w:trPr>
          <w:divId w:val="529027140"/>
          <w:tblCellSpacing w:w="15" w:type="dxa"/>
        </w:trPr>
        <w:tc>
          <w:tcPr>
            <w:tcW w:w="3758" w:type="pct"/>
            <w:vAlign w:val="center"/>
            <w:hideMark/>
          </w:tcPr>
          <w:p w14:paraId="0EEB9860" w14:textId="77777777" w:rsidR="00000000" w:rsidRDefault="00632532">
            <w:pPr>
              <w:rPr>
                <w:sz w:val="20"/>
                <w:szCs w:val="20"/>
              </w:rPr>
            </w:pPr>
          </w:p>
        </w:tc>
        <w:tc>
          <w:tcPr>
            <w:tcW w:w="50" w:type="pct"/>
            <w:vAlign w:val="center"/>
            <w:hideMark/>
          </w:tcPr>
          <w:p w14:paraId="7F4163DA" w14:textId="77777777" w:rsidR="00000000" w:rsidRDefault="00632532">
            <w:pPr>
              <w:rPr>
                <w:rFonts w:eastAsia="Times New Roman"/>
                <w:sz w:val="20"/>
                <w:szCs w:val="20"/>
              </w:rPr>
            </w:pPr>
          </w:p>
        </w:tc>
        <w:tc>
          <w:tcPr>
            <w:tcW w:w="1141" w:type="pct"/>
            <w:vAlign w:val="center"/>
            <w:hideMark/>
          </w:tcPr>
          <w:p w14:paraId="0AA09F41" w14:textId="77777777" w:rsidR="00000000" w:rsidRDefault="00632532">
            <w:pPr>
              <w:rPr>
                <w:rFonts w:eastAsia="Times New Roman"/>
                <w:sz w:val="20"/>
                <w:szCs w:val="20"/>
              </w:rPr>
            </w:pPr>
          </w:p>
        </w:tc>
        <w:tc>
          <w:tcPr>
            <w:tcW w:w="50" w:type="pct"/>
            <w:vAlign w:val="center"/>
            <w:hideMark/>
          </w:tcPr>
          <w:p w14:paraId="4F0A3A3C" w14:textId="77777777" w:rsidR="00000000" w:rsidRDefault="00632532">
            <w:pPr>
              <w:rPr>
                <w:rFonts w:eastAsia="Times New Roman"/>
                <w:sz w:val="20"/>
                <w:szCs w:val="20"/>
              </w:rPr>
            </w:pPr>
          </w:p>
        </w:tc>
      </w:tr>
      <w:tr w:rsidR="00000000" w14:paraId="777280B3" w14:textId="77777777">
        <w:trPr>
          <w:divId w:val="529027140"/>
          <w:trHeight w:val="160"/>
          <w:tblCellSpacing w:w="15" w:type="dxa"/>
        </w:trPr>
        <w:tc>
          <w:tcPr>
            <w:tcW w:w="0" w:type="auto"/>
            <w:vAlign w:val="bottom"/>
            <w:hideMark/>
          </w:tcPr>
          <w:p w14:paraId="100358F8"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B78E8AD" w14:textId="77777777" w:rsidR="00000000" w:rsidRDefault="00632532">
            <w:pPr>
              <w:pStyle w:val="a3"/>
              <w:spacing w:before="0" w:beforeAutospacing="0" w:after="0" w:afterAutospacing="0"/>
              <w:jc w:val="center"/>
              <w:rPr>
                <w:sz w:val="16"/>
                <w:szCs w:val="16"/>
              </w:rPr>
            </w:pPr>
            <w:r>
              <w:rPr>
                <w:b/>
                <w:bCs/>
                <w:sz w:val="16"/>
                <w:szCs w:val="16"/>
              </w:rPr>
              <w:t>Lease Payment</w:t>
            </w:r>
            <w:r>
              <w:rPr>
                <w:b/>
                <w:bCs/>
                <w:sz w:val="16"/>
                <w:szCs w:val="16"/>
              </w:rPr>
              <w:t>s</w:t>
            </w:r>
          </w:p>
        </w:tc>
        <w:tc>
          <w:tcPr>
            <w:tcW w:w="0" w:type="auto"/>
            <w:vAlign w:val="bottom"/>
            <w:hideMark/>
          </w:tcPr>
          <w:p w14:paraId="188312BC"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54FA221" w14:textId="77777777">
        <w:trPr>
          <w:divId w:val="529027140"/>
          <w:trHeight w:val="160"/>
          <w:tblCellSpacing w:w="15" w:type="dxa"/>
        </w:trPr>
        <w:tc>
          <w:tcPr>
            <w:tcW w:w="0" w:type="auto"/>
            <w:vAlign w:val="bottom"/>
            <w:hideMark/>
          </w:tcPr>
          <w:p w14:paraId="7EC03B06"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FA559E1" w14:textId="77777777" w:rsidR="00000000" w:rsidRDefault="00632532">
            <w:pPr>
              <w:pStyle w:val="a3"/>
              <w:spacing w:before="0" w:beforeAutospacing="0" w:after="0" w:afterAutospacing="0"/>
              <w:jc w:val="center"/>
              <w:rPr>
                <w:sz w:val="16"/>
                <w:szCs w:val="16"/>
              </w:rPr>
            </w:pPr>
            <w:r>
              <w:rPr>
                <w:b/>
                <w:bCs/>
                <w:sz w:val="16"/>
                <w:szCs w:val="16"/>
              </w:rPr>
              <w:t>from Tenant</w:t>
            </w:r>
            <w:r>
              <w:rPr>
                <w:b/>
                <w:bCs/>
                <w:sz w:val="16"/>
                <w:szCs w:val="16"/>
              </w:rPr>
              <w:t>s</w:t>
            </w:r>
          </w:p>
        </w:tc>
        <w:tc>
          <w:tcPr>
            <w:tcW w:w="0" w:type="auto"/>
            <w:vAlign w:val="bottom"/>
            <w:hideMark/>
          </w:tcPr>
          <w:p w14:paraId="7575DA96"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41DEB65" w14:textId="77777777">
        <w:trPr>
          <w:divId w:val="529027140"/>
          <w:trHeight w:val="160"/>
          <w:tblCellSpacing w:w="15" w:type="dxa"/>
        </w:trPr>
        <w:tc>
          <w:tcPr>
            <w:tcW w:w="0" w:type="auto"/>
            <w:vAlign w:val="bottom"/>
            <w:hideMark/>
          </w:tcPr>
          <w:p w14:paraId="1B0BACB9"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9EDFBCB"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29E15245"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01B358BA" w14:textId="77777777">
        <w:trPr>
          <w:divId w:val="529027140"/>
          <w:trHeight w:val="200"/>
          <w:tblCellSpacing w:w="15" w:type="dxa"/>
        </w:trPr>
        <w:tc>
          <w:tcPr>
            <w:tcW w:w="0" w:type="auto"/>
            <w:vAlign w:val="bottom"/>
            <w:hideMark/>
          </w:tcPr>
          <w:p w14:paraId="4ADC62B9" w14:textId="77777777" w:rsidR="00000000" w:rsidRDefault="00632532">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vAlign w:val="bottom"/>
            <w:hideMark/>
          </w:tcPr>
          <w:p w14:paraId="03C435A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94B8829" w14:textId="77777777" w:rsidR="00000000" w:rsidRDefault="00632532">
            <w:pPr>
              <w:pStyle w:val="a3"/>
              <w:spacing w:before="0" w:beforeAutospacing="0" w:after="0" w:afterAutospacing="0"/>
              <w:rPr>
                <w:sz w:val="20"/>
                <w:szCs w:val="20"/>
              </w:rPr>
            </w:pPr>
            <w:r>
              <w:rPr>
                <w:sz w:val="20"/>
                <w:szCs w:val="20"/>
              </w:rPr>
              <w:t> </w:t>
            </w:r>
          </w:p>
        </w:tc>
      </w:tr>
      <w:tr w:rsidR="00000000" w14:paraId="1B6A3DFC" w14:textId="77777777">
        <w:trPr>
          <w:divId w:val="529027140"/>
          <w:trHeight w:val="200"/>
          <w:tblCellSpacing w:w="15" w:type="dxa"/>
        </w:trPr>
        <w:tc>
          <w:tcPr>
            <w:tcW w:w="0" w:type="auto"/>
            <w:vAlign w:val="bottom"/>
            <w:hideMark/>
          </w:tcPr>
          <w:p w14:paraId="585F8427" w14:textId="77777777" w:rsidR="00000000" w:rsidRDefault="00632532">
            <w:pPr>
              <w:pStyle w:val="a3"/>
              <w:spacing w:before="0" w:beforeAutospacing="0" w:after="0" w:afterAutospacing="0"/>
              <w:rPr>
                <w:sz w:val="20"/>
                <w:szCs w:val="20"/>
              </w:rPr>
            </w:pPr>
            <w:r>
              <w:rPr>
                <w:sz w:val="20"/>
                <w:szCs w:val="20"/>
              </w:rPr>
              <w:t>2022 (remaining 6 months</w:t>
            </w:r>
            <w:r>
              <w:rPr>
                <w:sz w:val="20"/>
                <w:szCs w:val="20"/>
              </w:rPr>
              <w:t>)</w:t>
            </w:r>
          </w:p>
        </w:tc>
        <w:tc>
          <w:tcPr>
            <w:tcW w:w="0" w:type="auto"/>
            <w:noWrap/>
            <w:vAlign w:val="bottom"/>
            <w:hideMark/>
          </w:tcPr>
          <w:p w14:paraId="635DA8E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B269E5C" w14:textId="77777777" w:rsidR="00000000" w:rsidRDefault="00632532">
            <w:pPr>
              <w:pStyle w:val="a3"/>
              <w:spacing w:before="0" w:beforeAutospacing="0" w:after="0" w:afterAutospacing="0"/>
              <w:jc w:val="right"/>
              <w:rPr>
                <w:sz w:val="20"/>
                <w:szCs w:val="20"/>
              </w:rPr>
            </w:pPr>
            <w:r>
              <w:rPr>
                <w:sz w:val="20"/>
                <w:szCs w:val="20"/>
              </w:rPr>
              <w:t>16</w:t>
            </w:r>
            <w:r>
              <w:rPr>
                <w:sz w:val="20"/>
                <w:szCs w:val="20"/>
              </w:rPr>
              <w:t>4</w:t>
            </w:r>
          </w:p>
        </w:tc>
        <w:tc>
          <w:tcPr>
            <w:tcW w:w="0" w:type="auto"/>
            <w:noWrap/>
            <w:vAlign w:val="bottom"/>
            <w:hideMark/>
          </w:tcPr>
          <w:p w14:paraId="3395F87A" w14:textId="77777777" w:rsidR="00000000" w:rsidRDefault="00632532">
            <w:pPr>
              <w:pStyle w:val="a3"/>
              <w:spacing w:before="0" w:beforeAutospacing="0" w:after="0" w:afterAutospacing="0"/>
              <w:rPr>
                <w:sz w:val="20"/>
                <w:szCs w:val="20"/>
              </w:rPr>
            </w:pPr>
            <w:r>
              <w:rPr>
                <w:sz w:val="20"/>
                <w:szCs w:val="20"/>
              </w:rPr>
              <w:t> </w:t>
            </w:r>
          </w:p>
        </w:tc>
      </w:tr>
      <w:tr w:rsidR="00000000" w14:paraId="1EAA1D10" w14:textId="77777777">
        <w:trPr>
          <w:divId w:val="529027140"/>
          <w:trHeight w:val="200"/>
          <w:tblCellSpacing w:w="15" w:type="dxa"/>
        </w:trPr>
        <w:tc>
          <w:tcPr>
            <w:tcW w:w="0" w:type="auto"/>
            <w:vAlign w:val="bottom"/>
            <w:hideMark/>
          </w:tcPr>
          <w:p w14:paraId="55D8A1F8" w14:textId="77777777" w:rsidR="00000000" w:rsidRDefault="00632532">
            <w:pPr>
              <w:pStyle w:val="a3"/>
              <w:spacing w:before="0" w:beforeAutospacing="0" w:after="0" w:afterAutospacing="0"/>
              <w:rPr>
                <w:sz w:val="20"/>
                <w:szCs w:val="20"/>
              </w:rPr>
            </w:pPr>
            <w:r>
              <w:rPr>
                <w:sz w:val="20"/>
                <w:szCs w:val="20"/>
              </w:rPr>
              <w:t>202</w:t>
            </w:r>
            <w:r>
              <w:rPr>
                <w:sz w:val="20"/>
                <w:szCs w:val="20"/>
              </w:rPr>
              <w:t>3</w:t>
            </w:r>
          </w:p>
        </w:tc>
        <w:tc>
          <w:tcPr>
            <w:tcW w:w="0" w:type="auto"/>
            <w:noWrap/>
            <w:vAlign w:val="bottom"/>
            <w:hideMark/>
          </w:tcPr>
          <w:p w14:paraId="72CA947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AF60BE" w14:textId="77777777" w:rsidR="00000000" w:rsidRDefault="00632532">
            <w:pPr>
              <w:pStyle w:val="a3"/>
              <w:spacing w:before="0" w:beforeAutospacing="0" w:after="0" w:afterAutospacing="0"/>
              <w:jc w:val="right"/>
              <w:rPr>
                <w:sz w:val="20"/>
                <w:szCs w:val="20"/>
              </w:rPr>
            </w:pPr>
            <w:r>
              <w:rPr>
                <w:sz w:val="20"/>
                <w:szCs w:val="20"/>
              </w:rPr>
              <w:t>26</w:t>
            </w:r>
            <w:r>
              <w:rPr>
                <w:sz w:val="20"/>
                <w:szCs w:val="20"/>
              </w:rPr>
              <w:t>4</w:t>
            </w:r>
          </w:p>
        </w:tc>
        <w:tc>
          <w:tcPr>
            <w:tcW w:w="0" w:type="auto"/>
            <w:noWrap/>
            <w:vAlign w:val="bottom"/>
            <w:hideMark/>
          </w:tcPr>
          <w:p w14:paraId="431F3110" w14:textId="77777777" w:rsidR="00000000" w:rsidRDefault="00632532">
            <w:pPr>
              <w:pStyle w:val="a3"/>
              <w:spacing w:before="0" w:beforeAutospacing="0" w:after="0" w:afterAutospacing="0"/>
              <w:rPr>
                <w:sz w:val="20"/>
                <w:szCs w:val="20"/>
              </w:rPr>
            </w:pPr>
            <w:r>
              <w:rPr>
                <w:sz w:val="20"/>
                <w:szCs w:val="20"/>
              </w:rPr>
              <w:t> </w:t>
            </w:r>
          </w:p>
        </w:tc>
      </w:tr>
      <w:tr w:rsidR="00000000" w14:paraId="12146BFF" w14:textId="77777777">
        <w:trPr>
          <w:divId w:val="529027140"/>
          <w:trHeight w:val="200"/>
          <w:tblCellSpacing w:w="15" w:type="dxa"/>
        </w:trPr>
        <w:tc>
          <w:tcPr>
            <w:tcW w:w="0" w:type="auto"/>
            <w:vAlign w:val="bottom"/>
            <w:hideMark/>
          </w:tcPr>
          <w:p w14:paraId="7F29B804" w14:textId="77777777" w:rsidR="00000000" w:rsidRDefault="00632532">
            <w:pPr>
              <w:pStyle w:val="a3"/>
              <w:spacing w:before="0" w:beforeAutospacing="0" w:after="0" w:afterAutospacing="0"/>
              <w:rPr>
                <w:sz w:val="20"/>
                <w:szCs w:val="20"/>
              </w:rPr>
            </w:pPr>
            <w:r>
              <w:rPr>
                <w:sz w:val="20"/>
                <w:szCs w:val="20"/>
              </w:rPr>
              <w:t>202</w:t>
            </w:r>
            <w:r>
              <w:rPr>
                <w:sz w:val="20"/>
                <w:szCs w:val="20"/>
              </w:rPr>
              <w:t>4</w:t>
            </w:r>
          </w:p>
        </w:tc>
        <w:tc>
          <w:tcPr>
            <w:tcW w:w="0" w:type="auto"/>
            <w:noWrap/>
            <w:vAlign w:val="bottom"/>
            <w:hideMark/>
          </w:tcPr>
          <w:p w14:paraId="7E855D0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D4F8F44" w14:textId="77777777" w:rsidR="00000000" w:rsidRDefault="00632532">
            <w:pPr>
              <w:pStyle w:val="a3"/>
              <w:spacing w:before="0" w:beforeAutospacing="0" w:after="0" w:afterAutospacing="0"/>
              <w:jc w:val="right"/>
              <w:rPr>
                <w:sz w:val="20"/>
                <w:szCs w:val="20"/>
              </w:rPr>
            </w:pPr>
            <w:r>
              <w:rPr>
                <w:sz w:val="20"/>
                <w:szCs w:val="20"/>
              </w:rPr>
              <w:t>18</w:t>
            </w:r>
            <w:r>
              <w:rPr>
                <w:sz w:val="20"/>
                <w:szCs w:val="20"/>
              </w:rPr>
              <w:t>0</w:t>
            </w:r>
          </w:p>
        </w:tc>
        <w:tc>
          <w:tcPr>
            <w:tcW w:w="0" w:type="auto"/>
            <w:noWrap/>
            <w:vAlign w:val="bottom"/>
            <w:hideMark/>
          </w:tcPr>
          <w:p w14:paraId="503811EC" w14:textId="77777777" w:rsidR="00000000" w:rsidRDefault="00632532">
            <w:pPr>
              <w:pStyle w:val="a3"/>
              <w:spacing w:before="0" w:beforeAutospacing="0" w:after="0" w:afterAutospacing="0"/>
              <w:rPr>
                <w:sz w:val="20"/>
                <w:szCs w:val="20"/>
              </w:rPr>
            </w:pPr>
            <w:r>
              <w:rPr>
                <w:sz w:val="20"/>
                <w:szCs w:val="20"/>
              </w:rPr>
              <w:t> </w:t>
            </w:r>
          </w:p>
        </w:tc>
      </w:tr>
      <w:tr w:rsidR="00000000" w14:paraId="428EE4D5" w14:textId="77777777">
        <w:trPr>
          <w:divId w:val="529027140"/>
          <w:trHeight w:val="200"/>
          <w:tblCellSpacing w:w="15" w:type="dxa"/>
        </w:trPr>
        <w:tc>
          <w:tcPr>
            <w:tcW w:w="0" w:type="auto"/>
            <w:vAlign w:val="bottom"/>
            <w:hideMark/>
          </w:tcPr>
          <w:p w14:paraId="347FC046" w14:textId="77777777" w:rsidR="00000000" w:rsidRDefault="00632532">
            <w:pPr>
              <w:pStyle w:val="a3"/>
              <w:spacing w:before="0" w:beforeAutospacing="0" w:after="0" w:afterAutospacing="0"/>
              <w:rPr>
                <w:sz w:val="20"/>
                <w:szCs w:val="20"/>
              </w:rPr>
            </w:pPr>
            <w:r>
              <w:rPr>
                <w:sz w:val="20"/>
                <w:szCs w:val="20"/>
              </w:rPr>
              <w:t>202</w:t>
            </w:r>
            <w:r>
              <w:rPr>
                <w:sz w:val="20"/>
                <w:szCs w:val="20"/>
              </w:rPr>
              <w:t>5</w:t>
            </w:r>
          </w:p>
        </w:tc>
        <w:tc>
          <w:tcPr>
            <w:tcW w:w="0" w:type="auto"/>
            <w:noWrap/>
            <w:vAlign w:val="bottom"/>
            <w:hideMark/>
          </w:tcPr>
          <w:p w14:paraId="23FFFE7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D20E8C" w14:textId="77777777" w:rsidR="00000000" w:rsidRDefault="00632532">
            <w:pPr>
              <w:pStyle w:val="a3"/>
              <w:spacing w:before="0" w:beforeAutospacing="0" w:after="0" w:afterAutospacing="0"/>
              <w:jc w:val="right"/>
              <w:rPr>
                <w:sz w:val="20"/>
                <w:szCs w:val="20"/>
              </w:rPr>
            </w:pPr>
            <w:r>
              <w:rPr>
                <w:sz w:val="20"/>
                <w:szCs w:val="20"/>
              </w:rPr>
              <w:t>12</w:t>
            </w:r>
            <w:r>
              <w:rPr>
                <w:sz w:val="20"/>
                <w:szCs w:val="20"/>
              </w:rPr>
              <w:t>0</w:t>
            </w:r>
          </w:p>
        </w:tc>
        <w:tc>
          <w:tcPr>
            <w:tcW w:w="0" w:type="auto"/>
            <w:noWrap/>
            <w:vAlign w:val="bottom"/>
            <w:hideMark/>
          </w:tcPr>
          <w:p w14:paraId="4B84D93D" w14:textId="77777777" w:rsidR="00000000" w:rsidRDefault="00632532">
            <w:pPr>
              <w:pStyle w:val="a3"/>
              <w:spacing w:before="0" w:beforeAutospacing="0" w:after="0" w:afterAutospacing="0"/>
              <w:rPr>
                <w:sz w:val="20"/>
                <w:szCs w:val="20"/>
              </w:rPr>
            </w:pPr>
            <w:r>
              <w:rPr>
                <w:sz w:val="20"/>
                <w:szCs w:val="20"/>
              </w:rPr>
              <w:t> </w:t>
            </w:r>
          </w:p>
        </w:tc>
      </w:tr>
      <w:tr w:rsidR="00000000" w14:paraId="05E4C981" w14:textId="77777777">
        <w:trPr>
          <w:divId w:val="529027140"/>
          <w:trHeight w:val="200"/>
          <w:tblCellSpacing w:w="15" w:type="dxa"/>
        </w:trPr>
        <w:tc>
          <w:tcPr>
            <w:tcW w:w="0" w:type="auto"/>
            <w:vAlign w:val="bottom"/>
            <w:hideMark/>
          </w:tcPr>
          <w:p w14:paraId="7EED99E4" w14:textId="77777777" w:rsidR="00000000" w:rsidRDefault="00632532">
            <w:pPr>
              <w:pStyle w:val="a3"/>
              <w:spacing w:before="0" w:beforeAutospacing="0" w:after="0" w:afterAutospacing="0"/>
              <w:ind w:left="100"/>
              <w:rPr>
                <w:sz w:val="20"/>
                <w:szCs w:val="20"/>
              </w:rPr>
            </w:pPr>
            <w:r>
              <w:rPr>
                <w:sz w:val="20"/>
                <w:szCs w:val="20"/>
              </w:rPr>
              <w:t>Tota</w:t>
            </w:r>
            <w:r>
              <w:rPr>
                <w:sz w:val="20"/>
                <w:szCs w:val="20"/>
              </w:rPr>
              <w:t>l</w:t>
            </w:r>
          </w:p>
        </w:tc>
        <w:tc>
          <w:tcPr>
            <w:tcW w:w="0" w:type="auto"/>
            <w:noWrap/>
            <w:vAlign w:val="bottom"/>
            <w:hideMark/>
          </w:tcPr>
          <w:p w14:paraId="7C35A9D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1C1EAEF" w14:textId="77777777" w:rsidR="00000000" w:rsidRDefault="00632532">
            <w:pPr>
              <w:pStyle w:val="a3"/>
              <w:spacing w:before="0" w:beforeAutospacing="0" w:after="0" w:afterAutospacing="0"/>
              <w:jc w:val="right"/>
              <w:rPr>
                <w:sz w:val="20"/>
                <w:szCs w:val="20"/>
              </w:rPr>
            </w:pPr>
            <w:r>
              <w:rPr>
                <w:sz w:val="20"/>
                <w:szCs w:val="20"/>
              </w:rPr>
              <w:t>72</w:t>
            </w:r>
            <w:r>
              <w:rPr>
                <w:sz w:val="20"/>
                <w:szCs w:val="20"/>
              </w:rPr>
              <w:t>8</w:t>
            </w:r>
          </w:p>
        </w:tc>
        <w:tc>
          <w:tcPr>
            <w:tcW w:w="0" w:type="auto"/>
            <w:noWrap/>
            <w:vAlign w:val="bottom"/>
            <w:hideMark/>
          </w:tcPr>
          <w:p w14:paraId="775EAB76" w14:textId="77777777" w:rsidR="00000000" w:rsidRDefault="00632532">
            <w:pPr>
              <w:pStyle w:val="a3"/>
              <w:spacing w:before="0" w:beforeAutospacing="0" w:after="0" w:afterAutospacing="0"/>
              <w:rPr>
                <w:sz w:val="20"/>
                <w:szCs w:val="20"/>
              </w:rPr>
            </w:pPr>
            <w:r>
              <w:rPr>
                <w:sz w:val="20"/>
                <w:szCs w:val="20"/>
              </w:rPr>
              <w:t> </w:t>
            </w:r>
          </w:p>
        </w:tc>
      </w:tr>
    </w:tbl>
    <w:p w14:paraId="35130240" w14:textId="77777777" w:rsidR="00000000" w:rsidRDefault="00632532">
      <w:pPr>
        <w:pStyle w:val="a3"/>
        <w:spacing w:before="0" w:beforeAutospacing="0" w:after="0" w:afterAutospacing="0"/>
        <w:rPr>
          <w:sz w:val="20"/>
          <w:szCs w:val="20"/>
        </w:rPr>
      </w:pPr>
      <w:r>
        <w:rPr>
          <w:sz w:val="20"/>
          <w:szCs w:val="20"/>
        </w:rPr>
        <w:t> </w:t>
      </w:r>
    </w:p>
    <w:p w14:paraId="354A276B" w14:textId="77777777" w:rsidR="00000000" w:rsidRDefault="00632532">
      <w:pPr>
        <w:pStyle w:val="a3"/>
        <w:spacing w:before="360" w:beforeAutospacing="0" w:after="0" w:afterAutospacing="0"/>
        <w:divId w:val="1770738479"/>
        <w:rPr>
          <w:sz w:val="20"/>
          <w:szCs w:val="20"/>
        </w:rPr>
      </w:pPr>
      <w:r>
        <w:rPr>
          <w:b/>
          <w:bCs/>
          <w:sz w:val="20"/>
          <w:szCs w:val="20"/>
        </w:rPr>
        <w:t>Note 10. Equity-Based Compensatio</w:t>
      </w:r>
      <w:r>
        <w:rPr>
          <w:b/>
          <w:bCs/>
          <w:sz w:val="20"/>
          <w:szCs w:val="20"/>
        </w:rPr>
        <w:t>n</w:t>
      </w:r>
    </w:p>
    <w:p w14:paraId="78D7095C" w14:textId="77777777" w:rsidR="00000000" w:rsidRDefault="00632532">
      <w:pPr>
        <w:pStyle w:val="a3"/>
        <w:spacing w:before="120" w:beforeAutospacing="0" w:after="0" w:afterAutospacing="0"/>
        <w:ind w:firstLine="555"/>
        <w:divId w:val="1967926414"/>
        <w:rPr>
          <w:sz w:val="20"/>
          <w:szCs w:val="20"/>
        </w:rPr>
      </w:pPr>
      <w:r>
        <w:rPr>
          <w:sz w:val="20"/>
          <w:szCs w:val="20"/>
        </w:rPr>
        <w:t>The Company has included equity-based compensation expense as part of cost of revenue and operating expenses in the accompanying Condensed Consolidated Statements of Income as follows</w:t>
      </w:r>
      <w:r>
        <w:rPr>
          <w:sz w:val="20"/>
          <w:szCs w:val="20"/>
        </w:rPr>
        <w:t>:</w:t>
      </w:r>
    </w:p>
    <w:p w14:paraId="6C8F184A" w14:textId="77777777" w:rsidR="00000000" w:rsidRDefault="00632532">
      <w:pPr>
        <w:pStyle w:val="a3"/>
        <w:spacing w:before="0" w:beforeAutospacing="0" w:after="0" w:afterAutospacing="0"/>
        <w:divId w:val="196792641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40"/>
        <w:gridCol w:w="160"/>
        <w:gridCol w:w="842"/>
        <w:gridCol w:w="110"/>
        <w:gridCol w:w="113"/>
        <w:gridCol w:w="160"/>
        <w:gridCol w:w="910"/>
        <w:gridCol w:w="110"/>
        <w:gridCol w:w="114"/>
        <w:gridCol w:w="160"/>
        <w:gridCol w:w="808"/>
        <w:gridCol w:w="110"/>
        <w:gridCol w:w="114"/>
        <w:gridCol w:w="160"/>
        <w:gridCol w:w="970"/>
        <w:gridCol w:w="125"/>
      </w:tblGrid>
      <w:tr w:rsidR="00000000" w14:paraId="6CA85E58" w14:textId="77777777">
        <w:trPr>
          <w:divId w:val="1967926414"/>
          <w:tblCellSpacing w:w="15" w:type="dxa"/>
        </w:trPr>
        <w:tc>
          <w:tcPr>
            <w:tcW w:w="2128" w:type="pct"/>
            <w:vAlign w:val="center"/>
            <w:hideMark/>
          </w:tcPr>
          <w:p w14:paraId="48A3B11D" w14:textId="77777777" w:rsidR="00000000" w:rsidRDefault="00632532">
            <w:pPr>
              <w:rPr>
                <w:sz w:val="20"/>
                <w:szCs w:val="20"/>
              </w:rPr>
            </w:pPr>
          </w:p>
        </w:tc>
        <w:tc>
          <w:tcPr>
            <w:tcW w:w="50" w:type="pct"/>
            <w:vAlign w:val="center"/>
            <w:hideMark/>
          </w:tcPr>
          <w:p w14:paraId="4ACE8478" w14:textId="77777777" w:rsidR="00000000" w:rsidRDefault="00632532">
            <w:pPr>
              <w:rPr>
                <w:rFonts w:eastAsia="Times New Roman"/>
                <w:sz w:val="20"/>
                <w:szCs w:val="20"/>
              </w:rPr>
            </w:pPr>
          </w:p>
        </w:tc>
        <w:tc>
          <w:tcPr>
            <w:tcW w:w="538" w:type="pct"/>
            <w:vAlign w:val="center"/>
            <w:hideMark/>
          </w:tcPr>
          <w:p w14:paraId="6FBCCEC0" w14:textId="77777777" w:rsidR="00000000" w:rsidRDefault="00632532">
            <w:pPr>
              <w:rPr>
                <w:rFonts w:eastAsia="Times New Roman"/>
                <w:sz w:val="20"/>
                <w:szCs w:val="20"/>
              </w:rPr>
            </w:pPr>
          </w:p>
        </w:tc>
        <w:tc>
          <w:tcPr>
            <w:tcW w:w="50" w:type="pct"/>
            <w:vAlign w:val="center"/>
            <w:hideMark/>
          </w:tcPr>
          <w:p w14:paraId="39548FD1" w14:textId="77777777" w:rsidR="00000000" w:rsidRDefault="00632532">
            <w:pPr>
              <w:rPr>
                <w:rFonts w:eastAsia="Times New Roman"/>
                <w:sz w:val="20"/>
                <w:szCs w:val="20"/>
              </w:rPr>
            </w:pPr>
          </w:p>
        </w:tc>
        <w:tc>
          <w:tcPr>
            <w:tcW w:w="71" w:type="pct"/>
            <w:vAlign w:val="center"/>
            <w:hideMark/>
          </w:tcPr>
          <w:p w14:paraId="7C1E0656" w14:textId="77777777" w:rsidR="00000000" w:rsidRDefault="00632532">
            <w:pPr>
              <w:rPr>
                <w:rFonts w:eastAsia="Times New Roman"/>
                <w:sz w:val="20"/>
                <w:szCs w:val="20"/>
              </w:rPr>
            </w:pPr>
          </w:p>
        </w:tc>
        <w:tc>
          <w:tcPr>
            <w:tcW w:w="50" w:type="pct"/>
            <w:vAlign w:val="center"/>
            <w:hideMark/>
          </w:tcPr>
          <w:p w14:paraId="26E60109" w14:textId="77777777" w:rsidR="00000000" w:rsidRDefault="00632532">
            <w:pPr>
              <w:rPr>
                <w:rFonts w:eastAsia="Times New Roman"/>
                <w:sz w:val="20"/>
                <w:szCs w:val="20"/>
              </w:rPr>
            </w:pPr>
          </w:p>
        </w:tc>
        <w:tc>
          <w:tcPr>
            <w:tcW w:w="581" w:type="pct"/>
            <w:vAlign w:val="center"/>
            <w:hideMark/>
          </w:tcPr>
          <w:p w14:paraId="60C29068" w14:textId="77777777" w:rsidR="00000000" w:rsidRDefault="00632532">
            <w:pPr>
              <w:rPr>
                <w:rFonts w:eastAsia="Times New Roman"/>
                <w:sz w:val="20"/>
                <w:szCs w:val="20"/>
              </w:rPr>
            </w:pPr>
          </w:p>
        </w:tc>
        <w:tc>
          <w:tcPr>
            <w:tcW w:w="50" w:type="pct"/>
            <w:vAlign w:val="center"/>
            <w:hideMark/>
          </w:tcPr>
          <w:p w14:paraId="232AD354" w14:textId="77777777" w:rsidR="00000000" w:rsidRDefault="00632532">
            <w:pPr>
              <w:rPr>
                <w:rFonts w:eastAsia="Times New Roman"/>
                <w:sz w:val="20"/>
                <w:szCs w:val="20"/>
              </w:rPr>
            </w:pPr>
          </w:p>
        </w:tc>
        <w:tc>
          <w:tcPr>
            <w:tcW w:w="71" w:type="pct"/>
            <w:vAlign w:val="center"/>
            <w:hideMark/>
          </w:tcPr>
          <w:p w14:paraId="3CFA066C" w14:textId="77777777" w:rsidR="00000000" w:rsidRDefault="00632532">
            <w:pPr>
              <w:rPr>
                <w:rFonts w:eastAsia="Times New Roman"/>
                <w:sz w:val="20"/>
                <w:szCs w:val="20"/>
              </w:rPr>
            </w:pPr>
          </w:p>
        </w:tc>
        <w:tc>
          <w:tcPr>
            <w:tcW w:w="50" w:type="pct"/>
            <w:vAlign w:val="center"/>
            <w:hideMark/>
          </w:tcPr>
          <w:p w14:paraId="5ED52CF5" w14:textId="77777777" w:rsidR="00000000" w:rsidRDefault="00632532">
            <w:pPr>
              <w:rPr>
                <w:rFonts w:eastAsia="Times New Roman"/>
                <w:sz w:val="20"/>
                <w:szCs w:val="20"/>
              </w:rPr>
            </w:pPr>
          </w:p>
        </w:tc>
        <w:tc>
          <w:tcPr>
            <w:tcW w:w="515" w:type="pct"/>
            <w:vAlign w:val="center"/>
            <w:hideMark/>
          </w:tcPr>
          <w:p w14:paraId="332A9709" w14:textId="77777777" w:rsidR="00000000" w:rsidRDefault="00632532">
            <w:pPr>
              <w:rPr>
                <w:rFonts w:eastAsia="Times New Roman"/>
                <w:sz w:val="20"/>
                <w:szCs w:val="20"/>
              </w:rPr>
            </w:pPr>
          </w:p>
        </w:tc>
        <w:tc>
          <w:tcPr>
            <w:tcW w:w="50" w:type="pct"/>
            <w:vAlign w:val="center"/>
            <w:hideMark/>
          </w:tcPr>
          <w:p w14:paraId="03F0FA8E" w14:textId="77777777" w:rsidR="00000000" w:rsidRDefault="00632532">
            <w:pPr>
              <w:rPr>
                <w:rFonts w:eastAsia="Times New Roman"/>
                <w:sz w:val="20"/>
                <w:szCs w:val="20"/>
              </w:rPr>
            </w:pPr>
          </w:p>
        </w:tc>
        <w:tc>
          <w:tcPr>
            <w:tcW w:w="71" w:type="pct"/>
            <w:vAlign w:val="center"/>
            <w:hideMark/>
          </w:tcPr>
          <w:p w14:paraId="4EC8DB99" w14:textId="77777777" w:rsidR="00000000" w:rsidRDefault="00632532">
            <w:pPr>
              <w:rPr>
                <w:rFonts w:eastAsia="Times New Roman"/>
                <w:sz w:val="20"/>
                <w:szCs w:val="20"/>
              </w:rPr>
            </w:pPr>
          </w:p>
        </w:tc>
        <w:tc>
          <w:tcPr>
            <w:tcW w:w="50" w:type="pct"/>
            <w:vAlign w:val="center"/>
            <w:hideMark/>
          </w:tcPr>
          <w:p w14:paraId="0A9D5766" w14:textId="77777777" w:rsidR="00000000" w:rsidRDefault="00632532">
            <w:pPr>
              <w:rPr>
                <w:rFonts w:eastAsia="Times New Roman"/>
                <w:sz w:val="20"/>
                <w:szCs w:val="20"/>
              </w:rPr>
            </w:pPr>
          </w:p>
        </w:tc>
        <w:tc>
          <w:tcPr>
            <w:tcW w:w="619" w:type="pct"/>
            <w:vAlign w:val="center"/>
            <w:hideMark/>
          </w:tcPr>
          <w:p w14:paraId="512E9D39" w14:textId="77777777" w:rsidR="00000000" w:rsidRDefault="00632532">
            <w:pPr>
              <w:rPr>
                <w:rFonts w:eastAsia="Times New Roman"/>
                <w:sz w:val="20"/>
                <w:szCs w:val="20"/>
              </w:rPr>
            </w:pPr>
          </w:p>
        </w:tc>
        <w:tc>
          <w:tcPr>
            <w:tcW w:w="50" w:type="pct"/>
            <w:vAlign w:val="center"/>
            <w:hideMark/>
          </w:tcPr>
          <w:p w14:paraId="04528441" w14:textId="77777777" w:rsidR="00000000" w:rsidRDefault="00632532">
            <w:pPr>
              <w:rPr>
                <w:rFonts w:eastAsia="Times New Roman"/>
                <w:sz w:val="20"/>
                <w:szCs w:val="20"/>
              </w:rPr>
            </w:pPr>
          </w:p>
        </w:tc>
      </w:tr>
      <w:tr w:rsidR="00000000" w14:paraId="11EFC637" w14:textId="77777777">
        <w:trPr>
          <w:divId w:val="1967926414"/>
          <w:trHeight w:val="160"/>
          <w:tblCellSpacing w:w="15" w:type="dxa"/>
        </w:trPr>
        <w:tc>
          <w:tcPr>
            <w:tcW w:w="0" w:type="auto"/>
            <w:hideMark/>
          </w:tcPr>
          <w:p w14:paraId="123840AB" w14:textId="77777777" w:rsidR="00000000" w:rsidRDefault="00632532">
            <w:pPr>
              <w:pStyle w:val="a3"/>
              <w:spacing w:before="0" w:beforeAutospacing="0" w:after="0" w:afterAutospacing="0"/>
              <w:rPr>
                <w:sz w:val="16"/>
                <w:szCs w:val="16"/>
              </w:rPr>
            </w:pPr>
            <w:r>
              <w:rPr>
                <w:sz w:val="16"/>
                <w:szCs w:val="16"/>
              </w:rPr>
              <w:t> </w:t>
            </w:r>
          </w:p>
        </w:tc>
        <w:tc>
          <w:tcPr>
            <w:tcW w:w="0" w:type="auto"/>
            <w:gridSpan w:val="6"/>
            <w:vAlign w:val="bottom"/>
            <w:hideMark/>
          </w:tcPr>
          <w:p w14:paraId="1315ACC7" w14:textId="77777777" w:rsidR="00000000" w:rsidRDefault="00632532">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4191FAC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84F6045"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382CE9B8"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2E0F0998"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B231DE3" w14:textId="77777777">
        <w:trPr>
          <w:divId w:val="1967926414"/>
          <w:trHeight w:val="160"/>
          <w:tblCellSpacing w:w="15" w:type="dxa"/>
        </w:trPr>
        <w:tc>
          <w:tcPr>
            <w:tcW w:w="0" w:type="auto"/>
            <w:hideMark/>
          </w:tcPr>
          <w:p w14:paraId="3693F616"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6554761E"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4444BB7"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B199E1E"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20D3E1CE"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B8A6DE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8A64CF9"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EE3A639"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2E6CDAA2"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10C517E"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709F240A"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4368899"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4A07D65" w14:textId="77777777">
        <w:trPr>
          <w:divId w:val="1967926414"/>
          <w:trHeight w:val="160"/>
          <w:tblCellSpacing w:w="15" w:type="dxa"/>
        </w:trPr>
        <w:tc>
          <w:tcPr>
            <w:tcW w:w="0" w:type="auto"/>
            <w:hideMark/>
          </w:tcPr>
          <w:p w14:paraId="6D3E722B"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hideMark/>
          </w:tcPr>
          <w:p w14:paraId="0FAEBA42"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14:paraId="3D2C3956"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2DE688F9" w14:textId="77777777">
        <w:trPr>
          <w:divId w:val="1967926414"/>
          <w:trHeight w:val="200"/>
          <w:tblCellSpacing w:w="15" w:type="dxa"/>
        </w:trPr>
        <w:tc>
          <w:tcPr>
            <w:tcW w:w="0" w:type="auto"/>
            <w:hideMark/>
          </w:tcPr>
          <w:p w14:paraId="7BF76DC5" w14:textId="77777777" w:rsidR="00000000" w:rsidRDefault="00632532">
            <w:pPr>
              <w:pStyle w:val="a3"/>
              <w:spacing w:before="0" w:beforeAutospacing="0" w:after="0" w:afterAutospacing="0"/>
              <w:rPr>
                <w:sz w:val="20"/>
                <w:szCs w:val="20"/>
              </w:rPr>
            </w:pPr>
            <w:r>
              <w:rPr>
                <w:sz w:val="20"/>
                <w:szCs w:val="20"/>
              </w:rPr>
              <w:t>Cost of revenu</w:t>
            </w:r>
            <w:r>
              <w:rPr>
                <w:sz w:val="20"/>
                <w:szCs w:val="20"/>
              </w:rPr>
              <w:t>e</w:t>
            </w:r>
          </w:p>
        </w:tc>
        <w:tc>
          <w:tcPr>
            <w:tcW w:w="0" w:type="auto"/>
            <w:noWrap/>
            <w:vAlign w:val="bottom"/>
            <w:hideMark/>
          </w:tcPr>
          <w:p w14:paraId="5E3B15D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BC22CA1" w14:textId="77777777" w:rsidR="00000000" w:rsidRDefault="00632532">
            <w:pPr>
              <w:pStyle w:val="a3"/>
              <w:spacing w:before="0" w:beforeAutospacing="0" w:after="0" w:afterAutospacing="0"/>
              <w:jc w:val="right"/>
              <w:rPr>
                <w:sz w:val="20"/>
                <w:szCs w:val="20"/>
              </w:rPr>
            </w:pPr>
            <w:r>
              <w:rPr>
                <w:sz w:val="20"/>
                <w:szCs w:val="20"/>
              </w:rPr>
              <w:t>2,24</w:t>
            </w:r>
            <w:r>
              <w:rPr>
                <w:sz w:val="20"/>
                <w:szCs w:val="20"/>
              </w:rPr>
              <w:t>3</w:t>
            </w:r>
          </w:p>
        </w:tc>
        <w:tc>
          <w:tcPr>
            <w:tcW w:w="0" w:type="auto"/>
            <w:noWrap/>
            <w:vAlign w:val="bottom"/>
            <w:hideMark/>
          </w:tcPr>
          <w:p w14:paraId="0336ED9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44755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655939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C0D1A98" w14:textId="77777777" w:rsidR="00000000" w:rsidRDefault="00632532">
            <w:pPr>
              <w:pStyle w:val="a3"/>
              <w:spacing w:before="0" w:beforeAutospacing="0" w:after="0" w:afterAutospacing="0"/>
              <w:jc w:val="right"/>
              <w:rPr>
                <w:sz w:val="20"/>
                <w:szCs w:val="20"/>
              </w:rPr>
            </w:pPr>
            <w:r>
              <w:rPr>
                <w:sz w:val="20"/>
                <w:szCs w:val="20"/>
              </w:rPr>
              <w:t>69</w:t>
            </w:r>
            <w:r>
              <w:rPr>
                <w:sz w:val="20"/>
                <w:szCs w:val="20"/>
              </w:rPr>
              <w:t>2</w:t>
            </w:r>
          </w:p>
        </w:tc>
        <w:tc>
          <w:tcPr>
            <w:tcW w:w="0" w:type="auto"/>
            <w:noWrap/>
            <w:vAlign w:val="bottom"/>
            <w:hideMark/>
          </w:tcPr>
          <w:p w14:paraId="2DC21F5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B3962E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3946CB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01BB425" w14:textId="77777777" w:rsidR="00000000" w:rsidRDefault="00632532">
            <w:pPr>
              <w:pStyle w:val="a3"/>
              <w:spacing w:before="0" w:beforeAutospacing="0" w:after="0" w:afterAutospacing="0"/>
              <w:jc w:val="right"/>
              <w:rPr>
                <w:sz w:val="20"/>
                <w:szCs w:val="20"/>
              </w:rPr>
            </w:pPr>
            <w:r>
              <w:rPr>
                <w:sz w:val="20"/>
                <w:szCs w:val="20"/>
              </w:rPr>
              <w:t>3,70</w:t>
            </w:r>
            <w:r>
              <w:rPr>
                <w:sz w:val="20"/>
                <w:szCs w:val="20"/>
              </w:rPr>
              <w:t>8</w:t>
            </w:r>
          </w:p>
        </w:tc>
        <w:tc>
          <w:tcPr>
            <w:tcW w:w="0" w:type="auto"/>
            <w:noWrap/>
            <w:vAlign w:val="bottom"/>
            <w:hideMark/>
          </w:tcPr>
          <w:p w14:paraId="21DADF7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BB7A8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7592E0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3482607" w14:textId="77777777" w:rsidR="00000000" w:rsidRDefault="00632532">
            <w:pPr>
              <w:pStyle w:val="a3"/>
              <w:spacing w:before="0" w:beforeAutospacing="0" w:after="0" w:afterAutospacing="0"/>
              <w:jc w:val="right"/>
              <w:rPr>
                <w:sz w:val="20"/>
                <w:szCs w:val="20"/>
              </w:rPr>
            </w:pPr>
            <w:r>
              <w:rPr>
                <w:sz w:val="20"/>
                <w:szCs w:val="20"/>
              </w:rPr>
              <w:t>1,36</w:t>
            </w:r>
            <w:r>
              <w:rPr>
                <w:sz w:val="20"/>
                <w:szCs w:val="20"/>
              </w:rPr>
              <w:t>6</w:t>
            </w:r>
          </w:p>
        </w:tc>
        <w:tc>
          <w:tcPr>
            <w:tcW w:w="0" w:type="auto"/>
            <w:noWrap/>
            <w:vAlign w:val="bottom"/>
            <w:hideMark/>
          </w:tcPr>
          <w:p w14:paraId="01E79FB5" w14:textId="77777777" w:rsidR="00000000" w:rsidRDefault="00632532">
            <w:pPr>
              <w:pStyle w:val="a3"/>
              <w:spacing w:before="0" w:beforeAutospacing="0" w:after="0" w:afterAutospacing="0"/>
              <w:rPr>
                <w:sz w:val="20"/>
                <w:szCs w:val="20"/>
              </w:rPr>
            </w:pPr>
            <w:r>
              <w:rPr>
                <w:sz w:val="20"/>
                <w:szCs w:val="20"/>
              </w:rPr>
              <w:t> </w:t>
            </w:r>
          </w:p>
        </w:tc>
      </w:tr>
      <w:tr w:rsidR="00000000" w14:paraId="25705ADA" w14:textId="77777777">
        <w:trPr>
          <w:divId w:val="1967926414"/>
          <w:trHeight w:val="200"/>
          <w:tblCellSpacing w:w="15" w:type="dxa"/>
        </w:trPr>
        <w:tc>
          <w:tcPr>
            <w:tcW w:w="0" w:type="auto"/>
            <w:hideMark/>
          </w:tcPr>
          <w:p w14:paraId="00217500" w14:textId="77777777" w:rsidR="00000000" w:rsidRDefault="00632532">
            <w:pPr>
              <w:pStyle w:val="a3"/>
              <w:spacing w:before="0" w:beforeAutospacing="0" w:after="0" w:afterAutospacing="0"/>
              <w:rPr>
                <w:sz w:val="20"/>
                <w:szCs w:val="20"/>
              </w:rPr>
            </w:pPr>
            <w:r>
              <w:rPr>
                <w:sz w:val="20"/>
                <w:szCs w:val="20"/>
              </w:rPr>
              <w:t>Research and developmen</w:t>
            </w:r>
            <w:r>
              <w:rPr>
                <w:sz w:val="20"/>
                <w:szCs w:val="20"/>
              </w:rPr>
              <w:t>t</w:t>
            </w:r>
          </w:p>
        </w:tc>
        <w:tc>
          <w:tcPr>
            <w:tcW w:w="0" w:type="auto"/>
            <w:noWrap/>
            <w:vAlign w:val="bottom"/>
            <w:hideMark/>
          </w:tcPr>
          <w:p w14:paraId="1E9223D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775DAB4" w14:textId="77777777" w:rsidR="00000000" w:rsidRDefault="00632532">
            <w:pPr>
              <w:pStyle w:val="a3"/>
              <w:spacing w:before="0" w:beforeAutospacing="0" w:after="0" w:afterAutospacing="0"/>
              <w:jc w:val="right"/>
              <w:rPr>
                <w:sz w:val="20"/>
                <w:szCs w:val="20"/>
              </w:rPr>
            </w:pPr>
            <w:r>
              <w:rPr>
                <w:sz w:val="20"/>
                <w:szCs w:val="20"/>
              </w:rPr>
              <w:t>2,50</w:t>
            </w:r>
            <w:r>
              <w:rPr>
                <w:sz w:val="20"/>
                <w:szCs w:val="20"/>
              </w:rPr>
              <w:t>2</w:t>
            </w:r>
          </w:p>
        </w:tc>
        <w:tc>
          <w:tcPr>
            <w:tcW w:w="0" w:type="auto"/>
            <w:noWrap/>
            <w:vAlign w:val="bottom"/>
            <w:hideMark/>
          </w:tcPr>
          <w:p w14:paraId="2F540D5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68FEC2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A62E36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BA43A6" w14:textId="77777777" w:rsidR="00000000" w:rsidRDefault="00632532">
            <w:pPr>
              <w:pStyle w:val="a3"/>
              <w:spacing w:before="0" w:beforeAutospacing="0" w:after="0" w:afterAutospacing="0"/>
              <w:jc w:val="right"/>
              <w:rPr>
                <w:sz w:val="20"/>
                <w:szCs w:val="20"/>
              </w:rPr>
            </w:pPr>
            <w:r>
              <w:rPr>
                <w:sz w:val="20"/>
                <w:szCs w:val="20"/>
              </w:rPr>
              <w:t>1,48</w:t>
            </w:r>
            <w:r>
              <w:rPr>
                <w:sz w:val="20"/>
                <w:szCs w:val="20"/>
              </w:rPr>
              <w:t>1</w:t>
            </w:r>
          </w:p>
        </w:tc>
        <w:tc>
          <w:tcPr>
            <w:tcW w:w="0" w:type="auto"/>
            <w:noWrap/>
            <w:vAlign w:val="bottom"/>
            <w:hideMark/>
          </w:tcPr>
          <w:p w14:paraId="2AC22CB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3A5A8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7AF8BB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8EC404" w14:textId="77777777" w:rsidR="00000000" w:rsidRDefault="00632532">
            <w:pPr>
              <w:pStyle w:val="a3"/>
              <w:spacing w:before="0" w:beforeAutospacing="0" w:after="0" w:afterAutospacing="0"/>
              <w:jc w:val="right"/>
              <w:rPr>
                <w:sz w:val="20"/>
                <w:szCs w:val="20"/>
              </w:rPr>
            </w:pPr>
            <w:r>
              <w:rPr>
                <w:sz w:val="20"/>
                <w:szCs w:val="20"/>
              </w:rPr>
              <w:t>4,42</w:t>
            </w:r>
            <w:r>
              <w:rPr>
                <w:sz w:val="20"/>
                <w:szCs w:val="20"/>
              </w:rPr>
              <w:t>3</w:t>
            </w:r>
          </w:p>
        </w:tc>
        <w:tc>
          <w:tcPr>
            <w:tcW w:w="0" w:type="auto"/>
            <w:noWrap/>
            <w:vAlign w:val="bottom"/>
            <w:hideMark/>
          </w:tcPr>
          <w:p w14:paraId="5402A89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50997B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C0E4DE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BCF6B83" w14:textId="77777777" w:rsidR="00000000" w:rsidRDefault="00632532">
            <w:pPr>
              <w:pStyle w:val="a3"/>
              <w:spacing w:before="0" w:beforeAutospacing="0" w:after="0" w:afterAutospacing="0"/>
              <w:jc w:val="right"/>
              <w:rPr>
                <w:sz w:val="20"/>
                <w:szCs w:val="20"/>
              </w:rPr>
            </w:pPr>
            <w:r>
              <w:rPr>
                <w:sz w:val="20"/>
                <w:szCs w:val="20"/>
              </w:rPr>
              <w:t>2,70</w:t>
            </w:r>
            <w:r>
              <w:rPr>
                <w:sz w:val="20"/>
                <w:szCs w:val="20"/>
              </w:rPr>
              <w:t>4</w:t>
            </w:r>
          </w:p>
        </w:tc>
        <w:tc>
          <w:tcPr>
            <w:tcW w:w="0" w:type="auto"/>
            <w:noWrap/>
            <w:vAlign w:val="bottom"/>
            <w:hideMark/>
          </w:tcPr>
          <w:p w14:paraId="4F5C5D33" w14:textId="77777777" w:rsidR="00000000" w:rsidRDefault="00632532">
            <w:pPr>
              <w:pStyle w:val="a3"/>
              <w:spacing w:before="0" w:beforeAutospacing="0" w:after="0" w:afterAutospacing="0"/>
              <w:rPr>
                <w:sz w:val="20"/>
                <w:szCs w:val="20"/>
              </w:rPr>
            </w:pPr>
            <w:r>
              <w:rPr>
                <w:sz w:val="20"/>
                <w:szCs w:val="20"/>
              </w:rPr>
              <w:t> </w:t>
            </w:r>
          </w:p>
        </w:tc>
      </w:tr>
      <w:tr w:rsidR="00000000" w14:paraId="57775C9D" w14:textId="77777777">
        <w:trPr>
          <w:divId w:val="1967926414"/>
          <w:trHeight w:val="200"/>
          <w:tblCellSpacing w:w="15" w:type="dxa"/>
        </w:trPr>
        <w:tc>
          <w:tcPr>
            <w:tcW w:w="0" w:type="auto"/>
            <w:hideMark/>
          </w:tcPr>
          <w:p w14:paraId="625A1132" w14:textId="77777777" w:rsidR="00000000" w:rsidRDefault="00632532">
            <w:pPr>
              <w:pStyle w:val="a3"/>
              <w:spacing w:before="0" w:beforeAutospacing="0" w:after="0" w:afterAutospacing="0"/>
              <w:rPr>
                <w:sz w:val="20"/>
                <w:szCs w:val="20"/>
              </w:rPr>
            </w:pPr>
            <w:r>
              <w:rPr>
                <w:sz w:val="20"/>
                <w:szCs w:val="20"/>
              </w:rPr>
              <w:t>Selling and marketin</w:t>
            </w:r>
            <w:r>
              <w:rPr>
                <w:sz w:val="20"/>
                <w:szCs w:val="20"/>
              </w:rPr>
              <w:t>g</w:t>
            </w:r>
          </w:p>
        </w:tc>
        <w:tc>
          <w:tcPr>
            <w:tcW w:w="0" w:type="auto"/>
            <w:noWrap/>
            <w:vAlign w:val="bottom"/>
            <w:hideMark/>
          </w:tcPr>
          <w:p w14:paraId="3452874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D1B8527" w14:textId="77777777" w:rsidR="00000000" w:rsidRDefault="00632532">
            <w:pPr>
              <w:pStyle w:val="a3"/>
              <w:spacing w:before="0" w:beforeAutospacing="0" w:after="0" w:afterAutospacing="0"/>
              <w:jc w:val="right"/>
              <w:rPr>
                <w:sz w:val="20"/>
                <w:szCs w:val="20"/>
              </w:rPr>
            </w:pPr>
            <w:r>
              <w:rPr>
                <w:sz w:val="20"/>
                <w:szCs w:val="20"/>
              </w:rPr>
              <w:t>1,08</w:t>
            </w:r>
            <w:r>
              <w:rPr>
                <w:sz w:val="20"/>
                <w:szCs w:val="20"/>
              </w:rPr>
              <w:t>0</w:t>
            </w:r>
          </w:p>
        </w:tc>
        <w:tc>
          <w:tcPr>
            <w:tcW w:w="0" w:type="auto"/>
            <w:noWrap/>
            <w:vAlign w:val="bottom"/>
            <w:hideMark/>
          </w:tcPr>
          <w:p w14:paraId="03D0206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7702B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AAF889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B17AA21" w14:textId="77777777" w:rsidR="00000000" w:rsidRDefault="00632532">
            <w:pPr>
              <w:pStyle w:val="a3"/>
              <w:spacing w:before="0" w:beforeAutospacing="0" w:after="0" w:afterAutospacing="0"/>
              <w:jc w:val="right"/>
              <w:rPr>
                <w:sz w:val="20"/>
                <w:szCs w:val="20"/>
              </w:rPr>
            </w:pPr>
            <w:r>
              <w:rPr>
                <w:sz w:val="20"/>
                <w:szCs w:val="20"/>
              </w:rPr>
              <w:t>62</w:t>
            </w:r>
            <w:r>
              <w:rPr>
                <w:sz w:val="20"/>
                <w:szCs w:val="20"/>
              </w:rPr>
              <w:t>0</w:t>
            </w:r>
          </w:p>
        </w:tc>
        <w:tc>
          <w:tcPr>
            <w:tcW w:w="0" w:type="auto"/>
            <w:noWrap/>
            <w:vAlign w:val="bottom"/>
            <w:hideMark/>
          </w:tcPr>
          <w:p w14:paraId="25E659F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116A92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D652FF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DEED46E" w14:textId="77777777" w:rsidR="00000000" w:rsidRDefault="00632532">
            <w:pPr>
              <w:pStyle w:val="a3"/>
              <w:spacing w:before="0" w:beforeAutospacing="0" w:after="0" w:afterAutospacing="0"/>
              <w:jc w:val="right"/>
              <w:rPr>
                <w:sz w:val="20"/>
                <w:szCs w:val="20"/>
              </w:rPr>
            </w:pPr>
            <w:r>
              <w:rPr>
                <w:sz w:val="20"/>
                <w:szCs w:val="20"/>
              </w:rPr>
              <w:t>1,90</w:t>
            </w:r>
            <w:r>
              <w:rPr>
                <w:sz w:val="20"/>
                <w:szCs w:val="20"/>
              </w:rPr>
              <w:t>5</w:t>
            </w:r>
          </w:p>
        </w:tc>
        <w:tc>
          <w:tcPr>
            <w:tcW w:w="0" w:type="auto"/>
            <w:noWrap/>
            <w:vAlign w:val="bottom"/>
            <w:hideMark/>
          </w:tcPr>
          <w:p w14:paraId="6E58396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9A0170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D9FB73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3448CC1" w14:textId="77777777" w:rsidR="00000000" w:rsidRDefault="00632532">
            <w:pPr>
              <w:pStyle w:val="a3"/>
              <w:spacing w:before="0" w:beforeAutospacing="0" w:after="0" w:afterAutospacing="0"/>
              <w:jc w:val="right"/>
              <w:rPr>
                <w:sz w:val="20"/>
                <w:szCs w:val="20"/>
              </w:rPr>
            </w:pPr>
            <w:r>
              <w:rPr>
                <w:sz w:val="20"/>
                <w:szCs w:val="20"/>
              </w:rPr>
              <w:t>1,04</w:t>
            </w:r>
            <w:r>
              <w:rPr>
                <w:sz w:val="20"/>
                <w:szCs w:val="20"/>
              </w:rPr>
              <w:t>6</w:t>
            </w:r>
          </w:p>
        </w:tc>
        <w:tc>
          <w:tcPr>
            <w:tcW w:w="0" w:type="auto"/>
            <w:noWrap/>
            <w:vAlign w:val="bottom"/>
            <w:hideMark/>
          </w:tcPr>
          <w:p w14:paraId="47D87E70" w14:textId="77777777" w:rsidR="00000000" w:rsidRDefault="00632532">
            <w:pPr>
              <w:pStyle w:val="a3"/>
              <w:spacing w:before="0" w:beforeAutospacing="0" w:after="0" w:afterAutospacing="0"/>
              <w:rPr>
                <w:sz w:val="20"/>
                <w:szCs w:val="20"/>
              </w:rPr>
            </w:pPr>
            <w:r>
              <w:rPr>
                <w:sz w:val="20"/>
                <w:szCs w:val="20"/>
              </w:rPr>
              <w:t> </w:t>
            </w:r>
          </w:p>
        </w:tc>
      </w:tr>
      <w:tr w:rsidR="00000000" w14:paraId="2326A939" w14:textId="77777777">
        <w:trPr>
          <w:divId w:val="1967926414"/>
          <w:trHeight w:val="200"/>
          <w:tblCellSpacing w:w="15" w:type="dxa"/>
        </w:trPr>
        <w:tc>
          <w:tcPr>
            <w:tcW w:w="0" w:type="auto"/>
            <w:hideMark/>
          </w:tcPr>
          <w:p w14:paraId="1928C948" w14:textId="77777777" w:rsidR="00000000" w:rsidRDefault="00632532">
            <w:pPr>
              <w:pStyle w:val="a3"/>
              <w:spacing w:before="0" w:beforeAutospacing="0" w:after="0" w:afterAutospacing="0"/>
              <w:rPr>
                <w:sz w:val="20"/>
                <w:szCs w:val="20"/>
              </w:rPr>
            </w:pPr>
            <w:r>
              <w:rPr>
                <w:sz w:val="20"/>
                <w:szCs w:val="20"/>
              </w:rPr>
              <w:t>General and administrativ</w:t>
            </w:r>
            <w:r>
              <w:rPr>
                <w:sz w:val="20"/>
                <w:szCs w:val="20"/>
              </w:rPr>
              <w:t>e</w:t>
            </w:r>
          </w:p>
        </w:tc>
        <w:tc>
          <w:tcPr>
            <w:tcW w:w="0" w:type="auto"/>
            <w:noWrap/>
            <w:vAlign w:val="bottom"/>
            <w:hideMark/>
          </w:tcPr>
          <w:p w14:paraId="4CBE854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40AEDFF" w14:textId="77777777" w:rsidR="00000000" w:rsidRDefault="00632532">
            <w:pPr>
              <w:pStyle w:val="a3"/>
              <w:spacing w:before="0" w:beforeAutospacing="0" w:after="0" w:afterAutospacing="0"/>
              <w:jc w:val="right"/>
              <w:rPr>
                <w:sz w:val="20"/>
                <w:szCs w:val="20"/>
              </w:rPr>
            </w:pPr>
            <w:r>
              <w:rPr>
                <w:sz w:val="20"/>
                <w:szCs w:val="20"/>
              </w:rPr>
              <w:t>2,20</w:t>
            </w:r>
            <w:r>
              <w:rPr>
                <w:sz w:val="20"/>
                <w:szCs w:val="20"/>
              </w:rPr>
              <w:t>5</w:t>
            </w:r>
          </w:p>
        </w:tc>
        <w:tc>
          <w:tcPr>
            <w:tcW w:w="0" w:type="auto"/>
            <w:noWrap/>
            <w:vAlign w:val="bottom"/>
            <w:hideMark/>
          </w:tcPr>
          <w:p w14:paraId="7259323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E94FD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BA994F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C3E294" w14:textId="77777777" w:rsidR="00000000" w:rsidRDefault="00632532">
            <w:pPr>
              <w:pStyle w:val="a3"/>
              <w:spacing w:before="0" w:beforeAutospacing="0" w:after="0" w:afterAutospacing="0"/>
              <w:jc w:val="right"/>
              <w:rPr>
                <w:sz w:val="20"/>
                <w:szCs w:val="20"/>
              </w:rPr>
            </w:pPr>
            <w:r>
              <w:rPr>
                <w:sz w:val="20"/>
                <w:szCs w:val="20"/>
              </w:rPr>
              <w:t>73</w:t>
            </w:r>
            <w:r>
              <w:rPr>
                <w:sz w:val="20"/>
                <w:szCs w:val="20"/>
              </w:rPr>
              <w:t>3</w:t>
            </w:r>
          </w:p>
        </w:tc>
        <w:tc>
          <w:tcPr>
            <w:tcW w:w="0" w:type="auto"/>
            <w:noWrap/>
            <w:vAlign w:val="bottom"/>
            <w:hideMark/>
          </w:tcPr>
          <w:p w14:paraId="2CD8195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51D73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3B9DE9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C9D8567" w14:textId="77777777" w:rsidR="00000000" w:rsidRDefault="00632532">
            <w:pPr>
              <w:pStyle w:val="a3"/>
              <w:spacing w:before="0" w:beforeAutospacing="0" w:after="0" w:afterAutospacing="0"/>
              <w:jc w:val="right"/>
              <w:rPr>
                <w:sz w:val="20"/>
                <w:szCs w:val="20"/>
              </w:rPr>
            </w:pPr>
            <w:r>
              <w:rPr>
                <w:sz w:val="20"/>
                <w:szCs w:val="20"/>
              </w:rPr>
              <w:t>3,61</w:t>
            </w:r>
            <w:r>
              <w:rPr>
                <w:sz w:val="20"/>
                <w:szCs w:val="20"/>
              </w:rPr>
              <w:t>0</w:t>
            </w:r>
          </w:p>
        </w:tc>
        <w:tc>
          <w:tcPr>
            <w:tcW w:w="0" w:type="auto"/>
            <w:noWrap/>
            <w:vAlign w:val="bottom"/>
            <w:hideMark/>
          </w:tcPr>
          <w:p w14:paraId="6213708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D08FA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224FF9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06E4DF3" w14:textId="77777777" w:rsidR="00000000" w:rsidRDefault="00632532">
            <w:pPr>
              <w:pStyle w:val="a3"/>
              <w:spacing w:before="0" w:beforeAutospacing="0" w:after="0" w:afterAutospacing="0"/>
              <w:jc w:val="right"/>
              <w:rPr>
                <w:sz w:val="20"/>
                <w:szCs w:val="20"/>
              </w:rPr>
            </w:pPr>
            <w:r>
              <w:rPr>
                <w:sz w:val="20"/>
                <w:szCs w:val="20"/>
              </w:rPr>
              <w:t>1,37</w:t>
            </w:r>
            <w:r>
              <w:rPr>
                <w:sz w:val="20"/>
                <w:szCs w:val="20"/>
              </w:rPr>
              <w:t>2</w:t>
            </w:r>
          </w:p>
        </w:tc>
        <w:tc>
          <w:tcPr>
            <w:tcW w:w="0" w:type="auto"/>
            <w:noWrap/>
            <w:vAlign w:val="bottom"/>
            <w:hideMark/>
          </w:tcPr>
          <w:p w14:paraId="42B1340D" w14:textId="77777777" w:rsidR="00000000" w:rsidRDefault="00632532">
            <w:pPr>
              <w:pStyle w:val="a3"/>
              <w:spacing w:before="0" w:beforeAutospacing="0" w:after="0" w:afterAutospacing="0"/>
              <w:rPr>
                <w:sz w:val="20"/>
                <w:szCs w:val="20"/>
              </w:rPr>
            </w:pPr>
            <w:r>
              <w:rPr>
                <w:sz w:val="20"/>
                <w:szCs w:val="20"/>
              </w:rPr>
              <w:t> </w:t>
            </w:r>
          </w:p>
        </w:tc>
      </w:tr>
      <w:tr w:rsidR="00000000" w14:paraId="15A56930" w14:textId="77777777">
        <w:trPr>
          <w:divId w:val="1967926414"/>
          <w:trHeight w:val="200"/>
          <w:tblCellSpacing w:w="15" w:type="dxa"/>
        </w:trPr>
        <w:tc>
          <w:tcPr>
            <w:tcW w:w="0" w:type="auto"/>
            <w:hideMark/>
          </w:tcPr>
          <w:p w14:paraId="1D36A2A9" w14:textId="77777777" w:rsidR="00000000" w:rsidRDefault="00632532">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14:paraId="540AF4A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3587A8B" w14:textId="77777777" w:rsidR="00000000" w:rsidRDefault="00632532">
            <w:pPr>
              <w:pStyle w:val="a3"/>
              <w:spacing w:before="0" w:beforeAutospacing="0" w:after="0" w:afterAutospacing="0"/>
              <w:jc w:val="right"/>
              <w:rPr>
                <w:sz w:val="20"/>
                <w:szCs w:val="20"/>
              </w:rPr>
            </w:pPr>
            <w:r>
              <w:rPr>
                <w:sz w:val="20"/>
                <w:szCs w:val="20"/>
              </w:rPr>
              <w:t>8,03</w:t>
            </w:r>
            <w:r>
              <w:rPr>
                <w:sz w:val="20"/>
                <w:szCs w:val="20"/>
              </w:rPr>
              <w:t>0</w:t>
            </w:r>
          </w:p>
        </w:tc>
        <w:tc>
          <w:tcPr>
            <w:tcW w:w="0" w:type="auto"/>
            <w:noWrap/>
            <w:vAlign w:val="bottom"/>
            <w:hideMark/>
          </w:tcPr>
          <w:p w14:paraId="3461F21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918D7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6EDB72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898E6C1" w14:textId="77777777" w:rsidR="00000000" w:rsidRDefault="00632532">
            <w:pPr>
              <w:pStyle w:val="a3"/>
              <w:spacing w:before="0" w:beforeAutospacing="0" w:after="0" w:afterAutospacing="0"/>
              <w:jc w:val="right"/>
              <w:rPr>
                <w:sz w:val="20"/>
                <w:szCs w:val="20"/>
              </w:rPr>
            </w:pPr>
            <w:r>
              <w:rPr>
                <w:sz w:val="20"/>
                <w:szCs w:val="20"/>
              </w:rPr>
              <w:t>3,52</w:t>
            </w:r>
            <w:r>
              <w:rPr>
                <w:sz w:val="20"/>
                <w:szCs w:val="20"/>
              </w:rPr>
              <w:t>6</w:t>
            </w:r>
          </w:p>
        </w:tc>
        <w:tc>
          <w:tcPr>
            <w:tcW w:w="0" w:type="auto"/>
            <w:noWrap/>
            <w:vAlign w:val="bottom"/>
            <w:hideMark/>
          </w:tcPr>
          <w:p w14:paraId="2CD956C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E3C46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4F2534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F726713" w14:textId="77777777" w:rsidR="00000000" w:rsidRDefault="00632532">
            <w:pPr>
              <w:pStyle w:val="a3"/>
              <w:spacing w:before="0" w:beforeAutospacing="0" w:after="0" w:afterAutospacing="0"/>
              <w:jc w:val="right"/>
              <w:rPr>
                <w:sz w:val="20"/>
                <w:szCs w:val="20"/>
              </w:rPr>
            </w:pPr>
            <w:r>
              <w:rPr>
                <w:sz w:val="20"/>
                <w:szCs w:val="20"/>
              </w:rPr>
              <w:t>13,64</w:t>
            </w:r>
            <w:r>
              <w:rPr>
                <w:sz w:val="20"/>
                <w:szCs w:val="20"/>
              </w:rPr>
              <w:t>6</w:t>
            </w:r>
          </w:p>
        </w:tc>
        <w:tc>
          <w:tcPr>
            <w:tcW w:w="0" w:type="auto"/>
            <w:noWrap/>
            <w:vAlign w:val="bottom"/>
            <w:hideMark/>
          </w:tcPr>
          <w:p w14:paraId="02E8FCE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F3BCC57"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41B00F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B001E81" w14:textId="77777777" w:rsidR="00000000" w:rsidRDefault="00632532">
            <w:pPr>
              <w:pStyle w:val="a3"/>
              <w:spacing w:before="0" w:beforeAutospacing="0" w:after="0" w:afterAutospacing="0"/>
              <w:jc w:val="right"/>
              <w:rPr>
                <w:sz w:val="20"/>
                <w:szCs w:val="20"/>
              </w:rPr>
            </w:pPr>
            <w:r>
              <w:rPr>
                <w:sz w:val="20"/>
                <w:szCs w:val="20"/>
              </w:rPr>
              <w:t>6,48</w:t>
            </w:r>
            <w:r>
              <w:rPr>
                <w:sz w:val="20"/>
                <w:szCs w:val="20"/>
              </w:rPr>
              <w:t>8</w:t>
            </w:r>
          </w:p>
        </w:tc>
        <w:tc>
          <w:tcPr>
            <w:tcW w:w="0" w:type="auto"/>
            <w:noWrap/>
            <w:vAlign w:val="bottom"/>
            <w:hideMark/>
          </w:tcPr>
          <w:p w14:paraId="5E9F0591" w14:textId="77777777" w:rsidR="00000000" w:rsidRDefault="00632532">
            <w:pPr>
              <w:pStyle w:val="a3"/>
              <w:spacing w:before="0" w:beforeAutospacing="0" w:after="0" w:afterAutospacing="0"/>
              <w:rPr>
                <w:sz w:val="20"/>
                <w:szCs w:val="20"/>
              </w:rPr>
            </w:pPr>
            <w:r>
              <w:rPr>
                <w:sz w:val="20"/>
                <w:szCs w:val="20"/>
              </w:rPr>
              <w:t> </w:t>
            </w:r>
          </w:p>
        </w:tc>
      </w:tr>
    </w:tbl>
    <w:p w14:paraId="05C1244B" w14:textId="77777777" w:rsidR="00000000" w:rsidRDefault="00632532">
      <w:pPr>
        <w:pStyle w:val="a3"/>
        <w:spacing w:before="0" w:beforeAutospacing="0" w:after="0" w:afterAutospacing="0"/>
        <w:rPr>
          <w:sz w:val="20"/>
          <w:szCs w:val="20"/>
        </w:rPr>
      </w:pPr>
      <w:r>
        <w:rPr>
          <w:sz w:val="20"/>
          <w:szCs w:val="20"/>
        </w:rPr>
        <w:t> </w:t>
      </w:r>
    </w:p>
    <w:p w14:paraId="5D99FA28" w14:textId="77777777" w:rsidR="00000000" w:rsidRDefault="00632532">
      <w:pPr>
        <w:pStyle w:val="a3"/>
        <w:spacing w:before="240" w:beforeAutospacing="0" w:after="0" w:afterAutospacing="0"/>
        <w:jc w:val="center"/>
        <w:rPr>
          <w:sz w:val="20"/>
          <w:szCs w:val="20"/>
        </w:rPr>
      </w:pPr>
      <w:r>
        <w:rPr>
          <w:sz w:val="20"/>
          <w:szCs w:val="20"/>
        </w:rPr>
        <w:t>1</w:t>
      </w:r>
      <w:r>
        <w:rPr>
          <w:sz w:val="20"/>
          <w:szCs w:val="20"/>
        </w:rPr>
        <w:t>8</w:t>
      </w:r>
    </w:p>
    <w:p w14:paraId="771EB11C" w14:textId="77777777" w:rsidR="00000000" w:rsidRDefault="00632532">
      <w:pPr>
        <w:rPr>
          <w:rFonts w:eastAsia="Times New Roman"/>
        </w:rPr>
      </w:pPr>
      <w:r>
        <w:rPr>
          <w:rFonts w:eastAsia="Times New Roman"/>
        </w:rPr>
        <w:pict w14:anchorId="41DA0FFA">
          <v:rect id="_x0000_i1044" style="width:0;height:1.5pt" o:hralign="center" o:hrstd="t" o:hr="t" fillcolor="#a0a0a0" stroked="f"/>
        </w:pict>
      </w:r>
    </w:p>
    <w:p w14:paraId="6F7D848B" w14:textId="77777777" w:rsidR="00000000" w:rsidRDefault="00632532">
      <w:pPr>
        <w:pStyle w:val="a3"/>
        <w:spacing w:before="160" w:beforeAutospacing="0" w:after="0" w:afterAutospacing="0"/>
        <w:divId w:val="1497183519"/>
        <w:rPr>
          <w:sz w:val="20"/>
          <w:szCs w:val="20"/>
        </w:rPr>
      </w:pPr>
      <w:r>
        <w:rPr>
          <w:b/>
          <w:bCs/>
          <w:sz w:val="20"/>
          <w:szCs w:val="20"/>
        </w:rPr>
        <w:t>Note 11. Provision for Income Taxe</w:t>
      </w:r>
      <w:r>
        <w:rPr>
          <w:b/>
          <w:bCs/>
          <w:sz w:val="20"/>
          <w:szCs w:val="20"/>
        </w:rPr>
        <w:t>s</w:t>
      </w:r>
    </w:p>
    <w:p w14:paraId="3D52AEA0" w14:textId="77777777" w:rsidR="00000000" w:rsidRDefault="00632532">
      <w:pPr>
        <w:pStyle w:val="a3"/>
        <w:spacing w:before="120" w:beforeAutospacing="0" w:after="0" w:afterAutospacing="0"/>
        <w:ind w:firstLine="555"/>
        <w:divId w:val="1497183519"/>
        <w:rPr>
          <w:sz w:val="20"/>
          <w:szCs w:val="20"/>
        </w:rPr>
      </w:pPr>
      <w:r>
        <w:rPr>
          <w:sz w:val="20"/>
          <w:szCs w:val="20"/>
        </w:rPr>
        <w:t>The effective tax rate used for interim periods is the estimated annual effective consolidated tax rate, based on the current estimate of full year results, except that taxes related t</w:t>
      </w:r>
      <w:r>
        <w:rPr>
          <w:sz w:val="20"/>
          <w:szCs w:val="20"/>
        </w:rPr>
        <w:t>o specific events, if any, are recorded in the interim period in which they occur. The annual effective tax rate is based upon several significant estimates and judgments, including the estimated annual pre-tax income of the Company in each tax jurisdictio</w:t>
      </w:r>
      <w:r>
        <w:rPr>
          <w:sz w:val="20"/>
          <w:szCs w:val="20"/>
        </w:rPr>
        <w:t xml:space="preserve">n in which it operates, and the development of tax planning strategies during the year. In addition, the Company’s tax expense can be impacted by changes in tax rates or laws and other factors that cannot be predicted with certainty. As such, there can be </w:t>
      </w:r>
      <w:r>
        <w:rPr>
          <w:sz w:val="20"/>
          <w:szCs w:val="20"/>
        </w:rPr>
        <w:t>significant volatility in interim tax provisions</w:t>
      </w:r>
      <w:r>
        <w:rPr>
          <w:sz w:val="20"/>
          <w:szCs w:val="20"/>
        </w:rPr>
        <w:t>.</w:t>
      </w:r>
    </w:p>
    <w:p w14:paraId="2801F9C8" w14:textId="77777777" w:rsidR="00000000" w:rsidRDefault="00632532">
      <w:pPr>
        <w:pStyle w:val="a3"/>
        <w:spacing w:before="240" w:beforeAutospacing="0" w:after="0" w:afterAutospacing="0"/>
        <w:ind w:firstLine="555"/>
        <w:divId w:val="1497183519"/>
        <w:rPr>
          <w:sz w:val="20"/>
          <w:szCs w:val="20"/>
        </w:rPr>
      </w:pPr>
      <w:r>
        <w:rPr>
          <w:sz w:val="20"/>
          <w:szCs w:val="20"/>
        </w:rPr>
        <w:t xml:space="preserve">The Company recorded consolidated provision for income taxes of </w:t>
      </w:r>
      <w:r>
        <w:rPr>
          <w:sz w:val="20"/>
          <w:szCs w:val="20"/>
        </w:rPr>
        <w:t>$</w:t>
      </w:r>
      <w:r>
        <w:rPr>
          <w:sz w:val="20"/>
          <w:szCs w:val="20"/>
        </w:rPr>
        <w:t>2.</w:t>
      </w:r>
      <w:r>
        <w:rPr>
          <w:sz w:val="20"/>
          <w:szCs w:val="20"/>
        </w:rPr>
        <w:t>7</w:t>
      </w:r>
      <w:r>
        <w:rPr>
          <w:sz w:val="20"/>
          <w:szCs w:val="20"/>
        </w:rPr>
        <w:t xml:space="preserve"> millio</w:t>
      </w:r>
      <w:r>
        <w:rPr>
          <w:sz w:val="20"/>
          <w:szCs w:val="20"/>
        </w:rPr>
        <w:t>n</w:t>
      </w:r>
      <w:r>
        <w:rPr>
          <w:sz w:val="20"/>
          <w:szCs w:val="20"/>
        </w:rPr>
        <w:t xml:space="preserve"> and </w:t>
      </w:r>
      <w:r>
        <w:rPr>
          <w:sz w:val="20"/>
          <w:szCs w:val="20"/>
        </w:rPr>
        <w:t>$</w:t>
      </w:r>
      <w:r>
        <w:rPr>
          <w:sz w:val="20"/>
          <w:szCs w:val="20"/>
        </w:rPr>
        <w:t>51.</w:t>
      </w:r>
      <w:r>
        <w:rPr>
          <w:sz w:val="20"/>
          <w:szCs w:val="20"/>
        </w:rPr>
        <w:t>1</w:t>
      </w:r>
      <w:r>
        <w:rPr>
          <w:sz w:val="20"/>
          <w:szCs w:val="20"/>
        </w:rPr>
        <w:t xml:space="preserve"> millio</w:t>
      </w:r>
      <w:r>
        <w:rPr>
          <w:sz w:val="20"/>
          <w:szCs w:val="20"/>
        </w:rPr>
        <w:t>n</w:t>
      </w:r>
      <w:r>
        <w:rPr>
          <w:sz w:val="20"/>
          <w:szCs w:val="20"/>
        </w:rPr>
        <w:t xml:space="preserve"> for the three and six months ended June 30, 2022, respectively, compared with </w:t>
      </w:r>
      <w:r>
        <w:rPr>
          <w:sz w:val="20"/>
          <w:szCs w:val="20"/>
        </w:rPr>
        <w:t>$</w:t>
      </w:r>
      <w:r>
        <w:rPr>
          <w:sz w:val="20"/>
          <w:szCs w:val="20"/>
        </w:rPr>
        <w:t>23.</w:t>
      </w:r>
      <w:r>
        <w:rPr>
          <w:sz w:val="20"/>
          <w:szCs w:val="20"/>
        </w:rPr>
        <w:t>6</w:t>
      </w:r>
      <w:r>
        <w:rPr>
          <w:sz w:val="20"/>
          <w:szCs w:val="20"/>
        </w:rPr>
        <w:t xml:space="preserve"> million and </w:t>
      </w:r>
      <w:r>
        <w:rPr>
          <w:sz w:val="20"/>
          <w:szCs w:val="20"/>
        </w:rPr>
        <w:t>$</w:t>
      </w:r>
      <w:r>
        <w:rPr>
          <w:sz w:val="20"/>
          <w:szCs w:val="20"/>
        </w:rPr>
        <w:t>90.</w:t>
      </w:r>
      <w:r>
        <w:rPr>
          <w:sz w:val="20"/>
          <w:szCs w:val="20"/>
        </w:rPr>
        <w:t>1</w:t>
      </w:r>
      <w:r>
        <w:rPr>
          <w:sz w:val="20"/>
          <w:szCs w:val="20"/>
        </w:rPr>
        <w:t xml:space="preserve"> million f</w:t>
      </w:r>
      <w:r>
        <w:rPr>
          <w:sz w:val="20"/>
          <w:szCs w:val="20"/>
        </w:rPr>
        <w:t>or the three and six months ended June 30, 2021, respectively. The Company’s effective tax rates were</w:t>
      </w:r>
      <w:r>
        <w:rPr>
          <w:sz w:val="20"/>
          <w:szCs w:val="20"/>
        </w:rPr>
        <w:t xml:space="preserve"> </w:t>
      </w:r>
      <w:r>
        <w:rPr>
          <w:sz w:val="20"/>
          <w:szCs w:val="20"/>
        </w:rPr>
        <w:t>1</w:t>
      </w:r>
      <w:r>
        <w:rPr>
          <w:sz w:val="20"/>
          <w:szCs w:val="20"/>
        </w:rPr>
        <w:t>9</w:t>
      </w:r>
      <w:r>
        <w:rPr>
          <w:sz w:val="20"/>
          <w:szCs w:val="20"/>
        </w:rPr>
        <w:t>%</w:t>
      </w:r>
      <w:r>
        <w:rPr>
          <w:sz w:val="20"/>
          <w:szCs w:val="20"/>
        </w:rPr>
        <w:t xml:space="preserve"> and</w:t>
      </w:r>
      <w:r>
        <w:rPr>
          <w:sz w:val="20"/>
          <w:szCs w:val="20"/>
        </w:rPr>
        <w:t xml:space="preserve"> </w:t>
      </w:r>
      <w:r>
        <w:rPr>
          <w:sz w:val="20"/>
          <w:szCs w:val="20"/>
        </w:rPr>
        <w:t>2</w:t>
      </w:r>
      <w:r>
        <w:rPr>
          <w:sz w:val="20"/>
          <w:szCs w:val="20"/>
        </w:rPr>
        <w:t>4</w:t>
      </w:r>
      <w:r>
        <w:rPr>
          <w:sz w:val="20"/>
          <w:szCs w:val="20"/>
        </w:rPr>
        <w:t>%</w:t>
      </w:r>
      <w:r>
        <w:rPr>
          <w:sz w:val="20"/>
          <w:szCs w:val="20"/>
        </w:rPr>
        <w:t xml:space="preserve"> for the three and six months ended June 30, 2022, respectively, compared with</w:t>
      </w:r>
      <w:r>
        <w:rPr>
          <w:sz w:val="20"/>
          <w:szCs w:val="20"/>
        </w:rPr>
        <w:t xml:space="preserve"> </w:t>
      </w:r>
      <w:r>
        <w:rPr>
          <w:sz w:val="20"/>
          <w:szCs w:val="20"/>
        </w:rPr>
        <w:t>2</w:t>
      </w:r>
      <w:r>
        <w:rPr>
          <w:sz w:val="20"/>
          <w:szCs w:val="20"/>
        </w:rPr>
        <w:t>4</w:t>
      </w:r>
      <w:r>
        <w:rPr>
          <w:sz w:val="20"/>
          <w:szCs w:val="20"/>
        </w:rPr>
        <w:t>% and</w:t>
      </w:r>
      <w:r>
        <w:rPr>
          <w:sz w:val="20"/>
          <w:szCs w:val="20"/>
        </w:rPr>
        <w:t xml:space="preserve"> </w:t>
      </w:r>
      <w:r>
        <w:rPr>
          <w:sz w:val="20"/>
          <w:szCs w:val="20"/>
        </w:rPr>
        <w:t>2</w:t>
      </w:r>
      <w:r>
        <w:rPr>
          <w:sz w:val="20"/>
          <w:szCs w:val="20"/>
        </w:rPr>
        <w:t>5</w:t>
      </w:r>
      <w:r>
        <w:rPr>
          <w:sz w:val="20"/>
          <w:szCs w:val="20"/>
        </w:rPr>
        <w:t>% or the three and six months ended June 30, 2021, res</w:t>
      </w:r>
      <w:r>
        <w:rPr>
          <w:sz w:val="20"/>
          <w:szCs w:val="20"/>
        </w:rPr>
        <w:t>pectively. The decrease in the effective tax rate for the three and six months ended June 30, 2022, relative to 2021, was primarily attributable to international restructuring</w:t>
      </w:r>
      <w:r>
        <w:rPr>
          <w:sz w:val="20"/>
          <w:szCs w:val="20"/>
        </w:rPr>
        <w:t>.</w:t>
      </w:r>
    </w:p>
    <w:p w14:paraId="6ED83656" w14:textId="77777777" w:rsidR="00000000" w:rsidRDefault="00632532">
      <w:pPr>
        <w:pStyle w:val="a3"/>
        <w:spacing w:before="240" w:beforeAutospacing="0" w:after="0" w:afterAutospacing="0"/>
        <w:ind w:firstLine="555"/>
        <w:divId w:val="1497183519"/>
        <w:rPr>
          <w:sz w:val="20"/>
          <w:szCs w:val="20"/>
        </w:rPr>
      </w:pPr>
      <w:r>
        <w:rPr>
          <w:sz w:val="20"/>
          <w:szCs w:val="20"/>
        </w:rPr>
        <w:t>The Company is not currently under examination by any major income tax jurisdic</w:t>
      </w:r>
      <w:r>
        <w:rPr>
          <w:sz w:val="20"/>
          <w:szCs w:val="20"/>
        </w:rPr>
        <w:t>tion. During 2022, the statutes of limitations will lapse on the Company's 2018 federal tax year and certain 2017 and 2018 state tax years. The Company does not believe the federal or state statute lapses or any other event will significantly impact the ba</w:t>
      </w:r>
      <w:r>
        <w:rPr>
          <w:sz w:val="20"/>
          <w:szCs w:val="20"/>
        </w:rPr>
        <w:t>lance of unrecognized tax benefits in the next twelve months. The net balance of unrecognized tax benefits was not material to the interim financial statements for the three and six months ended June 30, 2022 and 2021</w:t>
      </w:r>
      <w:r>
        <w:rPr>
          <w:sz w:val="20"/>
          <w:szCs w:val="20"/>
        </w:rPr>
        <w:t>.</w:t>
      </w:r>
    </w:p>
    <w:p w14:paraId="77A9626C" w14:textId="77777777" w:rsidR="00000000" w:rsidRDefault="00632532">
      <w:pPr>
        <w:pStyle w:val="a3"/>
        <w:spacing w:before="360" w:beforeAutospacing="0" w:after="0" w:afterAutospacing="0"/>
        <w:divId w:val="683242685"/>
        <w:rPr>
          <w:sz w:val="20"/>
          <w:szCs w:val="20"/>
        </w:rPr>
      </w:pPr>
      <w:r>
        <w:rPr>
          <w:b/>
          <w:bCs/>
          <w:sz w:val="20"/>
          <w:szCs w:val="20"/>
        </w:rPr>
        <w:t>Note 12. Income per Shar</w:t>
      </w:r>
      <w:r>
        <w:rPr>
          <w:b/>
          <w:bCs/>
          <w:sz w:val="20"/>
          <w:szCs w:val="20"/>
        </w:rPr>
        <w:t>e</w:t>
      </w:r>
    </w:p>
    <w:p w14:paraId="3831B9B4" w14:textId="77777777" w:rsidR="00000000" w:rsidRDefault="00632532">
      <w:pPr>
        <w:pStyle w:val="a3"/>
        <w:spacing w:before="120" w:beforeAutospacing="0" w:after="0" w:afterAutospacing="0"/>
        <w:ind w:firstLine="555"/>
        <w:divId w:val="1442215542"/>
        <w:rPr>
          <w:sz w:val="20"/>
          <w:szCs w:val="20"/>
        </w:rPr>
      </w:pPr>
      <w:r>
        <w:rPr>
          <w:sz w:val="20"/>
          <w:szCs w:val="20"/>
        </w:rPr>
        <w:t>The following table presents</w:t>
      </w:r>
      <w:r>
        <w:rPr>
          <w:sz w:val="20"/>
          <w:szCs w:val="20"/>
        </w:rPr>
        <w:t xml:space="preserve"> </w:t>
      </w:r>
      <w:r>
        <w:rPr>
          <w:sz w:val="20"/>
          <w:szCs w:val="20"/>
        </w:rPr>
        <w:t>the calculation of basic and diluted income per share for the three and six months ended June 30, 2022 and 2021</w:t>
      </w:r>
      <w:r>
        <w:rPr>
          <w:sz w:val="20"/>
          <w:szCs w:val="20"/>
        </w:rPr>
        <w:t>:</w:t>
      </w:r>
    </w:p>
    <w:p w14:paraId="66ADFA97" w14:textId="77777777" w:rsidR="00000000" w:rsidRDefault="00632532">
      <w:pPr>
        <w:pStyle w:val="a3"/>
        <w:spacing w:before="0" w:beforeAutospacing="0" w:after="0" w:afterAutospacing="0"/>
        <w:divId w:val="144221554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0"/>
        <w:gridCol w:w="160"/>
        <w:gridCol w:w="808"/>
        <w:gridCol w:w="110"/>
        <w:gridCol w:w="112"/>
        <w:gridCol w:w="160"/>
        <w:gridCol w:w="875"/>
        <w:gridCol w:w="110"/>
        <w:gridCol w:w="173"/>
        <w:gridCol w:w="160"/>
        <w:gridCol w:w="867"/>
        <w:gridCol w:w="110"/>
        <w:gridCol w:w="137"/>
        <w:gridCol w:w="160"/>
        <w:gridCol w:w="1009"/>
        <w:gridCol w:w="125"/>
      </w:tblGrid>
      <w:tr w:rsidR="00000000" w14:paraId="766D9FD2" w14:textId="77777777">
        <w:trPr>
          <w:divId w:val="1442215542"/>
          <w:tblCellSpacing w:w="15" w:type="dxa"/>
        </w:trPr>
        <w:tc>
          <w:tcPr>
            <w:tcW w:w="2058" w:type="pct"/>
            <w:vAlign w:val="center"/>
            <w:hideMark/>
          </w:tcPr>
          <w:p w14:paraId="3B7368A5" w14:textId="77777777" w:rsidR="00000000" w:rsidRDefault="00632532">
            <w:pPr>
              <w:rPr>
                <w:sz w:val="20"/>
                <w:szCs w:val="20"/>
              </w:rPr>
            </w:pPr>
          </w:p>
        </w:tc>
        <w:tc>
          <w:tcPr>
            <w:tcW w:w="50" w:type="pct"/>
            <w:vAlign w:val="center"/>
            <w:hideMark/>
          </w:tcPr>
          <w:p w14:paraId="55824A19" w14:textId="77777777" w:rsidR="00000000" w:rsidRDefault="00632532">
            <w:pPr>
              <w:rPr>
                <w:rFonts w:eastAsia="Times New Roman"/>
                <w:sz w:val="20"/>
                <w:szCs w:val="20"/>
              </w:rPr>
            </w:pPr>
          </w:p>
        </w:tc>
        <w:tc>
          <w:tcPr>
            <w:tcW w:w="516" w:type="pct"/>
            <w:vAlign w:val="center"/>
            <w:hideMark/>
          </w:tcPr>
          <w:p w14:paraId="026177DA" w14:textId="77777777" w:rsidR="00000000" w:rsidRDefault="00632532">
            <w:pPr>
              <w:rPr>
                <w:rFonts w:eastAsia="Times New Roman"/>
                <w:sz w:val="20"/>
                <w:szCs w:val="20"/>
              </w:rPr>
            </w:pPr>
          </w:p>
        </w:tc>
        <w:tc>
          <w:tcPr>
            <w:tcW w:w="50" w:type="pct"/>
            <w:vAlign w:val="center"/>
            <w:hideMark/>
          </w:tcPr>
          <w:p w14:paraId="703FA6B5" w14:textId="77777777" w:rsidR="00000000" w:rsidRDefault="00632532">
            <w:pPr>
              <w:rPr>
                <w:rFonts w:eastAsia="Times New Roman"/>
                <w:sz w:val="20"/>
                <w:szCs w:val="20"/>
              </w:rPr>
            </w:pPr>
          </w:p>
        </w:tc>
        <w:tc>
          <w:tcPr>
            <w:tcW w:w="70" w:type="pct"/>
            <w:vAlign w:val="center"/>
            <w:hideMark/>
          </w:tcPr>
          <w:p w14:paraId="54EB56A8" w14:textId="77777777" w:rsidR="00000000" w:rsidRDefault="00632532">
            <w:pPr>
              <w:rPr>
                <w:rFonts w:eastAsia="Times New Roman"/>
                <w:sz w:val="20"/>
                <w:szCs w:val="20"/>
              </w:rPr>
            </w:pPr>
          </w:p>
        </w:tc>
        <w:tc>
          <w:tcPr>
            <w:tcW w:w="50" w:type="pct"/>
            <w:vAlign w:val="center"/>
            <w:hideMark/>
          </w:tcPr>
          <w:p w14:paraId="636840F9" w14:textId="77777777" w:rsidR="00000000" w:rsidRDefault="00632532">
            <w:pPr>
              <w:rPr>
                <w:rFonts w:eastAsia="Times New Roman"/>
                <w:sz w:val="20"/>
                <w:szCs w:val="20"/>
              </w:rPr>
            </w:pPr>
          </w:p>
        </w:tc>
        <w:tc>
          <w:tcPr>
            <w:tcW w:w="559" w:type="pct"/>
            <w:vAlign w:val="center"/>
            <w:hideMark/>
          </w:tcPr>
          <w:p w14:paraId="31917769" w14:textId="77777777" w:rsidR="00000000" w:rsidRDefault="00632532">
            <w:pPr>
              <w:rPr>
                <w:rFonts w:eastAsia="Times New Roman"/>
                <w:sz w:val="20"/>
                <w:szCs w:val="20"/>
              </w:rPr>
            </w:pPr>
          </w:p>
        </w:tc>
        <w:tc>
          <w:tcPr>
            <w:tcW w:w="50" w:type="pct"/>
            <w:vAlign w:val="center"/>
            <w:hideMark/>
          </w:tcPr>
          <w:p w14:paraId="349EC0A6" w14:textId="77777777" w:rsidR="00000000" w:rsidRDefault="00632532">
            <w:pPr>
              <w:rPr>
                <w:rFonts w:eastAsia="Times New Roman"/>
                <w:sz w:val="20"/>
                <w:szCs w:val="20"/>
              </w:rPr>
            </w:pPr>
          </w:p>
        </w:tc>
        <w:tc>
          <w:tcPr>
            <w:tcW w:w="109" w:type="pct"/>
            <w:vAlign w:val="center"/>
            <w:hideMark/>
          </w:tcPr>
          <w:p w14:paraId="49518169" w14:textId="77777777" w:rsidR="00000000" w:rsidRDefault="00632532">
            <w:pPr>
              <w:rPr>
                <w:rFonts w:eastAsia="Times New Roman"/>
                <w:sz w:val="20"/>
                <w:szCs w:val="20"/>
              </w:rPr>
            </w:pPr>
          </w:p>
        </w:tc>
        <w:tc>
          <w:tcPr>
            <w:tcW w:w="50" w:type="pct"/>
            <w:vAlign w:val="center"/>
            <w:hideMark/>
          </w:tcPr>
          <w:p w14:paraId="56DE8291" w14:textId="77777777" w:rsidR="00000000" w:rsidRDefault="00632532">
            <w:pPr>
              <w:rPr>
                <w:rFonts w:eastAsia="Times New Roman"/>
                <w:sz w:val="20"/>
                <w:szCs w:val="20"/>
              </w:rPr>
            </w:pPr>
          </w:p>
        </w:tc>
        <w:tc>
          <w:tcPr>
            <w:tcW w:w="554" w:type="pct"/>
            <w:vAlign w:val="center"/>
            <w:hideMark/>
          </w:tcPr>
          <w:p w14:paraId="3143E452" w14:textId="77777777" w:rsidR="00000000" w:rsidRDefault="00632532">
            <w:pPr>
              <w:rPr>
                <w:rFonts w:eastAsia="Times New Roman"/>
                <w:sz w:val="20"/>
                <w:szCs w:val="20"/>
              </w:rPr>
            </w:pPr>
          </w:p>
        </w:tc>
        <w:tc>
          <w:tcPr>
            <w:tcW w:w="50" w:type="pct"/>
            <w:vAlign w:val="center"/>
            <w:hideMark/>
          </w:tcPr>
          <w:p w14:paraId="149AE9FE" w14:textId="77777777" w:rsidR="00000000" w:rsidRDefault="00632532">
            <w:pPr>
              <w:rPr>
                <w:rFonts w:eastAsia="Times New Roman"/>
                <w:sz w:val="20"/>
                <w:szCs w:val="20"/>
              </w:rPr>
            </w:pPr>
          </w:p>
        </w:tc>
        <w:tc>
          <w:tcPr>
            <w:tcW w:w="86" w:type="pct"/>
            <w:vAlign w:val="center"/>
            <w:hideMark/>
          </w:tcPr>
          <w:p w14:paraId="160F84B3" w14:textId="77777777" w:rsidR="00000000" w:rsidRDefault="00632532">
            <w:pPr>
              <w:rPr>
                <w:rFonts w:eastAsia="Times New Roman"/>
                <w:sz w:val="20"/>
                <w:szCs w:val="20"/>
              </w:rPr>
            </w:pPr>
          </w:p>
        </w:tc>
        <w:tc>
          <w:tcPr>
            <w:tcW w:w="50" w:type="pct"/>
            <w:vAlign w:val="center"/>
            <w:hideMark/>
          </w:tcPr>
          <w:p w14:paraId="6C628F2E" w14:textId="77777777" w:rsidR="00000000" w:rsidRDefault="00632532">
            <w:pPr>
              <w:rPr>
                <w:rFonts w:eastAsia="Times New Roman"/>
                <w:sz w:val="20"/>
                <w:szCs w:val="20"/>
              </w:rPr>
            </w:pPr>
          </w:p>
        </w:tc>
        <w:tc>
          <w:tcPr>
            <w:tcW w:w="644" w:type="pct"/>
            <w:vAlign w:val="center"/>
            <w:hideMark/>
          </w:tcPr>
          <w:p w14:paraId="1C1BD4D8" w14:textId="77777777" w:rsidR="00000000" w:rsidRDefault="00632532">
            <w:pPr>
              <w:rPr>
                <w:rFonts w:eastAsia="Times New Roman"/>
                <w:sz w:val="20"/>
                <w:szCs w:val="20"/>
              </w:rPr>
            </w:pPr>
          </w:p>
        </w:tc>
        <w:tc>
          <w:tcPr>
            <w:tcW w:w="50" w:type="pct"/>
            <w:vAlign w:val="center"/>
            <w:hideMark/>
          </w:tcPr>
          <w:p w14:paraId="72C12321" w14:textId="77777777" w:rsidR="00000000" w:rsidRDefault="00632532">
            <w:pPr>
              <w:rPr>
                <w:rFonts w:eastAsia="Times New Roman"/>
                <w:sz w:val="20"/>
                <w:szCs w:val="20"/>
              </w:rPr>
            </w:pPr>
          </w:p>
        </w:tc>
      </w:tr>
      <w:tr w:rsidR="00000000" w14:paraId="718D8140" w14:textId="77777777">
        <w:trPr>
          <w:divId w:val="1442215542"/>
          <w:trHeight w:val="160"/>
          <w:tblCellSpacing w:w="15" w:type="dxa"/>
        </w:trPr>
        <w:tc>
          <w:tcPr>
            <w:tcW w:w="0" w:type="auto"/>
            <w:vAlign w:val="bottom"/>
            <w:hideMark/>
          </w:tcPr>
          <w:p w14:paraId="66993EC9"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200A9CD5" w14:textId="77777777" w:rsidR="00000000" w:rsidRDefault="00632532">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522F5BD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DE407DF" w14:textId="77777777" w:rsidR="00000000" w:rsidRDefault="00632532">
            <w:pPr>
              <w:pStyle w:val="a3"/>
              <w:spacing w:before="0" w:beforeAutospacing="0" w:after="0" w:afterAutospacing="0"/>
              <w:rPr>
                <w:sz w:val="22"/>
                <w:szCs w:val="22"/>
              </w:rPr>
            </w:pPr>
            <w:r>
              <w:rPr>
                <w:sz w:val="22"/>
                <w:szCs w:val="22"/>
              </w:rPr>
              <w:t> </w:t>
            </w:r>
          </w:p>
        </w:tc>
        <w:tc>
          <w:tcPr>
            <w:tcW w:w="0" w:type="auto"/>
            <w:gridSpan w:val="6"/>
            <w:vAlign w:val="bottom"/>
            <w:hideMark/>
          </w:tcPr>
          <w:p w14:paraId="300EE701"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46C0E7E8"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38FA308" w14:textId="77777777">
        <w:trPr>
          <w:divId w:val="1442215542"/>
          <w:trHeight w:val="160"/>
          <w:tblCellSpacing w:w="15" w:type="dxa"/>
        </w:trPr>
        <w:tc>
          <w:tcPr>
            <w:tcW w:w="0" w:type="auto"/>
            <w:hideMark/>
          </w:tcPr>
          <w:p w14:paraId="5CA46983"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A70AAC5"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3F541BC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8BACE28"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518389BB"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E47A36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D5553EE" w14:textId="77777777" w:rsidR="00000000" w:rsidRDefault="00632532">
            <w:pPr>
              <w:pStyle w:val="a3"/>
              <w:spacing w:before="0" w:beforeAutospacing="0" w:after="0" w:afterAutospacing="0"/>
              <w:rPr>
                <w:sz w:val="22"/>
                <w:szCs w:val="22"/>
              </w:rPr>
            </w:pPr>
            <w:r>
              <w:rPr>
                <w:sz w:val="22"/>
                <w:szCs w:val="22"/>
              </w:rPr>
              <w:t> </w:t>
            </w:r>
          </w:p>
        </w:tc>
        <w:tc>
          <w:tcPr>
            <w:tcW w:w="0" w:type="auto"/>
            <w:gridSpan w:val="2"/>
            <w:vAlign w:val="bottom"/>
            <w:hideMark/>
          </w:tcPr>
          <w:p w14:paraId="2D81A84E"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2227FD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08E59B4"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501433FE"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21B7CCD"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4DBBE42" w14:textId="77777777">
        <w:trPr>
          <w:divId w:val="1442215542"/>
          <w:trHeight w:val="160"/>
          <w:tblCellSpacing w:w="15" w:type="dxa"/>
        </w:trPr>
        <w:tc>
          <w:tcPr>
            <w:tcW w:w="0" w:type="auto"/>
            <w:hideMark/>
          </w:tcPr>
          <w:p w14:paraId="186E4C97" w14:textId="77777777" w:rsidR="00000000" w:rsidRDefault="00632532">
            <w:pPr>
              <w:pStyle w:val="a3"/>
              <w:spacing w:before="0" w:beforeAutospacing="0" w:after="0" w:afterAutospacing="0"/>
              <w:rPr>
                <w:sz w:val="20"/>
                <w:szCs w:val="20"/>
              </w:rPr>
            </w:pPr>
            <w:r>
              <w:rPr>
                <w:sz w:val="20"/>
                <w:szCs w:val="20"/>
              </w:rPr>
              <w:t> </w:t>
            </w:r>
          </w:p>
        </w:tc>
        <w:tc>
          <w:tcPr>
            <w:tcW w:w="0" w:type="auto"/>
            <w:gridSpan w:val="14"/>
            <w:vAlign w:val="bottom"/>
            <w:hideMark/>
          </w:tcPr>
          <w:p w14:paraId="5A7CF8CC" w14:textId="77777777" w:rsidR="00000000" w:rsidRDefault="00632532">
            <w:pPr>
              <w:pStyle w:val="a3"/>
              <w:spacing w:before="0" w:beforeAutospacing="0" w:after="0" w:afterAutospacing="0"/>
              <w:jc w:val="center"/>
              <w:rPr>
                <w:sz w:val="16"/>
                <w:szCs w:val="16"/>
              </w:rPr>
            </w:pPr>
            <w:r>
              <w:rPr>
                <w:b/>
                <w:bCs/>
                <w:sz w:val="16"/>
                <w:szCs w:val="16"/>
              </w:rPr>
              <w:t>(in thousands, except per share data</w:t>
            </w:r>
            <w:r>
              <w:rPr>
                <w:b/>
                <w:bCs/>
                <w:sz w:val="16"/>
                <w:szCs w:val="16"/>
              </w:rPr>
              <w:t>)</w:t>
            </w:r>
          </w:p>
        </w:tc>
        <w:tc>
          <w:tcPr>
            <w:tcW w:w="0" w:type="auto"/>
            <w:vAlign w:val="bottom"/>
            <w:hideMark/>
          </w:tcPr>
          <w:p w14:paraId="07618FF1"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706DDBA5" w14:textId="77777777">
        <w:trPr>
          <w:divId w:val="1442215542"/>
          <w:trHeight w:val="200"/>
          <w:tblCellSpacing w:w="15" w:type="dxa"/>
        </w:trPr>
        <w:tc>
          <w:tcPr>
            <w:tcW w:w="0" w:type="auto"/>
            <w:hideMark/>
          </w:tcPr>
          <w:p w14:paraId="3D1EBC2C" w14:textId="77777777" w:rsidR="00000000" w:rsidRDefault="00632532">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14:paraId="5F25C7C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76E6820" w14:textId="77777777" w:rsidR="00000000" w:rsidRDefault="00632532">
            <w:pPr>
              <w:pStyle w:val="a3"/>
              <w:spacing w:before="0" w:beforeAutospacing="0" w:after="0" w:afterAutospacing="0"/>
              <w:jc w:val="right"/>
              <w:rPr>
                <w:sz w:val="20"/>
                <w:szCs w:val="20"/>
              </w:rPr>
            </w:pPr>
            <w:r>
              <w:rPr>
                <w:sz w:val="20"/>
                <w:szCs w:val="20"/>
              </w:rPr>
              <w:t>11,53</w:t>
            </w:r>
            <w:r>
              <w:rPr>
                <w:sz w:val="20"/>
                <w:szCs w:val="20"/>
              </w:rPr>
              <w:t>7</w:t>
            </w:r>
          </w:p>
        </w:tc>
        <w:tc>
          <w:tcPr>
            <w:tcW w:w="0" w:type="auto"/>
            <w:noWrap/>
            <w:vAlign w:val="bottom"/>
            <w:hideMark/>
          </w:tcPr>
          <w:p w14:paraId="719D61F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DC573B1"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5AF4111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04147C5" w14:textId="77777777" w:rsidR="00000000" w:rsidRDefault="00632532">
            <w:pPr>
              <w:pStyle w:val="a3"/>
              <w:spacing w:before="0" w:beforeAutospacing="0" w:after="0" w:afterAutospacing="0"/>
              <w:jc w:val="right"/>
              <w:rPr>
                <w:sz w:val="20"/>
                <w:szCs w:val="20"/>
              </w:rPr>
            </w:pPr>
            <w:r>
              <w:rPr>
                <w:sz w:val="20"/>
                <w:szCs w:val="20"/>
              </w:rPr>
              <w:t>79,81</w:t>
            </w:r>
            <w:r>
              <w:rPr>
                <w:sz w:val="20"/>
                <w:szCs w:val="20"/>
              </w:rPr>
              <w:t>2</w:t>
            </w:r>
          </w:p>
        </w:tc>
        <w:tc>
          <w:tcPr>
            <w:tcW w:w="0" w:type="auto"/>
            <w:noWrap/>
            <w:vAlign w:val="bottom"/>
            <w:hideMark/>
          </w:tcPr>
          <w:p w14:paraId="436B404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48E03B2" w14:textId="77777777" w:rsidR="00000000" w:rsidRDefault="00632532">
            <w:pPr>
              <w:pStyle w:val="a3"/>
              <w:spacing w:before="0" w:beforeAutospacing="0" w:after="0" w:afterAutospacing="0"/>
              <w:rPr>
                <w:sz w:val="22"/>
                <w:szCs w:val="22"/>
              </w:rPr>
            </w:pPr>
            <w:r>
              <w:rPr>
                <w:sz w:val="22"/>
                <w:szCs w:val="22"/>
              </w:rPr>
              <w:t> </w:t>
            </w:r>
          </w:p>
        </w:tc>
        <w:tc>
          <w:tcPr>
            <w:tcW w:w="0" w:type="auto"/>
            <w:noWrap/>
            <w:vAlign w:val="bottom"/>
            <w:hideMark/>
          </w:tcPr>
          <w:p w14:paraId="5730689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729CAD6" w14:textId="77777777" w:rsidR="00000000" w:rsidRDefault="00632532">
            <w:pPr>
              <w:pStyle w:val="a3"/>
              <w:spacing w:before="0" w:beforeAutospacing="0" w:after="0" w:afterAutospacing="0"/>
              <w:jc w:val="right"/>
              <w:rPr>
                <w:sz w:val="20"/>
                <w:szCs w:val="20"/>
              </w:rPr>
            </w:pPr>
            <w:r>
              <w:rPr>
                <w:sz w:val="20"/>
                <w:szCs w:val="20"/>
              </w:rPr>
              <w:t>165,51</w:t>
            </w:r>
            <w:r>
              <w:rPr>
                <w:sz w:val="20"/>
                <w:szCs w:val="20"/>
              </w:rPr>
              <w:t>6</w:t>
            </w:r>
          </w:p>
        </w:tc>
        <w:tc>
          <w:tcPr>
            <w:tcW w:w="0" w:type="auto"/>
            <w:noWrap/>
            <w:vAlign w:val="bottom"/>
            <w:hideMark/>
          </w:tcPr>
          <w:p w14:paraId="19576D5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0AE80B"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1F74B96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BF8675F" w14:textId="77777777" w:rsidR="00000000" w:rsidRDefault="00632532">
            <w:pPr>
              <w:pStyle w:val="a3"/>
              <w:spacing w:before="0" w:beforeAutospacing="0" w:after="0" w:afterAutospacing="0"/>
              <w:jc w:val="right"/>
              <w:rPr>
                <w:sz w:val="20"/>
                <w:szCs w:val="20"/>
              </w:rPr>
            </w:pPr>
            <w:r>
              <w:rPr>
                <w:sz w:val="20"/>
                <w:szCs w:val="20"/>
              </w:rPr>
              <w:t>280,50</w:t>
            </w:r>
            <w:r>
              <w:rPr>
                <w:sz w:val="20"/>
                <w:szCs w:val="20"/>
              </w:rPr>
              <w:t>3</w:t>
            </w:r>
          </w:p>
        </w:tc>
        <w:tc>
          <w:tcPr>
            <w:tcW w:w="0" w:type="auto"/>
            <w:noWrap/>
            <w:vAlign w:val="bottom"/>
            <w:hideMark/>
          </w:tcPr>
          <w:p w14:paraId="63A29CFF" w14:textId="77777777" w:rsidR="00000000" w:rsidRDefault="00632532">
            <w:pPr>
              <w:pStyle w:val="a3"/>
              <w:spacing w:before="0" w:beforeAutospacing="0" w:after="0" w:afterAutospacing="0"/>
              <w:rPr>
                <w:sz w:val="20"/>
                <w:szCs w:val="20"/>
              </w:rPr>
            </w:pPr>
            <w:r>
              <w:rPr>
                <w:sz w:val="20"/>
                <w:szCs w:val="20"/>
              </w:rPr>
              <w:t> </w:t>
            </w:r>
          </w:p>
        </w:tc>
      </w:tr>
      <w:tr w:rsidR="00000000" w14:paraId="78485D1D" w14:textId="77777777">
        <w:trPr>
          <w:divId w:val="1442215542"/>
          <w:trHeight w:val="200"/>
          <w:tblCellSpacing w:w="15" w:type="dxa"/>
        </w:trPr>
        <w:tc>
          <w:tcPr>
            <w:tcW w:w="0" w:type="auto"/>
            <w:hideMark/>
          </w:tcPr>
          <w:p w14:paraId="41903031" w14:textId="77777777" w:rsidR="00000000" w:rsidRDefault="00632532">
            <w:pPr>
              <w:pStyle w:val="a3"/>
              <w:spacing w:before="0" w:beforeAutospacing="0" w:after="0" w:afterAutospacing="0"/>
              <w:rPr>
                <w:sz w:val="20"/>
                <w:szCs w:val="20"/>
              </w:rPr>
            </w:pPr>
            <w:r>
              <w:rPr>
                <w:sz w:val="20"/>
                <w:szCs w:val="20"/>
              </w:rPr>
              <w:t>Weighted-average common shares—outstanding, basi</w:t>
            </w:r>
            <w:r>
              <w:rPr>
                <w:sz w:val="20"/>
                <w:szCs w:val="20"/>
              </w:rPr>
              <w:t>c</w:t>
            </w:r>
          </w:p>
        </w:tc>
        <w:tc>
          <w:tcPr>
            <w:tcW w:w="0" w:type="auto"/>
            <w:noWrap/>
            <w:vAlign w:val="bottom"/>
            <w:hideMark/>
          </w:tcPr>
          <w:p w14:paraId="5395AD5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274E14" w14:textId="77777777" w:rsidR="00000000" w:rsidRDefault="00632532">
            <w:pPr>
              <w:pStyle w:val="a3"/>
              <w:spacing w:before="0" w:beforeAutospacing="0" w:after="0" w:afterAutospacing="0"/>
              <w:jc w:val="right"/>
              <w:rPr>
                <w:sz w:val="20"/>
                <w:szCs w:val="20"/>
              </w:rPr>
            </w:pPr>
            <w:r>
              <w:rPr>
                <w:sz w:val="20"/>
                <w:szCs w:val="20"/>
              </w:rPr>
              <w:t>30,36</w:t>
            </w:r>
            <w:r>
              <w:rPr>
                <w:sz w:val="20"/>
                <w:szCs w:val="20"/>
              </w:rPr>
              <w:t>2</w:t>
            </w:r>
          </w:p>
        </w:tc>
        <w:tc>
          <w:tcPr>
            <w:tcW w:w="0" w:type="auto"/>
            <w:noWrap/>
            <w:vAlign w:val="bottom"/>
            <w:hideMark/>
          </w:tcPr>
          <w:p w14:paraId="6EEB119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0E636F"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02097F2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15FCF3D" w14:textId="77777777" w:rsidR="00000000" w:rsidRDefault="00632532">
            <w:pPr>
              <w:pStyle w:val="a3"/>
              <w:spacing w:before="0" w:beforeAutospacing="0" w:after="0" w:afterAutospacing="0"/>
              <w:jc w:val="right"/>
              <w:rPr>
                <w:sz w:val="20"/>
                <w:szCs w:val="20"/>
              </w:rPr>
            </w:pPr>
            <w:r>
              <w:rPr>
                <w:sz w:val="20"/>
                <w:szCs w:val="20"/>
              </w:rPr>
              <w:t>29,15</w:t>
            </w:r>
            <w:r>
              <w:rPr>
                <w:sz w:val="20"/>
                <w:szCs w:val="20"/>
              </w:rPr>
              <w:t>0</w:t>
            </w:r>
          </w:p>
        </w:tc>
        <w:tc>
          <w:tcPr>
            <w:tcW w:w="0" w:type="auto"/>
            <w:noWrap/>
            <w:vAlign w:val="bottom"/>
            <w:hideMark/>
          </w:tcPr>
          <w:p w14:paraId="139E295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A582DE" w14:textId="77777777" w:rsidR="00000000" w:rsidRDefault="00632532">
            <w:pPr>
              <w:pStyle w:val="a3"/>
              <w:spacing w:before="0" w:beforeAutospacing="0" w:after="0" w:afterAutospacing="0"/>
              <w:rPr>
                <w:sz w:val="22"/>
                <w:szCs w:val="22"/>
              </w:rPr>
            </w:pPr>
            <w:r>
              <w:rPr>
                <w:sz w:val="22"/>
                <w:szCs w:val="22"/>
              </w:rPr>
              <w:t> </w:t>
            </w:r>
          </w:p>
        </w:tc>
        <w:tc>
          <w:tcPr>
            <w:tcW w:w="0" w:type="auto"/>
            <w:noWrap/>
            <w:vAlign w:val="bottom"/>
            <w:hideMark/>
          </w:tcPr>
          <w:p w14:paraId="299A4D5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F95385B" w14:textId="77777777" w:rsidR="00000000" w:rsidRDefault="00632532">
            <w:pPr>
              <w:pStyle w:val="a3"/>
              <w:spacing w:before="0" w:beforeAutospacing="0" w:after="0" w:afterAutospacing="0"/>
              <w:jc w:val="right"/>
              <w:rPr>
                <w:sz w:val="20"/>
                <w:szCs w:val="20"/>
              </w:rPr>
            </w:pPr>
            <w:r>
              <w:rPr>
                <w:sz w:val="20"/>
                <w:szCs w:val="20"/>
              </w:rPr>
              <w:t>30,29</w:t>
            </w:r>
            <w:r>
              <w:rPr>
                <w:sz w:val="20"/>
                <w:szCs w:val="20"/>
              </w:rPr>
              <w:t>8</w:t>
            </w:r>
          </w:p>
        </w:tc>
        <w:tc>
          <w:tcPr>
            <w:tcW w:w="0" w:type="auto"/>
            <w:noWrap/>
            <w:vAlign w:val="bottom"/>
            <w:hideMark/>
          </w:tcPr>
          <w:p w14:paraId="3A9FAE4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EEEFD5"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5B737DC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ACBBAA" w14:textId="77777777" w:rsidR="00000000" w:rsidRDefault="00632532">
            <w:pPr>
              <w:pStyle w:val="a3"/>
              <w:spacing w:before="0" w:beforeAutospacing="0" w:after="0" w:afterAutospacing="0"/>
              <w:jc w:val="right"/>
              <w:rPr>
                <w:sz w:val="20"/>
                <w:szCs w:val="20"/>
              </w:rPr>
            </w:pPr>
            <w:r>
              <w:rPr>
                <w:sz w:val="20"/>
                <w:szCs w:val="20"/>
              </w:rPr>
              <w:t>28,99</w:t>
            </w:r>
            <w:r>
              <w:rPr>
                <w:sz w:val="20"/>
                <w:szCs w:val="20"/>
              </w:rPr>
              <w:t>1</w:t>
            </w:r>
          </w:p>
        </w:tc>
        <w:tc>
          <w:tcPr>
            <w:tcW w:w="0" w:type="auto"/>
            <w:noWrap/>
            <w:vAlign w:val="bottom"/>
            <w:hideMark/>
          </w:tcPr>
          <w:p w14:paraId="15A86571" w14:textId="77777777" w:rsidR="00000000" w:rsidRDefault="00632532">
            <w:pPr>
              <w:pStyle w:val="a3"/>
              <w:spacing w:before="0" w:beforeAutospacing="0" w:after="0" w:afterAutospacing="0"/>
              <w:rPr>
                <w:sz w:val="20"/>
                <w:szCs w:val="20"/>
              </w:rPr>
            </w:pPr>
            <w:r>
              <w:rPr>
                <w:sz w:val="20"/>
                <w:szCs w:val="20"/>
              </w:rPr>
              <w:t> </w:t>
            </w:r>
          </w:p>
        </w:tc>
      </w:tr>
      <w:tr w:rsidR="00000000" w14:paraId="7DD3868B" w14:textId="77777777">
        <w:trPr>
          <w:divId w:val="1442215542"/>
          <w:trHeight w:val="200"/>
          <w:tblCellSpacing w:w="15" w:type="dxa"/>
        </w:trPr>
        <w:tc>
          <w:tcPr>
            <w:tcW w:w="0" w:type="auto"/>
            <w:hideMark/>
          </w:tcPr>
          <w:p w14:paraId="0B29232A" w14:textId="77777777" w:rsidR="00000000" w:rsidRDefault="00632532">
            <w:pPr>
              <w:pStyle w:val="a3"/>
              <w:spacing w:before="0" w:beforeAutospacing="0" w:after="0" w:afterAutospacing="0"/>
              <w:rPr>
                <w:sz w:val="20"/>
                <w:szCs w:val="20"/>
              </w:rPr>
            </w:pPr>
            <w:r>
              <w:rPr>
                <w:sz w:val="20"/>
                <w:szCs w:val="20"/>
              </w:rPr>
              <w:t>Weighted-average common shares—outstanding, dilute</w:t>
            </w:r>
            <w:r>
              <w:rPr>
                <w:sz w:val="20"/>
                <w:szCs w:val="20"/>
              </w:rPr>
              <w:t>d</w:t>
            </w:r>
          </w:p>
        </w:tc>
        <w:tc>
          <w:tcPr>
            <w:tcW w:w="0" w:type="auto"/>
            <w:noWrap/>
            <w:vAlign w:val="bottom"/>
            <w:hideMark/>
          </w:tcPr>
          <w:p w14:paraId="4436BF0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34B2EF0" w14:textId="77777777" w:rsidR="00000000" w:rsidRDefault="00632532">
            <w:pPr>
              <w:pStyle w:val="a3"/>
              <w:spacing w:before="0" w:beforeAutospacing="0" w:after="0" w:afterAutospacing="0"/>
              <w:jc w:val="right"/>
              <w:rPr>
                <w:sz w:val="20"/>
                <w:szCs w:val="20"/>
              </w:rPr>
            </w:pPr>
            <w:r>
              <w:rPr>
                <w:sz w:val="20"/>
                <w:szCs w:val="20"/>
              </w:rPr>
              <w:t>31,18</w:t>
            </w:r>
            <w:r>
              <w:rPr>
                <w:sz w:val="20"/>
                <w:szCs w:val="20"/>
              </w:rPr>
              <w:t>9</w:t>
            </w:r>
          </w:p>
        </w:tc>
        <w:tc>
          <w:tcPr>
            <w:tcW w:w="0" w:type="auto"/>
            <w:noWrap/>
            <w:vAlign w:val="bottom"/>
            <w:hideMark/>
          </w:tcPr>
          <w:p w14:paraId="765453E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C24816B"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3F85BA0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3E049F" w14:textId="77777777" w:rsidR="00000000" w:rsidRDefault="00632532">
            <w:pPr>
              <w:pStyle w:val="a3"/>
              <w:spacing w:before="0" w:beforeAutospacing="0" w:after="0" w:afterAutospacing="0"/>
              <w:jc w:val="right"/>
              <w:rPr>
                <w:sz w:val="20"/>
                <w:szCs w:val="20"/>
              </w:rPr>
            </w:pPr>
            <w:r>
              <w:rPr>
                <w:sz w:val="20"/>
                <w:szCs w:val="20"/>
              </w:rPr>
              <w:t>30,83</w:t>
            </w:r>
            <w:r>
              <w:rPr>
                <w:sz w:val="20"/>
                <w:szCs w:val="20"/>
              </w:rPr>
              <w:t>0</w:t>
            </w:r>
          </w:p>
        </w:tc>
        <w:tc>
          <w:tcPr>
            <w:tcW w:w="0" w:type="auto"/>
            <w:noWrap/>
            <w:vAlign w:val="bottom"/>
            <w:hideMark/>
          </w:tcPr>
          <w:p w14:paraId="4E44011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EA5ABF" w14:textId="77777777" w:rsidR="00000000" w:rsidRDefault="00632532">
            <w:pPr>
              <w:pStyle w:val="a3"/>
              <w:spacing w:before="0" w:beforeAutospacing="0" w:after="0" w:afterAutospacing="0"/>
              <w:rPr>
                <w:sz w:val="22"/>
                <w:szCs w:val="22"/>
              </w:rPr>
            </w:pPr>
            <w:r>
              <w:rPr>
                <w:sz w:val="22"/>
                <w:szCs w:val="22"/>
              </w:rPr>
              <w:t> </w:t>
            </w:r>
          </w:p>
        </w:tc>
        <w:tc>
          <w:tcPr>
            <w:tcW w:w="0" w:type="auto"/>
            <w:noWrap/>
            <w:vAlign w:val="bottom"/>
            <w:hideMark/>
          </w:tcPr>
          <w:p w14:paraId="36A81C3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503B9B" w14:textId="77777777" w:rsidR="00000000" w:rsidRDefault="00632532">
            <w:pPr>
              <w:pStyle w:val="a3"/>
              <w:spacing w:before="0" w:beforeAutospacing="0" w:after="0" w:afterAutospacing="0"/>
              <w:jc w:val="right"/>
              <w:rPr>
                <w:sz w:val="20"/>
                <w:szCs w:val="20"/>
              </w:rPr>
            </w:pPr>
            <w:r>
              <w:rPr>
                <w:sz w:val="20"/>
                <w:szCs w:val="20"/>
              </w:rPr>
              <w:t>31,22</w:t>
            </w:r>
            <w:r>
              <w:rPr>
                <w:sz w:val="20"/>
                <w:szCs w:val="20"/>
              </w:rPr>
              <w:t>5</w:t>
            </w:r>
          </w:p>
        </w:tc>
        <w:tc>
          <w:tcPr>
            <w:tcW w:w="0" w:type="auto"/>
            <w:noWrap/>
            <w:vAlign w:val="bottom"/>
            <w:hideMark/>
          </w:tcPr>
          <w:p w14:paraId="230B954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6ABB2F"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2F9BAD4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524C6A" w14:textId="77777777" w:rsidR="00000000" w:rsidRDefault="00632532">
            <w:pPr>
              <w:pStyle w:val="a3"/>
              <w:spacing w:before="0" w:beforeAutospacing="0" w:after="0" w:afterAutospacing="0"/>
              <w:jc w:val="right"/>
              <w:rPr>
                <w:sz w:val="20"/>
                <w:szCs w:val="20"/>
              </w:rPr>
            </w:pPr>
            <w:r>
              <w:rPr>
                <w:sz w:val="20"/>
                <w:szCs w:val="20"/>
              </w:rPr>
              <w:t>30,80</w:t>
            </w:r>
            <w:r>
              <w:rPr>
                <w:sz w:val="20"/>
                <w:szCs w:val="20"/>
              </w:rPr>
              <w:t>9</w:t>
            </w:r>
          </w:p>
        </w:tc>
        <w:tc>
          <w:tcPr>
            <w:tcW w:w="0" w:type="auto"/>
            <w:noWrap/>
            <w:vAlign w:val="bottom"/>
            <w:hideMark/>
          </w:tcPr>
          <w:p w14:paraId="2A4A4205" w14:textId="77777777" w:rsidR="00000000" w:rsidRDefault="00632532">
            <w:pPr>
              <w:pStyle w:val="a3"/>
              <w:spacing w:before="0" w:beforeAutospacing="0" w:after="0" w:afterAutospacing="0"/>
              <w:rPr>
                <w:sz w:val="20"/>
                <w:szCs w:val="20"/>
              </w:rPr>
            </w:pPr>
            <w:r>
              <w:rPr>
                <w:sz w:val="20"/>
                <w:szCs w:val="20"/>
              </w:rPr>
              <w:t> </w:t>
            </w:r>
          </w:p>
        </w:tc>
      </w:tr>
      <w:tr w:rsidR="00000000" w14:paraId="5EA7E9B4" w14:textId="77777777">
        <w:trPr>
          <w:divId w:val="1442215542"/>
          <w:trHeight w:val="200"/>
          <w:tblCellSpacing w:w="15" w:type="dxa"/>
        </w:trPr>
        <w:tc>
          <w:tcPr>
            <w:tcW w:w="0" w:type="auto"/>
            <w:hideMark/>
          </w:tcPr>
          <w:p w14:paraId="36DD7357" w14:textId="77777777" w:rsidR="00000000" w:rsidRDefault="00632532">
            <w:pPr>
              <w:pStyle w:val="a3"/>
              <w:spacing w:before="0" w:beforeAutospacing="0" w:after="0" w:afterAutospacing="0"/>
              <w:rPr>
                <w:sz w:val="20"/>
                <w:szCs w:val="20"/>
              </w:rPr>
            </w:pPr>
            <w:r>
              <w:rPr>
                <w:sz w:val="20"/>
                <w:szCs w:val="20"/>
              </w:rPr>
              <w:t>Net income per common share, basi</w:t>
            </w:r>
            <w:r>
              <w:rPr>
                <w:sz w:val="20"/>
                <w:szCs w:val="20"/>
              </w:rPr>
              <w:t>c</w:t>
            </w:r>
          </w:p>
        </w:tc>
        <w:tc>
          <w:tcPr>
            <w:tcW w:w="0" w:type="auto"/>
            <w:noWrap/>
            <w:vAlign w:val="bottom"/>
            <w:hideMark/>
          </w:tcPr>
          <w:p w14:paraId="689E995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76E4693" w14:textId="77777777" w:rsidR="00000000" w:rsidRDefault="00632532">
            <w:pPr>
              <w:pStyle w:val="a3"/>
              <w:spacing w:before="0" w:beforeAutospacing="0" w:after="0" w:afterAutospacing="0"/>
              <w:jc w:val="right"/>
              <w:rPr>
                <w:sz w:val="20"/>
                <w:szCs w:val="20"/>
              </w:rPr>
            </w:pPr>
            <w:r>
              <w:rPr>
                <w:sz w:val="20"/>
                <w:szCs w:val="20"/>
              </w:rPr>
              <w:t>0.3</w:t>
            </w:r>
            <w:r>
              <w:rPr>
                <w:sz w:val="20"/>
                <w:szCs w:val="20"/>
              </w:rPr>
              <w:t>8</w:t>
            </w:r>
          </w:p>
        </w:tc>
        <w:tc>
          <w:tcPr>
            <w:tcW w:w="0" w:type="auto"/>
            <w:noWrap/>
            <w:vAlign w:val="bottom"/>
            <w:hideMark/>
          </w:tcPr>
          <w:p w14:paraId="4C963B4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A6E3199"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307183A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DD3E1E1" w14:textId="77777777" w:rsidR="00000000" w:rsidRDefault="00632532">
            <w:pPr>
              <w:pStyle w:val="a3"/>
              <w:spacing w:before="0" w:beforeAutospacing="0" w:after="0" w:afterAutospacing="0"/>
              <w:jc w:val="right"/>
              <w:rPr>
                <w:sz w:val="20"/>
                <w:szCs w:val="20"/>
              </w:rPr>
            </w:pPr>
            <w:r>
              <w:rPr>
                <w:sz w:val="20"/>
                <w:szCs w:val="20"/>
              </w:rPr>
              <w:t>2.7</w:t>
            </w:r>
            <w:r>
              <w:rPr>
                <w:sz w:val="20"/>
                <w:szCs w:val="20"/>
              </w:rPr>
              <w:t>4</w:t>
            </w:r>
          </w:p>
        </w:tc>
        <w:tc>
          <w:tcPr>
            <w:tcW w:w="0" w:type="auto"/>
            <w:noWrap/>
            <w:vAlign w:val="bottom"/>
            <w:hideMark/>
          </w:tcPr>
          <w:p w14:paraId="148D2A2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97544B" w14:textId="77777777" w:rsidR="00000000" w:rsidRDefault="00632532">
            <w:pPr>
              <w:pStyle w:val="a3"/>
              <w:spacing w:before="0" w:beforeAutospacing="0" w:after="0" w:afterAutospacing="0"/>
              <w:rPr>
                <w:sz w:val="22"/>
                <w:szCs w:val="22"/>
              </w:rPr>
            </w:pPr>
            <w:r>
              <w:rPr>
                <w:sz w:val="22"/>
                <w:szCs w:val="22"/>
              </w:rPr>
              <w:t> </w:t>
            </w:r>
          </w:p>
        </w:tc>
        <w:tc>
          <w:tcPr>
            <w:tcW w:w="0" w:type="auto"/>
            <w:noWrap/>
            <w:vAlign w:val="bottom"/>
            <w:hideMark/>
          </w:tcPr>
          <w:p w14:paraId="76897C3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36F21F3" w14:textId="77777777" w:rsidR="00000000" w:rsidRDefault="00632532">
            <w:pPr>
              <w:pStyle w:val="a3"/>
              <w:spacing w:before="0" w:beforeAutospacing="0" w:after="0" w:afterAutospacing="0"/>
              <w:jc w:val="right"/>
              <w:rPr>
                <w:sz w:val="20"/>
                <w:szCs w:val="20"/>
              </w:rPr>
            </w:pPr>
            <w:r>
              <w:rPr>
                <w:sz w:val="20"/>
                <w:szCs w:val="20"/>
              </w:rPr>
              <w:t>5.4</w:t>
            </w:r>
            <w:r>
              <w:rPr>
                <w:sz w:val="20"/>
                <w:szCs w:val="20"/>
              </w:rPr>
              <w:t>6</w:t>
            </w:r>
          </w:p>
        </w:tc>
        <w:tc>
          <w:tcPr>
            <w:tcW w:w="0" w:type="auto"/>
            <w:noWrap/>
            <w:vAlign w:val="bottom"/>
            <w:hideMark/>
          </w:tcPr>
          <w:p w14:paraId="2976245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5D1F3C"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7383FD6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99DA353" w14:textId="77777777" w:rsidR="00000000" w:rsidRDefault="00632532">
            <w:pPr>
              <w:pStyle w:val="a3"/>
              <w:spacing w:before="0" w:beforeAutospacing="0" w:after="0" w:afterAutospacing="0"/>
              <w:jc w:val="right"/>
              <w:rPr>
                <w:sz w:val="20"/>
                <w:szCs w:val="20"/>
              </w:rPr>
            </w:pPr>
            <w:r>
              <w:rPr>
                <w:sz w:val="20"/>
                <w:szCs w:val="20"/>
              </w:rPr>
              <w:t>9.6</w:t>
            </w:r>
            <w:r>
              <w:rPr>
                <w:sz w:val="20"/>
                <w:szCs w:val="20"/>
              </w:rPr>
              <w:t>8</w:t>
            </w:r>
          </w:p>
        </w:tc>
        <w:tc>
          <w:tcPr>
            <w:tcW w:w="0" w:type="auto"/>
            <w:noWrap/>
            <w:vAlign w:val="bottom"/>
            <w:hideMark/>
          </w:tcPr>
          <w:p w14:paraId="1F8F7C7F" w14:textId="77777777" w:rsidR="00000000" w:rsidRDefault="00632532">
            <w:pPr>
              <w:pStyle w:val="a3"/>
              <w:spacing w:before="0" w:beforeAutospacing="0" w:after="0" w:afterAutospacing="0"/>
              <w:rPr>
                <w:sz w:val="20"/>
                <w:szCs w:val="20"/>
              </w:rPr>
            </w:pPr>
            <w:r>
              <w:rPr>
                <w:sz w:val="20"/>
                <w:szCs w:val="20"/>
              </w:rPr>
              <w:t> </w:t>
            </w:r>
          </w:p>
        </w:tc>
      </w:tr>
      <w:tr w:rsidR="00000000" w14:paraId="14FE778B" w14:textId="77777777">
        <w:trPr>
          <w:divId w:val="1442215542"/>
          <w:trHeight w:val="200"/>
          <w:tblCellSpacing w:w="15" w:type="dxa"/>
        </w:trPr>
        <w:tc>
          <w:tcPr>
            <w:tcW w:w="0" w:type="auto"/>
            <w:hideMark/>
          </w:tcPr>
          <w:p w14:paraId="6ABD88DD" w14:textId="77777777" w:rsidR="00000000" w:rsidRDefault="00632532">
            <w:pPr>
              <w:pStyle w:val="a3"/>
              <w:spacing w:before="0" w:beforeAutospacing="0" w:after="0" w:afterAutospacing="0"/>
              <w:rPr>
                <w:sz w:val="20"/>
                <w:szCs w:val="20"/>
              </w:rPr>
            </w:pPr>
            <w:r>
              <w:rPr>
                <w:sz w:val="20"/>
                <w:szCs w:val="20"/>
              </w:rPr>
              <w:t>Net income per common share, dilute</w:t>
            </w:r>
            <w:r>
              <w:rPr>
                <w:sz w:val="20"/>
                <w:szCs w:val="20"/>
              </w:rPr>
              <w:t>d</w:t>
            </w:r>
          </w:p>
        </w:tc>
        <w:tc>
          <w:tcPr>
            <w:tcW w:w="0" w:type="auto"/>
            <w:noWrap/>
            <w:vAlign w:val="bottom"/>
            <w:hideMark/>
          </w:tcPr>
          <w:p w14:paraId="0438646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27055EE" w14:textId="77777777" w:rsidR="00000000" w:rsidRDefault="00632532">
            <w:pPr>
              <w:pStyle w:val="a3"/>
              <w:spacing w:before="0" w:beforeAutospacing="0" w:after="0" w:afterAutospacing="0"/>
              <w:jc w:val="right"/>
              <w:rPr>
                <w:sz w:val="20"/>
                <w:szCs w:val="20"/>
              </w:rPr>
            </w:pPr>
            <w:r>
              <w:rPr>
                <w:sz w:val="20"/>
                <w:szCs w:val="20"/>
              </w:rPr>
              <w:t>0.3</w:t>
            </w:r>
            <w:r>
              <w:rPr>
                <w:sz w:val="20"/>
                <w:szCs w:val="20"/>
              </w:rPr>
              <w:t>7</w:t>
            </w:r>
          </w:p>
        </w:tc>
        <w:tc>
          <w:tcPr>
            <w:tcW w:w="0" w:type="auto"/>
            <w:noWrap/>
            <w:vAlign w:val="bottom"/>
            <w:hideMark/>
          </w:tcPr>
          <w:p w14:paraId="2A9D39C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BDF7C8"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4ED7B3D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41BD0AB" w14:textId="77777777" w:rsidR="00000000" w:rsidRDefault="00632532">
            <w:pPr>
              <w:pStyle w:val="a3"/>
              <w:spacing w:before="0" w:beforeAutospacing="0" w:after="0" w:afterAutospacing="0"/>
              <w:jc w:val="right"/>
              <w:rPr>
                <w:sz w:val="20"/>
                <w:szCs w:val="20"/>
              </w:rPr>
            </w:pPr>
            <w:r>
              <w:rPr>
                <w:sz w:val="20"/>
                <w:szCs w:val="20"/>
              </w:rPr>
              <w:t>2.5</w:t>
            </w:r>
            <w:r>
              <w:rPr>
                <w:sz w:val="20"/>
                <w:szCs w:val="20"/>
              </w:rPr>
              <w:t>9</w:t>
            </w:r>
          </w:p>
        </w:tc>
        <w:tc>
          <w:tcPr>
            <w:tcW w:w="0" w:type="auto"/>
            <w:noWrap/>
            <w:vAlign w:val="bottom"/>
            <w:hideMark/>
          </w:tcPr>
          <w:p w14:paraId="7A21107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8208C9" w14:textId="77777777" w:rsidR="00000000" w:rsidRDefault="00632532">
            <w:pPr>
              <w:pStyle w:val="a3"/>
              <w:spacing w:before="0" w:beforeAutospacing="0" w:after="0" w:afterAutospacing="0"/>
              <w:rPr>
                <w:sz w:val="22"/>
                <w:szCs w:val="22"/>
              </w:rPr>
            </w:pPr>
            <w:r>
              <w:rPr>
                <w:sz w:val="22"/>
                <w:szCs w:val="22"/>
              </w:rPr>
              <w:t> </w:t>
            </w:r>
          </w:p>
        </w:tc>
        <w:tc>
          <w:tcPr>
            <w:tcW w:w="0" w:type="auto"/>
            <w:noWrap/>
            <w:vAlign w:val="bottom"/>
            <w:hideMark/>
          </w:tcPr>
          <w:p w14:paraId="5497F99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54EBEEA" w14:textId="77777777" w:rsidR="00000000" w:rsidRDefault="00632532">
            <w:pPr>
              <w:pStyle w:val="a3"/>
              <w:spacing w:before="0" w:beforeAutospacing="0" w:after="0" w:afterAutospacing="0"/>
              <w:jc w:val="right"/>
              <w:rPr>
                <w:sz w:val="20"/>
                <w:szCs w:val="20"/>
              </w:rPr>
            </w:pPr>
            <w:r>
              <w:rPr>
                <w:sz w:val="20"/>
                <w:szCs w:val="20"/>
              </w:rPr>
              <w:t>5.3</w:t>
            </w:r>
            <w:r>
              <w:rPr>
                <w:sz w:val="20"/>
                <w:szCs w:val="20"/>
              </w:rPr>
              <w:t>0</w:t>
            </w:r>
          </w:p>
        </w:tc>
        <w:tc>
          <w:tcPr>
            <w:tcW w:w="0" w:type="auto"/>
            <w:noWrap/>
            <w:vAlign w:val="bottom"/>
            <w:hideMark/>
          </w:tcPr>
          <w:p w14:paraId="18FF058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83E2D0"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00A1061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C72EFCD" w14:textId="77777777" w:rsidR="00000000" w:rsidRDefault="00632532">
            <w:pPr>
              <w:pStyle w:val="a3"/>
              <w:spacing w:before="0" w:beforeAutospacing="0" w:after="0" w:afterAutospacing="0"/>
              <w:jc w:val="right"/>
              <w:rPr>
                <w:sz w:val="20"/>
                <w:szCs w:val="20"/>
              </w:rPr>
            </w:pPr>
            <w:r>
              <w:rPr>
                <w:sz w:val="20"/>
                <w:szCs w:val="20"/>
              </w:rPr>
              <w:t>9.1</w:t>
            </w:r>
            <w:r>
              <w:rPr>
                <w:sz w:val="20"/>
                <w:szCs w:val="20"/>
              </w:rPr>
              <w:t>0</w:t>
            </w:r>
          </w:p>
        </w:tc>
        <w:tc>
          <w:tcPr>
            <w:tcW w:w="0" w:type="auto"/>
            <w:noWrap/>
            <w:vAlign w:val="bottom"/>
            <w:hideMark/>
          </w:tcPr>
          <w:p w14:paraId="206670B4" w14:textId="77777777" w:rsidR="00000000" w:rsidRDefault="00632532">
            <w:pPr>
              <w:pStyle w:val="a3"/>
              <w:spacing w:before="0" w:beforeAutospacing="0" w:after="0" w:afterAutospacing="0"/>
              <w:rPr>
                <w:sz w:val="20"/>
                <w:szCs w:val="20"/>
              </w:rPr>
            </w:pPr>
            <w:r>
              <w:rPr>
                <w:sz w:val="20"/>
                <w:szCs w:val="20"/>
              </w:rPr>
              <w:t> </w:t>
            </w:r>
          </w:p>
        </w:tc>
      </w:tr>
    </w:tbl>
    <w:p w14:paraId="013CD449" w14:textId="77777777" w:rsidR="00000000" w:rsidRDefault="00632532">
      <w:pPr>
        <w:pStyle w:val="a3"/>
        <w:spacing w:before="240" w:beforeAutospacing="0" w:after="0" w:afterAutospacing="0"/>
        <w:ind w:firstLine="555"/>
        <w:divId w:val="915433437"/>
        <w:rPr>
          <w:sz w:val="20"/>
          <w:szCs w:val="20"/>
        </w:rPr>
      </w:pPr>
      <w:r>
        <w:rPr>
          <w:sz w:val="20"/>
          <w:szCs w:val="20"/>
        </w:rPr>
        <w:t>The following securities have been excluded from the calculation of diluted income per share because their effect would have been anti-dilutive</w:t>
      </w:r>
      <w:r>
        <w:rPr>
          <w:sz w:val="20"/>
          <w:szCs w:val="20"/>
        </w:rPr>
        <w:t>:</w:t>
      </w:r>
    </w:p>
    <w:p w14:paraId="15A89E42" w14:textId="77777777" w:rsidR="00000000" w:rsidRDefault="00632532">
      <w:pPr>
        <w:pStyle w:val="a3"/>
        <w:spacing w:before="0" w:beforeAutospacing="0" w:after="0" w:afterAutospacing="0"/>
        <w:divId w:val="91543343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6"/>
        <w:gridCol w:w="110"/>
        <w:gridCol w:w="899"/>
        <w:gridCol w:w="110"/>
        <w:gridCol w:w="127"/>
        <w:gridCol w:w="110"/>
        <w:gridCol w:w="917"/>
        <w:gridCol w:w="110"/>
        <w:gridCol w:w="153"/>
        <w:gridCol w:w="110"/>
        <w:gridCol w:w="987"/>
        <w:gridCol w:w="110"/>
        <w:gridCol w:w="110"/>
        <w:gridCol w:w="111"/>
        <w:gridCol w:w="1031"/>
        <w:gridCol w:w="125"/>
      </w:tblGrid>
      <w:tr w:rsidR="00000000" w14:paraId="7B48AB07" w14:textId="77777777">
        <w:trPr>
          <w:divId w:val="915433437"/>
          <w:tblCellSpacing w:w="15" w:type="dxa"/>
        </w:trPr>
        <w:tc>
          <w:tcPr>
            <w:tcW w:w="2015" w:type="pct"/>
            <w:vAlign w:val="center"/>
            <w:hideMark/>
          </w:tcPr>
          <w:p w14:paraId="00CC0420" w14:textId="77777777" w:rsidR="00000000" w:rsidRDefault="00632532">
            <w:pPr>
              <w:rPr>
                <w:sz w:val="20"/>
                <w:szCs w:val="20"/>
              </w:rPr>
            </w:pPr>
          </w:p>
        </w:tc>
        <w:tc>
          <w:tcPr>
            <w:tcW w:w="50" w:type="pct"/>
            <w:vAlign w:val="center"/>
            <w:hideMark/>
          </w:tcPr>
          <w:p w14:paraId="2DC6FCCE" w14:textId="77777777" w:rsidR="00000000" w:rsidRDefault="00632532">
            <w:pPr>
              <w:rPr>
                <w:rFonts w:eastAsia="Times New Roman"/>
                <w:sz w:val="20"/>
                <w:szCs w:val="20"/>
              </w:rPr>
            </w:pPr>
          </w:p>
        </w:tc>
        <w:tc>
          <w:tcPr>
            <w:tcW w:w="559" w:type="pct"/>
            <w:vAlign w:val="center"/>
            <w:hideMark/>
          </w:tcPr>
          <w:p w14:paraId="45DD3D5F" w14:textId="77777777" w:rsidR="00000000" w:rsidRDefault="00632532">
            <w:pPr>
              <w:rPr>
                <w:rFonts w:eastAsia="Times New Roman"/>
                <w:sz w:val="20"/>
                <w:szCs w:val="20"/>
              </w:rPr>
            </w:pPr>
          </w:p>
        </w:tc>
        <w:tc>
          <w:tcPr>
            <w:tcW w:w="50" w:type="pct"/>
            <w:vAlign w:val="center"/>
            <w:hideMark/>
          </w:tcPr>
          <w:p w14:paraId="53883AA1" w14:textId="77777777" w:rsidR="00000000" w:rsidRDefault="00632532">
            <w:pPr>
              <w:rPr>
                <w:rFonts w:eastAsia="Times New Roman"/>
                <w:sz w:val="20"/>
                <w:szCs w:val="20"/>
              </w:rPr>
            </w:pPr>
          </w:p>
        </w:tc>
        <w:tc>
          <w:tcPr>
            <w:tcW w:w="64" w:type="pct"/>
            <w:vAlign w:val="center"/>
            <w:hideMark/>
          </w:tcPr>
          <w:p w14:paraId="2C3E1984" w14:textId="77777777" w:rsidR="00000000" w:rsidRDefault="00632532">
            <w:pPr>
              <w:rPr>
                <w:rFonts w:eastAsia="Times New Roman"/>
                <w:sz w:val="20"/>
                <w:szCs w:val="20"/>
              </w:rPr>
            </w:pPr>
          </w:p>
        </w:tc>
        <w:tc>
          <w:tcPr>
            <w:tcW w:w="50" w:type="pct"/>
            <w:vAlign w:val="center"/>
            <w:hideMark/>
          </w:tcPr>
          <w:p w14:paraId="6565AD6D" w14:textId="77777777" w:rsidR="00000000" w:rsidRDefault="00632532">
            <w:pPr>
              <w:rPr>
                <w:rFonts w:eastAsia="Times New Roman"/>
                <w:sz w:val="20"/>
                <w:szCs w:val="20"/>
              </w:rPr>
            </w:pPr>
          </w:p>
        </w:tc>
        <w:tc>
          <w:tcPr>
            <w:tcW w:w="571" w:type="pct"/>
            <w:vAlign w:val="center"/>
            <w:hideMark/>
          </w:tcPr>
          <w:p w14:paraId="08BB0B96" w14:textId="77777777" w:rsidR="00000000" w:rsidRDefault="00632532">
            <w:pPr>
              <w:rPr>
                <w:rFonts w:eastAsia="Times New Roman"/>
                <w:sz w:val="20"/>
                <w:szCs w:val="20"/>
              </w:rPr>
            </w:pPr>
          </w:p>
        </w:tc>
        <w:tc>
          <w:tcPr>
            <w:tcW w:w="50" w:type="pct"/>
            <w:vAlign w:val="center"/>
            <w:hideMark/>
          </w:tcPr>
          <w:p w14:paraId="0AB83CEE" w14:textId="77777777" w:rsidR="00000000" w:rsidRDefault="00632532">
            <w:pPr>
              <w:rPr>
                <w:rFonts w:eastAsia="Times New Roman"/>
                <w:sz w:val="20"/>
                <w:szCs w:val="20"/>
              </w:rPr>
            </w:pPr>
          </w:p>
        </w:tc>
        <w:tc>
          <w:tcPr>
            <w:tcW w:w="81" w:type="pct"/>
            <w:vAlign w:val="center"/>
            <w:hideMark/>
          </w:tcPr>
          <w:p w14:paraId="59063C38" w14:textId="77777777" w:rsidR="00000000" w:rsidRDefault="00632532">
            <w:pPr>
              <w:rPr>
                <w:rFonts w:eastAsia="Times New Roman"/>
                <w:sz w:val="20"/>
                <w:szCs w:val="20"/>
              </w:rPr>
            </w:pPr>
          </w:p>
        </w:tc>
        <w:tc>
          <w:tcPr>
            <w:tcW w:w="50" w:type="pct"/>
            <w:vAlign w:val="center"/>
            <w:hideMark/>
          </w:tcPr>
          <w:p w14:paraId="5F410E4D" w14:textId="77777777" w:rsidR="00000000" w:rsidRDefault="00632532">
            <w:pPr>
              <w:rPr>
                <w:rFonts w:eastAsia="Times New Roman"/>
                <w:sz w:val="20"/>
                <w:szCs w:val="20"/>
              </w:rPr>
            </w:pPr>
          </w:p>
        </w:tc>
        <w:tc>
          <w:tcPr>
            <w:tcW w:w="616" w:type="pct"/>
            <w:vAlign w:val="center"/>
            <w:hideMark/>
          </w:tcPr>
          <w:p w14:paraId="5DCE97A2" w14:textId="77777777" w:rsidR="00000000" w:rsidRDefault="00632532">
            <w:pPr>
              <w:rPr>
                <w:rFonts w:eastAsia="Times New Roman"/>
                <w:sz w:val="20"/>
                <w:szCs w:val="20"/>
              </w:rPr>
            </w:pPr>
          </w:p>
        </w:tc>
        <w:tc>
          <w:tcPr>
            <w:tcW w:w="50" w:type="pct"/>
            <w:vAlign w:val="center"/>
            <w:hideMark/>
          </w:tcPr>
          <w:p w14:paraId="599BFEC3" w14:textId="77777777" w:rsidR="00000000" w:rsidRDefault="00632532">
            <w:pPr>
              <w:rPr>
                <w:rFonts w:eastAsia="Times New Roman"/>
                <w:sz w:val="20"/>
                <w:szCs w:val="20"/>
              </w:rPr>
            </w:pPr>
          </w:p>
        </w:tc>
        <w:tc>
          <w:tcPr>
            <w:tcW w:w="47" w:type="pct"/>
            <w:vAlign w:val="center"/>
            <w:hideMark/>
          </w:tcPr>
          <w:p w14:paraId="508961AB" w14:textId="77777777" w:rsidR="00000000" w:rsidRDefault="00632532">
            <w:pPr>
              <w:rPr>
                <w:rFonts w:eastAsia="Times New Roman"/>
                <w:sz w:val="20"/>
                <w:szCs w:val="20"/>
              </w:rPr>
            </w:pPr>
          </w:p>
        </w:tc>
        <w:tc>
          <w:tcPr>
            <w:tcW w:w="50" w:type="pct"/>
            <w:vAlign w:val="center"/>
            <w:hideMark/>
          </w:tcPr>
          <w:p w14:paraId="4174CD5D" w14:textId="77777777" w:rsidR="00000000" w:rsidRDefault="00632532">
            <w:pPr>
              <w:rPr>
                <w:rFonts w:eastAsia="Times New Roman"/>
                <w:sz w:val="20"/>
                <w:szCs w:val="20"/>
              </w:rPr>
            </w:pPr>
          </w:p>
        </w:tc>
        <w:tc>
          <w:tcPr>
            <w:tcW w:w="643" w:type="pct"/>
            <w:vAlign w:val="center"/>
            <w:hideMark/>
          </w:tcPr>
          <w:p w14:paraId="38F7465F" w14:textId="77777777" w:rsidR="00000000" w:rsidRDefault="00632532">
            <w:pPr>
              <w:rPr>
                <w:rFonts w:eastAsia="Times New Roman"/>
                <w:sz w:val="20"/>
                <w:szCs w:val="20"/>
              </w:rPr>
            </w:pPr>
          </w:p>
        </w:tc>
        <w:tc>
          <w:tcPr>
            <w:tcW w:w="50" w:type="pct"/>
            <w:vAlign w:val="center"/>
            <w:hideMark/>
          </w:tcPr>
          <w:p w14:paraId="01537F56" w14:textId="77777777" w:rsidR="00000000" w:rsidRDefault="00632532">
            <w:pPr>
              <w:rPr>
                <w:rFonts w:eastAsia="Times New Roman"/>
                <w:sz w:val="20"/>
                <w:szCs w:val="20"/>
              </w:rPr>
            </w:pPr>
          </w:p>
        </w:tc>
      </w:tr>
      <w:tr w:rsidR="00000000" w14:paraId="51BB0C2A" w14:textId="77777777">
        <w:trPr>
          <w:divId w:val="915433437"/>
          <w:trHeight w:val="160"/>
          <w:tblCellSpacing w:w="15" w:type="dxa"/>
        </w:trPr>
        <w:tc>
          <w:tcPr>
            <w:tcW w:w="0" w:type="auto"/>
            <w:hideMark/>
          </w:tcPr>
          <w:p w14:paraId="2DD632DE" w14:textId="77777777" w:rsidR="00000000" w:rsidRDefault="00632532">
            <w:pPr>
              <w:pStyle w:val="a3"/>
              <w:spacing w:before="0" w:beforeAutospacing="0" w:after="0" w:afterAutospacing="0"/>
              <w:rPr>
                <w:sz w:val="16"/>
                <w:szCs w:val="16"/>
              </w:rPr>
            </w:pPr>
            <w:r>
              <w:rPr>
                <w:sz w:val="16"/>
                <w:szCs w:val="16"/>
              </w:rPr>
              <w:t> </w:t>
            </w:r>
          </w:p>
        </w:tc>
        <w:tc>
          <w:tcPr>
            <w:tcW w:w="0" w:type="auto"/>
            <w:gridSpan w:val="6"/>
            <w:vAlign w:val="bottom"/>
            <w:hideMark/>
          </w:tcPr>
          <w:p w14:paraId="0D6A2F51" w14:textId="77777777" w:rsidR="00000000" w:rsidRDefault="00632532">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3DA5E08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FA3C4C2" w14:textId="77777777" w:rsidR="00000000" w:rsidRDefault="00632532">
            <w:pPr>
              <w:pStyle w:val="a3"/>
              <w:spacing w:before="0" w:beforeAutospacing="0" w:after="0" w:afterAutospacing="0"/>
              <w:rPr>
                <w:sz w:val="22"/>
                <w:szCs w:val="22"/>
              </w:rPr>
            </w:pPr>
            <w:r>
              <w:rPr>
                <w:sz w:val="22"/>
                <w:szCs w:val="22"/>
              </w:rPr>
              <w:t> </w:t>
            </w:r>
          </w:p>
        </w:tc>
        <w:tc>
          <w:tcPr>
            <w:tcW w:w="0" w:type="auto"/>
            <w:gridSpan w:val="6"/>
            <w:vAlign w:val="bottom"/>
            <w:hideMark/>
          </w:tcPr>
          <w:p w14:paraId="68C009E9"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2A491BC5"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014C435A" w14:textId="77777777">
        <w:trPr>
          <w:divId w:val="915433437"/>
          <w:trHeight w:val="160"/>
          <w:tblCellSpacing w:w="15" w:type="dxa"/>
        </w:trPr>
        <w:tc>
          <w:tcPr>
            <w:tcW w:w="0" w:type="auto"/>
            <w:hideMark/>
          </w:tcPr>
          <w:p w14:paraId="0FCE788F"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7EF3BC7E"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79336F7"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5B0920D"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31DFBAEA"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F1273B4"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1EDB248" w14:textId="77777777" w:rsidR="00000000" w:rsidRDefault="00632532">
            <w:pPr>
              <w:pStyle w:val="a3"/>
              <w:spacing w:before="0" w:beforeAutospacing="0" w:after="0" w:afterAutospacing="0"/>
              <w:rPr>
                <w:sz w:val="22"/>
                <w:szCs w:val="22"/>
              </w:rPr>
            </w:pPr>
            <w:r>
              <w:rPr>
                <w:sz w:val="22"/>
                <w:szCs w:val="22"/>
              </w:rPr>
              <w:t> </w:t>
            </w:r>
          </w:p>
        </w:tc>
        <w:tc>
          <w:tcPr>
            <w:tcW w:w="0" w:type="auto"/>
            <w:gridSpan w:val="2"/>
            <w:vAlign w:val="bottom"/>
            <w:hideMark/>
          </w:tcPr>
          <w:p w14:paraId="06DD5198"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38FFB1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5A0E7D6"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38EB0364"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2AEDD68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0D1AF849" w14:textId="77777777">
        <w:trPr>
          <w:divId w:val="915433437"/>
          <w:trHeight w:val="160"/>
          <w:tblCellSpacing w:w="15" w:type="dxa"/>
        </w:trPr>
        <w:tc>
          <w:tcPr>
            <w:tcW w:w="0" w:type="auto"/>
            <w:hideMark/>
          </w:tcPr>
          <w:p w14:paraId="65C097A7" w14:textId="77777777" w:rsidR="00000000" w:rsidRDefault="00632532">
            <w:pPr>
              <w:pStyle w:val="a3"/>
              <w:spacing w:before="0" w:beforeAutospacing="0" w:after="0" w:afterAutospacing="0"/>
              <w:rPr>
                <w:sz w:val="16"/>
                <w:szCs w:val="16"/>
              </w:rPr>
            </w:pPr>
            <w:r>
              <w:rPr>
                <w:sz w:val="16"/>
                <w:szCs w:val="16"/>
              </w:rPr>
              <w:t> </w:t>
            </w:r>
          </w:p>
        </w:tc>
        <w:tc>
          <w:tcPr>
            <w:tcW w:w="0" w:type="auto"/>
            <w:gridSpan w:val="14"/>
            <w:vAlign w:val="bottom"/>
            <w:hideMark/>
          </w:tcPr>
          <w:p w14:paraId="2886D835"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582135D4"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466096C" w14:textId="77777777">
        <w:trPr>
          <w:divId w:val="915433437"/>
          <w:trHeight w:val="200"/>
          <w:tblCellSpacing w:w="15" w:type="dxa"/>
        </w:trPr>
        <w:tc>
          <w:tcPr>
            <w:tcW w:w="0" w:type="auto"/>
            <w:hideMark/>
          </w:tcPr>
          <w:p w14:paraId="5EB3BC12" w14:textId="77777777" w:rsidR="00000000" w:rsidRDefault="00632532">
            <w:pPr>
              <w:pStyle w:val="a3"/>
              <w:spacing w:before="0" w:beforeAutospacing="0" w:after="0" w:afterAutospacing="0"/>
              <w:rPr>
                <w:sz w:val="20"/>
                <w:szCs w:val="20"/>
              </w:rPr>
            </w:pPr>
            <w:r>
              <w:rPr>
                <w:sz w:val="20"/>
                <w:szCs w:val="20"/>
              </w:rPr>
              <w:t>Option</w:t>
            </w:r>
            <w:r>
              <w:rPr>
                <w:sz w:val="20"/>
                <w:szCs w:val="20"/>
              </w:rPr>
              <w:t>s</w:t>
            </w:r>
          </w:p>
        </w:tc>
        <w:tc>
          <w:tcPr>
            <w:tcW w:w="0" w:type="auto"/>
            <w:noWrap/>
            <w:vAlign w:val="bottom"/>
            <w:hideMark/>
          </w:tcPr>
          <w:p w14:paraId="3042D72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45D4FC" w14:textId="77777777" w:rsidR="00000000" w:rsidRDefault="00632532">
            <w:pPr>
              <w:pStyle w:val="a3"/>
              <w:spacing w:before="0" w:beforeAutospacing="0" w:after="0" w:afterAutospacing="0"/>
              <w:jc w:val="right"/>
              <w:rPr>
                <w:sz w:val="20"/>
                <w:szCs w:val="20"/>
              </w:rPr>
            </w:pPr>
            <w:r>
              <w:rPr>
                <w:sz w:val="20"/>
                <w:szCs w:val="20"/>
              </w:rPr>
              <w:t>1</w:t>
            </w:r>
          </w:p>
        </w:tc>
        <w:tc>
          <w:tcPr>
            <w:tcW w:w="0" w:type="auto"/>
            <w:noWrap/>
            <w:vAlign w:val="bottom"/>
            <w:hideMark/>
          </w:tcPr>
          <w:p w14:paraId="05086FC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FB53A40"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568886F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EAF544D" w14:textId="77777777" w:rsidR="00000000" w:rsidRDefault="00632532">
            <w:pPr>
              <w:pStyle w:val="a3"/>
              <w:spacing w:before="0" w:beforeAutospacing="0" w:after="0" w:afterAutospacing="0"/>
              <w:jc w:val="right"/>
              <w:rPr>
                <w:sz w:val="20"/>
                <w:szCs w:val="20"/>
              </w:rPr>
            </w:pPr>
            <w:r>
              <w:rPr>
                <w:sz w:val="20"/>
                <w:szCs w:val="20"/>
              </w:rPr>
              <w:t>2</w:t>
            </w:r>
          </w:p>
        </w:tc>
        <w:tc>
          <w:tcPr>
            <w:tcW w:w="0" w:type="auto"/>
            <w:noWrap/>
            <w:vAlign w:val="bottom"/>
            <w:hideMark/>
          </w:tcPr>
          <w:p w14:paraId="3741F73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B70D97"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19154A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69CC81" w14:textId="77777777" w:rsidR="00000000" w:rsidRDefault="00632532">
            <w:pPr>
              <w:pStyle w:val="a3"/>
              <w:spacing w:before="0" w:beforeAutospacing="0" w:after="0" w:afterAutospacing="0"/>
              <w:jc w:val="right"/>
              <w:rPr>
                <w:sz w:val="20"/>
                <w:szCs w:val="20"/>
              </w:rPr>
            </w:pPr>
            <w:r>
              <w:rPr>
                <w:sz w:val="20"/>
                <w:szCs w:val="20"/>
              </w:rPr>
              <w:t>1</w:t>
            </w:r>
          </w:p>
        </w:tc>
        <w:tc>
          <w:tcPr>
            <w:tcW w:w="0" w:type="auto"/>
            <w:noWrap/>
            <w:vAlign w:val="bottom"/>
            <w:hideMark/>
          </w:tcPr>
          <w:p w14:paraId="78D76D6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8C912E"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5AAA9BA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223EF1" w14:textId="77777777" w:rsidR="00000000" w:rsidRDefault="00632532">
            <w:pPr>
              <w:pStyle w:val="a3"/>
              <w:spacing w:before="0" w:beforeAutospacing="0" w:after="0" w:afterAutospacing="0"/>
              <w:jc w:val="right"/>
              <w:rPr>
                <w:sz w:val="20"/>
                <w:szCs w:val="20"/>
              </w:rPr>
            </w:pPr>
            <w:r>
              <w:rPr>
                <w:sz w:val="20"/>
                <w:szCs w:val="20"/>
              </w:rPr>
              <w:t>5</w:t>
            </w:r>
          </w:p>
        </w:tc>
        <w:tc>
          <w:tcPr>
            <w:tcW w:w="0" w:type="auto"/>
            <w:noWrap/>
            <w:vAlign w:val="bottom"/>
            <w:hideMark/>
          </w:tcPr>
          <w:p w14:paraId="62D58541" w14:textId="77777777" w:rsidR="00000000" w:rsidRDefault="00632532">
            <w:pPr>
              <w:pStyle w:val="a3"/>
              <w:spacing w:before="0" w:beforeAutospacing="0" w:after="0" w:afterAutospacing="0"/>
              <w:rPr>
                <w:sz w:val="20"/>
                <w:szCs w:val="20"/>
              </w:rPr>
            </w:pPr>
            <w:r>
              <w:rPr>
                <w:sz w:val="20"/>
                <w:szCs w:val="20"/>
              </w:rPr>
              <w:t> </w:t>
            </w:r>
          </w:p>
        </w:tc>
      </w:tr>
      <w:tr w:rsidR="00000000" w14:paraId="3D99DE6D" w14:textId="77777777">
        <w:trPr>
          <w:divId w:val="915433437"/>
          <w:trHeight w:val="200"/>
          <w:tblCellSpacing w:w="15" w:type="dxa"/>
        </w:trPr>
        <w:tc>
          <w:tcPr>
            <w:tcW w:w="0" w:type="auto"/>
            <w:hideMark/>
          </w:tcPr>
          <w:p w14:paraId="498442E9" w14:textId="77777777" w:rsidR="00000000" w:rsidRDefault="00632532">
            <w:pPr>
              <w:pStyle w:val="a3"/>
              <w:spacing w:before="0" w:beforeAutospacing="0" w:after="0" w:afterAutospacing="0"/>
              <w:rPr>
                <w:sz w:val="20"/>
                <w:szCs w:val="20"/>
              </w:rPr>
            </w:pPr>
            <w:r>
              <w:rPr>
                <w:sz w:val="20"/>
                <w:szCs w:val="20"/>
              </w:rPr>
              <w:t>Restricted Stock Unit</w:t>
            </w:r>
            <w:r>
              <w:rPr>
                <w:sz w:val="20"/>
                <w:szCs w:val="20"/>
              </w:rPr>
              <w:t>s</w:t>
            </w:r>
          </w:p>
        </w:tc>
        <w:tc>
          <w:tcPr>
            <w:tcW w:w="0" w:type="auto"/>
            <w:noWrap/>
            <w:vAlign w:val="bottom"/>
            <w:hideMark/>
          </w:tcPr>
          <w:p w14:paraId="7207B3D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8B3F16" w14:textId="77777777" w:rsidR="00000000" w:rsidRDefault="00632532">
            <w:pPr>
              <w:pStyle w:val="a3"/>
              <w:spacing w:before="0" w:beforeAutospacing="0" w:after="0" w:afterAutospacing="0"/>
              <w:jc w:val="right"/>
              <w:rPr>
                <w:sz w:val="20"/>
                <w:szCs w:val="20"/>
              </w:rPr>
            </w:pPr>
            <w:r>
              <w:rPr>
                <w:sz w:val="20"/>
                <w:szCs w:val="20"/>
              </w:rPr>
              <w:t>85</w:t>
            </w:r>
            <w:r>
              <w:rPr>
                <w:sz w:val="20"/>
                <w:szCs w:val="20"/>
              </w:rPr>
              <w:t>8</w:t>
            </w:r>
          </w:p>
        </w:tc>
        <w:tc>
          <w:tcPr>
            <w:tcW w:w="0" w:type="auto"/>
            <w:noWrap/>
            <w:vAlign w:val="bottom"/>
            <w:hideMark/>
          </w:tcPr>
          <w:p w14:paraId="74FFEBC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904573B"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56933FA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9FF00D3" w14:textId="77777777" w:rsidR="00000000" w:rsidRDefault="00632532">
            <w:pPr>
              <w:pStyle w:val="a3"/>
              <w:spacing w:before="0" w:beforeAutospacing="0" w:after="0" w:afterAutospacing="0"/>
              <w:jc w:val="right"/>
              <w:rPr>
                <w:sz w:val="20"/>
                <w:szCs w:val="20"/>
              </w:rPr>
            </w:pPr>
            <w:r>
              <w:rPr>
                <w:sz w:val="20"/>
                <w:szCs w:val="20"/>
              </w:rPr>
              <w:t>10</w:t>
            </w:r>
            <w:r>
              <w:rPr>
                <w:sz w:val="20"/>
                <w:szCs w:val="20"/>
              </w:rPr>
              <w:t>7</w:t>
            </w:r>
          </w:p>
        </w:tc>
        <w:tc>
          <w:tcPr>
            <w:tcW w:w="0" w:type="auto"/>
            <w:noWrap/>
            <w:vAlign w:val="bottom"/>
            <w:hideMark/>
          </w:tcPr>
          <w:p w14:paraId="76CFA03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641C6E8"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47867D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351187" w14:textId="77777777" w:rsidR="00000000" w:rsidRDefault="00632532">
            <w:pPr>
              <w:pStyle w:val="a3"/>
              <w:spacing w:before="0" w:beforeAutospacing="0" w:after="0" w:afterAutospacing="0"/>
              <w:jc w:val="right"/>
              <w:rPr>
                <w:sz w:val="20"/>
                <w:szCs w:val="20"/>
              </w:rPr>
            </w:pPr>
            <w:r>
              <w:rPr>
                <w:sz w:val="20"/>
                <w:szCs w:val="20"/>
              </w:rPr>
              <w:t>37</w:t>
            </w:r>
            <w:r>
              <w:rPr>
                <w:sz w:val="20"/>
                <w:szCs w:val="20"/>
              </w:rPr>
              <w:t>9</w:t>
            </w:r>
          </w:p>
        </w:tc>
        <w:tc>
          <w:tcPr>
            <w:tcW w:w="0" w:type="auto"/>
            <w:noWrap/>
            <w:vAlign w:val="bottom"/>
            <w:hideMark/>
          </w:tcPr>
          <w:p w14:paraId="70EE414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4B4DCE"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06F4D25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365335" w14:textId="77777777" w:rsidR="00000000" w:rsidRDefault="00632532">
            <w:pPr>
              <w:pStyle w:val="a3"/>
              <w:spacing w:before="0" w:beforeAutospacing="0" w:after="0" w:afterAutospacing="0"/>
              <w:jc w:val="right"/>
              <w:rPr>
                <w:sz w:val="20"/>
                <w:szCs w:val="20"/>
              </w:rPr>
            </w:pPr>
            <w:r>
              <w:rPr>
                <w:sz w:val="20"/>
                <w:szCs w:val="20"/>
              </w:rPr>
              <w:t>7</w:t>
            </w:r>
            <w:r>
              <w:rPr>
                <w:sz w:val="20"/>
                <w:szCs w:val="20"/>
              </w:rPr>
              <w:t>1</w:t>
            </w:r>
          </w:p>
        </w:tc>
        <w:tc>
          <w:tcPr>
            <w:tcW w:w="0" w:type="auto"/>
            <w:noWrap/>
            <w:vAlign w:val="bottom"/>
            <w:hideMark/>
          </w:tcPr>
          <w:p w14:paraId="3422FEE8" w14:textId="77777777" w:rsidR="00000000" w:rsidRDefault="00632532">
            <w:pPr>
              <w:pStyle w:val="a3"/>
              <w:spacing w:before="0" w:beforeAutospacing="0" w:after="0" w:afterAutospacing="0"/>
              <w:rPr>
                <w:sz w:val="20"/>
                <w:szCs w:val="20"/>
              </w:rPr>
            </w:pPr>
            <w:r>
              <w:rPr>
                <w:sz w:val="20"/>
                <w:szCs w:val="20"/>
              </w:rPr>
              <w:t> </w:t>
            </w:r>
          </w:p>
        </w:tc>
      </w:tr>
    </w:tbl>
    <w:p w14:paraId="52F6D4C3" w14:textId="77777777" w:rsidR="00000000" w:rsidRDefault="00632532">
      <w:pPr>
        <w:pStyle w:val="a3"/>
        <w:spacing w:before="0" w:beforeAutospacing="0" w:after="0" w:afterAutospacing="0"/>
        <w:divId w:val="683242685"/>
        <w:rPr>
          <w:sz w:val="20"/>
          <w:szCs w:val="20"/>
        </w:rPr>
      </w:pPr>
      <w:r>
        <w:rPr>
          <w:sz w:val="20"/>
          <w:szCs w:val="20"/>
        </w:rPr>
        <w:t> </w:t>
      </w:r>
    </w:p>
    <w:p w14:paraId="624D1C86" w14:textId="77777777" w:rsidR="00000000" w:rsidRDefault="00632532">
      <w:pPr>
        <w:pStyle w:val="a3"/>
        <w:spacing w:before="0" w:beforeAutospacing="0" w:after="0" w:afterAutospacing="0"/>
        <w:ind w:firstLine="555"/>
        <w:divId w:val="683242685"/>
        <w:rPr>
          <w:sz w:val="20"/>
          <w:szCs w:val="20"/>
        </w:rPr>
      </w:pPr>
      <w:r>
        <w:rPr>
          <w:sz w:val="20"/>
          <w:szCs w:val="20"/>
        </w:rPr>
        <w:t>The anti-dilutive shares described above were calculated using the treasury stock method</w:t>
      </w:r>
      <w:r>
        <w:rPr>
          <w:sz w:val="20"/>
          <w:szCs w:val="20"/>
        </w:rPr>
        <w:t>.</w:t>
      </w:r>
      <w:r>
        <w:rPr>
          <w:sz w:val="20"/>
          <w:szCs w:val="20"/>
        </w:rPr>
        <w:t xml:space="preserve"> </w:t>
      </w:r>
    </w:p>
    <w:p w14:paraId="434C18CC" w14:textId="77777777" w:rsidR="00000000" w:rsidRDefault="00632532">
      <w:pPr>
        <w:pStyle w:val="a3"/>
        <w:spacing w:before="360" w:beforeAutospacing="0" w:after="0" w:afterAutospacing="0"/>
        <w:divId w:val="759640606"/>
        <w:rPr>
          <w:sz w:val="20"/>
          <w:szCs w:val="20"/>
        </w:rPr>
      </w:pPr>
      <w:r>
        <w:rPr>
          <w:b/>
          <w:bCs/>
          <w:sz w:val="20"/>
          <w:szCs w:val="20"/>
        </w:rPr>
        <w:t>Note 13. Related Partie</w:t>
      </w:r>
      <w:r>
        <w:rPr>
          <w:b/>
          <w:bCs/>
          <w:sz w:val="20"/>
          <w:szCs w:val="20"/>
        </w:rPr>
        <w:t>s</w:t>
      </w:r>
    </w:p>
    <w:p w14:paraId="596014F6" w14:textId="77777777" w:rsidR="00000000" w:rsidRDefault="00632532">
      <w:pPr>
        <w:pStyle w:val="a3"/>
        <w:spacing w:before="120" w:beforeAutospacing="0" w:after="0" w:afterAutospacing="0"/>
        <w:ind w:firstLine="555"/>
        <w:divId w:val="759640606"/>
        <w:rPr>
          <w:sz w:val="20"/>
          <w:szCs w:val="20"/>
        </w:rPr>
      </w:pPr>
      <w:r>
        <w:rPr>
          <w:sz w:val="20"/>
          <w:szCs w:val="20"/>
        </w:rPr>
        <w:t xml:space="preserve">Linda Marsh, who is a member of the Company’s board of directors, is currently the Senior Executive Vice President of AHMC Healthcare Inc., </w:t>
      </w:r>
      <w:r>
        <w:rPr>
          <w:sz w:val="20"/>
          <w:szCs w:val="20"/>
        </w:rPr>
        <w:t xml:space="preserve">or AHMC. The Company performs genetic testing and other testing services, on an arms-length basis, for AHMC, and the Company recognized </w:t>
      </w:r>
      <w:r>
        <w:rPr>
          <w:sz w:val="20"/>
          <w:szCs w:val="20"/>
        </w:rPr>
        <w:t>$</w:t>
      </w:r>
      <w:r>
        <w:rPr>
          <w:sz w:val="20"/>
          <w:szCs w:val="20"/>
        </w:rPr>
        <w:t>253,00</w:t>
      </w:r>
      <w:r>
        <w:rPr>
          <w:sz w:val="20"/>
          <w:szCs w:val="20"/>
        </w:rPr>
        <w:t>0</w:t>
      </w:r>
      <w:r>
        <w:rPr>
          <w:sz w:val="20"/>
          <w:szCs w:val="20"/>
        </w:rPr>
        <w:t xml:space="preserve"> and </w:t>
      </w:r>
      <w:r>
        <w:rPr>
          <w:sz w:val="20"/>
          <w:szCs w:val="20"/>
        </w:rPr>
        <w:t>$</w:t>
      </w:r>
      <w:r>
        <w:rPr>
          <w:sz w:val="20"/>
          <w:szCs w:val="20"/>
        </w:rPr>
        <w:t>1.</w:t>
      </w:r>
      <w:r>
        <w:rPr>
          <w:sz w:val="20"/>
          <w:szCs w:val="20"/>
        </w:rPr>
        <w:t>0</w:t>
      </w:r>
      <w:r>
        <w:rPr>
          <w:sz w:val="20"/>
          <w:szCs w:val="20"/>
        </w:rPr>
        <w:t xml:space="preserve"> millio</w:t>
      </w:r>
      <w:r>
        <w:rPr>
          <w:sz w:val="20"/>
          <w:szCs w:val="20"/>
        </w:rPr>
        <w:t>n</w:t>
      </w:r>
      <w:r>
        <w:rPr>
          <w:sz w:val="20"/>
          <w:szCs w:val="20"/>
        </w:rPr>
        <w:t xml:space="preserve"> in revenue from AHMC in the three and six months ended June 30, 2022, respectively. The Compan</w:t>
      </w:r>
      <w:r>
        <w:rPr>
          <w:sz w:val="20"/>
          <w:szCs w:val="20"/>
        </w:rPr>
        <w:t xml:space="preserve">y recognized </w:t>
      </w:r>
      <w:r>
        <w:rPr>
          <w:sz w:val="20"/>
          <w:szCs w:val="20"/>
        </w:rPr>
        <w:t>$</w:t>
      </w:r>
      <w:r>
        <w:rPr>
          <w:sz w:val="20"/>
          <w:szCs w:val="20"/>
        </w:rPr>
        <w:t>738,00</w:t>
      </w:r>
      <w:r>
        <w:rPr>
          <w:sz w:val="20"/>
          <w:szCs w:val="20"/>
        </w:rPr>
        <w:t>0</w:t>
      </w:r>
      <w:r>
        <w:rPr>
          <w:sz w:val="20"/>
          <w:szCs w:val="20"/>
        </w:rPr>
        <w:t xml:space="preserve"> and </w:t>
      </w:r>
      <w:r>
        <w:rPr>
          <w:sz w:val="20"/>
          <w:szCs w:val="20"/>
        </w:rPr>
        <w:t>$</w:t>
      </w:r>
      <w:r>
        <w:rPr>
          <w:sz w:val="20"/>
          <w:szCs w:val="20"/>
        </w:rPr>
        <w:t>1.</w:t>
      </w:r>
      <w:r>
        <w:rPr>
          <w:sz w:val="20"/>
          <w:szCs w:val="20"/>
        </w:rPr>
        <w:t>9</w:t>
      </w:r>
      <w:r>
        <w:rPr>
          <w:sz w:val="20"/>
          <w:szCs w:val="20"/>
        </w:rPr>
        <w:t xml:space="preserve"> million in revenue in the three and six months ended June 30, 2021, respectively. As of June 30, 2022 and December 31, 2021, </w:t>
      </w:r>
      <w:r>
        <w:rPr>
          <w:sz w:val="20"/>
          <w:szCs w:val="20"/>
        </w:rPr>
        <w:t>$</w:t>
      </w:r>
      <w:r>
        <w:rPr>
          <w:sz w:val="20"/>
          <w:szCs w:val="20"/>
        </w:rPr>
        <w:t>220,00</w:t>
      </w:r>
      <w:r>
        <w:rPr>
          <w:sz w:val="20"/>
          <w:szCs w:val="20"/>
        </w:rPr>
        <w:t>0</w:t>
      </w:r>
      <w:r>
        <w:rPr>
          <w:sz w:val="20"/>
          <w:szCs w:val="20"/>
        </w:rPr>
        <w:t xml:space="preserve"> and </w:t>
      </w:r>
      <w:r>
        <w:rPr>
          <w:sz w:val="20"/>
          <w:szCs w:val="20"/>
        </w:rPr>
        <w:t>$</w:t>
      </w:r>
      <w:r>
        <w:rPr>
          <w:sz w:val="20"/>
          <w:szCs w:val="20"/>
        </w:rPr>
        <w:t>556,00</w:t>
      </w:r>
      <w:r>
        <w:rPr>
          <w:sz w:val="20"/>
          <w:szCs w:val="20"/>
        </w:rPr>
        <w:t>0</w:t>
      </w:r>
      <w:r>
        <w:rPr>
          <w:sz w:val="20"/>
          <w:szCs w:val="20"/>
        </w:rPr>
        <w:t>, respectively, was owed to the Company by AHMC, which is included in trade acc</w:t>
      </w:r>
      <w:r>
        <w:rPr>
          <w:sz w:val="20"/>
          <w:szCs w:val="20"/>
        </w:rPr>
        <w:t>ounts receivable, net, in the accompanying Condensed Consolidated Balance Sheets, in connection with this relationship</w:t>
      </w:r>
      <w:r>
        <w:rPr>
          <w:sz w:val="20"/>
          <w:szCs w:val="20"/>
        </w:rPr>
        <w:t>.</w:t>
      </w:r>
    </w:p>
    <w:p w14:paraId="56110CD0" w14:textId="77777777" w:rsidR="00000000" w:rsidRDefault="00632532">
      <w:pPr>
        <w:pStyle w:val="a3"/>
        <w:spacing w:before="240" w:beforeAutospacing="0" w:after="0" w:afterAutospacing="0"/>
        <w:jc w:val="center"/>
        <w:divId w:val="759640606"/>
        <w:rPr>
          <w:sz w:val="20"/>
          <w:szCs w:val="20"/>
        </w:rPr>
      </w:pPr>
      <w:r>
        <w:rPr>
          <w:sz w:val="20"/>
          <w:szCs w:val="20"/>
        </w:rPr>
        <w:t>1</w:t>
      </w:r>
      <w:r>
        <w:rPr>
          <w:sz w:val="20"/>
          <w:szCs w:val="20"/>
        </w:rPr>
        <w:t>9</w:t>
      </w:r>
    </w:p>
    <w:p w14:paraId="67257388" w14:textId="77777777" w:rsidR="00000000" w:rsidRDefault="00632532">
      <w:pPr>
        <w:divId w:val="759640606"/>
        <w:rPr>
          <w:rFonts w:eastAsia="Times New Roman"/>
          <w:sz w:val="20"/>
          <w:szCs w:val="20"/>
        </w:rPr>
      </w:pPr>
      <w:r>
        <w:rPr>
          <w:rFonts w:eastAsia="Times New Roman"/>
          <w:sz w:val="20"/>
          <w:szCs w:val="20"/>
        </w:rPr>
        <w:pict w14:anchorId="65A3B1C0">
          <v:rect id="_x0000_i1045" style="width:0;height:1.5pt" o:hralign="center" o:hrstd="t" o:hr="t" fillcolor="#a0a0a0" stroked="f"/>
        </w:pict>
      </w:r>
    </w:p>
    <w:p w14:paraId="22CE1ECC" w14:textId="77777777" w:rsidR="00000000" w:rsidRDefault="00632532">
      <w:pPr>
        <w:pStyle w:val="a3"/>
        <w:spacing w:before="240" w:beforeAutospacing="0" w:after="0" w:afterAutospacing="0"/>
        <w:ind w:firstLine="555"/>
        <w:divId w:val="759640606"/>
        <w:rPr>
          <w:sz w:val="20"/>
          <w:szCs w:val="20"/>
        </w:rPr>
      </w:pPr>
      <w:r>
        <w:rPr>
          <w:sz w:val="20"/>
          <w:szCs w:val="20"/>
        </w:rPr>
        <w:t>The Company and Fulgent Pharma LLC, the Company’</w:t>
      </w:r>
      <w:r>
        <w:rPr>
          <w:sz w:val="20"/>
          <w:szCs w:val="20"/>
        </w:rPr>
        <w:t>s former subsidiary, are party to shared services arrangements where research and development, administrative services and office space and equipment are provided between the companies, on an arms-length basis. Ming Hsieh is the Manager and a member of Ful</w:t>
      </w:r>
      <w:r>
        <w:rPr>
          <w:sz w:val="20"/>
          <w:szCs w:val="20"/>
        </w:rPr>
        <w:t>gent Pharma LLC. The cost of research and development services rendered by Fulgent Pharma LLC for the Company was</w:t>
      </w:r>
      <w:r>
        <w:rPr>
          <w:sz w:val="20"/>
          <w:szCs w:val="20"/>
        </w:rPr>
        <w:t xml:space="preserve"> </w:t>
      </w:r>
      <w:r>
        <w:rPr>
          <w:sz w:val="20"/>
          <w:szCs w:val="20"/>
        </w:rPr>
        <w:t>n</w:t>
      </w:r>
      <w:r>
        <w:rPr>
          <w:sz w:val="20"/>
          <w:szCs w:val="20"/>
        </w:rPr>
        <w:t>o</w:t>
      </w:r>
      <w:r>
        <w:rPr>
          <w:sz w:val="20"/>
          <w:szCs w:val="20"/>
        </w:rPr>
        <w:t>t significant in the three and six months ended June 30, 2022. During the three and six months ended June 30, 2021, the cost of research and</w:t>
      </w:r>
      <w:r>
        <w:rPr>
          <w:sz w:val="20"/>
          <w:szCs w:val="20"/>
        </w:rPr>
        <w:t xml:space="preserve"> development services rendered by Fulgent Pharma LLC for the Company was </w:t>
      </w:r>
      <w:r>
        <w:rPr>
          <w:sz w:val="20"/>
          <w:szCs w:val="20"/>
        </w:rPr>
        <w:t>$</w:t>
      </w:r>
      <w:r>
        <w:rPr>
          <w:sz w:val="20"/>
          <w:szCs w:val="20"/>
        </w:rPr>
        <w:t>97,00</w:t>
      </w:r>
      <w:r>
        <w:rPr>
          <w:sz w:val="20"/>
          <w:szCs w:val="20"/>
        </w:rPr>
        <w:t>0</w:t>
      </w:r>
      <w:r>
        <w:rPr>
          <w:sz w:val="20"/>
          <w:szCs w:val="20"/>
        </w:rPr>
        <w:t xml:space="preserve"> and </w:t>
      </w:r>
      <w:r>
        <w:rPr>
          <w:sz w:val="20"/>
          <w:szCs w:val="20"/>
        </w:rPr>
        <w:t>$</w:t>
      </w:r>
      <w:r>
        <w:rPr>
          <w:sz w:val="20"/>
          <w:szCs w:val="20"/>
        </w:rPr>
        <w:t>205,00</w:t>
      </w:r>
      <w:r>
        <w:rPr>
          <w:sz w:val="20"/>
          <w:szCs w:val="20"/>
        </w:rPr>
        <w:t>0</w:t>
      </w:r>
      <w:r>
        <w:rPr>
          <w:sz w:val="20"/>
          <w:szCs w:val="20"/>
        </w:rPr>
        <w:t>, respectively. Amounts for services performed by the Company for Fulgent Pharma LLC were</w:t>
      </w:r>
      <w:r>
        <w:rPr>
          <w:sz w:val="20"/>
          <w:szCs w:val="20"/>
        </w:rPr>
        <w:t xml:space="preserve"> </w:t>
      </w:r>
      <w:r>
        <w:rPr>
          <w:sz w:val="20"/>
          <w:szCs w:val="20"/>
        </w:rPr>
        <w:t>n</w:t>
      </w:r>
      <w:r>
        <w:rPr>
          <w:sz w:val="20"/>
          <w:szCs w:val="20"/>
        </w:rPr>
        <w:t>o</w:t>
      </w:r>
      <w:r>
        <w:rPr>
          <w:sz w:val="20"/>
          <w:szCs w:val="20"/>
        </w:rPr>
        <w:t>t significant during the three and six months ended June 30, 2022 and 2</w:t>
      </w:r>
      <w:r>
        <w:rPr>
          <w:sz w:val="20"/>
          <w:szCs w:val="20"/>
        </w:rPr>
        <w:t xml:space="preserve">021. As of June 30, 2022, </w:t>
      </w:r>
      <w:r>
        <w:rPr>
          <w:sz w:val="20"/>
          <w:szCs w:val="20"/>
        </w:rPr>
        <w:t>$</w:t>
      </w:r>
      <w:r>
        <w:rPr>
          <w:sz w:val="20"/>
          <w:szCs w:val="20"/>
        </w:rPr>
        <w:t>54,00</w:t>
      </w:r>
      <w:r>
        <w:rPr>
          <w:sz w:val="20"/>
          <w:szCs w:val="20"/>
        </w:rPr>
        <w:t>0</w:t>
      </w:r>
      <w:r>
        <w:rPr>
          <w:sz w:val="20"/>
          <w:szCs w:val="20"/>
        </w:rPr>
        <w:t xml:space="preserve"> was owed to the Company by Fulgent Pharma LLC, which was included in other current assets in the accompanying Condensed Consolidated Balance Sheets, in connection with these relationships. As of December 31, 2021, </w:t>
      </w:r>
      <w:r>
        <w:rPr>
          <w:sz w:val="20"/>
          <w:szCs w:val="20"/>
        </w:rPr>
        <w:t>$</w:t>
      </w:r>
      <w:r>
        <w:rPr>
          <w:sz w:val="20"/>
          <w:szCs w:val="20"/>
        </w:rPr>
        <w:t>679,00</w:t>
      </w:r>
      <w:r>
        <w:rPr>
          <w:sz w:val="20"/>
          <w:szCs w:val="20"/>
        </w:rPr>
        <w:t>0</w:t>
      </w:r>
      <w:r>
        <w:rPr>
          <w:sz w:val="20"/>
          <w:szCs w:val="20"/>
        </w:rPr>
        <w:t>, was owed to Fulgent Pharma LLC by the Company, which was included in other current liabilities in the accompanying Condensed Consolidated Balance Sheets, in connection with these relationships</w:t>
      </w:r>
      <w:r>
        <w:rPr>
          <w:sz w:val="20"/>
          <w:szCs w:val="20"/>
        </w:rPr>
        <w:t>.</w:t>
      </w:r>
    </w:p>
    <w:p w14:paraId="58802B49" w14:textId="77777777" w:rsidR="00000000" w:rsidRDefault="00632532">
      <w:pPr>
        <w:pStyle w:val="a3"/>
        <w:spacing w:before="240" w:beforeAutospacing="0" w:after="0" w:afterAutospacing="0"/>
        <w:ind w:firstLine="555"/>
        <w:divId w:val="759640606"/>
        <w:rPr>
          <w:sz w:val="20"/>
          <w:szCs w:val="20"/>
        </w:rPr>
      </w:pPr>
      <w:r>
        <w:rPr>
          <w:sz w:val="20"/>
          <w:szCs w:val="20"/>
        </w:rPr>
        <w:t>The Chief Executive Officer and Chairman of the Company’s bo</w:t>
      </w:r>
      <w:r>
        <w:rPr>
          <w:sz w:val="20"/>
          <w:szCs w:val="20"/>
        </w:rPr>
        <w:t xml:space="preserve">ard of directors, Ming Hsieh, is the owner of PTJ Associates Inc., or PTJ. PTJ provides flight services to the Company on an arms-length basis. During the three and six months ended June 30, 2022, the Company incurred </w:t>
      </w:r>
      <w:r>
        <w:rPr>
          <w:sz w:val="20"/>
          <w:szCs w:val="20"/>
        </w:rPr>
        <w:t>$</w:t>
      </w:r>
      <w:r>
        <w:rPr>
          <w:sz w:val="20"/>
          <w:szCs w:val="20"/>
        </w:rPr>
        <w:t>99,00</w:t>
      </w:r>
      <w:r>
        <w:rPr>
          <w:sz w:val="20"/>
          <w:szCs w:val="20"/>
        </w:rPr>
        <w:t>0</w:t>
      </w:r>
      <w:r>
        <w:rPr>
          <w:sz w:val="20"/>
          <w:szCs w:val="20"/>
        </w:rPr>
        <w:t xml:space="preserve"> and </w:t>
      </w:r>
      <w:r>
        <w:rPr>
          <w:sz w:val="20"/>
          <w:szCs w:val="20"/>
        </w:rPr>
        <w:t>$</w:t>
      </w:r>
      <w:r>
        <w:rPr>
          <w:sz w:val="20"/>
          <w:szCs w:val="20"/>
        </w:rPr>
        <w:t>235,00</w:t>
      </w:r>
      <w:r>
        <w:rPr>
          <w:sz w:val="20"/>
          <w:szCs w:val="20"/>
        </w:rPr>
        <w:t>0</w:t>
      </w:r>
      <w:r>
        <w:rPr>
          <w:sz w:val="20"/>
          <w:szCs w:val="20"/>
        </w:rPr>
        <w:t>, respectively, in</w:t>
      </w:r>
      <w:r>
        <w:rPr>
          <w:sz w:val="20"/>
          <w:szCs w:val="20"/>
        </w:rPr>
        <w:t xml:space="preserve"> expenses for flights between California and Texas to transport employees and supplies. Such expenses were</w:t>
      </w:r>
      <w:r>
        <w:rPr>
          <w:sz w:val="20"/>
          <w:szCs w:val="20"/>
        </w:rPr>
        <w:t xml:space="preserve"> </w:t>
      </w:r>
      <w:r>
        <w:rPr>
          <w:sz w:val="20"/>
          <w:szCs w:val="20"/>
        </w:rPr>
        <w:t>n</w:t>
      </w:r>
      <w:r>
        <w:rPr>
          <w:sz w:val="20"/>
          <w:szCs w:val="20"/>
        </w:rPr>
        <w:t>o</w:t>
      </w:r>
      <w:r>
        <w:rPr>
          <w:sz w:val="20"/>
          <w:szCs w:val="20"/>
        </w:rPr>
        <w:t xml:space="preserve">t significant in the three and six months ended June 30, 2021. As of June 30, 2022 and December 31, 2021, </w:t>
      </w:r>
      <w:r>
        <w:rPr>
          <w:sz w:val="20"/>
          <w:szCs w:val="20"/>
        </w:rPr>
        <w:t>$</w:t>
      </w:r>
      <w:r>
        <w:rPr>
          <w:sz w:val="20"/>
          <w:szCs w:val="20"/>
        </w:rPr>
        <w:t>67,00</w:t>
      </w:r>
      <w:r>
        <w:rPr>
          <w:sz w:val="20"/>
          <w:szCs w:val="20"/>
        </w:rPr>
        <w:t>0</w:t>
      </w:r>
      <w:r>
        <w:rPr>
          <w:sz w:val="20"/>
          <w:szCs w:val="20"/>
        </w:rPr>
        <w:t xml:space="preserve"> and</w:t>
      </w:r>
      <w:r>
        <w:rPr>
          <w:sz w:val="20"/>
          <w:szCs w:val="20"/>
        </w:rPr>
        <w:t xml:space="preserve"> </w:t>
      </w:r>
      <w:r>
        <w:rPr>
          <w:sz w:val="20"/>
          <w:szCs w:val="20"/>
        </w:rPr>
        <w:t>zer</w:t>
      </w:r>
      <w:r>
        <w:rPr>
          <w:sz w:val="20"/>
          <w:szCs w:val="20"/>
        </w:rPr>
        <w:t>o</w:t>
      </w:r>
      <w:r>
        <w:rPr>
          <w:sz w:val="20"/>
          <w:szCs w:val="20"/>
        </w:rPr>
        <w:t xml:space="preserve">, respectively, was owed </w:t>
      </w:r>
      <w:r>
        <w:rPr>
          <w:sz w:val="20"/>
          <w:szCs w:val="20"/>
        </w:rPr>
        <w:t>to PTJ by the Company, which was included in accounts payable in the accompanying Condensed Consolidated Balance Sheets, in connection with this relationship. Ming Hsieh is also on the board of directors and a</w:t>
      </w:r>
      <w:r>
        <w:rPr>
          <w:sz w:val="20"/>
          <w:szCs w:val="20"/>
        </w:rPr>
        <w:t xml:space="preserve"> </w:t>
      </w:r>
      <w:r>
        <w:rPr>
          <w:sz w:val="20"/>
          <w:szCs w:val="20"/>
        </w:rPr>
        <w:t>2</w:t>
      </w:r>
      <w:r>
        <w:rPr>
          <w:sz w:val="20"/>
          <w:szCs w:val="20"/>
        </w:rPr>
        <w:t>0</w:t>
      </w:r>
      <w:r>
        <w:rPr>
          <w:sz w:val="20"/>
          <w:szCs w:val="20"/>
        </w:rPr>
        <w:t>% owner of ANP Technologies, Inc., or ANP. T</w:t>
      </w:r>
      <w:r>
        <w:rPr>
          <w:sz w:val="20"/>
          <w:szCs w:val="20"/>
        </w:rPr>
        <w:t xml:space="preserve">he Company purchased COVID-19 antigen rapid tests kits from ANP. During the three and six months ended June 30, 2022, the Company purchased a total of </w:t>
      </w:r>
      <w:r>
        <w:rPr>
          <w:sz w:val="20"/>
          <w:szCs w:val="20"/>
        </w:rPr>
        <w:t>$</w:t>
      </w:r>
      <w:r>
        <w:rPr>
          <w:sz w:val="20"/>
          <w:szCs w:val="20"/>
        </w:rPr>
        <w:t>90,00</w:t>
      </w:r>
      <w:r>
        <w:rPr>
          <w:sz w:val="20"/>
          <w:szCs w:val="20"/>
        </w:rPr>
        <w:t>0</w:t>
      </w:r>
      <w:r>
        <w:rPr>
          <w:sz w:val="20"/>
          <w:szCs w:val="20"/>
        </w:rPr>
        <w:t xml:space="preserve"> and </w:t>
      </w:r>
      <w:r>
        <w:rPr>
          <w:sz w:val="20"/>
          <w:szCs w:val="20"/>
        </w:rPr>
        <w:t>$</w:t>
      </w:r>
      <w:r>
        <w:rPr>
          <w:sz w:val="20"/>
          <w:szCs w:val="20"/>
        </w:rPr>
        <w:t>160,00</w:t>
      </w:r>
      <w:r>
        <w:rPr>
          <w:sz w:val="20"/>
          <w:szCs w:val="20"/>
        </w:rPr>
        <w:t>0</w:t>
      </w:r>
      <w:r>
        <w:rPr>
          <w:sz w:val="20"/>
          <w:szCs w:val="20"/>
        </w:rPr>
        <w:t xml:space="preserve"> of COVID-19 antigen rapid tests kits, respectively. The Company did</w:t>
      </w:r>
      <w:r>
        <w:rPr>
          <w:sz w:val="20"/>
          <w:szCs w:val="20"/>
        </w:rPr>
        <w:t xml:space="preserve"> </w:t>
      </w:r>
      <w:r>
        <w:rPr>
          <w:sz w:val="20"/>
          <w:szCs w:val="20"/>
        </w:rPr>
        <w:t>n</w:t>
      </w:r>
      <w:r>
        <w:rPr>
          <w:sz w:val="20"/>
          <w:szCs w:val="20"/>
        </w:rPr>
        <w:t>o</w:t>
      </w:r>
      <w:r>
        <w:rPr>
          <w:sz w:val="20"/>
          <w:szCs w:val="20"/>
        </w:rPr>
        <w:t>t incur such e</w:t>
      </w:r>
      <w:r>
        <w:rPr>
          <w:sz w:val="20"/>
          <w:szCs w:val="20"/>
        </w:rPr>
        <w:t>xpense in the three and six months ended June 30, 2021. As of June 30, 2022 and December 31, 2021,</w:t>
      </w:r>
      <w:r>
        <w:rPr>
          <w:sz w:val="20"/>
          <w:szCs w:val="20"/>
        </w:rPr>
        <w:t xml:space="preserve"> </w:t>
      </w:r>
      <w:r>
        <w:rPr>
          <w:sz w:val="20"/>
          <w:szCs w:val="20"/>
        </w:rPr>
        <w:t>zer</w:t>
      </w:r>
      <w:r>
        <w:rPr>
          <w:sz w:val="20"/>
          <w:szCs w:val="20"/>
        </w:rPr>
        <w:t>o</w:t>
      </w:r>
      <w:r>
        <w:rPr>
          <w:sz w:val="20"/>
          <w:szCs w:val="20"/>
        </w:rPr>
        <w:t xml:space="preserve"> was owed to ANP by the Company in connection with this relationship</w:t>
      </w:r>
      <w:r>
        <w:rPr>
          <w:sz w:val="20"/>
          <w:szCs w:val="20"/>
        </w:rPr>
        <w:t>.</w:t>
      </w:r>
    </w:p>
    <w:p w14:paraId="48096BAE" w14:textId="77777777" w:rsidR="00000000" w:rsidRDefault="00632532">
      <w:pPr>
        <w:pStyle w:val="a3"/>
        <w:spacing w:before="360" w:beforeAutospacing="0" w:after="0" w:afterAutospacing="0"/>
        <w:divId w:val="1261598341"/>
        <w:rPr>
          <w:sz w:val="20"/>
          <w:szCs w:val="20"/>
        </w:rPr>
      </w:pPr>
      <w:r>
        <w:rPr>
          <w:b/>
          <w:bCs/>
          <w:sz w:val="20"/>
          <w:szCs w:val="20"/>
        </w:rPr>
        <w:t>Note 14. Goodwill and Acquisition-Related Intangible</w:t>
      </w:r>
      <w:r>
        <w:rPr>
          <w:b/>
          <w:bCs/>
          <w:sz w:val="20"/>
          <w:szCs w:val="20"/>
        </w:rPr>
        <w:t>s</w:t>
      </w:r>
    </w:p>
    <w:p w14:paraId="2C74DC16" w14:textId="77777777" w:rsidR="00000000" w:rsidRDefault="00632532">
      <w:pPr>
        <w:pStyle w:val="a3"/>
        <w:spacing w:before="120" w:beforeAutospacing="0" w:after="0" w:afterAutospacing="0"/>
        <w:ind w:firstLine="555"/>
        <w:divId w:val="350109540"/>
        <w:rPr>
          <w:sz w:val="20"/>
          <w:szCs w:val="20"/>
        </w:rPr>
      </w:pPr>
      <w:r>
        <w:rPr>
          <w:sz w:val="20"/>
          <w:szCs w:val="20"/>
        </w:rPr>
        <w:t>Summaries of goodwill and int</w:t>
      </w:r>
      <w:r>
        <w:rPr>
          <w:sz w:val="20"/>
          <w:szCs w:val="20"/>
        </w:rPr>
        <w:t>angibles balances assets as of June 30, 2022 and December 31, 2021 were as follows</w:t>
      </w:r>
      <w:r>
        <w:rPr>
          <w:sz w:val="20"/>
          <w:szCs w:val="20"/>
        </w:rPr>
        <w:t>:</w:t>
      </w:r>
    </w:p>
    <w:p w14:paraId="1A2C04B9" w14:textId="77777777" w:rsidR="00000000" w:rsidRDefault="00632532">
      <w:pPr>
        <w:pStyle w:val="a3"/>
        <w:spacing w:before="0" w:beforeAutospacing="0" w:after="0" w:afterAutospacing="0"/>
        <w:divId w:val="35010954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35"/>
        <w:gridCol w:w="2602"/>
        <w:gridCol w:w="160"/>
        <w:gridCol w:w="1124"/>
        <w:gridCol w:w="127"/>
        <w:gridCol w:w="127"/>
        <w:gridCol w:w="160"/>
        <w:gridCol w:w="1029"/>
        <w:gridCol w:w="142"/>
      </w:tblGrid>
      <w:tr w:rsidR="00000000" w14:paraId="47B42029" w14:textId="77777777">
        <w:trPr>
          <w:divId w:val="350109540"/>
          <w:tblCellSpacing w:w="15" w:type="dxa"/>
        </w:trPr>
        <w:tc>
          <w:tcPr>
            <w:tcW w:w="1758" w:type="pct"/>
            <w:vAlign w:val="center"/>
            <w:hideMark/>
          </w:tcPr>
          <w:p w14:paraId="25BDE0AF" w14:textId="77777777" w:rsidR="00000000" w:rsidRDefault="00632532">
            <w:pPr>
              <w:rPr>
                <w:sz w:val="20"/>
                <w:szCs w:val="20"/>
              </w:rPr>
            </w:pPr>
          </w:p>
        </w:tc>
        <w:tc>
          <w:tcPr>
            <w:tcW w:w="1622" w:type="pct"/>
            <w:vAlign w:val="center"/>
            <w:hideMark/>
          </w:tcPr>
          <w:p w14:paraId="00616B40" w14:textId="77777777" w:rsidR="00000000" w:rsidRDefault="00632532">
            <w:pPr>
              <w:rPr>
                <w:rFonts w:eastAsia="Times New Roman"/>
                <w:sz w:val="20"/>
                <w:szCs w:val="20"/>
              </w:rPr>
            </w:pPr>
          </w:p>
        </w:tc>
        <w:tc>
          <w:tcPr>
            <w:tcW w:w="50" w:type="pct"/>
            <w:vAlign w:val="center"/>
            <w:hideMark/>
          </w:tcPr>
          <w:p w14:paraId="345C2947" w14:textId="77777777" w:rsidR="00000000" w:rsidRDefault="00632532">
            <w:pPr>
              <w:rPr>
                <w:rFonts w:eastAsia="Times New Roman"/>
                <w:sz w:val="20"/>
                <w:szCs w:val="20"/>
              </w:rPr>
            </w:pPr>
          </w:p>
        </w:tc>
        <w:tc>
          <w:tcPr>
            <w:tcW w:w="700" w:type="pct"/>
            <w:vAlign w:val="center"/>
            <w:hideMark/>
          </w:tcPr>
          <w:p w14:paraId="4EA85705" w14:textId="77777777" w:rsidR="00000000" w:rsidRDefault="00632532">
            <w:pPr>
              <w:rPr>
                <w:rFonts w:eastAsia="Times New Roman"/>
                <w:sz w:val="20"/>
                <w:szCs w:val="20"/>
              </w:rPr>
            </w:pPr>
          </w:p>
        </w:tc>
        <w:tc>
          <w:tcPr>
            <w:tcW w:w="50" w:type="pct"/>
            <w:vAlign w:val="center"/>
            <w:hideMark/>
          </w:tcPr>
          <w:p w14:paraId="2B1F34F5" w14:textId="77777777" w:rsidR="00000000" w:rsidRDefault="00632532">
            <w:pPr>
              <w:rPr>
                <w:rFonts w:eastAsia="Times New Roman"/>
                <w:sz w:val="20"/>
                <w:szCs w:val="20"/>
              </w:rPr>
            </w:pPr>
          </w:p>
        </w:tc>
        <w:tc>
          <w:tcPr>
            <w:tcW w:w="77" w:type="pct"/>
            <w:vAlign w:val="center"/>
            <w:hideMark/>
          </w:tcPr>
          <w:p w14:paraId="673F622F" w14:textId="77777777" w:rsidR="00000000" w:rsidRDefault="00632532">
            <w:pPr>
              <w:rPr>
                <w:rFonts w:eastAsia="Times New Roman"/>
                <w:sz w:val="20"/>
                <w:szCs w:val="20"/>
              </w:rPr>
            </w:pPr>
          </w:p>
        </w:tc>
        <w:tc>
          <w:tcPr>
            <w:tcW w:w="50" w:type="pct"/>
            <w:vAlign w:val="center"/>
            <w:hideMark/>
          </w:tcPr>
          <w:p w14:paraId="05A69459" w14:textId="77777777" w:rsidR="00000000" w:rsidRDefault="00632532">
            <w:pPr>
              <w:rPr>
                <w:rFonts w:eastAsia="Times New Roman"/>
                <w:sz w:val="20"/>
                <w:szCs w:val="20"/>
              </w:rPr>
            </w:pPr>
          </w:p>
        </w:tc>
        <w:tc>
          <w:tcPr>
            <w:tcW w:w="640" w:type="pct"/>
            <w:vAlign w:val="center"/>
            <w:hideMark/>
          </w:tcPr>
          <w:p w14:paraId="6295C3B1" w14:textId="77777777" w:rsidR="00000000" w:rsidRDefault="00632532">
            <w:pPr>
              <w:rPr>
                <w:rFonts w:eastAsia="Times New Roman"/>
                <w:sz w:val="20"/>
                <w:szCs w:val="20"/>
              </w:rPr>
            </w:pPr>
          </w:p>
        </w:tc>
        <w:tc>
          <w:tcPr>
            <w:tcW w:w="50" w:type="pct"/>
            <w:vAlign w:val="center"/>
            <w:hideMark/>
          </w:tcPr>
          <w:p w14:paraId="26814155" w14:textId="77777777" w:rsidR="00000000" w:rsidRDefault="00632532">
            <w:pPr>
              <w:rPr>
                <w:rFonts w:eastAsia="Times New Roman"/>
                <w:sz w:val="20"/>
                <w:szCs w:val="20"/>
              </w:rPr>
            </w:pPr>
          </w:p>
        </w:tc>
      </w:tr>
      <w:tr w:rsidR="00000000" w14:paraId="6171ED0F" w14:textId="77777777">
        <w:trPr>
          <w:divId w:val="350109540"/>
          <w:trHeight w:val="160"/>
          <w:tblCellSpacing w:w="15" w:type="dxa"/>
        </w:trPr>
        <w:tc>
          <w:tcPr>
            <w:tcW w:w="0" w:type="auto"/>
            <w:vAlign w:val="bottom"/>
            <w:hideMark/>
          </w:tcPr>
          <w:p w14:paraId="6442AD45" w14:textId="77777777" w:rsidR="00000000" w:rsidRDefault="00632532">
            <w:pPr>
              <w:pStyle w:val="a3"/>
              <w:spacing w:before="0" w:beforeAutospacing="0" w:after="0" w:afterAutospacing="0"/>
              <w:rPr>
                <w:sz w:val="22"/>
                <w:szCs w:val="22"/>
              </w:rPr>
            </w:pPr>
            <w:r>
              <w:rPr>
                <w:sz w:val="22"/>
                <w:szCs w:val="22"/>
              </w:rPr>
              <w:t> </w:t>
            </w:r>
          </w:p>
        </w:tc>
        <w:tc>
          <w:tcPr>
            <w:tcW w:w="0" w:type="auto"/>
            <w:vAlign w:val="bottom"/>
            <w:hideMark/>
          </w:tcPr>
          <w:p w14:paraId="6CFE0AE1"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68F43945" w14:textId="77777777" w:rsidR="00000000" w:rsidRDefault="00632532">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14:paraId="7C45FCAE"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3FB9FA4"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72816F2" w14:textId="77777777" w:rsidR="00000000" w:rsidRDefault="00632532">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14:paraId="2804F684"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10001B9A" w14:textId="77777777">
        <w:trPr>
          <w:divId w:val="350109540"/>
          <w:trHeight w:val="160"/>
          <w:tblCellSpacing w:w="15" w:type="dxa"/>
        </w:trPr>
        <w:tc>
          <w:tcPr>
            <w:tcW w:w="0" w:type="auto"/>
            <w:vAlign w:val="bottom"/>
            <w:hideMark/>
          </w:tcPr>
          <w:p w14:paraId="6AA040BF" w14:textId="77777777" w:rsidR="00000000" w:rsidRDefault="00632532">
            <w:pPr>
              <w:pStyle w:val="a3"/>
              <w:spacing w:before="0" w:beforeAutospacing="0" w:after="0" w:afterAutospacing="0"/>
              <w:rPr>
                <w:sz w:val="22"/>
                <w:szCs w:val="22"/>
              </w:rPr>
            </w:pPr>
            <w:r>
              <w:rPr>
                <w:sz w:val="22"/>
                <w:szCs w:val="22"/>
              </w:rPr>
              <w:t> </w:t>
            </w:r>
          </w:p>
        </w:tc>
        <w:tc>
          <w:tcPr>
            <w:tcW w:w="0" w:type="auto"/>
            <w:hideMark/>
          </w:tcPr>
          <w:p w14:paraId="20E0D999" w14:textId="77777777" w:rsidR="00000000" w:rsidRDefault="00632532">
            <w:pPr>
              <w:pStyle w:val="a3"/>
              <w:spacing w:before="0" w:beforeAutospacing="0" w:after="0" w:afterAutospacing="0"/>
              <w:jc w:val="center"/>
              <w:rPr>
                <w:sz w:val="16"/>
                <w:szCs w:val="16"/>
              </w:rPr>
            </w:pPr>
            <w:r>
              <w:rPr>
                <w:b/>
                <w:bCs/>
                <w:sz w:val="16"/>
                <w:szCs w:val="16"/>
              </w:rPr>
              <w:t>Weighted-Average Amortization Perio</w:t>
            </w:r>
            <w:r>
              <w:rPr>
                <w:b/>
                <w:bCs/>
                <w:sz w:val="16"/>
                <w:szCs w:val="16"/>
              </w:rPr>
              <w:t>d</w:t>
            </w:r>
          </w:p>
        </w:tc>
        <w:tc>
          <w:tcPr>
            <w:tcW w:w="0" w:type="auto"/>
            <w:gridSpan w:val="2"/>
            <w:vAlign w:val="bottom"/>
            <w:hideMark/>
          </w:tcPr>
          <w:p w14:paraId="6D087FDF"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7A1E7E2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EDB8166"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6002C67"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FB4391F"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968A673" w14:textId="77777777">
        <w:trPr>
          <w:divId w:val="350109540"/>
          <w:trHeight w:val="160"/>
          <w:tblCellSpacing w:w="15" w:type="dxa"/>
        </w:trPr>
        <w:tc>
          <w:tcPr>
            <w:tcW w:w="0" w:type="auto"/>
            <w:vAlign w:val="bottom"/>
            <w:hideMark/>
          </w:tcPr>
          <w:p w14:paraId="6F2FA567" w14:textId="77777777" w:rsidR="00000000" w:rsidRDefault="00632532">
            <w:pPr>
              <w:pStyle w:val="a3"/>
              <w:spacing w:before="0" w:beforeAutospacing="0" w:after="0" w:afterAutospacing="0"/>
              <w:rPr>
                <w:sz w:val="22"/>
                <w:szCs w:val="22"/>
              </w:rPr>
            </w:pPr>
            <w:r>
              <w:rPr>
                <w:sz w:val="22"/>
                <w:szCs w:val="22"/>
              </w:rPr>
              <w:t> </w:t>
            </w:r>
          </w:p>
        </w:tc>
        <w:tc>
          <w:tcPr>
            <w:tcW w:w="0" w:type="auto"/>
            <w:hideMark/>
          </w:tcPr>
          <w:p w14:paraId="11E9650B"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hideMark/>
          </w:tcPr>
          <w:p w14:paraId="41D61DF4"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14:paraId="4E47F401"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8A6852A" w14:textId="77777777">
        <w:trPr>
          <w:divId w:val="350109540"/>
          <w:trHeight w:val="200"/>
          <w:tblCellSpacing w:w="15" w:type="dxa"/>
        </w:trPr>
        <w:tc>
          <w:tcPr>
            <w:tcW w:w="0" w:type="auto"/>
            <w:vAlign w:val="bottom"/>
            <w:hideMark/>
          </w:tcPr>
          <w:p w14:paraId="7EC66CAE" w14:textId="77777777" w:rsidR="00000000" w:rsidRDefault="00632532">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14:paraId="1D44466D"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5F4E76C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02F6617" w14:textId="77777777" w:rsidR="00000000" w:rsidRDefault="00632532">
            <w:pPr>
              <w:pStyle w:val="a3"/>
              <w:spacing w:before="0" w:beforeAutospacing="0" w:after="0" w:afterAutospacing="0"/>
              <w:jc w:val="right"/>
              <w:rPr>
                <w:sz w:val="20"/>
                <w:szCs w:val="20"/>
              </w:rPr>
            </w:pPr>
            <w:r>
              <w:rPr>
                <w:sz w:val="20"/>
                <w:szCs w:val="20"/>
              </w:rPr>
              <w:t>121,35</w:t>
            </w:r>
            <w:r>
              <w:rPr>
                <w:sz w:val="20"/>
                <w:szCs w:val="20"/>
              </w:rPr>
              <w:t>4</w:t>
            </w:r>
          </w:p>
        </w:tc>
        <w:tc>
          <w:tcPr>
            <w:tcW w:w="0" w:type="auto"/>
            <w:noWrap/>
            <w:vAlign w:val="bottom"/>
            <w:hideMark/>
          </w:tcPr>
          <w:p w14:paraId="156C6A3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34262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AA8CCB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8C31A0B" w14:textId="77777777" w:rsidR="00000000" w:rsidRDefault="00632532">
            <w:pPr>
              <w:pStyle w:val="a3"/>
              <w:spacing w:before="0" w:beforeAutospacing="0" w:after="0" w:afterAutospacing="0"/>
              <w:jc w:val="right"/>
              <w:rPr>
                <w:sz w:val="20"/>
                <w:szCs w:val="20"/>
              </w:rPr>
            </w:pPr>
            <w:r>
              <w:rPr>
                <w:sz w:val="20"/>
                <w:szCs w:val="20"/>
              </w:rPr>
              <w:t>50,89</w:t>
            </w:r>
            <w:r>
              <w:rPr>
                <w:sz w:val="20"/>
                <w:szCs w:val="20"/>
              </w:rPr>
              <w:t>7</w:t>
            </w:r>
          </w:p>
        </w:tc>
        <w:tc>
          <w:tcPr>
            <w:tcW w:w="0" w:type="auto"/>
            <w:noWrap/>
            <w:vAlign w:val="bottom"/>
            <w:hideMark/>
          </w:tcPr>
          <w:p w14:paraId="4FCAF85A" w14:textId="77777777" w:rsidR="00000000" w:rsidRDefault="00632532">
            <w:pPr>
              <w:pStyle w:val="a3"/>
              <w:spacing w:before="0" w:beforeAutospacing="0" w:after="0" w:afterAutospacing="0"/>
              <w:rPr>
                <w:sz w:val="20"/>
                <w:szCs w:val="20"/>
              </w:rPr>
            </w:pPr>
            <w:r>
              <w:rPr>
                <w:sz w:val="20"/>
                <w:szCs w:val="20"/>
              </w:rPr>
              <w:t> </w:t>
            </w:r>
          </w:p>
        </w:tc>
      </w:tr>
      <w:tr w:rsidR="00000000" w14:paraId="4B73A644" w14:textId="77777777">
        <w:trPr>
          <w:divId w:val="350109540"/>
          <w:tblCellSpacing w:w="15" w:type="dxa"/>
        </w:trPr>
        <w:tc>
          <w:tcPr>
            <w:tcW w:w="0" w:type="auto"/>
            <w:vAlign w:val="bottom"/>
            <w:hideMark/>
          </w:tcPr>
          <w:p w14:paraId="674F686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64666B"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2BA098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60BBD2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639352"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1617A60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4A24D4" w14:textId="77777777" w:rsidR="00000000" w:rsidRDefault="00632532">
            <w:pPr>
              <w:pStyle w:val="a3"/>
              <w:spacing w:before="0" w:beforeAutospacing="0" w:after="0" w:afterAutospacing="0"/>
              <w:rPr>
                <w:sz w:val="20"/>
                <w:szCs w:val="20"/>
              </w:rPr>
            </w:pPr>
            <w:r>
              <w:rPr>
                <w:sz w:val="20"/>
                <w:szCs w:val="20"/>
              </w:rPr>
              <w:t> </w:t>
            </w:r>
          </w:p>
        </w:tc>
      </w:tr>
      <w:tr w:rsidR="00000000" w14:paraId="2735FE80" w14:textId="77777777">
        <w:trPr>
          <w:divId w:val="350109540"/>
          <w:trHeight w:val="200"/>
          <w:tblCellSpacing w:w="15" w:type="dxa"/>
        </w:trPr>
        <w:tc>
          <w:tcPr>
            <w:tcW w:w="0" w:type="auto"/>
            <w:vAlign w:val="bottom"/>
            <w:hideMark/>
          </w:tcPr>
          <w:p w14:paraId="2EBE62F5" w14:textId="77777777" w:rsidR="00000000" w:rsidRDefault="00632532">
            <w:pPr>
              <w:pStyle w:val="a3"/>
              <w:spacing w:before="0" w:beforeAutospacing="0" w:after="0" w:afterAutospacing="0"/>
              <w:rPr>
                <w:sz w:val="20"/>
                <w:szCs w:val="20"/>
              </w:rPr>
            </w:pPr>
            <w:r>
              <w:rPr>
                <w:sz w:val="20"/>
                <w:szCs w:val="20"/>
              </w:rPr>
              <w:t>Royalty-free technolog</w:t>
            </w:r>
            <w:r>
              <w:rPr>
                <w:sz w:val="20"/>
                <w:szCs w:val="20"/>
              </w:rPr>
              <w:t>y</w:t>
            </w:r>
          </w:p>
        </w:tc>
        <w:tc>
          <w:tcPr>
            <w:tcW w:w="0" w:type="auto"/>
            <w:vAlign w:val="bottom"/>
            <w:hideMark/>
          </w:tcPr>
          <w:p w14:paraId="58E72C31" w14:textId="77777777" w:rsidR="00000000" w:rsidRDefault="00632532">
            <w:pPr>
              <w:pStyle w:val="a3"/>
              <w:spacing w:before="0" w:beforeAutospacing="0" w:after="0" w:afterAutospacing="0"/>
              <w:jc w:val="center"/>
              <w:rPr>
                <w:sz w:val="20"/>
                <w:szCs w:val="20"/>
              </w:rPr>
            </w:pPr>
            <w:r>
              <w:rPr>
                <w:sz w:val="20"/>
                <w:szCs w:val="20"/>
              </w:rPr>
              <w:t>1</w:t>
            </w:r>
            <w:r>
              <w:rPr>
                <w:sz w:val="20"/>
                <w:szCs w:val="20"/>
              </w:rPr>
              <w:t>0</w:t>
            </w:r>
            <w:r>
              <w:rPr>
                <w:sz w:val="20"/>
                <w:szCs w:val="20"/>
              </w:rPr>
              <w:t> Year</w:t>
            </w:r>
            <w:r>
              <w:rPr>
                <w:sz w:val="20"/>
                <w:szCs w:val="20"/>
              </w:rPr>
              <w:t>s</w:t>
            </w:r>
          </w:p>
        </w:tc>
        <w:tc>
          <w:tcPr>
            <w:tcW w:w="0" w:type="auto"/>
            <w:noWrap/>
            <w:vAlign w:val="bottom"/>
            <w:hideMark/>
          </w:tcPr>
          <w:p w14:paraId="37972FD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E121A80" w14:textId="77777777" w:rsidR="00000000" w:rsidRDefault="00632532">
            <w:pPr>
              <w:pStyle w:val="a3"/>
              <w:spacing w:before="0" w:beforeAutospacing="0" w:after="0" w:afterAutospacing="0"/>
              <w:jc w:val="right"/>
              <w:rPr>
                <w:sz w:val="20"/>
                <w:szCs w:val="20"/>
              </w:rPr>
            </w:pPr>
            <w:r>
              <w:rPr>
                <w:sz w:val="20"/>
                <w:szCs w:val="20"/>
              </w:rPr>
              <w:t>5,52</w:t>
            </w:r>
            <w:r>
              <w:rPr>
                <w:sz w:val="20"/>
                <w:szCs w:val="20"/>
              </w:rPr>
              <w:t>4</w:t>
            </w:r>
          </w:p>
        </w:tc>
        <w:tc>
          <w:tcPr>
            <w:tcW w:w="0" w:type="auto"/>
            <w:noWrap/>
            <w:vAlign w:val="bottom"/>
            <w:hideMark/>
          </w:tcPr>
          <w:p w14:paraId="578F757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9A55A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CD5F34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6E33A1F" w14:textId="77777777" w:rsidR="00000000" w:rsidRDefault="00632532">
            <w:pPr>
              <w:pStyle w:val="a3"/>
              <w:spacing w:before="0" w:beforeAutospacing="0" w:after="0" w:afterAutospacing="0"/>
              <w:jc w:val="right"/>
              <w:rPr>
                <w:sz w:val="20"/>
                <w:szCs w:val="20"/>
              </w:rPr>
            </w:pPr>
            <w:r>
              <w:rPr>
                <w:sz w:val="20"/>
                <w:szCs w:val="20"/>
              </w:rPr>
              <w:t>5,80</w:t>
            </w:r>
            <w:r>
              <w:rPr>
                <w:sz w:val="20"/>
                <w:szCs w:val="20"/>
              </w:rPr>
              <w:t>3</w:t>
            </w:r>
          </w:p>
        </w:tc>
        <w:tc>
          <w:tcPr>
            <w:tcW w:w="0" w:type="auto"/>
            <w:noWrap/>
            <w:vAlign w:val="bottom"/>
            <w:hideMark/>
          </w:tcPr>
          <w:p w14:paraId="463981D1" w14:textId="77777777" w:rsidR="00000000" w:rsidRDefault="00632532">
            <w:pPr>
              <w:pStyle w:val="a3"/>
              <w:spacing w:before="0" w:beforeAutospacing="0" w:after="0" w:afterAutospacing="0"/>
              <w:rPr>
                <w:sz w:val="20"/>
                <w:szCs w:val="20"/>
              </w:rPr>
            </w:pPr>
            <w:r>
              <w:rPr>
                <w:sz w:val="20"/>
                <w:szCs w:val="20"/>
              </w:rPr>
              <w:t> </w:t>
            </w:r>
          </w:p>
        </w:tc>
      </w:tr>
      <w:tr w:rsidR="00000000" w14:paraId="22D0D347" w14:textId="77777777">
        <w:trPr>
          <w:divId w:val="350109540"/>
          <w:trHeight w:val="200"/>
          <w:tblCellSpacing w:w="15" w:type="dxa"/>
        </w:trPr>
        <w:tc>
          <w:tcPr>
            <w:tcW w:w="0" w:type="auto"/>
            <w:vAlign w:val="bottom"/>
            <w:hideMark/>
          </w:tcPr>
          <w:p w14:paraId="5D714A97" w14:textId="77777777" w:rsidR="00000000" w:rsidRDefault="00632532">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14:paraId="5E4777BE"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76C99BA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F65112A" w14:textId="77777777" w:rsidR="00000000" w:rsidRDefault="00632532">
            <w:pPr>
              <w:pStyle w:val="a3"/>
              <w:spacing w:before="0" w:beforeAutospacing="0" w:after="0" w:afterAutospacing="0"/>
              <w:jc w:val="right"/>
              <w:rPr>
                <w:sz w:val="20"/>
                <w:szCs w:val="20"/>
              </w:rPr>
            </w:pPr>
            <w:r>
              <w:rPr>
                <w:sz w:val="20"/>
                <w:szCs w:val="20"/>
              </w:rPr>
              <w:t>(</w:t>
            </w:r>
            <w:r>
              <w:rPr>
                <w:sz w:val="20"/>
                <w:szCs w:val="20"/>
              </w:rPr>
              <w:t>64</w:t>
            </w:r>
            <w:r>
              <w:rPr>
                <w:sz w:val="20"/>
                <w:szCs w:val="20"/>
              </w:rPr>
              <w:t>5</w:t>
            </w:r>
          </w:p>
        </w:tc>
        <w:tc>
          <w:tcPr>
            <w:tcW w:w="0" w:type="auto"/>
            <w:noWrap/>
            <w:vAlign w:val="bottom"/>
            <w:hideMark/>
          </w:tcPr>
          <w:p w14:paraId="5350346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6F80DF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53CAAC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3714DCA" w14:textId="77777777" w:rsidR="00000000" w:rsidRDefault="00632532">
            <w:pPr>
              <w:pStyle w:val="a3"/>
              <w:spacing w:before="0" w:beforeAutospacing="0" w:after="0" w:afterAutospacing="0"/>
              <w:jc w:val="right"/>
              <w:rPr>
                <w:sz w:val="20"/>
                <w:szCs w:val="20"/>
              </w:rPr>
            </w:pPr>
            <w:r>
              <w:rPr>
                <w:sz w:val="20"/>
                <w:szCs w:val="20"/>
              </w:rPr>
              <w:t>(</w:t>
            </w:r>
            <w:r>
              <w:rPr>
                <w:sz w:val="20"/>
                <w:szCs w:val="20"/>
              </w:rPr>
              <w:t>38</w:t>
            </w:r>
            <w:r>
              <w:rPr>
                <w:sz w:val="20"/>
                <w:szCs w:val="20"/>
              </w:rPr>
              <w:t>7</w:t>
            </w:r>
          </w:p>
        </w:tc>
        <w:tc>
          <w:tcPr>
            <w:tcW w:w="0" w:type="auto"/>
            <w:noWrap/>
            <w:vAlign w:val="bottom"/>
            <w:hideMark/>
          </w:tcPr>
          <w:p w14:paraId="5CC23DFC" w14:textId="77777777" w:rsidR="00000000" w:rsidRDefault="00632532">
            <w:pPr>
              <w:pStyle w:val="a3"/>
              <w:spacing w:before="0" w:beforeAutospacing="0" w:after="0" w:afterAutospacing="0"/>
              <w:rPr>
                <w:sz w:val="20"/>
                <w:szCs w:val="20"/>
              </w:rPr>
            </w:pPr>
            <w:r>
              <w:rPr>
                <w:sz w:val="20"/>
                <w:szCs w:val="20"/>
              </w:rPr>
              <w:t>)</w:t>
            </w:r>
          </w:p>
        </w:tc>
      </w:tr>
      <w:tr w:rsidR="00000000" w14:paraId="7F42B267" w14:textId="77777777">
        <w:trPr>
          <w:divId w:val="350109540"/>
          <w:trHeight w:val="200"/>
          <w:tblCellSpacing w:w="15" w:type="dxa"/>
        </w:trPr>
        <w:tc>
          <w:tcPr>
            <w:tcW w:w="0" w:type="auto"/>
            <w:vAlign w:val="bottom"/>
            <w:hideMark/>
          </w:tcPr>
          <w:p w14:paraId="4045FF65" w14:textId="77777777" w:rsidR="00000000" w:rsidRDefault="00632532">
            <w:pPr>
              <w:pStyle w:val="a3"/>
              <w:spacing w:before="0" w:beforeAutospacing="0" w:after="0" w:afterAutospacing="0"/>
              <w:rPr>
                <w:sz w:val="20"/>
                <w:szCs w:val="20"/>
              </w:rPr>
            </w:pPr>
            <w:r>
              <w:rPr>
                <w:sz w:val="20"/>
                <w:szCs w:val="20"/>
              </w:rPr>
              <w:t>Royalty-free technology, ne</w:t>
            </w:r>
            <w:r>
              <w:rPr>
                <w:sz w:val="20"/>
                <w:szCs w:val="20"/>
              </w:rPr>
              <w:t>t</w:t>
            </w:r>
          </w:p>
        </w:tc>
        <w:tc>
          <w:tcPr>
            <w:tcW w:w="0" w:type="auto"/>
            <w:vAlign w:val="bottom"/>
            <w:hideMark/>
          </w:tcPr>
          <w:p w14:paraId="58638CCC"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7E1D566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688CDFD" w14:textId="77777777" w:rsidR="00000000" w:rsidRDefault="00632532">
            <w:pPr>
              <w:pStyle w:val="a3"/>
              <w:spacing w:before="0" w:beforeAutospacing="0" w:after="0" w:afterAutospacing="0"/>
              <w:jc w:val="right"/>
              <w:rPr>
                <w:sz w:val="20"/>
                <w:szCs w:val="20"/>
              </w:rPr>
            </w:pPr>
            <w:r>
              <w:rPr>
                <w:sz w:val="20"/>
                <w:szCs w:val="20"/>
              </w:rPr>
              <w:t>4,87</w:t>
            </w:r>
            <w:r>
              <w:rPr>
                <w:sz w:val="20"/>
                <w:szCs w:val="20"/>
              </w:rPr>
              <w:t>9</w:t>
            </w:r>
          </w:p>
        </w:tc>
        <w:tc>
          <w:tcPr>
            <w:tcW w:w="0" w:type="auto"/>
            <w:noWrap/>
            <w:vAlign w:val="bottom"/>
            <w:hideMark/>
          </w:tcPr>
          <w:p w14:paraId="095346A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AC9D25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B97993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DCC61D" w14:textId="77777777" w:rsidR="00000000" w:rsidRDefault="00632532">
            <w:pPr>
              <w:pStyle w:val="a3"/>
              <w:spacing w:before="0" w:beforeAutospacing="0" w:after="0" w:afterAutospacing="0"/>
              <w:jc w:val="right"/>
              <w:rPr>
                <w:sz w:val="20"/>
                <w:szCs w:val="20"/>
              </w:rPr>
            </w:pPr>
            <w:r>
              <w:rPr>
                <w:sz w:val="20"/>
                <w:szCs w:val="20"/>
              </w:rPr>
              <w:t>5,41</w:t>
            </w:r>
            <w:r>
              <w:rPr>
                <w:sz w:val="20"/>
                <w:szCs w:val="20"/>
              </w:rPr>
              <w:t>6</w:t>
            </w:r>
          </w:p>
        </w:tc>
        <w:tc>
          <w:tcPr>
            <w:tcW w:w="0" w:type="auto"/>
            <w:noWrap/>
            <w:vAlign w:val="bottom"/>
            <w:hideMark/>
          </w:tcPr>
          <w:p w14:paraId="1DA93428" w14:textId="77777777" w:rsidR="00000000" w:rsidRDefault="00632532">
            <w:pPr>
              <w:pStyle w:val="a3"/>
              <w:spacing w:before="0" w:beforeAutospacing="0" w:after="0" w:afterAutospacing="0"/>
              <w:rPr>
                <w:sz w:val="20"/>
                <w:szCs w:val="20"/>
              </w:rPr>
            </w:pPr>
            <w:r>
              <w:rPr>
                <w:sz w:val="20"/>
                <w:szCs w:val="20"/>
              </w:rPr>
              <w:t> </w:t>
            </w:r>
          </w:p>
        </w:tc>
      </w:tr>
      <w:tr w:rsidR="00000000" w14:paraId="085E7B76" w14:textId="77777777">
        <w:trPr>
          <w:divId w:val="350109540"/>
          <w:tblCellSpacing w:w="15" w:type="dxa"/>
        </w:trPr>
        <w:tc>
          <w:tcPr>
            <w:tcW w:w="0" w:type="auto"/>
            <w:vAlign w:val="bottom"/>
            <w:hideMark/>
          </w:tcPr>
          <w:p w14:paraId="3CC30B6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989315"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754F565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B0D71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E37AAAD"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789B804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95A819" w14:textId="77777777" w:rsidR="00000000" w:rsidRDefault="00632532">
            <w:pPr>
              <w:pStyle w:val="a3"/>
              <w:spacing w:before="0" w:beforeAutospacing="0" w:after="0" w:afterAutospacing="0"/>
              <w:rPr>
                <w:sz w:val="20"/>
                <w:szCs w:val="20"/>
              </w:rPr>
            </w:pPr>
            <w:r>
              <w:rPr>
                <w:sz w:val="20"/>
                <w:szCs w:val="20"/>
              </w:rPr>
              <w:t> </w:t>
            </w:r>
          </w:p>
        </w:tc>
      </w:tr>
      <w:tr w:rsidR="00000000" w14:paraId="666CD6D8" w14:textId="77777777">
        <w:trPr>
          <w:divId w:val="350109540"/>
          <w:trHeight w:val="200"/>
          <w:tblCellSpacing w:w="15" w:type="dxa"/>
        </w:trPr>
        <w:tc>
          <w:tcPr>
            <w:tcW w:w="0" w:type="auto"/>
            <w:vAlign w:val="bottom"/>
            <w:hideMark/>
          </w:tcPr>
          <w:p w14:paraId="2BB31012" w14:textId="77777777" w:rsidR="00000000" w:rsidRDefault="00632532">
            <w:pPr>
              <w:pStyle w:val="a3"/>
              <w:spacing w:before="0" w:beforeAutospacing="0" w:after="0" w:afterAutospacing="0"/>
              <w:rPr>
                <w:sz w:val="20"/>
                <w:szCs w:val="20"/>
              </w:rPr>
            </w:pPr>
            <w:r>
              <w:rPr>
                <w:sz w:val="20"/>
                <w:szCs w:val="20"/>
              </w:rPr>
              <w:t>Customer relationship</w:t>
            </w:r>
            <w:r>
              <w:rPr>
                <w:sz w:val="20"/>
                <w:szCs w:val="20"/>
              </w:rPr>
              <w:t>s</w:t>
            </w:r>
          </w:p>
        </w:tc>
        <w:tc>
          <w:tcPr>
            <w:tcW w:w="0" w:type="auto"/>
            <w:vAlign w:val="bottom"/>
            <w:hideMark/>
          </w:tcPr>
          <w:p w14:paraId="0F7C5C58" w14:textId="77777777" w:rsidR="00000000" w:rsidRDefault="00632532">
            <w:pPr>
              <w:pStyle w:val="a3"/>
              <w:spacing w:before="0" w:beforeAutospacing="0" w:after="0" w:afterAutospacing="0"/>
              <w:jc w:val="center"/>
              <w:rPr>
                <w:sz w:val="20"/>
                <w:szCs w:val="20"/>
              </w:rPr>
            </w:pPr>
            <w:r>
              <w:rPr>
                <w:sz w:val="20"/>
                <w:szCs w:val="20"/>
              </w:rPr>
              <w:t>1</w:t>
            </w:r>
            <w:r>
              <w:rPr>
                <w:sz w:val="20"/>
                <w:szCs w:val="20"/>
              </w:rPr>
              <w:t>3</w:t>
            </w:r>
            <w:r>
              <w:rPr>
                <w:sz w:val="20"/>
                <w:szCs w:val="20"/>
              </w:rPr>
              <w:t> Year</w:t>
            </w:r>
            <w:r>
              <w:rPr>
                <w:sz w:val="20"/>
                <w:szCs w:val="20"/>
              </w:rPr>
              <w:t>s</w:t>
            </w:r>
          </w:p>
        </w:tc>
        <w:tc>
          <w:tcPr>
            <w:tcW w:w="0" w:type="auto"/>
            <w:noWrap/>
            <w:vAlign w:val="bottom"/>
            <w:hideMark/>
          </w:tcPr>
          <w:p w14:paraId="30EF56F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8E87D16" w14:textId="77777777" w:rsidR="00000000" w:rsidRDefault="00632532">
            <w:pPr>
              <w:pStyle w:val="a3"/>
              <w:spacing w:before="0" w:beforeAutospacing="0" w:after="0" w:afterAutospacing="0"/>
              <w:jc w:val="right"/>
              <w:rPr>
                <w:sz w:val="20"/>
                <w:szCs w:val="20"/>
              </w:rPr>
            </w:pPr>
            <w:r>
              <w:rPr>
                <w:sz w:val="20"/>
                <w:szCs w:val="20"/>
              </w:rPr>
              <w:t>82,28</w:t>
            </w:r>
            <w:r>
              <w:rPr>
                <w:sz w:val="20"/>
                <w:szCs w:val="20"/>
              </w:rPr>
              <w:t>4</w:t>
            </w:r>
          </w:p>
        </w:tc>
        <w:tc>
          <w:tcPr>
            <w:tcW w:w="0" w:type="auto"/>
            <w:noWrap/>
            <w:vAlign w:val="bottom"/>
            <w:hideMark/>
          </w:tcPr>
          <w:p w14:paraId="3A13A96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F56552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E0E256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BE48B3" w14:textId="77777777" w:rsidR="00000000" w:rsidRDefault="00632532">
            <w:pPr>
              <w:pStyle w:val="a3"/>
              <w:spacing w:before="0" w:beforeAutospacing="0" w:after="0" w:afterAutospacing="0"/>
              <w:jc w:val="right"/>
              <w:rPr>
                <w:sz w:val="20"/>
                <w:szCs w:val="20"/>
              </w:rPr>
            </w:pPr>
            <w:r>
              <w:rPr>
                <w:sz w:val="20"/>
                <w:szCs w:val="20"/>
              </w:rPr>
              <w:t>28,84</w:t>
            </w:r>
            <w:r>
              <w:rPr>
                <w:sz w:val="20"/>
                <w:szCs w:val="20"/>
              </w:rPr>
              <w:t>5</w:t>
            </w:r>
          </w:p>
        </w:tc>
        <w:tc>
          <w:tcPr>
            <w:tcW w:w="0" w:type="auto"/>
            <w:noWrap/>
            <w:vAlign w:val="bottom"/>
            <w:hideMark/>
          </w:tcPr>
          <w:p w14:paraId="11F7B1CE" w14:textId="77777777" w:rsidR="00000000" w:rsidRDefault="00632532">
            <w:pPr>
              <w:pStyle w:val="a3"/>
              <w:spacing w:before="0" w:beforeAutospacing="0" w:after="0" w:afterAutospacing="0"/>
              <w:rPr>
                <w:sz w:val="20"/>
                <w:szCs w:val="20"/>
              </w:rPr>
            </w:pPr>
            <w:r>
              <w:rPr>
                <w:sz w:val="20"/>
                <w:szCs w:val="20"/>
              </w:rPr>
              <w:t> </w:t>
            </w:r>
          </w:p>
        </w:tc>
      </w:tr>
      <w:tr w:rsidR="00000000" w14:paraId="311988F5" w14:textId="77777777">
        <w:trPr>
          <w:divId w:val="350109540"/>
          <w:trHeight w:val="200"/>
          <w:tblCellSpacing w:w="15" w:type="dxa"/>
        </w:trPr>
        <w:tc>
          <w:tcPr>
            <w:tcW w:w="0" w:type="auto"/>
            <w:vAlign w:val="bottom"/>
            <w:hideMark/>
          </w:tcPr>
          <w:p w14:paraId="787B0058" w14:textId="77777777" w:rsidR="00000000" w:rsidRDefault="00632532">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14:paraId="21C9350B"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3F04B14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10BE51" w14:textId="77777777" w:rsidR="00000000" w:rsidRDefault="00632532">
            <w:pPr>
              <w:pStyle w:val="a3"/>
              <w:spacing w:before="0" w:beforeAutospacing="0" w:after="0" w:afterAutospacing="0"/>
              <w:jc w:val="right"/>
              <w:rPr>
                <w:sz w:val="20"/>
                <w:szCs w:val="20"/>
              </w:rPr>
            </w:pPr>
            <w:r>
              <w:rPr>
                <w:sz w:val="20"/>
                <w:szCs w:val="20"/>
              </w:rPr>
              <w:t>(</w:t>
            </w:r>
            <w:r>
              <w:rPr>
                <w:sz w:val="20"/>
                <w:szCs w:val="20"/>
              </w:rPr>
              <w:t>2,99</w:t>
            </w:r>
            <w:r>
              <w:rPr>
                <w:sz w:val="20"/>
                <w:szCs w:val="20"/>
              </w:rPr>
              <w:t>9</w:t>
            </w:r>
          </w:p>
        </w:tc>
        <w:tc>
          <w:tcPr>
            <w:tcW w:w="0" w:type="auto"/>
            <w:noWrap/>
            <w:vAlign w:val="bottom"/>
            <w:hideMark/>
          </w:tcPr>
          <w:p w14:paraId="4761E9A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24D059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FDCDAA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6BD4695" w14:textId="77777777" w:rsidR="00000000" w:rsidRDefault="00632532">
            <w:pPr>
              <w:pStyle w:val="a3"/>
              <w:spacing w:before="0" w:beforeAutospacing="0" w:after="0" w:afterAutospacing="0"/>
              <w:jc w:val="right"/>
              <w:rPr>
                <w:sz w:val="20"/>
                <w:szCs w:val="20"/>
              </w:rPr>
            </w:pPr>
            <w:r>
              <w:rPr>
                <w:sz w:val="20"/>
                <w:szCs w:val="20"/>
              </w:rPr>
              <w:t>(</w:t>
            </w:r>
            <w:r>
              <w:rPr>
                <w:sz w:val="20"/>
                <w:szCs w:val="20"/>
              </w:rPr>
              <w:t>1,12</w:t>
            </w:r>
            <w:r>
              <w:rPr>
                <w:sz w:val="20"/>
                <w:szCs w:val="20"/>
              </w:rPr>
              <w:t>5</w:t>
            </w:r>
          </w:p>
        </w:tc>
        <w:tc>
          <w:tcPr>
            <w:tcW w:w="0" w:type="auto"/>
            <w:noWrap/>
            <w:vAlign w:val="bottom"/>
            <w:hideMark/>
          </w:tcPr>
          <w:p w14:paraId="66499D04" w14:textId="77777777" w:rsidR="00000000" w:rsidRDefault="00632532">
            <w:pPr>
              <w:pStyle w:val="a3"/>
              <w:spacing w:before="0" w:beforeAutospacing="0" w:after="0" w:afterAutospacing="0"/>
              <w:rPr>
                <w:sz w:val="20"/>
                <w:szCs w:val="20"/>
              </w:rPr>
            </w:pPr>
            <w:r>
              <w:rPr>
                <w:sz w:val="20"/>
                <w:szCs w:val="20"/>
              </w:rPr>
              <w:t>)</w:t>
            </w:r>
          </w:p>
        </w:tc>
      </w:tr>
      <w:tr w:rsidR="00000000" w14:paraId="7B8038A2" w14:textId="77777777">
        <w:trPr>
          <w:divId w:val="350109540"/>
          <w:trHeight w:val="200"/>
          <w:tblCellSpacing w:w="15" w:type="dxa"/>
        </w:trPr>
        <w:tc>
          <w:tcPr>
            <w:tcW w:w="0" w:type="auto"/>
            <w:vAlign w:val="bottom"/>
            <w:hideMark/>
          </w:tcPr>
          <w:p w14:paraId="3BA7E510" w14:textId="77777777" w:rsidR="00000000" w:rsidRDefault="00632532">
            <w:pPr>
              <w:pStyle w:val="a3"/>
              <w:spacing w:before="0" w:beforeAutospacing="0" w:after="0" w:afterAutospacing="0"/>
              <w:rPr>
                <w:sz w:val="20"/>
                <w:szCs w:val="20"/>
              </w:rPr>
            </w:pPr>
            <w:r>
              <w:rPr>
                <w:sz w:val="20"/>
                <w:szCs w:val="20"/>
              </w:rPr>
              <w:t>Customer relationships, ne</w:t>
            </w:r>
            <w:r>
              <w:rPr>
                <w:sz w:val="20"/>
                <w:szCs w:val="20"/>
              </w:rPr>
              <w:t>t</w:t>
            </w:r>
          </w:p>
        </w:tc>
        <w:tc>
          <w:tcPr>
            <w:tcW w:w="0" w:type="auto"/>
            <w:vAlign w:val="bottom"/>
            <w:hideMark/>
          </w:tcPr>
          <w:p w14:paraId="330B6A49"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57F9335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33224B" w14:textId="77777777" w:rsidR="00000000" w:rsidRDefault="00632532">
            <w:pPr>
              <w:pStyle w:val="a3"/>
              <w:spacing w:before="0" w:beforeAutospacing="0" w:after="0" w:afterAutospacing="0"/>
              <w:jc w:val="right"/>
              <w:rPr>
                <w:sz w:val="20"/>
                <w:szCs w:val="20"/>
              </w:rPr>
            </w:pPr>
            <w:r>
              <w:rPr>
                <w:sz w:val="20"/>
                <w:szCs w:val="20"/>
              </w:rPr>
              <w:t>79,28</w:t>
            </w:r>
            <w:r>
              <w:rPr>
                <w:sz w:val="20"/>
                <w:szCs w:val="20"/>
              </w:rPr>
              <w:t>5</w:t>
            </w:r>
          </w:p>
        </w:tc>
        <w:tc>
          <w:tcPr>
            <w:tcW w:w="0" w:type="auto"/>
            <w:noWrap/>
            <w:vAlign w:val="bottom"/>
            <w:hideMark/>
          </w:tcPr>
          <w:p w14:paraId="5AB745A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3F6F5A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43BAC8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057EB6D" w14:textId="77777777" w:rsidR="00000000" w:rsidRDefault="00632532">
            <w:pPr>
              <w:pStyle w:val="a3"/>
              <w:spacing w:before="0" w:beforeAutospacing="0" w:after="0" w:afterAutospacing="0"/>
              <w:jc w:val="right"/>
              <w:rPr>
                <w:sz w:val="20"/>
                <w:szCs w:val="20"/>
              </w:rPr>
            </w:pPr>
            <w:r>
              <w:rPr>
                <w:sz w:val="20"/>
                <w:szCs w:val="20"/>
              </w:rPr>
              <w:t>27,72</w:t>
            </w:r>
            <w:r>
              <w:rPr>
                <w:sz w:val="20"/>
                <w:szCs w:val="20"/>
              </w:rPr>
              <w:t>0</w:t>
            </w:r>
          </w:p>
        </w:tc>
        <w:tc>
          <w:tcPr>
            <w:tcW w:w="0" w:type="auto"/>
            <w:noWrap/>
            <w:vAlign w:val="bottom"/>
            <w:hideMark/>
          </w:tcPr>
          <w:p w14:paraId="37EF89A4" w14:textId="77777777" w:rsidR="00000000" w:rsidRDefault="00632532">
            <w:pPr>
              <w:pStyle w:val="a3"/>
              <w:spacing w:before="0" w:beforeAutospacing="0" w:after="0" w:afterAutospacing="0"/>
              <w:rPr>
                <w:sz w:val="20"/>
                <w:szCs w:val="20"/>
              </w:rPr>
            </w:pPr>
            <w:r>
              <w:rPr>
                <w:sz w:val="20"/>
                <w:szCs w:val="20"/>
              </w:rPr>
              <w:t> </w:t>
            </w:r>
          </w:p>
        </w:tc>
      </w:tr>
      <w:tr w:rsidR="00000000" w14:paraId="17BBBA8D" w14:textId="77777777">
        <w:trPr>
          <w:divId w:val="350109540"/>
          <w:tblCellSpacing w:w="15" w:type="dxa"/>
        </w:trPr>
        <w:tc>
          <w:tcPr>
            <w:tcW w:w="0" w:type="auto"/>
            <w:vAlign w:val="bottom"/>
            <w:hideMark/>
          </w:tcPr>
          <w:p w14:paraId="010999D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85E76E2"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0B03B06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792CE0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F703B7"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3056522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A9A97BA" w14:textId="77777777" w:rsidR="00000000" w:rsidRDefault="00632532">
            <w:pPr>
              <w:pStyle w:val="a3"/>
              <w:spacing w:before="0" w:beforeAutospacing="0" w:after="0" w:afterAutospacing="0"/>
              <w:rPr>
                <w:sz w:val="20"/>
                <w:szCs w:val="20"/>
              </w:rPr>
            </w:pPr>
            <w:r>
              <w:rPr>
                <w:sz w:val="20"/>
                <w:szCs w:val="20"/>
              </w:rPr>
              <w:t> </w:t>
            </w:r>
          </w:p>
        </w:tc>
      </w:tr>
      <w:tr w:rsidR="00000000" w14:paraId="3FFA6D0E" w14:textId="77777777">
        <w:trPr>
          <w:divId w:val="350109540"/>
          <w:trHeight w:val="200"/>
          <w:tblCellSpacing w:w="15" w:type="dxa"/>
        </w:trPr>
        <w:tc>
          <w:tcPr>
            <w:tcW w:w="0" w:type="auto"/>
            <w:vAlign w:val="bottom"/>
            <w:hideMark/>
          </w:tcPr>
          <w:p w14:paraId="17F06FFE" w14:textId="77777777" w:rsidR="00000000" w:rsidRDefault="00632532">
            <w:pPr>
              <w:pStyle w:val="a3"/>
              <w:spacing w:before="0" w:beforeAutospacing="0" w:after="0" w:afterAutospacing="0"/>
              <w:rPr>
                <w:sz w:val="20"/>
                <w:szCs w:val="20"/>
              </w:rPr>
            </w:pPr>
            <w:r>
              <w:rPr>
                <w:sz w:val="20"/>
                <w:szCs w:val="20"/>
              </w:rPr>
              <w:t>Trade nam</w:t>
            </w:r>
            <w:r>
              <w:rPr>
                <w:sz w:val="20"/>
                <w:szCs w:val="20"/>
              </w:rPr>
              <w:t>e</w:t>
            </w:r>
          </w:p>
        </w:tc>
        <w:tc>
          <w:tcPr>
            <w:tcW w:w="0" w:type="auto"/>
            <w:vAlign w:val="bottom"/>
            <w:hideMark/>
          </w:tcPr>
          <w:p w14:paraId="7E0522A9" w14:textId="77777777" w:rsidR="00000000" w:rsidRDefault="00632532">
            <w:pPr>
              <w:pStyle w:val="a3"/>
              <w:spacing w:before="0" w:beforeAutospacing="0" w:after="0" w:afterAutospacing="0"/>
              <w:jc w:val="center"/>
              <w:rPr>
                <w:sz w:val="20"/>
                <w:szCs w:val="20"/>
              </w:rPr>
            </w:pPr>
            <w:r>
              <w:rPr>
                <w:sz w:val="20"/>
                <w:szCs w:val="20"/>
              </w:rPr>
              <w:t>8</w:t>
            </w:r>
            <w:r>
              <w:rPr>
                <w:sz w:val="20"/>
                <w:szCs w:val="20"/>
              </w:rPr>
              <w:t> Year</w:t>
            </w:r>
            <w:r>
              <w:rPr>
                <w:sz w:val="20"/>
                <w:szCs w:val="20"/>
              </w:rPr>
              <w:t>s</w:t>
            </w:r>
          </w:p>
        </w:tc>
        <w:tc>
          <w:tcPr>
            <w:tcW w:w="0" w:type="auto"/>
            <w:noWrap/>
            <w:vAlign w:val="bottom"/>
            <w:hideMark/>
          </w:tcPr>
          <w:p w14:paraId="260FA0D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09AEE51" w14:textId="77777777" w:rsidR="00000000" w:rsidRDefault="00632532">
            <w:pPr>
              <w:pStyle w:val="a3"/>
              <w:spacing w:before="0" w:beforeAutospacing="0" w:after="0" w:afterAutospacing="0"/>
              <w:jc w:val="right"/>
              <w:rPr>
                <w:sz w:val="20"/>
                <w:szCs w:val="20"/>
              </w:rPr>
            </w:pPr>
            <w:r>
              <w:rPr>
                <w:sz w:val="20"/>
                <w:szCs w:val="20"/>
              </w:rPr>
              <w:t>3,79</w:t>
            </w:r>
            <w:r>
              <w:rPr>
                <w:sz w:val="20"/>
                <w:szCs w:val="20"/>
              </w:rPr>
              <w:t>0</w:t>
            </w:r>
          </w:p>
        </w:tc>
        <w:tc>
          <w:tcPr>
            <w:tcW w:w="0" w:type="auto"/>
            <w:noWrap/>
            <w:vAlign w:val="bottom"/>
            <w:hideMark/>
          </w:tcPr>
          <w:p w14:paraId="12B55D7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CF4F0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616E31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71270EC" w14:textId="77777777" w:rsidR="00000000" w:rsidRDefault="00632532">
            <w:pPr>
              <w:pStyle w:val="a3"/>
              <w:spacing w:before="0" w:beforeAutospacing="0" w:after="0" w:afterAutospacing="0"/>
              <w:jc w:val="right"/>
              <w:rPr>
                <w:sz w:val="20"/>
                <w:szCs w:val="20"/>
              </w:rPr>
            </w:pPr>
            <w:r>
              <w:rPr>
                <w:sz w:val="20"/>
                <w:szCs w:val="20"/>
              </w:rPr>
              <w:t>1,09</w:t>
            </w:r>
            <w:r>
              <w:rPr>
                <w:sz w:val="20"/>
                <w:szCs w:val="20"/>
              </w:rPr>
              <w:t>0</w:t>
            </w:r>
          </w:p>
        </w:tc>
        <w:tc>
          <w:tcPr>
            <w:tcW w:w="0" w:type="auto"/>
            <w:noWrap/>
            <w:vAlign w:val="bottom"/>
            <w:hideMark/>
          </w:tcPr>
          <w:p w14:paraId="4982F4E9" w14:textId="77777777" w:rsidR="00000000" w:rsidRDefault="00632532">
            <w:pPr>
              <w:pStyle w:val="a3"/>
              <w:spacing w:before="0" w:beforeAutospacing="0" w:after="0" w:afterAutospacing="0"/>
              <w:rPr>
                <w:sz w:val="20"/>
                <w:szCs w:val="20"/>
              </w:rPr>
            </w:pPr>
            <w:r>
              <w:rPr>
                <w:sz w:val="20"/>
                <w:szCs w:val="20"/>
              </w:rPr>
              <w:t> </w:t>
            </w:r>
          </w:p>
        </w:tc>
      </w:tr>
      <w:tr w:rsidR="00000000" w14:paraId="50620F12" w14:textId="77777777">
        <w:trPr>
          <w:divId w:val="350109540"/>
          <w:trHeight w:val="200"/>
          <w:tblCellSpacing w:w="15" w:type="dxa"/>
        </w:trPr>
        <w:tc>
          <w:tcPr>
            <w:tcW w:w="0" w:type="auto"/>
            <w:vAlign w:val="bottom"/>
            <w:hideMark/>
          </w:tcPr>
          <w:p w14:paraId="053686D5" w14:textId="77777777" w:rsidR="00000000" w:rsidRDefault="00632532">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14:paraId="17DF5D91"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6F15426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DA0D171" w14:textId="77777777" w:rsidR="00000000" w:rsidRDefault="00632532">
            <w:pPr>
              <w:pStyle w:val="a3"/>
              <w:spacing w:before="0" w:beforeAutospacing="0" w:after="0" w:afterAutospacing="0"/>
              <w:jc w:val="right"/>
              <w:rPr>
                <w:sz w:val="20"/>
                <w:szCs w:val="20"/>
              </w:rPr>
            </w:pPr>
            <w:r>
              <w:rPr>
                <w:sz w:val="20"/>
                <w:szCs w:val="20"/>
              </w:rPr>
              <w:t>(</w:t>
            </w:r>
            <w:r>
              <w:rPr>
                <w:sz w:val="20"/>
                <w:szCs w:val="20"/>
              </w:rPr>
              <w:t>16</w:t>
            </w:r>
            <w:r>
              <w:rPr>
                <w:sz w:val="20"/>
                <w:szCs w:val="20"/>
              </w:rPr>
              <w:t>4</w:t>
            </w:r>
          </w:p>
        </w:tc>
        <w:tc>
          <w:tcPr>
            <w:tcW w:w="0" w:type="auto"/>
            <w:noWrap/>
            <w:vAlign w:val="bottom"/>
            <w:hideMark/>
          </w:tcPr>
          <w:p w14:paraId="3D8FB11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C89C5C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C7537E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EDDC14" w14:textId="77777777" w:rsidR="00000000" w:rsidRDefault="00632532">
            <w:pPr>
              <w:pStyle w:val="a3"/>
              <w:spacing w:before="0" w:beforeAutospacing="0" w:after="0" w:afterAutospacing="0"/>
              <w:jc w:val="right"/>
              <w:rPr>
                <w:sz w:val="20"/>
                <w:szCs w:val="20"/>
              </w:rPr>
            </w:pPr>
            <w:r>
              <w:rPr>
                <w:sz w:val="20"/>
                <w:szCs w:val="20"/>
              </w:rPr>
              <w:t>(</w:t>
            </w:r>
            <w:r>
              <w:rPr>
                <w:sz w:val="20"/>
                <w:szCs w:val="20"/>
              </w:rPr>
              <w:t>4</w:t>
            </w:r>
            <w:r>
              <w:rPr>
                <w:sz w:val="20"/>
                <w:szCs w:val="20"/>
              </w:rPr>
              <w:t>5</w:t>
            </w:r>
          </w:p>
        </w:tc>
        <w:tc>
          <w:tcPr>
            <w:tcW w:w="0" w:type="auto"/>
            <w:noWrap/>
            <w:vAlign w:val="bottom"/>
            <w:hideMark/>
          </w:tcPr>
          <w:p w14:paraId="1B20B23A" w14:textId="77777777" w:rsidR="00000000" w:rsidRDefault="00632532">
            <w:pPr>
              <w:pStyle w:val="a3"/>
              <w:spacing w:before="0" w:beforeAutospacing="0" w:after="0" w:afterAutospacing="0"/>
              <w:rPr>
                <w:sz w:val="20"/>
                <w:szCs w:val="20"/>
              </w:rPr>
            </w:pPr>
            <w:r>
              <w:rPr>
                <w:sz w:val="20"/>
                <w:szCs w:val="20"/>
              </w:rPr>
              <w:t>)</w:t>
            </w:r>
          </w:p>
        </w:tc>
      </w:tr>
      <w:tr w:rsidR="00000000" w14:paraId="2D493567" w14:textId="77777777">
        <w:trPr>
          <w:divId w:val="350109540"/>
          <w:trHeight w:val="200"/>
          <w:tblCellSpacing w:w="15" w:type="dxa"/>
        </w:trPr>
        <w:tc>
          <w:tcPr>
            <w:tcW w:w="0" w:type="auto"/>
            <w:vAlign w:val="bottom"/>
            <w:hideMark/>
          </w:tcPr>
          <w:p w14:paraId="5CE901A0" w14:textId="77777777" w:rsidR="00000000" w:rsidRDefault="00632532">
            <w:pPr>
              <w:pStyle w:val="a3"/>
              <w:spacing w:before="0" w:beforeAutospacing="0" w:after="0" w:afterAutospacing="0"/>
              <w:rPr>
                <w:sz w:val="20"/>
                <w:szCs w:val="20"/>
              </w:rPr>
            </w:pPr>
            <w:r>
              <w:rPr>
                <w:sz w:val="20"/>
                <w:szCs w:val="20"/>
              </w:rPr>
              <w:t>Trade name, ne</w:t>
            </w:r>
            <w:r>
              <w:rPr>
                <w:sz w:val="20"/>
                <w:szCs w:val="20"/>
              </w:rPr>
              <w:t>t</w:t>
            </w:r>
          </w:p>
        </w:tc>
        <w:tc>
          <w:tcPr>
            <w:tcW w:w="0" w:type="auto"/>
            <w:vAlign w:val="bottom"/>
            <w:hideMark/>
          </w:tcPr>
          <w:p w14:paraId="71F03A07"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27EF15C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2266A8" w14:textId="77777777" w:rsidR="00000000" w:rsidRDefault="00632532">
            <w:pPr>
              <w:pStyle w:val="a3"/>
              <w:spacing w:before="0" w:beforeAutospacing="0" w:after="0" w:afterAutospacing="0"/>
              <w:jc w:val="right"/>
              <w:rPr>
                <w:sz w:val="20"/>
                <w:szCs w:val="20"/>
              </w:rPr>
            </w:pPr>
            <w:r>
              <w:rPr>
                <w:sz w:val="20"/>
                <w:szCs w:val="20"/>
              </w:rPr>
              <w:t>3,62</w:t>
            </w:r>
            <w:r>
              <w:rPr>
                <w:sz w:val="20"/>
                <w:szCs w:val="20"/>
              </w:rPr>
              <w:t>6</w:t>
            </w:r>
          </w:p>
        </w:tc>
        <w:tc>
          <w:tcPr>
            <w:tcW w:w="0" w:type="auto"/>
            <w:noWrap/>
            <w:vAlign w:val="bottom"/>
            <w:hideMark/>
          </w:tcPr>
          <w:p w14:paraId="34C8F0D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BCBDEE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7329D8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D32A6C" w14:textId="77777777" w:rsidR="00000000" w:rsidRDefault="00632532">
            <w:pPr>
              <w:pStyle w:val="a3"/>
              <w:spacing w:before="0" w:beforeAutospacing="0" w:after="0" w:afterAutospacing="0"/>
              <w:jc w:val="right"/>
              <w:rPr>
                <w:sz w:val="20"/>
                <w:szCs w:val="20"/>
              </w:rPr>
            </w:pPr>
            <w:r>
              <w:rPr>
                <w:sz w:val="20"/>
                <w:szCs w:val="20"/>
              </w:rPr>
              <w:t>1,04</w:t>
            </w:r>
            <w:r>
              <w:rPr>
                <w:sz w:val="20"/>
                <w:szCs w:val="20"/>
              </w:rPr>
              <w:t>5</w:t>
            </w:r>
          </w:p>
        </w:tc>
        <w:tc>
          <w:tcPr>
            <w:tcW w:w="0" w:type="auto"/>
            <w:noWrap/>
            <w:vAlign w:val="bottom"/>
            <w:hideMark/>
          </w:tcPr>
          <w:p w14:paraId="1F0F6959" w14:textId="77777777" w:rsidR="00000000" w:rsidRDefault="00632532">
            <w:pPr>
              <w:pStyle w:val="a3"/>
              <w:spacing w:before="0" w:beforeAutospacing="0" w:after="0" w:afterAutospacing="0"/>
              <w:rPr>
                <w:sz w:val="20"/>
                <w:szCs w:val="20"/>
              </w:rPr>
            </w:pPr>
            <w:r>
              <w:rPr>
                <w:sz w:val="20"/>
                <w:szCs w:val="20"/>
              </w:rPr>
              <w:t> </w:t>
            </w:r>
          </w:p>
        </w:tc>
      </w:tr>
      <w:tr w:rsidR="00000000" w14:paraId="1622879E" w14:textId="77777777">
        <w:trPr>
          <w:divId w:val="350109540"/>
          <w:tblCellSpacing w:w="15" w:type="dxa"/>
        </w:trPr>
        <w:tc>
          <w:tcPr>
            <w:tcW w:w="0" w:type="auto"/>
            <w:vAlign w:val="bottom"/>
            <w:hideMark/>
          </w:tcPr>
          <w:p w14:paraId="6C92817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7E86C7"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50056F9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95B70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9BB84D"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5FA285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EA0DDD" w14:textId="77777777" w:rsidR="00000000" w:rsidRDefault="00632532">
            <w:pPr>
              <w:pStyle w:val="a3"/>
              <w:spacing w:before="0" w:beforeAutospacing="0" w:after="0" w:afterAutospacing="0"/>
              <w:rPr>
                <w:sz w:val="20"/>
                <w:szCs w:val="20"/>
              </w:rPr>
            </w:pPr>
            <w:r>
              <w:rPr>
                <w:sz w:val="20"/>
                <w:szCs w:val="20"/>
              </w:rPr>
              <w:t> </w:t>
            </w:r>
          </w:p>
        </w:tc>
      </w:tr>
      <w:tr w:rsidR="00000000" w14:paraId="0B0A33DF" w14:textId="77777777">
        <w:trPr>
          <w:divId w:val="350109540"/>
          <w:trHeight w:val="200"/>
          <w:tblCellSpacing w:w="15" w:type="dxa"/>
        </w:trPr>
        <w:tc>
          <w:tcPr>
            <w:tcW w:w="0" w:type="auto"/>
            <w:vAlign w:val="bottom"/>
            <w:hideMark/>
          </w:tcPr>
          <w:p w14:paraId="45B971F1" w14:textId="77777777" w:rsidR="00000000" w:rsidRDefault="00632532">
            <w:pPr>
              <w:pStyle w:val="a3"/>
              <w:spacing w:before="0" w:beforeAutospacing="0" w:after="0" w:afterAutospacing="0"/>
              <w:rPr>
                <w:sz w:val="20"/>
                <w:szCs w:val="20"/>
              </w:rPr>
            </w:pPr>
            <w:r>
              <w:rPr>
                <w:sz w:val="20"/>
                <w:szCs w:val="20"/>
              </w:rPr>
              <w:t>In-place lease intangible asset</w:t>
            </w:r>
            <w:r>
              <w:rPr>
                <w:sz w:val="20"/>
                <w:szCs w:val="20"/>
              </w:rPr>
              <w:t>s</w:t>
            </w:r>
          </w:p>
        </w:tc>
        <w:tc>
          <w:tcPr>
            <w:tcW w:w="0" w:type="auto"/>
            <w:vAlign w:val="bottom"/>
            <w:hideMark/>
          </w:tcPr>
          <w:p w14:paraId="76551792" w14:textId="77777777" w:rsidR="00000000" w:rsidRDefault="00632532">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c>
          <w:tcPr>
            <w:tcW w:w="0" w:type="auto"/>
            <w:noWrap/>
            <w:vAlign w:val="bottom"/>
            <w:hideMark/>
          </w:tcPr>
          <w:p w14:paraId="397620E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3D8B78E" w14:textId="77777777" w:rsidR="00000000" w:rsidRDefault="00632532">
            <w:pPr>
              <w:pStyle w:val="a3"/>
              <w:spacing w:before="0" w:beforeAutospacing="0" w:after="0" w:afterAutospacing="0"/>
              <w:jc w:val="right"/>
              <w:rPr>
                <w:sz w:val="20"/>
                <w:szCs w:val="20"/>
              </w:rPr>
            </w:pPr>
            <w:r>
              <w:rPr>
                <w:sz w:val="20"/>
                <w:szCs w:val="20"/>
              </w:rPr>
              <w:t>36</w:t>
            </w:r>
            <w:r>
              <w:rPr>
                <w:sz w:val="20"/>
                <w:szCs w:val="20"/>
              </w:rPr>
              <w:t>0</w:t>
            </w:r>
          </w:p>
        </w:tc>
        <w:tc>
          <w:tcPr>
            <w:tcW w:w="0" w:type="auto"/>
            <w:noWrap/>
            <w:vAlign w:val="bottom"/>
            <w:hideMark/>
          </w:tcPr>
          <w:p w14:paraId="2C06653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C65529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61DFE0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7A78C4A"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1BDD7BD" w14:textId="77777777" w:rsidR="00000000" w:rsidRDefault="00632532">
            <w:pPr>
              <w:pStyle w:val="a3"/>
              <w:spacing w:before="0" w:beforeAutospacing="0" w:after="0" w:afterAutospacing="0"/>
              <w:rPr>
                <w:sz w:val="20"/>
                <w:szCs w:val="20"/>
              </w:rPr>
            </w:pPr>
            <w:r>
              <w:rPr>
                <w:sz w:val="20"/>
                <w:szCs w:val="20"/>
              </w:rPr>
              <w:t> </w:t>
            </w:r>
          </w:p>
        </w:tc>
      </w:tr>
      <w:tr w:rsidR="00000000" w14:paraId="7B2C06B9" w14:textId="77777777">
        <w:trPr>
          <w:divId w:val="350109540"/>
          <w:trHeight w:val="200"/>
          <w:tblCellSpacing w:w="15" w:type="dxa"/>
        </w:trPr>
        <w:tc>
          <w:tcPr>
            <w:tcW w:w="0" w:type="auto"/>
            <w:vAlign w:val="bottom"/>
            <w:hideMark/>
          </w:tcPr>
          <w:p w14:paraId="2174AD0F" w14:textId="77777777" w:rsidR="00000000" w:rsidRDefault="00632532">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14:paraId="141FD106"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23A28BF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DE0C386"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2B9AD0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2F5B4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BCD910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428CE4"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C23F99F" w14:textId="77777777" w:rsidR="00000000" w:rsidRDefault="00632532">
            <w:pPr>
              <w:pStyle w:val="a3"/>
              <w:spacing w:before="0" w:beforeAutospacing="0" w:after="0" w:afterAutospacing="0"/>
              <w:rPr>
                <w:sz w:val="20"/>
                <w:szCs w:val="20"/>
              </w:rPr>
            </w:pPr>
            <w:r>
              <w:rPr>
                <w:sz w:val="20"/>
                <w:szCs w:val="20"/>
              </w:rPr>
              <w:t> </w:t>
            </w:r>
          </w:p>
        </w:tc>
      </w:tr>
      <w:tr w:rsidR="00000000" w14:paraId="7EAEF317" w14:textId="77777777">
        <w:trPr>
          <w:divId w:val="350109540"/>
          <w:trHeight w:val="200"/>
          <w:tblCellSpacing w:w="15" w:type="dxa"/>
        </w:trPr>
        <w:tc>
          <w:tcPr>
            <w:tcW w:w="0" w:type="auto"/>
            <w:vAlign w:val="bottom"/>
            <w:hideMark/>
          </w:tcPr>
          <w:p w14:paraId="630AEFB9" w14:textId="77777777" w:rsidR="00000000" w:rsidRDefault="00632532">
            <w:pPr>
              <w:pStyle w:val="a3"/>
              <w:spacing w:before="0" w:beforeAutospacing="0" w:after="0" w:afterAutospacing="0"/>
              <w:rPr>
                <w:sz w:val="20"/>
                <w:szCs w:val="20"/>
              </w:rPr>
            </w:pPr>
            <w:r>
              <w:rPr>
                <w:sz w:val="20"/>
                <w:szCs w:val="20"/>
              </w:rPr>
              <w:t>In-place lease intangible assets, ne</w:t>
            </w:r>
            <w:r>
              <w:rPr>
                <w:sz w:val="20"/>
                <w:szCs w:val="20"/>
              </w:rPr>
              <w:t>t</w:t>
            </w:r>
          </w:p>
        </w:tc>
        <w:tc>
          <w:tcPr>
            <w:tcW w:w="0" w:type="auto"/>
            <w:vAlign w:val="bottom"/>
            <w:hideMark/>
          </w:tcPr>
          <w:p w14:paraId="359B8A9D"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2B216CE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5C62F1" w14:textId="77777777" w:rsidR="00000000" w:rsidRDefault="00632532">
            <w:pPr>
              <w:pStyle w:val="a3"/>
              <w:spacing w:before="0" w:beforeAutospacing="0" w:after="0" w:afterAutospacing="0"/>
              <w:jc w:val="right"/>
              <w:rPr>
                <w:sz w:val="20"/>
                <w:szCs w:val="20"/>
              </w:rPr>
            </w:pPr>
            <w:r>
              <w:rPr>
                <w:sz w:val="20"/>
                <w:szCs w:val="20"/>
              </w:rPr>
              <w:t>36</w:t>
            </w:r>
            <w:r>
              <w:rPr>
                <w:sz w:val="20"/>
                <w:szCs w:val="20"/>
              </w:rPr>
              <w:t>0</w:t>
            </w:r>
          </w:p>
        </w:tc>
        <w:tc>
          <w:tcPr>
            <w:tcW w:w="0" w:type="auto"/>
            <w:noWrap/>
            <w:vAlign w:val="bottom"/>
            <w:hideMark/>
          </w:tcPr>
          <w:p w14:paraId="3F4C7CC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5BFE9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841C87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B40AF1"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C14A29B" w14:textId="77777777" w:rsidR="00000000" w:rsidRDefault="00632532">
            <w:pPr>
              <w:pStyle w:val="a3"/>
              <w:spacing w:before="0" w:beforeAutospacing="0" w:after="0" w:afterAutospacing="0"/>
              <w:rPr>
                <w:sz w:val="20"/>
                <w:szCs w:val="20"/>
              </w:rPr>
            </w:pPr>
            <w:r>
              <w:rPr>
                <w:sz w:val="20"/>
                <w:szCs w:val="20"/>
              </w:rPr>
              <w:t> </w:t>
            </w:r>
          </w:p>
        </w:tc>
      </w:tr>
      <w:tr w:rsidR="00000000" w14:paraId="6027D8FA" w14:textId="77777777">
        <w:trPr>
          <w:divId w:val="350109540"/>
          <w:tblCellSpacing w:w="15" w:type="dxa"/>
        </w:trPr>
        <w:tc>
          <w:tcPr>
            <w:tcW w:w="0" w:type="auto"/>
            <w:vAlign w:val="bottom"/>
            <w:hideMark/>
          </w:tcPr>
          <w:p w14:paraId="18B0B0F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D80E37E"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64A43FB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C2D8C1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639602"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697EB42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D20573" w14:textId="77777777" w:rsidR="00000000" w:rsidRDefault="00632532">
            <w:pPr>
              <w:pStyle w:val="a3"/>
              <w:spacing w:before="0" w:beforeAutospacing="0" w:after="0" w:afterAutospacing="0"/>
              <w:rPr>
                <w:sz w:val="20"/>
                <w:szCs w:val="20"/>
              </w:rPr>
            </w:pPr>
            <w:r>
              <w:rPr>
                <w:sz w:val="20"/>
                <w:szCs w:val="20"/>
              </w:rPr>
              <w:t> </w:t>
            </w:r>
          </w:p>
        </w:tc>
      </w:tr>
      <w:tr w:rsidR="00000000" w14:paraId="3E591540" w14:textId="77777777">
        <w:trPr>
          <w:divId w:val="350109540"/>
          <w:trHeight w:val="200"/>
          <w:tblCellSpacing w:w="15" w:type="dxa"/>
        </w:trPr>
        <w:tc>
          <w:tcPr>
            <w:tcW w:w="0" w:type="auto"/>
            <w:vAlign w:val="bottom"/>
            <w:hideMark/>
          </w:tcPr>
          <w:p w14:paraId="73BBE49B" w14:textId="77777777" w:rsidR="00000000" w:rsidRDefault="00632532">
            <w:pPr>
              <w:pStyle w:val="a3"/>
              <w:spacing w:before="0" w:beforeAutospacing="0" w:after="0" w:afterAutospacing="0"/>
              <w:rPr>
                <w:sz w:val="20"/>
                <w:szCs w:val="20"/>
              </w:rPr>
            </w:pPr>
            <w:r>
              <w:rPr>
                <w:sz w:val="20"/>
                <w:szCs w:val="20"/>
              </w:rPr>
              <w:t>Laboratory information system platfor</w:t>
            </w:r>
            <w:r>
              <w:rPr>
                <w:sz w:val="20"/>
                <w:szCs w:val="20"/>
              </w:rPr>
              <w:t>m</w:t>
            </w:r>
          </w:p>
        </w:tc>
        <w:tc>
          <w:tcPr>
            <w:tcW w:w="0" w:type="auto"/>
            <w:vAlign w:val="bottom"/>
            <w:hideMark/>
          </w:tcPr>
          <w:p w14:paraId="0A3DFCD5" w14:textId="77777777" w:rsidR="00000000" w:rsidRDefault="00632532">
            <w:pPr>
              <w:pStyle w:val="a3"/>
              <w:spacing w:before="0" w:beforeAutospacing="0" w:after="0" w:afterAutospacing="0"/>
              <w:jc w:val="center"/>
              <w:rPr>
                <w:sz w:val="20"/>
                <w:szCs w:val="20"/>
              </w:rPr>
            </w:pPr>
            <w:r>
              <w:rPr>
                <w:sz w:val="20"/>
                <w:szCs w:val="20"/>
              </w:rPr>
              <w:t>5</w:t>
            </w:r>
            <w:r>
              <w:rPr>
                <w:sz w:val="20"/>
                <w:szCs w:val="20"/>
              </w:rPr>
              <w:t> Year</w:t>
            </w:r>
            <w:r>
              <w:rPr>
                <w:sz w:val="20"/>
                <w:szCs w:val="20"/>
              </w:rPr>
              <w:t>s</w:t>
            </w:r>
          </w:p>
        </w:tc>
        <w:tc>
          <w:tcPr>
            <w:tcW w:w="0" w:type="auto"/>
            <w:noWrap/>
            <w:vAlign w:val="bottom"/>
            <w:hideMark/>
          </w:tcPr>
          <w:p w14:paraId="071927D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1AEA67" w14:textId="77777777" w:rsidR="00000000" w:rsidRDefault="00632532">
            <w:pPr>
              <w:pStyle w:val="a3"/>
              <w:spacing w:before="0" w:beforeAutospacing="0" w:after="0" w:afterAutospacing="0"/>
              <w:jc w:val="right"/>
              <w:rPr>
                <w:sz w:val="20"/>
                <w:szCs w:val="20"/>
              </w:rPr>
            </w:pPr>
            <w:r>
              <w:rPr>
                <w:sz w:val="20"/>
                <w:szCs w:val="20"/>
              </w:rPr>
              <w:t>1,86</w:t>
            </w:r>
            <w:r>
              <w:rPr>
                <w:sz w:val="20"/>
                <w:szCs w:val="20"/>
              </w:rPr>
              <w:t>0</w:t>
            </w:r>
          </w:p>
        </w:tc>
        <w:tc>
          <w:tcPr>
            <w:tcW w:w="0" w:type="auto"/>
            <w:noWrap/>
            <w:vAlign w:val="bottom"/>
            <w:hideMark/>
          </w:tcPr>
          <w:p w14:paraId="029F563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5BAA1D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3DFA19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478263" w14:textId="77777777" w:rsidR="00000000" w:rsidRDefault="00632532">
            <w:pPr>
              <w:pStyle w:val="a3"/>
              <w:spacing w:before="0" w:beforeAutospacing="0" w:after="0" w:afterAutospacing="0"/>
              <w:jc w:val="right"/>
              <w:rPr>
                <w:sz w:val="20"/>
                <w:szCs w:val="20"/>
              </w:rPr>
            </w:pPr>
            <w:r>
              <w:rPr>
                <w:sz w:val="20"/>
                <w:szCs w:val="20"/>
              </w:rPr>
              <w:t>1,86</w:t>
            </w:r>
            <w:r>
              <w:rPr>
                <w:sz w:val="20"/>
                <w:szCs w:val="20"/>
              </w:rPr>
              <w:t>0</w:t>
            </w:r>
          </w:p>
        </w:tc>
        <w:tc>
          <w:tcPr>
            <w:tcW w:w="0" w:type="auto"/>
            <w:noWrap/>
            <w:vAlign w:val="bottom"/>
            <w:hideMark/>
          </w:tcPr>
          <w:p w14:paraId="6361E9F4" w14:textId="77777777" w:rsidR="00000000" w:rsidRDefault="00632532">
            <w:pPr>
              <w:pStyle w:val="a3"/>
              <w:spacing w:before="0" w:beforeAutospacing="0" w:after="0" w:afterAutospacing="0"/>
              <w:rPr>
                <w:sz w:val="20"/>
                <w:szCs w:val="20"/>
              </w:rPr>
            </w:pPr>
            <w:r>
              <w:rPr>
                <w:sz w:val="20"/>
                <w:szCs w:val="20"/>
              </w:rPr>
              <w:t> </w:t>
            </w:r>
          </w:p>
        </w:tc>
      </w:tr>
      <w:tr w:rsidR="00000000" w14:paraId="777584AD" w14:textId="77777777">
        <w:trPr>
          <w:divId w:val="350109540"/>
          <w:trHeight w:val="200"/>
          <w:tblCellSpacing w:w="15" w:type="dxa"/>
        </w:trPr>
        <w:tc>
          <w:tcPr>
            <w:tcW w:w="0" w:type="auto"/>
            <w:vAlign w:val="bottom"/>
            <w:hideMark/>
          </w:tcPr>
          <w:p w14:paraId="7A910965" w14:textId="77777777" w:rsidR="00000000" w:rsidRDefault="00632532">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14:paraId="29225D08"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2657C0C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8AF646" w14:textId="77777777" w:rsidR="00000000" w:rsidRDefault="00632532">
            <w:pPr>
              <w:pStyle w:val="a3"/>
              <w:spacing w:before="0" w:beforeAutospacing="0" w:after="0" w:afterAutospacing="0"/>
              <w:jc w:val="right"/>
              <w:rPr>
                <w:sz w:val="20"/>
                <w:szCs w:val="20"/>
              </w:rPr>
            </w:pPr>
            <w:r>
              <w:rPr>
                <w:sz w:val="20"/>
                <w:szCs w:val="20"/>
              </w:rPr>
              <w:t>(</w:t>
            </w:r>
            <w:r>
              <w:rPr>
                <w:sz w:val="20"/>
                <w:szCs w:val="20"/>
              </w:rPr>
              <w:t>34</w:t>
            </w:r>
            <w:r>
              <w:rPr>
                <w:sz w:val="20"/>
                <w:szCs w:val="20"/>
              </w:rPr>
              <w:t>1</w:t>
            </w:r>
          </w:p>
        </w:tc>
        <w:tc>
          <w:tcPr>
            <w:tcW w:w="0" w:type="auto"/>
            <w:noWrap/>
            <w:vAlign w:val="bottom"/>
            <w:hideMark/>
          </w:tcPr>
          <w:p w14:paraId="6116917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9D6E78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47E195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9DED06" w14:textId="77777777" w:rsidR="00000000" w:rsidRDefault="00632532">
            <w:pPr>
              <w:pStyle w:val="a3"/>
              <w:spacing w:before="0" w:beforeAutospacing="0" w:after="0" w:afterAutospacing="0"/>
              <w:jc w:val="right"/>
              <w:rPr>
                <w:sz w:val="20"/>
                <w:szCs w:val="20"/>
              </w:rPr>
            </w:pPr>
            <w:r>
              <w:rPr>
                <w:sz w:val="20"/>
                <w:szCs w:val="20"/>
              </w:rPr>
              <w:t>(</w:t>
            </w:r>
            <w:r>
              <w:rPr>
                <w:sz w:val="20"/>
                <w:szCs w:val="20"/>
              </w:rPr>
              <w:t>15</w:t>
            </w:r>
            <w:r>
              <w:rPr>
                <w:sz w:val="20"/>
                <w:szCs w:val="20"/>
              </w:rPr>
              <w:t>5</w:t>
            </w:r>
          </w:p>
        </w:tc>
        <w:tc>
          <w:tcPr>
            <w:tcW w:w="0" w:type="auto"/>
            <w:noWrap/>
            <w:vAlign w:val="bottom"/>
            <w:hideMark/>
          </w:tcPr>
          <w:p w14:paraId="699AECA6" w14:textId="77777777" w:rsidR="00000000" w:rsidRDefault="00632532">
            <w:pPr>
              <w:pStyle w:val="a3"/>
              <w:spacing w:before="0" w:beforeAutospacing="0" w:after="0" w:afterAutospacing="0"/>
              <w:rPr>
                <w:sz w:val="20"/>
                <w:szCs w:val="20"/>
              </w:rPr>
            </w:pPr>
            <w:r>
              <w:rPr>
                <w:sz w:val="20"/>
                <w:szCs w:val="20"/>
              </w:rPr>
              <w:t>)</w:t>
            </w:r>
          </w:p>
        </w:tc>
      </w:tr>
      <w:tr w:rsidR="00000000" w14:paraId="622D692A" w14:textId="77777777">
        <w:trPr>
          <w:divId w:val="350109540"/>
          <w:trHeight w:val="200"/>
          <w:tblCellSpacing w:w="15" w:type="dxa"/>
        </w:trPr>
        <w:tc>
          <w:tcPr>
            <w:tcW w:w="0" w:type="auto"/>
            <w:vAlign w:val="bottom"/>
            <w:hideMark/>
          </w:tcPr>
          <w:p w14:paraId="726FE205" w14:textId="77777777" w:rsidR="00000000" w:rsidRDefault="00632532">
            <w:pPr>
              <w:pStyle w:val="a3"/>
              <w:spacing w:before="0" w:beforeAutospacing="0" w:after="0" w:afterAutospacing="0"/>
              <w:rPr>
                <w:sz w:val="20"/>
                <w:szCs w:val="20"/>
              </w:rPr>
            </w:pPr>
            <w:r>
              <w:rPr>
                <w:sz w:val="20"/>
                <w:szCs w:val="20"/>
              </w:rPr>
              <w:t>Laboratory information system platform, ne</w:t>
            </w:r>
            <w:r>
              <w:rPr>
                <w:sz w:val="20"/>
                <w:szCs w:val="20"/>
              </w:rPr>
              <w:t>t</w:t>
            </w:r>
          </w:p>
        </w:tc>
        <w:tc>
          <w:tcPr>
            <w:tcW w:w="0" w:type="auto"/>
            <w:vAlign w:val="bottom"/>
            <w:hideMark/>
          </w:tcPr>
          <w:p w14:paraId="493EDFB7"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0C1939B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EC8BB5C" w14:textId="77777777" w:rsidR="00000000" w:rsidRDefault="00632532">
            <w:pPr>
              <w:pStyle w:val="a3"/>
              <w:spacing w:before="0" w:beforeAutospacing="0" w:after="0" w:afterAutospacing="0"/>
              <w:jc w:val="right"/>
              <w:rPr>
                <w:sz w:val="20"/>
                <w:szCs w:val="20"/>
              </w:rPr>
            </w:pPr>
            <w:r>
              <w:rPr>
                <w:sz w:val="20"/>
                <w:szCs w:val="20"/>
              </w:rPr>
              <w:t>1,51</w:t>
            </w:r>
            <w:r>
              <w:rPr>
                <w:sz w:val="20"/>
                <w:szCs w:val="20"/>
              </w:rPr>
              <w:t>9</w:t>
            </w:r>
          </w:p>
        </w:tc>
        <w:tc>
          <w:tcPr>
            <w:tcW w:w="0" w:type="auto"/>
            <w:noWrap/>
            <w:vAlign w:val="bottom"/>
            <w:hideMark/>
          </w:tcPr>
          <w:p w14:paraId="35C89F0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88900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E0A2BE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742B173" w14:textId="77777777" w:rsidR="00000000" w:rsidRDefault="00632532">
            <w:pPr>
              <w:pStyle w:val="a3"/>
              <w:spacing w:before="0" w:beforeAutospacing="0" w:after="0" w:afterAutospacing="0"/>
              <w:jc w:val="right"/>
              <w:rPr>
                <w:sz w:val="20"/>
                <w:szCs w:val="20"/>
              </w:rPr>
            </w:pPr>
            <w:r>
              <w:rPr>
                <w:sz w:val="20"/>
                <w:szCs w:val="20"/>
              </w:rPr>
              <w:t>1,70</w:t>
            </w:r>
            <w:r>
              <w:rPr>
                <w:sz w:val="20"/>
                <w:szCs w:val="20"/>
              </w:rPr>
              <w:t>5</w:t>
            </w:r>
          </w:p>
        </w:tc>
        <w:tc>
          <w:tcPr>
            <w:tcW w:w="0" w:type="auto"/>
            <w:noWrap/>
            <w:vAlign w:val="bottom"/>
            <w:hideMark/>
          </w:tcPr>
          <w:p w14:paraId="549E90FF" w14:textId="77777777" w:rsidR="00000000" w:rsidRDefault="00632532">
            <w:pPr>
              <w:pStyle w:val="a3"/>
              <w:spacing w:before="0" w:beforeAutospacing="0" w:after="0" w:afterAutospacing="0"/>
              <w:rPr>
                <w:sz w:val="20"/>
                <w:szCs w:val="20"/>
              </w:rPr>
            </w:pPr>
            <w:r>
              <w:rPr>
                <w:sz w:val="20"/>
                <w:szCs w:val="20"/>
              </w:rPr>
              <w:t> </w:t>
            </w:r>
          </w:p>
        </w:tc>
      </w:tr>
      <w:tr w:rsidR="00000000" w14:paraId="49FE2834" w14:textId="77777777">
        <w:trPr>
          <w:divId w:val="350109540"/>
          <w:tblCellSpacing w:w="15" w:type="dxa"/>
        </w:trPr>
        <w:tc>
          <w:tcPr>
            <w:tcW w:w="0" w:type="auto"/>
            <w:vAlign w:val="bottom"/>
            <w:hideMark/>
          </w:tcPr>
          <w:p w14:paraId="03286AF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09D59FB"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6F91C58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652D61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2ECA78B"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7BE4624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39A1AAE" w14:textId="77777777" w:rsidR="00000000" w:rsidRDefault="00632532">
            <w:pPr>
              <w:pStyle w:val="a3"/>
              <w:spacing w:before="0" w:beforeAutospacing="0" w:after="0" w:afterAutospacing="0"/>
              <w:rPr>
                <w:sz w:val="20"/>
                <w:szCs w:val="20"/>
              </w:rPr>
            </w:pPr>
            <w:r>
              <w:rPr>
                <w:sz w:val="20"/>
                <w:szCs w:val="20"/>
              </w:rPr>
              <w:t> </w:t>
            </w:r>
          </w:p>
        </w:tc>
      </w:tr>
      <w:tr w:rsidR="00000000" w14:paraId="4E171DAC" w14:textId="77777777">
        <w:trPr>
          <w:divId w:val="350109540"/>
          <w:trHeight w:val="200"/>
          <w:tblCellSpacing w:w="15" w:type="dxa"/>
        </w:trPr>
        <w:tc>
          <w:tcPr>
            <w:tcW w:w="0" w:type="auto"/>
            <w:vAlign w:val="bottom"/>
            <w:hideMark/>
          </w:tcPr>
          <w:p w14:paraId="36592610" w14:textId="77777777" w:rsidR="00000000" w:rsidRDefault="00632532">
            <w:pPr>
              <w:pStyle w:val="a3"/>
              <w:spacing w:before="0" w:beforeAutospacing="0" w:after="0" w:afterAutospacing="0"/>
              <w:rPr>
                <w:sz w:val="20"/>
                <w:szCs w:val="20"/>
              </w:rPr>
            </w:pPr>
            <w:r>
              <w:rPr>
                <w:sz w:val="20"/>
                <w:szCs w:val="20"/>
              </w:rPr>
              <w:t>Purchased paten</w:t>
            </w:r>
            <w:r>
              <w:rPr>
                <w:sz w:val="20"/>
                <w:szCs w:val="20"/>
              </w:rPr>
              <w:t>t</w:t>
            </w:r>
          </w:p>
        </w:tc>
        <w:tc>
          <w:tcPr>
            <w:tcW w:w="0" w:type="auto"/>
            <w:vAlign w:val="bottom"/>
            <w:hideMark/>
          </w:tcPr>
          <w:p w14:paraId="1515FF1E" w14:textId="77777777" w:rsidR="00000000" w:rsidRDefault="00632532">
            <w:pPr>
              <w:pStyle w:val="a3"/>
              <w:spacing w:before="0" w:beforeAutospacing="0" w:after="0" w:afterAutospacing="0"/>
              <w:jc w:val="center"/>
              <w:rPr>
                <w:sz w:val="20"/>
                <w:szCs w:val="20"/>
              </w:rPr>
            </w:pPr>
            <w:r>
              <w:rPr>
                <w:sz w:val="20"/>
                <w:szCs w:val="20"/>
              </w:rPr>
              <w:t>1</w:t>
            </w:r>
            <w:r>
              <w:rPr>
                <w:sz w:val="20"/>
                <w:szCs w:val="20"/>
              </w:rPr>
              <w:t>0</w:t>
            </w:r>
            <w:r>
              <w:rPr>
                <w:sz w:val="20"/>
                <w:szCs w:val="20"/>
              </w:rPr>
              <w:t> Year</w:t>
            </w:r>
            <w:r>
              <w:rPr>
                <w:sz w:val="20"/>
                <w:szCs w:val="20"/>
              </w:rPr>
              <w:t>s</w:t>
            </w:r>
          </w:p>
        </w:tc>
        <w:tc>
          <w:tcPr>
            <w:tcW w:w="0" w:type="auto"/>
            <w:noWrap/>
            <w:vAlign w:val="bottom"/>
            <w:hideMark/>
          </w:tcPr>
          <w:p w14:paraId="07E8EA6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765136" w14:textId="77777777" w:rsidR="00000000" w:rsidRDefault="00632532">
            <w:pPr>
              <w:pStyle w:val="a3"/>
              <w:spacing w:before="0" w:beforeAutospacing="0" w:after="0" w:afterAutospacing="0"/>
              <w:jc w:val="right"/>
              <w:rPr>
                <w:sz w:val="20"/>
                <w:szCs w:val="20"/>
              </w:rPr>
            </w:pPr>
            <w:r>
              <w:rPr>
                <w:sz w:val="20"/>
                <w:szCs w:val="20"/>
              </w:rPr>
              <w:t>3</w:t>
            </w:r>
            <w:r>
              <w:rPr>
                <w:sz w:val="20"/>
                <w:szCs w:val="20"/>
              </w:rPr>
              <w:t>0</w:t>
            </w:r>
          </w:p>
        </w:tc>
        <w:tc>
          <w:tcPr>
            <w:tcW w:w="0" w:type="auto"/>
            <w:noWrap/>
            <w:vAlign w:val="bottom"/>
            <w:hideMark/>
          </w:tcPr>
          <w:p w14:paraId="0F16308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506F7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5D088C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C1B6F98" w14:textId="77777777" w:rsidR="00000000" w:rsidRDefault="00632532">
            <w:pPr>
              <w:pStyle w:val="a3"/>
              <w:spacing w:before="0" w:beforeAutospacing="0" w:after="0" w:afterAutospacing="0"/>
              <w:jc w:val="right"/>
              <w:rPr>
                <w:sz w:val="20"/>
                <w:szCs w:val="20"/>
              </w:rPr>
            </w:pPr>
            <w:r>
              <w:rPr>
                <w:sz w:val="20"/>
                <w:szCs w:val="20"/>
              </w:rPr>
              <w:t>3</w:t>
            </w:r>
            <w:r>
              <w:rPr>
                <w:sz w:val="20"/>
                <w:szCs w:val="20"/>
              </w:rPr>
              <w:t>1</w:t>
            </w:r>
          </w:p>
        </w:tc>
        <w:tc>
          <w:tcPr>
            <w:tcW w:w="0" w:type="auto"/>
            <w:noWrap/>
            <w:vAlign w:val="bottom"/>
            <w:hideMark/>
          </w:tcPr>
          <w:p w14:paraId="1394CA07" w14:textId="77777777" w:rsidR="00000000" w:rsidRDefault="00632532">
            <w:pPr>
              <w:pStyle w:val="a3"/>
              <w:spacing w:before="0" w:beforeAutospacing="0" w:after="0" w:afterAutospacing="0"/>
              <w:rPr>
                <w:sz w:val="20"/>
                <w:szCs w:val="20"/>
              </w:rPr>
            </w:pPr>
            <w:r>
              <w:rPr>
                <w:sz w:val="20"/>
                <w:szCs w:val="20"/>
              </w:rPr>
              <w:t> </w:t>
            </w:r>
          </w:p>
        </w:tc>
      </w:tr>
      <w:tr w:rsidR="00000000" w14:paraId="06271684" w14:textId="77777777">
        <w:trPr>
          <w:divId w:val="350109540"/>
          <w:trHeight w:val="200"/>
          <w:tblCellSpacing w:w="15" w:type="dxa"/>
        </w:trPr>
        <w:tc>
          <w:tcPr>
            <w:tcW w:w="0" w:type="auto"/>
            <w:vAlign w:val="bottom"/>
            <w:hideMark/>
          </w:tcPr>
          <w:p w14:paraId="67DA32FD" w14:textId="77777777" w:rsidR="00000000" w:rsidRDefault="00632532">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vAlign w:val="bottom"/>
            <w:hideMark/>
          </w:tcPr>
          <w:p w14:paraId="38E2F624"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7609A1E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964C60" w14:textId="77777777" w:rsidR="00000000" w:rsidRDefault="00632532">
            <w:pPr>
              <w:pStyle w:val="a3"/>
              <w:spacing w:before="0" w:beforeAutospacing="0" w:after="0" w:afterAutospacing="0"/>
              <w:jc w:val="right"/>
              <w:rPr>
                <w:sz w:val="20"/>
                <w:szCs w:val="20"/>
              </w:rPr>
            </w:pPr>
            <w:r>
              <w:rPr>
                <w:sz w:val="20"/>
                <w:szCs w:val="20"/>
              </w:rPr>
              <w:t>(</w:t>
            </w:r>
            <w:r>
              <w:rPr>
                <w:sz w:val="20"/>
                <w:szCs w:val="20"/>
              </w:rPr>
              <w:t>4</w:t>
            </w:r>
          </w:p>
        </w:tc>
        <w:tc>
          <w:tcPr>
            <w:tcW w:w="0" w:type="auto"/>
            <w:noWrap/>
            <w:vAlign w:val="bottom"/>
            <w:hideMark/>
          </w:tcPr>
          <w:p w14:paraId="22FCF72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DA1C1A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18EBF2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C48A17F" w14:textId="77777777" w:rsidR="00000000" w:rsidRDefault="00632532">
            <w:pPr>
              <w:pStyle w:val="a3"/>
              <w:spacing w:before="0" w:beforeAutospacing="0" w:after="0" w:afterAutospacing="0"/>
              <w:jc w:val="right"/>
              <w:rPr>
                <w:sz w:val="20"/>
                <w:szCs w:val="20"/>
              </w:rPr>
            </w:pPr>
            <w:r>
              <w:rPr>
                <w:sz w:val="20"/>
                <w:szCs w:val="20"/>
              </w:rPr>
              <w:t>(</w:t>
            </w:r>
            <w:r>
              <w:rPr>
                <w:sz w:val="20"/>
                <w:szCs w:val="20"/>
              </w:rPr>
              <w:t>3</w:t>
            </w:r>
          </w:p>
        </w:tc>
        <w:tc>
          <w:tcPr>
            <w:tcW w:w="0" w:type="auto"/>
            <w:noWrap/>
            <w:vAlign w:val="bottom"/>
            <w:hideMark/>
          </w:tcPr>
          <w:p w14:paraId="09686CEB" w14:textId="77777777" w:rsidR="00000000" w:rsidRDefault="00632532">
            <w:pPr>
              <w:pStyle w:val="a3"/>
              <w:spacing w:before="0" w:beforeAutospacing="0" w:after="0" w:afterAutospacing="0"/>
              <w:rPr>
                <w:sz w:val="20"/>
                <w:szCs w:val="20"/>
              </w:rPr>
            </w:pPr>
            <w:r>
              <w:rPr>
                <w:sz w:val="20"/>
                <w:szCs w:val="20"/>
              </w:rPr>
              <w:t>)</w:t>
            </w:r>
          </w:p>
        </w:tc>
      </w:tr>
      <w:tr w:rsidR="00000000" w14:paraId="2316AC69" w14:textId="77777777">
        <w:trPr>
          <w:divId w:val="350109540"/>
          <w:trHeight w:val="200"/>
          <w:tblCellSpacing w:w="15" w:type="dxa"/>
        </w:trPr>
        <w:tc>
          <w:tcPr>
            <w:tcW w:w="0" w:type="auto"/>
            <w:vAlign w:val="bottom"/>
            <w:hideMark/>
          </w:tcPr>
          <w:p w14:paraId="249780B3" w14:textId="77777777" w:rsidR="00000000" w:rsidRDefault="00632532">
            <w:pPr>
              <w:pStyle w:val="a3"/>
              <w:spacing w:before="0" w:beforeAutospacing="0" w:after="0" w:afterAutospacing="0"/>
              <w:rPr>
                <w:sz w:val="20"/>
                <w:szCs w:val="20"/>
              </w:rPr>
            </w:pPr>
            <w:r>
              <w:rPr>
                <w:sz w:val="20"/>
                <w:szCs w:val="20"/>
              </w:rPr>
              <w:t>Purchased patent, ne</w:t>
            </w:r>
            <w:r>
              <w:rPr>
                <w:sz w:val="20"/>
                <w:szCs w:val="20"/>
              </w:rPr>
              <w:t>t</w:t>
            </w:r>
          </w:p>
        </w:tc>
        <w:tc>
          <w:tcPr>
            <w:tcW w:w="0" w:type="auto"/>
            <w:vAlign w:val="bottom"/>
            <w:hideMark/>
          </w:tcPr>
          <w:p w14:paraId="63311616"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6D2939A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94EE6A" w14:textId="77777777" w:rsidR="00000000" w:rsidRDefault="00632532">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14:paraId="298B4E5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4A61A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0907CD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12EB2C" w14:textId="77777777" w:rsidR="00000000" w:rsidRDefault="00632532">
            <w:pPr>
              <w:pStyle w:val="a3"/>
              <w:spacing w:before="0" w:beforeAutospacing="0" w:after="0" w:afterAutospacing="0"/>
              <w:jc w:val="right"/>
              <w:rPr>
                <w:sz w:val="20"/>
                <w:szCs w:val="20"/>
              </w:rPr>
            </w:pPr>
            <w:r>
              <w:rPr>
                <w:sz w:val="20"/>
                <w:szCs w:val="20"/>
              </w:rPr>
              <w:t>2</w:t>
            </w:r>
            <w:r>
              <w:rPr>
                <w:sz w:val="20"/>
                <w:szCs w:val="20"/>
              </w:rPr>
              <w:t>8</w:t>
            </w:r>
          </w:p>
        </w:tc>
        <w:tc>
          <w:tcPr>
            <w:tcW w:w="0" w:type="auto"/>
            <w:noWrap/>
            <w:vAlign w:val="bottom"/>
            <w:hideMark/>
          </w:tcPr>
          <w:p w14:paraId="0AD4DC5E" w14:textId="77777777" w:rsidR="00000000" w:rsidRDefault="00632532">
            <w:pPr>
              <w:pStyle w:val="a3"/>
              <w:spacing w:before="0" w:beforeAutospacing="0" w:after="0" w:afterAutospacing="0"/>
              <w:rPr>
                <w:sz w:val="20"/>
                <w:szCs w:val="20"/>
              </w:rPr>
            </w:pPr>
            <w:r>
              <w:rPr>
                <w:sz w:val="20"/>
                <w:szCs w:val="20"/>
              </w:rPr>
              <w:t> </w:t>
            </w:r>
          </w:p>
        </w:tc>
      </w:tr>
      <w:tr w:rsidR="00000000" w14:paraId="30AEE5C8" w14:textId="77777777">
        <w:trPr>
          <w:divId w:val="350109540"/>
          <w:trHeight w:val="200"/>
          <w:tblCellSpacing w:w="15" w:type="dxa"/>
        </w:trPr>
        <w:tc>
          <w:tcPr>
            <w:tcW w:w="0" w:type="auto"/>
            <w:vAlign w:val="bottom"/>
            <w:hideMark/>
          </w:tcPr>
          <w:p w14:paraId="37E0FCB4" w14:textId="77777777" w:rsidR="00000000" w:rsidRDefault="00632532">
            <w:pPr>
              <w:pStyle w:val="a3"/>
              <w:spacing w:before="0" w:beforeAutospacing="0" w:after="0" w:afterAutospacing="0"/>
              <w:rPr>
                <w:sz w:val="20"/>
                <w:szCs w:val="20"/>
              </w:rPr>
            </w:pPr>
            <w:r>
              <w:rPr>
                <w:sz w:val="20"/>
                <w:szCs w:val="20"/>
              </w:rPr>
              <w:t>Total intangible assets, ne</w:t>
            </w:r>
            <w:r>
              <w:rPr>
                <w:sz w:val="20"/>
                <w:szCs w:val="20"/>
              </w:rPr>
              <w:t>t</w:t>
            </w:r>
          </w:p>
        </w:tc>
        <w:tc>
          <w:tcPr>
            <w:tcW w:w="0" w:type="auto"/>
            <w:vAlign w:val="bottom"/>
            <w:hideMark/>
          </w:tcPr>
          <w:p w14:paraId="4D4B66F2" w14:textId="77777777" w:rsidR="00000000" w:rsidRDefault="00632532">
            <w:pPr>
              <w:pStyle w:val="a3"/>
              <w:spacing w:before="0" w:beforeAutospacing="0" w:after="0" w:afterAutospacing="0"/>
              <w:jc w:val="center"/>
              <w:rPr>
                <w:sz w:val="20"/>
                <w:szCs w:val="20"/>
              </w:rPr>
            </w:pPr>
            <w:r>
              <w:rPr>
                <w:sz w:val="20"/>
                <w:szCs w:val="20"/>
              </w:rPr>
              <w:t> </w:t>
            </w:r>
          </w:p>
        </w:tc>
        <w:tc>
          <w:tcPr>
            <w:tcW w:w="0" w:type="auto"/>
            <w:noWrap/>
            <w:vAlign w:val="bottom"/>
            <w:hideMark/>
          </w:tcPr>
          <w:p w14:paraId="60B93EC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DAA7BF0" w14:textId="77777777" w:rsidR="00000000" w:rsidRDefault="00632532">
            <w:pPr>
              <w:pStyle w:val="a3"/>
              <w:spacing w:before="0" w:beforeAutospacing="0" w:after="0" w:afterAutospacing="0"/>
              <w:jc w:val="right"/>
              <w:rPr>
                <w:sz w:val="20"/>
                <w:szCs w:val="20"/>
              </w:rPr>
            </w:pPr>
            <w:r>
              <w:rPr>
                <w:sz w:val="20"/>
                <w:szCs w:val="20"/>
              </w:rPr>
              <w:t>89,69</w:t>
            </w:r>
            <w:r>
              <w:rPr>
                <w:sz w:val="20"/>
                <w:szCs w:val="20"/>
              </w:rPr>
              <w:t>5</w:t>
            </w:r>
          </w:p>
        </w:tc>
        <w:tc>
          <w:tcPr>
            <w:tcW w:w="0" w:type="auto"/>
            <w:noWrap/>
            <w:vAlign w:val="bottom"/>
            <w:hideMark/>
          </w:tcPr>
          <w:p w14:paraId="506174A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C471D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C515DF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88F94EA" w14:textId="77777777" w:rsidR="00000000" w:rsidRDefault="00632532">
            <w:pPr>
              <w:pStyle w:val="a3"/>
              <w:spacing w:before="0" w:beforeAutospacing="0" w:after="0" w:afterAutospacing="0"/>
              <w:jc w:val="right"/>
              <w:rPr>
                <w:sz w:val="20"/>
                <w:szCs w:val="20"/>
              </w:rPr>
            </w:pPr>
            <w:r>
              <w:rPr>
                <w:sz w:val="20"/>
                <w:szCs w:val="20"/>
              </w:rPr>
              <w:t>35,91</w:t>
            </w:r>
            <w:r>
              <w:rPr>
                <w:sz w:val="20"/>
                <w:szCs w:val="20"/>
              </w:rPr>
              <w:t>4</w:t>
            </w:r>
          </w:p>
        </w:tc>
        <w:tc>
          <w:tcPr>
            <w:tcW w:w="0" w:type="auto"/>
            <w:noWrap/>
            <w:vAlign w:val="bottom"/>
            <w:hideMark/>
          </w:tcPr>
          <w:p w14:paraId="3750C554" w14:textId="77777777" w:rsidR="00000000" w:rsidRDefault="00632532">
            <w:pPr>
              <w:pStyle w:val="a3"/>
              <w:spacing w:before="0" w:beforeAutospacing="0" w:after="0" w:afterAutospacing="0"/>
              <w:rPr>
                <w:sz w:val="20"/>
                <w:szCs w:val="20"/>
              </w:rPr>
            </w:pPr>
            <w:r>
              <w:rPr>
                <w:sz w:val="20"/>
                <w:szCs w:val="20"/>
              </w:rPr>
              <w:t> </w:t>
            </w:r>
          </w:p>
        </w:tc>
      </w:tr>
    </w:tbl>
    <w:p w14:paraId="40B20153" w14:textId="77777777" w:rsidR="00000000" w:rsidRDefault="00632532">
      <w:pPr>
        <w:pStyle w:val="a3"/>
        <w:spacing w:before="0" w:beforeAutospacing="0" w:after="0" w:afterAutospacing="0"/>
        <w:divId w:val="350109540"/>
        <w:rPr>
          <w:sz w:val="20"/>
          <w:szCs w:val="20"/>
        </w:rPr>
      </w:pPr>
      <w:r>
        <w:rPr>
          <w:sz w:val="20"/>
          <w:szCs w:val="20"/>
        </w:rPr>
        <w:t> </w:t>
      </w:r>
    </w:p>
    <w:p w14:paraId="07E99490" w14:textId="77777777" w:rsidR="00000000" w:rsidRDefault="00632532">
      <w:pPr>
        <w:pStyle w:val="a3"/>
        <w:spacing w:before="240" w:beforeAutospacing="0" w:after="0" w:afterAutospacing="0"/>
        <w:jc w:val="center"/>
        <w:divId w:val="350109540"/>
        <w:rPr>
          <w:sz w:val="20"/>
          <w:szCs w:val="20"/>
        </w:rPr>
      </w:pPr>
      <w:r>
        <w:rPr>
          <w:sz w:val="20"/>
          <w:szCs w:val="20"/>
        </w:rPr>
        <w:t>2</w:t>
      </w:r>
      <w:r>
        <w:rPr>
          <w:sz w:val="20"/>
          <w:szCs w:val="20"/>
        </w:rPr>
        <w:t>0</w:t>
      </w:r>
    </w:p>
    <w:p w14:paraId="26F50FC3" w14:textId="77777777" w:rsidR="00000000" w:rsidRDefault="00632532">
      <w:pPr>
        <w:divId w:val="350109540"/>
        <w:rPr>
          <w:rFonts w:eastAsia="Times New Roman"/>
          <w:sz w:val="22"/>
          <w:szCs w:val="22"/>
        </w:rPr>
      </w:pPr>
      <w:r>
        <w:rPr>
          <w:rFonts w:eastAsia="Times New Roman"/>
          <w:sz w:val="22"/>
          <w:szCs w:val="22"/>
        </w:rPr>
        <w:pict w14:anchorId="53E6FAF9">
          <v:rect id="_x0000_i1046" style="width:0;height:1.5pt" o:hralign="center" o:hrstd="t" o:hr="t" fillcolor="#a0a0a0" stroked="f"/>
        </w:pict>
      </w:r>
    </w:p>
    <w:p w14:paraId="226A6F34" w14:textId="77777777" w:rsidR="00000000" w:rsidRDefault="00632532">
      <w:pPr>
        <w:pStyle w:val="a3"/>
        <w:spacing w:before="240" w:beforeAutospacing="0" w:after="0" w:afterAutospacing="0"/>
        <w:ind w:firstLine="555"/>
        <w:divId w:val="1261598341"/>
        <w:rPr>
          <w:sz w:val="20"/>
          <w:szCs w:val="20"/>
        </w:rPr>
      </w:pPr>
      <w:r>
        <w:rPr>
          <w:sz w:val="20"/>
          <w:szCs w:val="20"/>
        </w:rPr>
        <w:t>During the three months ended June 30, 2022, the Company recorded</w:t>
      </w:r>
      <w:r>
        <w:rPr>
          <w:sz w:val="20"/>
          <w:szCs w:val="20"/>
        </w:rPr>
        <w:t xml:space="preserve"> </w:t>
      </w:r>
      <w:r>
        <w:rPr>
          <w:sz w:val="20"/>
          <w:szCs w:val="20"/>
        </w:rPr>
        <w:t>$</w:t>
      </w:r>
      <w:r>
        <w:rPr>
          <w:sz w:val="20"/>
          <w:szCs w:val="20"/>
        </w:rPr>
        <w:t>71.</w:t>
      </w:r>
      <w:r>
        <w:rPr>
          <w:sz w:val="20"/>
          <w:szCs w:val="20"/>
        </w:rPr>
        <w:t>6</w:t>
      </w:r>
      <w:r>
        <w:rPr>
          <w:sz w:val="20"/>
          <w:szCs w:val="20"/>
        </w:rPr>
        <w:t xml:space="preserve"> million</w:t>
      </w:r>
      <w:r>
        <w:rPr>
          <w:sz w:val="20"/>
          <w:szCs w:val="20"/>
        </w:rPr>
        <w:t xml:space="preserve"> </w:t>
      </w:r>
      <w:r>
        <w:rPr>
          <w:sz w:val="20"/>
          <w:szCs w:val="20"/>
        </w:rPr>
        <w:t xml:space="preserve">of goodwill and </w:t>
      </w:r>
      <w:r>
        <w:rPr>
          <w:sz w:val="20"/>
          <w:szCs w:val="20"/>
        </w:rPr>
        <w:t>$</w:t>
      </w:r>
      <w:r>
        <w:rPr>
          <w:sz w:val="20"/>
          <w:szCs w:val="20"/>
        </w:rPr>
        <w:t>56.</w:t>
      </w:r>
      <w:r>
        <w:rPr>
          <w:sz w:val="20"/>
          <w:szCs w:val="20"/>
        </w:rPr>
        <w:t>6</w:t>
      </w:r>
      <w:r>
        <w:rPr>
          <w:sz w:val="20"/>
          <w:szCs w:val="20"/>
        </w:rPr>
        <w:t xml:space="preserve"> million of intangibles attributable to the acquisition of Inform Diagnostics. See Note 15, Business Combinations, to t</w:t>
      </w:r>
      <w:r>
        <w:rPr>
          <w:sz w:val="20"/>
          <w:szCs w:val="20"/>
        </w:rPr>
        <w:t>he Company's condensed consolidated financial statements</w:t>
      </w:r>
      <w:r>
        <w:rPr>
          <w:sz w:val="20"/>
          <w:szCs w:val="20"/>
        </w:rPr>
        <w:t>.</w:t>
      </w:r>
      <w:r>
        <w:rPr>
          <w:sz w:val="20"/>
          <w:szCs w:val="20"/>
        </w:rPr>
        <w:t xml:space="preserve"> </w:t>
      </w:r>
    </w:p>
    <w:p w14:paraId="6838DCAE" w14:textId="77777777" w:rsidR="00000000" w:rsidRDefault="00632532">
      <w:pPr>
        <w:pStyle w:val="a3"/>
        <w:spacing w:before="240" w:beforeAutospacing="0" w:after="0" w:afterAutospacing="0"/>
        <w:ind w:firstLine="555"/>
        <w:divId w:val="974093860"/>
        <w:rPr>
          <w:sz w:val="20"/>
          <w:szCs w:val="20"/>
        </w:rPr>
      </w:pPr>
      <w:r>
        <w:rPr>
          <w:sz w:val="20"/>
          <w:szCs w:val="20"/>
        </w:rPr>
        <w:t xml:space="preserve">Based on the carrying value of intangible assets recorded as of June 30, 2022, and assuming no subsequent impairment of the underlying assets, the annual amortization expense for intangible assets </w:t>
      </w:r>
      <w:r>
        <w:rPr>
          <w:sz w:val="20"/>
          <w:szCs w:val="20"/>
        </w:rPr>
        <w:t>is expected to be as follows</w:t>
      </w:r>
      <w:r>
        <w:rPr>
          <w:sz w:val="20"/>
          <w:szCs w:val="20"/>
        </w:rPr>
        <w:t>:</w:t>
      </w:r>
    </w:p>
    <w:p w14:paraId="6876E14A" w14:textId="77777777" w:rsidR="00000000" w:rsidRDefault="00632532">
      <w:pPr>
        <w:pStyle w:val="a3"/>
        <w:spacing w:before="0" w:beforeAutospacing="0" w:after="0" w:afterAutospacing="0"/>
        <w:divId w:val="97409386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6"/>
        <w:gridCol w:w="161"/>
        <w:gridCol w:w="2554"/>
        <w:gridCol w:w="125"/>
      </w:tblGrid>
      <w:tr w:rsidR="00000000" w14:paraId="4A8F31BF" w14:textId="77777777">
        <w:trPr>
          <w:divId w:val="974093860"/>
          <w:tblCellSpacing w:w="15" w:type="dxa"/>
        </w:trPr>
        <w:tc>
          <w:tcPr>
            <w:tcW w:w="3337" w:type="pct"/>
            <w:vAlign w:val="center"/>
            <w:hideMark/>
          </w:tcPr>
          <w:p w14:paraId="33ADCB2B" w14:textId="77777777" w:rsidR="00000000" w:rsidRDefault="00632532">
            <w:pPr>
              <w:rPr>
                <w:sz w:val="20"/>
                <w:szCs w:val="20"/>
              </w:rPr>
            </w:pPr>
          </w:p>
        </w:tc>
        <w:tc>
          <w:tcPr>
            <w:tcW w:w="50" w:type="pct"/>
            <w:vAlign w:val="center"/>
            <w:hideMark/>
          </w:tcPr>
          <w:p w14:paraId="2D58110E" w14:textId="77777777" w:rsidR="00000000" w:rsidRDefault="00632532">
            <w:pPr>
              <w:rPr>
                <w:rFonts w:eastAsia="Times New Roman"/>
                <w:sz w:val="20"/>
                <w:szCs w:val="20"/>
              </w:rPr>
            </w:pPr>
          </w:p>
        </w:tc>
        <w:tc>
          <w:tcPr>
            <w:tcW w:w="1562" w:type="pct"/>
            <w:vAlign w:val="center"/>
            <w:hideMark/>
          </w:tcPr>
          <w:p w14:paraId="26931729" w14:textId="77777777" w:rsidR="00000000" w:rsidRDefault="00632532">
            <w:pPr>
              <w:rPr>
                <w:rFonts w:eastAsia="Times New Roman"/>
                <w:sz w:val="20"/>
                <w:szCs w:val="20"/>
              </w:rPr>
            </w:pPr>
          </w:p>
        </w:tc>
        <w:tc>
          <w:tcPr>
            <w:tcW w:w="50" w:type="pct"/>
            <w:vAlign w:val="center"/>
            <w:hideMark/>
          </w:tcPr>
          <w:p w14:paraId="73EC47E6" w14:textId="77777777" w:rsidR="00000000" w:rsidRDefault="00632532">
            <w:pPr>
              <w:rPr>
                <w:rFonts w:eastAsia="Times New Roman"/>
                <w:sz w:val="20"/>
                <w:szCs w:val="20"/>
              </w:rPr>
            </w:pPr>
          </w:p>
        </w:tc>
      </w:tr>
      <w:tr w:rsidR="00000000" w14:paraId="2BCCA423" w14:textId="77777777">
        <w:trPr>
          <w:divId w:val="974093860"/>
          <w:trHeight w:val="160"/>
          <w:tblCellSpacing w:w="15" w:type="dxa"/>
        </w:trPr>
        <w:tc>
          <w:tcPr>
            <w:tcW w:w="0" w:type="auto"/>
            <w:vAlign w:val="bottom"/>
            <w:hideMark/>
          </w:tcPr>
          <w:p w14:paraId="72745B81" w14:textId="77777777" w:rsidR="00000000" w:rsidRDefault="00632532">
            <w:pPr>
              <w:pStyle w:val="a3"/>
              <w:spacing w:before="0" w:beforeAutospacing="0" w:after="0" w:afterAutospacing="0"/>
              <w:rPr>
                <w:sz w:val="16"/>
                <w:szCs w:val="16"/>
              </w:rPr>
            </w:pPr>
            <w:r>
              <w:rPr>
                <w:sz w:val="16"/>
                <w:szCs w:val="16"/>
              </w:rPr>
              <w:t> </w:t>
            </w:r>
          </w:p>
        </w:tc>
        <w:tc>
          <w:tcPr>
            <w:tcW w:w="0" w:type="auto"/>
            <w:gridSpan w:val="2"/>
            <w:hideMark/>
          </w:tcPr>
          <w:p w14:paraId="74E74C03" w14:textId="77777777" w:rsidR="00000000" w:rsidRDefault="00632532">
            <w:pPr>
              <w:pStyle w:val="a3"/>
              <w:spacing w:before="0" w:beforeAutospacing="0" w:after="0" w:afterAutospacing="0"/>
              <w:jc w:val="center"/>
              <w:rPr>
                <w:sz w:val="16"/>
                <w:szCs w:val="16"/>
              </w:rPr>
            </w:pPr>
            <w:r>
              <w:rPr>
                <w:b/>
                <w:bCs/>
                <w:sz w:val="16"/>
                <w:szCs w:val="16"/>
              </w:rPr>
              <w:t>Amount</w:t>
            </w:r>
            <w:r>
              <w:rPr>
                <w:b/>
                <w:bCs/>
                <w:sz w:val="16"/>
                <w:szCs w:val="16"/>
              </w:rPr>
              <w:t>s</w:t>
            </w:r>
          </w:p>
        </w:tc>
        <w:tc>
          <w:tcPr>
            <w:tcW w:w="0" w:type="auto"/>
            <w:hideMark/>
          </w:tcPr>
          <w:p w14:paraId="685BFB82"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2F70981" w14:textId="77777777">
        <w:trPr>
          <w:divId w:val="974093860"/>
          <w:trHeight w:val="160"/>
          <w:tblCellSpacing w:w="15" w:type="dxa"/>
        </w:trPr>
        <w:tc>
          <w:tcPr>
            <w:tcW w:w="0" w:type="auto"/>
            <w:vAlign w:val="bottom"/>
            <w:hideMark/>
          </w:tcPr>
          <w:p w14:paraId="64C19A7F" w14:textId="77777777" w:rsidR="00000000" w:rsidRDefault="00632532">
            <w:pPr>
              <w:pStyle w:val="a3"/>
              <w:spacing w:before="0" w:beforeAutospacing="0" w:after="0" w:afterAutospacing="0"/>
              <w:rPr>
                <w:sz w:val="16"/>
                <w:szCs w:val="16"/>
              </w:rPr>
            </w:pPr>
            <w:r>
              <w:rPr>
                <w:sz w:val="16"/>
                <w:szCs w:val="16"/>
              </w:rPr>
              <w:t> </w:t>
            </w:r>
          </w:p>
        </w:tc>
        <w:tc>
          <w:tcPr>
            <w:tcW w:w="0" w:type="auto"/>
            <w:gridSpan w:val="2"/>
            <w:hideMark/>
          </w:tcPr>
          <w:p w14:paraId="7250D46C"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14:paraId="21F22EB8"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D515C96" w14:textId="77777777">
        <w:trPr>
          <w:divId w:val="974093860"/>
          <w:trHeight w:val="200"/>
          <w:tblCellSpacing w:w="15" w:type="dxa"/>
        </w:trPr>
        <w:tc>
          <w:tcPr>
            <w:tcW w:w="0" w:type="auto"/>
            <w:vAlign w:val="bottom"/>
            <w:hideMark/>
          </w:tcPr>
          <w:p w14:paraId="3A3490B3" w14:textId="77777777" w:rsidR="00000000" w:rsidRDefault="00632532">
            <w:pPr>
              <w:pStyle w:val="a3"/>
              <w:spacing w:before="0" w:beforeAutospacing="0" w:after="0" w:afterAutospacing="0"/>
              <w:rPr>
                <w:sz w:val="20"/>
                <w:szCs w:val="20"/>
              </w:rPr>
            </w:pPr>
            <w:r>
              <w:rPr>
                <w:sz w:val="20"/>
                <w:szCs w:val="20"/>
              </w:rPr>
              <w:t>Year Ending December 31</w:t>
            </w:r>
            <w:r>
              <w:rPr>
                <w:sz w:val="20"/>
                <w:szCs w:val="20"/>
              </w:rPr>
              <w:t>,</w:t>
            </w:r>
          </w:p>
        </w:tc>
        <w:tc>
          <w:tcPr>
            <w:tcW w:w="0" w:type="auto"/>
            <w:gridSpan w:val="2"/>
            <w:hideMark/>
          </w:tcPr>
          <w:p w14:paraId="0DA00004" w14:textId="77777777" w:rsidR="00000000" w:rsidRDefault="00632532">
            <w:pPr>
              <w:pStyle w:val="a3"/>
              <w:spacing w:before="0" w:beforeAutospacing="0" w:after="0" w:afterAutospacing="0"/>
              <w:jc w:val="center"/>
              <w:rPr>
                <w:sz w:val="20"/>
                <w:szCs w:val="20"/>
              </w:rPr>
            </w:pPr>
            <w:r>
              <w:rPr>
                <w:sz w:val="20"/>
                <w:szCs w:val="20"/>
              </w:rPr>
              <w:t> </w:t>
            </w:r>
          </w:p>
        </w:tc>
        <w:tc>
          <w:tcPr>
            <w:tcW w:w="0" w:type="auto"/>
            <w:hideMark/>
          </w:tcPr>
          <w:p w14:paraId="4E2D5CE3" w14:textId="77777777" w:rsidR="00000000" w:rsidRDefault="00632532">
            <w:pPr>
              <w:pStyle w:val="a3"/>
              <w:spacing w:before="0" w:beforeAutospacing="0" w:after="0" w:afterAutospacing="0"/>
              <w:jc w:val="center"/>
              <w:rPr>
                <w:sz w:val="20"/>
                <w:szCs w:val="20"/>
              </w:rPr>
            </w:pPr>
            <w:r>
              <w:rPr>
                <w:sz w:val="20"/>
                <w:szCs w:val="20"/>
              </w:rPr>
              <w:t> </w:t>
            </w:r>
          </w:p>
        </w:tc>
      </w:tr>
      <w:tr w:rsidR="00000000" w14:paraId="12F13648" w14:textId="77777777">
        <w:trPr>
          <w:divId w:val="974093860"/>
          <w:trHeight w:val="200"/>
          <w:tblCellSpacing w:w="15" w:type="dxa"/>
        </w:trPr>
        <w:tc>
          <w:tcPr>
            <w:tcW w:w="0" w:type="auto"/>
            <w:vAlign w:val="bottom"/>
            <w:hideMark/>
          </w:tcPr>
          <w:p w14:paraId="7559C473" w14:textId="77777777" w:rsidR="00000000" w:rsidRDefault="00632532">
            <w:pPr>
              <w:pStyle w:val="a3"/>
              <w:spacing w:before="0" w:beforeAutospacing="0" w:after="0" w:afterAutospacing="0"/>
              <w:rPr>
                <w:sz w:val="20"/>
                <w:szCs w:val="20"/>
              </w:rPr>
            </w:pPr>
            <w:r>
              <w:rPr>
                <w:sz w:val="20"/>
                <w:szCs w:val="20"/>
              </w:rPr>
              <w:t>2022 (remaining 6 months</w:t>
            </w:r>
            <w:r>
              <w:rPr>
                <w:sz w:val="20"/>
                <w:szCs w:val="20"/>
              </w:rPr>
              <w:t>)</w:t>
            </w:r>
          </w:p>
        </w:tc>
        <w:tc>
          <w:tcPr>
            <w:tcW w:w="0" w:type="auto"/>
            <w:noWrap/>
            <w:vAlign w:val="bottom"/>
            <w:hideMark/>
          </w:tcPr>
          <w:p w14:paraId="0FD2677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5D710AD" w14:textId="77777777" w:rsidR="00000000" w:rsidRDefault="00632532">
            <w:pPr>
              <w:pStyle w:val="a3"/>
              <w:spacing w:before="0" w:beforeAutospacing="0" w:after="0" w:afterAutospacing="0"/>
              <w:jc w:val="right"/>
              <w:rPr>
                <w:sz w:val="20"/>
                <w:szCs w:val="20"/>
              </w:rPr>
            </w:pPr>
            <w:r>
              <w:rPr>
                <w:sz w:val="20"/>
                <w:szCs w:val="20"/>
              </w:rPr>
              <w:t>3,95</w:t>
            </w:r>
            <w:r>
              <w:rPr>
                <w:sz w:val="20"/>
                <w:szCs w:val="20"/>
              </w:rPr>
              <w:t>9</w:t>
            </w:r>
          </w:p>
        </w:tc>
        <w:tc>
          <w:tcPr>
            <w:tcW w:w="0" w:type="auto"/>
            <w:noWrap/>
            <w:vAlign w:val="bottom"/>
            <w:hideMark/>
          </w:tcPr>
          <w:p w14:paraId="76A78048" w14:textId="77777777" w:rsidR="00000000" w:rsidRDefault="00632532">
            <w:pPr>
              <w:pStyle w:val="a3"/>
              <w:spacing w:before="0" w:beforeAutospacing="0" w:after="0" w:afterAutospacing="0"/>
              <w:rPr>
                <w:sz w:val="20"/>
                <w:szCs w:val="20"/>
              </w:rPr>
            </w:pPr>
            <w:r>
              <w:rPr>
                <w:sz w:val="20"/>
                <w:szCs w:val="20"/>
              </w:rPr>
              <w:t> </w:t>
            </w:r>
          </w:p>
        </w:tc>
      </w:tr>
      <w:tr w:rsidR="00000000" w14:paraId="3B74289F" w14:textId="77777777">
        <w:trPr>
          <w:divId w:val="974093860"/>
          <w:trHeight w:val="200"/>
          <w:tblCellSpacing w:w="15" w:type="dxa"/>
        </w:trPr>
        <w:tc>
          <w:tcPr>
            <w:tcW w:w="0" w:type="auto"/>
            <w:vAlign w:val="bottom"/>
            <w:hideMark/>
          </w:tcPr>
          <w:p w14:paraId="4ABC1FD4" w14:textId="77777777" w:rsidR="00000000" w:rsidRDefault="00632532">
            <w:pPr>
              <w:pStyle w:val="a3"/>
              <w:spacing w:before="0" w:beforeAutospacing="0" w:after="0" w:afterAutospacing="0"/>
              <w:rPr>
                <w:sz w:val="20"/>
                <w:szCs w:val="20"/>
              </w:rPr>
            </w:pPr>
            <w:r>
              <w:rPr>
                <w:sz w:val="20"/>
                <w:szCs w:val="20"/>
              </w:rPr>
              <w:t>202</w:t>
            </w:r>
            <w:r>
              <w:rPr>
                <w:sz w:val="20"/>
                <w:szCs w:val="20"/>
              </w:rPr>
              <w:t>3</w:t>
            </w:r>
          </w:p>
        </w:tc>
        <w:tc>
          <w:tcPr>
            <w:tcW w:w="0" w:type="auto"/>
            <w:noWrap/>
            <w:vAlign w:val="bottom"/>
            <w:hideMark/>
          </w:tcPr>
          <w:p w14:paraId="2E1DE04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3202F2" w14:textId="77777777" w:rsidR="00000000" w:rsidRDefault="00632532">
            <w:pPr>
              <w:pStyle w:val="a3"/>
              <w:spacing w:before="0" w:beforeAutospacing="0" w:after="0" w:afterAutospacing="0"/>
              <w:jc w:val="right"/>
              <w:rPr>
                <w:sz w:val="20"/>
                <w:szCs w:val="20"/>
              </w:rPr>
            </w:pPr>
            <w:r>
              <w:rPr>
                <w:sz w:val="20"/>
                <w:szCs w:val="20"/>
              </w:rPr>
              <w:t>7,84</w:t>
            </w:r>
            <w:r>
              <w:rPr>
                <w:sz w:val="20"/>
                <w:szCs w:val="20"/>
              </w:rPr>
              <w:t>8</w:t>
            </w:r>
          </w:p>
        </w:tc>
        <w:tc>
          <w:tcPr>
            <w:tcW w:w="0" w:type="auto"/>
            <w:noWrap/>
            <w:vAlign w:val="bottom"/>
            <w:hideMark/>
          </w:tcPr>
          <w:p w14:paraId="58A7E11E" w14:textId="77777777" w:rsidR="00000000" w:rsidRDefault="00632532">
            <w:pPr>
              <w:pStyle w:val="a3"/>
              <w:spacing w:before="0" w:beforeAutospacing="0" w:after="0" w:afterAutospacing="0"/>
              <w:rPr>
                <w:sz w:val="20"/>
                <w:szCs w:val="20"/>
              </w:rPr>
            </w:pPr>
            <w:r>
              <w:rPr>
                <w:sz w:val="20"/>
                <w:szCs w:val="20"/>
              </w:rPr>
              <w:t> </w:t>
            </w:r>
          </w:p>
        </w:tc>
      </w:tr>
      <w:tr w:rsidR="00000000" w14:paraId="1E31274B" w14:textId="77777777">
        <w:trPr>
          <w:divId w:val="974093860"/>
          <w:trHeight w:val="200"/>
          <w:tblCellSpacing w:w="15" w:type="dxa"/>
        </w:trPr>
        <w:tc>
          <w:tcPr>
            <w:tcW w:w="0" w:type="auto"/>
            <w:vAlign w:val="bottom"/>
            <w:hideMark/>
          </w:tcPr>
          <w:p w14:paraId="724724BD" w14:textId="77777777" w:rsidR="00000000" w:rsidRDefault="00632532">
            <w:pPr>
              <w:pStyle w:val="a3"/>
              <w:spacing w:before="0" w:beforeAutospacing="0" w:after="0" w:afterAutospacing="0"/>
              <w:rPr>
                <w:sz w:val="20"/>
                <w:szCs w:val="20"/>
              </w:rPr>
            </w:pPr>
            <w:r>
              <w:rPr>
                <w:sz w:val="20"/>
                <w:szCs w:val="20"/>
              </w:rPr>
              <w:t>202</w:t>
            </w:r>
            <w:r>
              <w:rPr>
                <w:sz w:val="20"/>
                <w:szCs w:val="20"/>
              </w:rPr>
              <w:t>4</w:t>
            </w:r>
          </w:p>
        </w:tc>
        <w:tc>
          <w:tcPr>
            <w:tcW w:w="0" w:type="auto"/>
            <w:noWrap/>
            <w:vAlign w:val="bottom"/>
            <w:hideMark/>
          </w:tcPr>
          <w:p w14:paraId="2E5963B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6534377" w14:textId="77777777" w:rsidR="00000000" w:rsidRDefault="00632532">
            <w:pPr>
              <w:pStyle w:val="a3"/>
              <w:spacing w:before="0" w:beforeAutospacing="0" w:after="0" w:afterAutospacing="0"/>
              <w:jc w:val="right"/>
              <w:rPr>
                <w:sz w:val="20"/>
                <w:szCs w:val="20"/>
              </w:rPr>
            </w:pPr>
            <w:r>
              <w:rPr>
                <w:sz w:val="20"/>
                <w:szCs w:val="20"/>
              </w:rPr>
              <w:t>7,84</w:t>
            </w:r>
            <w:r>
              <w:rPr>
                <w:sz w:val="20"/>
                <w:szCs w:val="20"/>
              </w:rPr>
              <w:t>8</w:t>
            </w:r>
          </w:p>
        </w:tc>
        <w:tc>
          <w:tcPr>
            <w:tcW w:w="0" w:type="auto"/>
            <w:noWrap/>
            <w:vAlign w:val="bottom"/>
            <w:hideMark/>
          </w:tcPr>
          <w:p w14:paraId="334FF9DB" w14:textId="77777777" w:rsidR="00000000" w:rsidRDefault="00632532">
            <w:pPr>
              <w:pStyle w:val="a3"/>
              <w:spacing w:before="0" w:beforeAutospacing="0" w:after="0" w:afterAutospacing="0"/>
              <w:rPr>
                <w:sz w:val="20"/>
                <w:szCs w:val="20"/>
              </w:rPr>
            </w:pPr>
            <w:r>
              <w:rPr>
                <w:sz w:val="20"/>
                <w:szCs w:val="20"/>
              </w:rPr>
              <w:t> </w:t>
            </w:r>
          </w:p>
        </w:tc>
      </w:tr>
      <w:tr w:rsidR="00000000" w14:paraId="54B5E6E7" w14:textId="77777777">
        <w:trPr>
          <w:divId w:val="974093860"/>
          <w:trHeight w:val="200"/>
          <w:tblCellSpacing w:w="15" w:type="dxa"/>
        </w:trPr>
        <w:tc>
          <w:tcPr>
            <w:tcW w:w="0" w:type="auto"/>
            <w:vAlign w:val="bottom"/>
            <w:hideMark/>
          </w:tcPr>
          <w:p w14:paraId="5EBD2ED4" w14:textId="77777777" w:rsidR="00000000" w:rsidRDefault="00632532">
            <w:pPr>
              <w:pStyle w:val="a3"/>
              <w:spacing w:before="0" w:beforeAutospacing="0" w:after="0" w:afterAutospacing="0"/>
              <w:rPr>
                <w:sz w:val="20"/>
                <w:szCs w:val="20"/>
              </w:rPr>
            </w:pPr>
            <w:r>
              <w:rPr>
                <w:sz w:val="20"/>
                <w:szCs w:val="20"/>
              </w:rPr>
              <w:t>202</w:t>
            </w:r>
            <w:r>
              <w:rPr>
                <w:sz w:val="20"/>
                <w:szCs w:val="20"/>
              </w:rPr>
              <w:t>5</w:t>
            </w:r>
          </w:p>
        </w:tc>
        <w:tc>
          <w:tcPr>
            <w:tcW w:w="0" w:type="auto"/>
            <w:noWrap/>
            <w:vAlign w:val="bottom"/>
            <w:hideMark/>
          </w:tcPr>
          <w:p w14:paraId="1ABA58E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F1603E" w14:textId="77777777" w:rsidR="00000000" w:rsidRDefault="00632532">
            <w:pPr>
              <w:pStyle w:val="a3"/>
              <w:spacing w:before="0" w:beforeAutospacing="0" w:after="0" w:afterAutospacing="0"/>
              <w:jc w:val="right"/>
              <w:rPr>
                <w:sz w:val="20"/>
                <w:szCs w:val="20"/>
              </w:rPr>
            </w:pPr>
            <w:r>
              <w:rPr>
                <w:sz w:val="20"/>
                <w:szCs w:val="20"/>
              </w:rPr>
              <w:t>7,84</w:t>
            </w:r>
            <w:r>
              <w:rPr>
                <w:sz w:val="20"/>
                <w:szCs w:val="20"/>
              </w:rPr>
              <w:t>8</w:t>
            </w:r>
          </w:p>
        </w:tc>
        <w:tc>
          <w:tcPr>
            <w:tcW w:w="0" w:type="auto"/>
            <w:noWrap/>
            <w:vAlign w:val="bottom"/>
            <w:hideMark/>
          </w:tcPr>
          <w:p w14:paraId="3C0631EB" w14:textId="77777777" w:rsidR="00000000" w:rsidRDefault="00632532">
            <w:pPr>
              <w:pStyle w:val="a3"/>
              <w:spacing w:before="0" w:beforeAutospacing="0" w:after="0" w:afterAutospacing="0"/>
              <w:rPr>
                <w:sz w:val="20"/>
                <w:szCs w:val="20"/>
              </w:rPr>
            </w:pPr>
            <w:r>
              <w:rPr>
                <w:sz w:val="20"/>
                <w:szCs w:val="20"/>
              </w:rPr>
              <w:t> </w:t>
            </w:r>
          </w:p>
        </w:tc>
      </w:tr>
      <w:tr w:rsidR="00000000" w14:paraId="65F4A624" w14:textId="77777777">
        <w:trPr>
          <w:divId w:val="974093860"/>
          <w:trHeight w:val="200"/>
          <w:tblCellSpacing w:w="15" w:type="dxa"/>
        </w:trPr>
        <w:tc>
          <w:tcPr>
            <w:tcW w:w="0" w:type="auto"/>
            <w:vAlign w:val="bottom"/>
            <w:hideMark/>
          </w:tcPr>
          <w:p w14:paraId="61680049" w14:textId="77777777" w:rsidR="00000000" w:rsidRDefault="00632532">
            <w:pPr>
              <w:pStyle w:val="a3"/>
              <w:spacing w:before="0" w:beforeAutospacing="0" w:after="0" w:afterAutospacing="0"/>
              <w:rPr>
                <w:sz w:val="20"/>
                <w:szCs w:val="20"/>
              </w:rPr>
            </w:pPr>
            <w:r>
              <w:rPr>
                <w:sz w:val="20"/>
                <w:szCs w:val="20"/>
              </w:rPr>
              <w:t>202</w:t>
            </w:r>
            <w:r>
              <w:rPr>
                <w:sz w:val="20"/>
                <w:szCs w:val="20"/>
              </w:rPr>
              <w:t>6</w:t>
            </w:r>
          </w:p>
        </w:tc>
        <w:tc>
          <w:tcPr>
            <w:tcW w:w="0" w:type="auto"/>
            <w:noWrap/>
            <w:vAlign w:val="bottom"/>
            <w:hideMark/>
          </w:tcPr>
          <w:p w14:paraId="6DDFDE9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06B1A2D" w14:textId="77777777" w:rsidR="00000000" w:rsidRDefault="00632532">
            <w:pPr>
              <w:pStyle w:val="a3"/>
              <w:spacing w:before="0" w:beforeAutospacing="0" w:after="0" w:afterAutospacing="0"/>
              <w:jc w:val="right"/>
              <w:rPr>
                <w:sz w:val="20"/>
                <w:szCs w:val="20"/>
              </w:rPr>
            </w:pPr>
            <w:r>
              <w:rPr>
                <w:sz w:val="20"/>
                <w:szCs w:val="20"/>
              </w:rPr>
              <w:t>7,53</w:t>
            </w:r>
            <w:r>
              <w:rPr>
                <w:sz w:val="20"/>
                <w:szCs w:val="20"/>
              </w:rPr>
              <w:t>4</w:t>
            </w:r>
          </w:p>
        </w:tc>
        <w:tc>
          <w:tcPr>
            <w:tcW w:w="0" w:type="auto"/>
            <w:noWrap/>
            <w:vAlign w:val="bottom"/>
            <w:hideMark/>
          </w:tcPr>
          <w:p w14:paraId="67D80996" w14:textId="77777777" w:rsidR="00000000" w:rsidRDefault="00632532">
            <w:pPr>
              <w:pStyle w:val="a3"/>
              <w:spacing w:before="0" w:beforeAutospacing="0" w:after="0" w:afterAutospacing="0"/>
              <w:rPr>
                <w:sz w:val="20"/>
                <w:szCs w:val="20"/>
              </w:rPr>
            </w:pPr>
            <w:r>
              <w:rPr>
                <w:sz w:val="20"/>
                <w:szCs w:val="20"/>
              </w:rPr>
              <w:t> </w:t>
            </w:r>
          </w:p>
        </w:tc>
      </w:tr>
      <w:tr w:rsidR="00000000" w14:paraId="0A7D05DA" w14:textId="77777777">
        <w:trPr>
          <w:divId w:val="974093860"/>
          <w:trHeight w:val="200"/>
          <w:tblCellSpacing w:w="15" w:type="dxa"/>
        </w:trPr>
        <w:tc>
          <w:tcPr>
            <w:tcW w:w="0" w:type="auto"/>
            <w:vAlign w:val="bottom"/>
            <w:hideMark/>
          </w:tcPr>
          <w:p w14:paraId="7596AD6F" w14:textId="77777777" w:rsidR="00000000" w:rsidRDefault="00632532">
            <w:pPr>
              <w:pStyle w:val="a3"/>
              <w:spacing w:before="0" w:beforeAutospacing="0" w:after="0" w:afterAutospacing="0"/>
              <w:rPr>
                <w:sz w:val="20"/>
                <w:szCs w:val="20"/>
              </w:rPr>
            </w:pPr>
            <w:r>
              <w:rPr>
                <w:sz w:val="20"/>
                <w:szCs w:val="20"/>
              </w:rPr>
              <w:t>202</w:t>
            </w:r>
            <w:r>
              <w:rPr>
                <w:sz w:val="20"/>
                <w:szCs w:val="20"/>
              </w:rPr>
              <w:t>7</w:t>
            </w:r>
          </w:p>
        </w:tc>
        <w:tc>
          <w:tcPr>
            <w:tcW w:w="0" w:type="auto"/>
            <w:noWrap/>
            <w:vAlign w:val="bottom"/>
            <w:hideMark/>
          </w:tcPr>
          <w:p w14:paraId="30886CE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CC734EE" w14:textId="77777777" w:rsidR="00000000" w:rsidRDefault="00632532">
            <w:pPr>
              <w:pStyle w:val="a3"/>
              <w:spacing w:before="0" w:beforeAutospacing="0" w:after="0" w:afterAutospacing="0"/>
              <w:jc w:val="right"/>
              <w:rPr>
                <w:sz w:val="20"/>
                <w:szCs w:val="20"/>
              </w:rPr>
            </w:pPr>
            <w:r>
              <w:rPr>
                <w:sz w:val="20"/>
                <w:szCs w:val="20"/>
              </w:rPr>
              <w:t>7,22</w:t>
            </w:r>
            <w:r>
              <w:rPr>
                <w:sz w:val="20"/>
                <w:szCs w:val="20"/>
              </w:rPr>
              <w:t>1</w:t>
            </w:r>
          </w:p>
        </w:tc>
        <w:tc>
          <w:tcPr>
            <w:tcW w:w="0" w:type="auto"/>
            <w:noWrap/>
            <w:vAlign w:val="bottom"/>
            <w:hideMark/>
          </w:tcPr>
          <w:p w14:paraId="01468C32" w14:textId="77777777" w:rsidR="00000000" w:rsidRDefault="00632532">
            <w:pPr>
              <w:pStyle w:val="a3"/>
              <w:spacing w:before="0" w:beforeAutospacing="0" w:after="0" w:afterAutospacing="0"/>
              <w:rPr>
                <w:sz w:val="20"/>
                <w:szCs w:val="20"/>
              </w:rPr>
            </w:pPr>
            <w:r>
              <w:rPr>
                <w:sz w:val="20"/>
                <w:szCs w:val="20"/>
              </w:rPr>
              <w:t> </w:t>
            </w:r>
          </w:p>
        </w:tc>
      </w:tr>
      <w:tr w:rsidR="00000000" w14:paraId="48C16D65" w14:textId="77777777">
        <w:trPr>
          <w:divId w:val="974093860"/>
          <w:trHeight w:val="200"/>
          <w:tblCellSpacing w:w="15" w:type="dxa"/>
        </w:trPr>
        <w:tc>
          <w:tcPr>
            <w:tcW w:w="0" w:type="auto"/>
            <w:vAlign w:val="bottom"/>
            <w:hideMark/>
          </w:tcPr>
          <w:p w14:paraId="79562BB3" w14:textId="77777777" w:rsidR="00000000" w:rsidRDefault="00632532">
            <w:pPr>
              <w:pStyle w:val="a3"/>
              <w:spacing w:before="0" w:beforeAutospacing="0" w:after="0" w:afterAutospacing="0"/>
              <w:rPr>
                <w:sz w:val="20"/>
                <w:szCs w:val="20"/>
              </w:rPr>
            </w:pPr>
            <w:r>
              <w:rPr>
                <w:sz w:val="20"/>
                <w:szCs w:val="20"/>
              </w:rPr>
              <w:t>Thereafte</w:t>
            </w:r>
            <w:r>
              <w:rPr>
                <w:sz w:val="20"/>
                <w:szCs w:val="20"/>
              </w:rPr>
              <w:t>r</w:t>
            </w:r>
          </w:p>
        </w:tc>
        <w:tc>
          <w:tcPr>
            <w:tcW w:w="0" w:type="auto"/>
            <w:noWrap/>
            <w:vAlign w:val="bottom"/>
            <w:hideMark/>
          </w:tcPr>
          <w:p w14:paraId="79D75D8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62B46FA" w14:textId="77777777" w:rsidR="00000000" w:rsidRDefault="00632532">
            <w:pPr>
              <w:pStyle w:val="a3"/>
              <w:spacing w:before="0" w:beforeAutospacing="0" w:after="0" w:afterAutospacing="0"/>
              <w:jc w:val="right"/>
              <w:rPr>
                <w:sz w:val="20"/>
                <w:szCs w:val="20"/>
              </w:rPr>
            </w:pPr>
            <w:r>
              <w:rPr>
                <w:sz w:val="20"/>
                <w:szCs w:val="20"/>
              </w:rPr>
              <w:t>47,43</w:t>
            </w:r>
            <w:r>
              <w:rPr>
                <w:sz w:val="20"/>
                <w:szCs w:val="20"/>
              </w:rPr>
              <w:t>7</w:t>
            </w:r>
          </w:p>
        </w:tc>
        <w:tc>
          <w:tcPr>
            <w:tcW w:w="0" w:type="auto"/>
            <w:noWrap/>
            <w:vAlign w:val="bottom"/>
            <w:hideMark/>
          </w:tcPr>
          <w:p w14:paraId="554EBD4F" w14:textId="77777777" w:rsidR="00000000" w:rsidRDefault="00632532">
            <w:pPr>
              <w:pStyle w:val="a3"/>
              <w:spacing w:before="0" w:beforeAutospacing="0" w:after="0" w:afterAutospacing="0"/>
              <w:rPr>
                <w:sz w:val="20"/>
                <w:szCs w:val="20"/>
              </w:rPr>
            </w:pPr>
            <w:r>
              <w:rPr>
                <w:sz w:val="20"/>
                <w:szCs w:val="20"/>
              </w:rPr>
              <w:t> </w:t>
            </w:r>
          </w:p>
        </w:tc>
      </w:tr>
      <w:tr w:rsidR="00000000" w14:paraId="0DC473F9" w14:textId="77777777">
        <w:trPr>
          <w:divId w:val="974093860"/>
          <w:trHeight w:val="200"/>
          <w:tblCellSpacing w:w="15" w:type="dxa"/>
        </w:trPr>
        <w:tc>
          <w:tcPr>
            <w:tcW w:w="0" w:type="auto"/>
            <w:vAlign w:val="bottom"/>
            <w:hideMark/>
          </w:tcPr>
          <w:p w14:paraId="3F8E9289" w14:textId="77777777" w:rsidR="00000000" w:rsidRDefault="00632532">
            <w:pPr>
              <w:pStyle w:val="a3"/>
              <w:spacing w:before="0" w:beforeAutospacing="0" w:after="0" w:afterAutospacing="0"/>
              <w:ind w:left="200"/>
              <w:rPr>
                <w:sz w:val="20"/>
                <w:szCs w:val="20"/>
              </w:rPr>
            </w:pPr>
            <w:r>
              <w:rPr>
                <w:sz w:val="20"/>
                <w:szCs w:val="20"/>
              </w:rPr>
              <w:t>Tota</w:t>
            </w:r>
            <w:r>
              <w:rPr>
                <w:sz w:val="20"/>
                <w:szCs w:val="20"/>
              </w:rPr>
              <w:t>l</w:t>
            </w:r>
          </w:p>
        </w:tc>
        <w:tc>
          <w:tcPr>
            <w:tcW w:w="0" w:type="auto"/>
            <w:noWrap/>
            <w:vAlign w:val="bottom"/>
            <w:hideMark/>
          </w:tcPr>
          <w:p w14:paraId="5B98594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EA4D106" w14:textId="77777777" w:rsidR="00000000" w:rsidRDefault="00632532">
            <w:pPr>
              <w:pStyle w:val="a3"/>
              <w:spacing w:before="0" w:beforeAutospacing="0" w:after="0" w:afterAutospacing="0"/>
              <w:jc w:val="right"/>
              <w:rPr>
                <w:sz w:val="20"/>
                <w:szCs w:val="20"/>
              </w:rPr>
            </w:pPr>
            <w:r>
              <w:rPr>
                <w:sz w:val="20"/>
                <w:szCs w:val="20"/>
              </w:rPr>
              <w:t>89,69</w:t>
            </w:r>
            <w:r>
              <w:rPr>
                <w:sz w:val="20"/>
                <w:szCs w:val="20"/>
              </w:rPr>
              <w:t>5</w:t>
            </w:r>
          </w:p>
        </w:tc>
        <w:tc>
          <w:tcPr>
            <w:tcW w:w="0" w:type="auto"/>
            <w:noWrap/>
            <w:vAlign w:val="bottom"/>
            <w:hideMark/>
          </w:tcPr>
          <w:p w14:paraId="13F3DF26" w14:textId="77777777" w:rsidR="00000000" w:rsidRDefault="00632532">
            <w:pPr>
              <w:pStyle w:val="a3"/>
              <w:spacing w:before="0" w:beforeAutospacing="0" w:after="0" w:afterAutospacing="0"/>
              <w:rPr>
                <w:sz w:val="20"/>
                <w:szCs w:val="20"/>
              </w:rPr>
            </w:pPr>
            <w:r>
              <w:rPr>
                <w:sz w:val="20"/>
                <w:szCs w:val="20"/>
              </w:rPr>
              <w:t> </w:t>
            </w:r>
          </w:p>
        </w:tc>
      </w:tr>
    </w:tbl>
    <w:p w14:paraId="44A1CFA7" w14:textId="77777777" w:rsidR="00000000" w:rsidRDefault="00632532">
      <w:pPr>
        <w:pStyle w:val="a3"/>
        <w:spacing w:before="0" w:beforeAutospacing="0" w:after="0" w:afterAutospacing="0"/>
        <w:rPr>
          <w:sz w:val="20"/>
          <w:szCs w:val="20"/>
        </w:rPr>
      </w:pPr>
      <w:r>
        <w:rPr>
          <w:sz w:val="20"/>
          <w:szCs w:val="20"/>
        </w:rPr>
        <w:t> </w:t>
      </w:r>
    </w:p>
    <w:p w14:paraId="0EA81C5A" w14:textId="77777777" w:rsidR="00000000" w:rsidRDefault="00632532">
      <w:pPr>
        <w:pStyle w:val="a3"/>
        <w:spacing w:before="360" w:beforeAutospacing="0" w:after="0" w:afterAutospacing="0"/>
        <w:divId w:val="1857189162"/>
        <w:rPr>
          <w:sz w:val="20"/>
          <w:szCs w:val="20"/>
        </w:rPr>
      </w:pPr>
      <w:r>
        <w:rPr>
          <w:b/>
          <w:bCs/>
          <w:sz w:val="20"/>
          <w:szCs w:val="20"/>
        </w:rPr>
        <w:t>Note 15. Business Combination</w:t>
      </w:r>
      <w:r>
        <w:rPr>
          <w:b/>
          <w:bCs/>
          <w:sz w:val="20"/>
          <w:szCs w:val="20"/>
        </w:rPr>
        <w:t>s</w:t>
      </w:r>
    </w:p>
    <w:p w14:paraId="625464A3" w14:textId="77777777" w:rsidR="00000000" w:rsidRDefault="00632532">
      <w:pPr>
        <w:pStyle w:val="a3"/>
        <w:spacing w:before="120" w:beforeAutospacing="0" w:after="0" w:afterAutospacing="0"/>
        <w:divId w:val="1857189162"/>
        <w:rPr>
          <w:sz w:val="20"/>
          <w:szCs w:val="20"/>
        </w:rPr>
      </w:pPr>
      <w:r>
        <w:rPr>
          <w:b/>
          <w:bCs/>
          <w:i/>
          <w:iCs/>
          <w:sz w:val="20"/>
          <w:szCs w:val="20"/>
        </w:rPr>
        <w:t>Inform Diagnostic</w:t>
      </w:r>
      <w:r>
        <w:rPr>
          <w:b/>
          <w:bCs/>
          <w:i/>
          <w:iCs/>
          <w:sz w:val="20"/>
          <w:szCs w:val="20"/>
        </w:rPr>
        <w:t>s</w:t>
      </w:r>
    </w:p>
    <w:p w14:paraId="5AA5A70B" w14:textId="77777777" w:rsidR="00000000" w:rsidRDefault="00632532">
      <w:pPr>
        <w:pStyle w:val="a3"/>
        <w:spacing w:before="120" w:beforeAutospacing="0" w:after="0" w:afterAutospacing="0"/>
        <w:ind w:firstLine="539"/>
        <w:divId w:val="1857189162"/>
        <w:rPr>
          <w:sz w:val="20"/>
          <w:szCs w:val="20"/>
        </w:rPr>
      </w:pPr>
      <w:r>
        <w:rPr>
          <w:sz w:val="20"/>
          <w:szCs w:val="20"/>
        </w:rPr>
        <w:t>On April 26, 2022, the Company completed the acquisition of</w:t>
      </w:r>
      <w:r>
        <w:rPr>
          <w:sz w:val="20"/>
          <w:szCs w:val="20"/>
        </w:rPr>
        <w:t xml:space="preserve"> </w:t>
      </w:r>
      <w:r>
        <w:rPr>
          <w:sz w:val="20"/>
          <w:szCs w:val="20"/>
        </w:rPr>
        <w:t>10</w:t>
      </w:r>
      <w:r>
        <w:rPr>
          <w:sz w:val="20"/>
          <w:szCs w:val="20"/>
        </w:rPr>
        <w:t>0</w:t>
      </w:r>
      <w:r>
        <w:rPr>
          <w:sz w:val="20"/>
          <w:szCs w:val="20"/>
        </w:rPr>
        <w:t xml:space="preserve">% of the outstanding equity of Symphony Buyer, Inc., or Inform Diagnostics, a leading national independent pathology laboratory based in Irving, Texas. Under the terms of the Agreement and Plan of Merger, dated April 16, 2022, or the Merger Agreement, the </w:t>
      </w:r>
      <w:r>
        <w:rPr>
          <w:sz w:val="20"/>
          <w:szCs w:val="20"/>
        </w:rPr>
        <w:t xml:space="preserve">total purchase price payable to the securityholders of Symphony Buyer, Inc. was approximately </w:t>
      </w:r>
      <w:r>
        <w:rPr>
          <w:sz w:val="20"/>
          <w:szCs w:val="20"/>
        </w:rPr>
        <w:t>$</w:t>
      </w:r>
      <w:r>
        <w:rPr>
          <w:sz w:val="20"/>
          <w:szCs w:val="20"/>
        </w:rPr>
        <w:t>17</w:t>
      </w:r>
      <w:r>
        <w:rPr>
          <w:sz w:val="20"/>
          <w:szCs w:val="20"/>
        </w:rPr>
        <w:t>0</w:t>
      </w:r>
      <w:r>
        <w:rPr>
          <w:sz w:val="20"/>
          <w:szCs w:val="20"/>
        </w:rPr>
        <w:t xml:space="preserve"> million, as adjusted for closing cash, closing indebtedness, closing working capital, closing transaction expenses and other transaction matters. With the ad</w:t>
      </w:r>
      <w:r>
        <w:rPr>
          <w:sz w:val="20"/>
          <w:szCs w:val="20"/>
        </w:rPr>
        <w:t>dition of Inform Diagnostics, the Company will further expand the Company’s genomic testing footprint and extend its test menu into breast pathology, gastrointestinal pathology, dermatopathology, urologic pathology, neuropathology, and hematopathology</w:t>
      </w:r>
      <w:r>
        <w:rPr>
          <w:sz w:val="20"/>
          <w:szCs w:val="20"/>
        </w:rPr>
        <w:t>.</w:t>
      </w:r>
    </w:p>
    <w:p w14:paraId="20062511" w14:textId="77777777" w:rsidR="00000000" w:rsidRDefault="00632532">
      <w:pPr>
        <w:pStyle w:val="a3"/>
        <w:spacing w:before="240" w:beforeAutospacing="0" w:after="0" w:afterAutospacing="0"/>
        <w:ind w:firstLine="539"/>
        <w:divId w:val="1857189162"/>
        <w:rPr>
          <w:sz w:val="20"/>
          <w:szCs w:val="20"/>
        </w:rPr>
      </w:pPr>
      <w:r>
        <w:rPr>
          <w:sz w:val="20"/>
          <w:szCs w:val="20"/>
        </w:rPr>
        <w:t>The</w:t>
      </w:r>
      <w:r>
        <w:rPr>
          <w:sz w:val="20"/>
          <w:szCs w:val="20"/>
        </w:rPr>
        <w:t xml:space="preserve"> financial results of Inform Diagnostics are included in the condensed consolidated financial statements from the date of acquisition. The Company allocated the purchase price to tangible and identified intangible assets acquired and liabilities assumed ba</w:t>
      </w:r>
      <w:r>
        <w:rPr>
          <w:sz w:val="20"/>
          <w:szCs w:val="20"/>
        </w:rPr>
        <w:t>sed on estimated fair values. As additional information becomes available, the Company may further update the preliminary purchase price allocation during the remainder of the measurement period (up to</w:t>
      </w:r>
      <w:r>
        <w:rPr>
          <w:sz w:val="20"/>
          <w:szCs w:val="20"/>
        </w:rPr>
        <w:t xml:space="preserve"> </w:t>
      </w:r>
      <w:r>
        <w:rPr>
          <w:sz w:val="20"/>
          <w:szCs w:val="20"/>
        </w:rPr>
        <w:t>one yea</w:t>
      </w:r>
      <w:r>
        <w:rPr>
          <w:sz w:val="20"/>
          <w:szCs w:val="20"/>
        </w:rPr>
        <w:t>r</w:t>
      </w:r>
      <w:r>
        <w:rPr>
          <w:sz w:val="20"/>
          <w:szCs w:val="20"/>
        </w:rPr>
        <w:t xml:space="preserve"> from the acquisition date).</w:t>
      </w:r>
      <w:r>
        <w:rPr>
          <w:sz w:val="20"/>
          <w:szCs w:val="20"/>
        </w:rPr>
        <w:t xml:space="preserve"> </w:t>
      </w:r>
      <w:r>
        <w:rPr>
          <w:sz w:val="20"/>
          <w:szCs w:val="20"/>
        </w:rPr>
        <w:t>The following tab</w:t>
      </w:r>
      <w:r>
        <w:rPr>
          <w:sz w:val="20"/>
          <w:szCs w:val="20"/>
        </w:rPr>
        <w:t>les summarizes the consideration paid and the amounts of the assets acquired and liabilities assumed recognized at the acquisition date</w:t>
      </w:r>
      <w:r>
        <w:rPr>
          <w:sz w:val="20"/>
          <w:szCs w:val="20"/>
        </w:rPr>
        <w:t>:</w:t>
      </w:r>
    </w:p>
    <w:p w14:paraId="26C8CF60" w14:textId="77777777" w:rsidR="00000000" w:rsidRDefault="00632532">
      <w:pPr>
        <w:pStyle w:val="a3"/>
        <w:spacing w:before="0" w:beforeAutospacing="0" w:after="0" w:afterAutospacing="0"/>
        <w:ind w:firstLine="539"/>
        <w:divId w:val="185718916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77"/>
        <w:gridCol w:w="160"/>
        <w:gridCol w:w="1127"/>
        <w:gridCol w:w="142"/>
      </w:tblGrid>
      <w:tr w:rsidR="00000000" w14:paraId="14E48767" w14:textId="77777777">
        <w:trPr>
          <w:divId w:val="341133366"/>
          <w:tblCellSpacing w:w="15" w:type="dxa"/>
        </w:trPr>
        <w:tc>
          <w:tcPr>
            <w:tcW w:w="4207" w:type="pct"/>
            <w:vAlign w:val="center"/>
            <w:hideMark/>
          </w:tcPr>
          <w:p w14:paraId="00C85352" w14:textId="77777777" w:rsidR="00000000" w:rsidRDefault="00632532">
            <w:pPr>
              <w:rPr>
                <w:sz w:val="20"/>
                <w:szCs w:val="20"/>
              </w:rPr>
            </w:pPr>
          </w:p>
        </w:tc>
        <w:tc>
          <w:tcPr>
            <w:tcW w:w="50" w:type="pct"/>
            <w:vAlign w:val="center"/>
            <w:hideMark/>
          </w:tcPr>
          <w:p w14:paraId="2031222B" w14:textId="77777777" w:rsidR="00000000" w:rsidRDefault="00632532">
            <w:pPr>
              <w:rPr>
                <w:rFonts w:eastAsia="Times New Roman"/>
                <w:sz w:val="20"/>
                <w:szCs w:val="20"/>
              </w:rPr>
            </w:pPr>
          </w:p>
        </w:tc>
        <w:tc>
          <w:tcPr>
            <w:tcW w:w="692" w:type="pct"/>
            <w:vAlign w:val="center"/>
            <w:hideMark/>
          </w:tcPr>
          <w:p w14:paraId="17F89A00" w14:textId="77777777" w:rsidR="00000000" w:rsidRDefault="00632532">
            <w:pPr>
              <w:rPr>
                <w:rFonts w:eastAsia="Times New Roman"/>
                <w:sz w:val="20"/>
                <w:szCs w:val="20"/>
              </w:rPr>
            </w:pPr>
          </w:p>
        </w:tc>
        <w:tc>
          <w:tcPr>
            <w:tcW w:w="50" w:type="pct"/>
            <w:vAlign w:val="center"/>
            <w:hideMark/>
          </w:tcPr>
          <w:p w14:paraId="3738B0D4" w14:textId="77777777" w:rsidR="00000000" w:rsidRDefault="00632532">
            <w:pPr>
              <w:rPr>
                <w:rFonts w:eastAsia="Times New Roman"/>
                <w:sz w:val="20"/>
                <w:szCs w:val="20"/>
              </w:rPr>
            </w:pPr>
          </w:p>
        </w:tc>
      </w:tr>
      <w:tr w:rsidR="00000000" w14:paraId="201D2F54" w14:textId="77777777">
        <w:trPr>
          <w:divId w:val="341133366"/>
          <w:trHeight w:val="160"/>
          <w:tblCellSpacing w:w="15" w:type="dxa"/>
        </w:trPr>
        <w:tc>
          <w:tcPr>
            <w:tcW w:w="0" w:type="auto"/>
            <w:vAlign w:val="bottom"/>
            <w:hideMark/>
          </w:tcPr>
          <w:p w14:paraId="1E2B3610" w14:textId="77777777" w:rsidR="00000000" w:rsidRDefault="00632532">
            <w:pPr>
              <w:pStyle w:val="a3"/>
              <w:spacing w:before="0" w:beforeAutospacing="0" w:after="0" w:afterAutospacing="0"/>
              <w:rPr>
                <w:sz w:val="22"/>
                <w:szCs w:val="22"/>
              </w:rPr>
            </w:pPr>
            <w:r>
              <w:rPr>
                <w:sz w:val="22"/>
                <w:szCs w:val="22"/>
              </w:rPr>
              <w:t> </w:t>
            </w:r>
          </w:p>
        </w:tc>
        <w:tc>
          <w:tcPr>
            <w:tcW w:w="0" w:type="auto"/>
            <w:gridSpan w:val="2"/>
            <w:vAlign w:val="bottom"/>
            <w:hideMark/>
          </w:tcPr>
          <w:p w14:paraId="7AC5CDC3" w14:textId="77777777" w:rsidR="00000000" w:rsidRDefault="00632532">
            <w:pPr>
              <w:pStyle w:val="a3"/>
              <w:spacing w:before="0" w:beforeAutospacing="0" w:after="0" w:afterAutospacing="0"/>
              <w:jc w:val="center"/>
              <w:rPr>
                <w:sz w:val="16"/>
                <w:szCs w:val="16"/>
              </w:rPr>
            </w:pPr>
            <w:r>
              <w:rPr>
                <w:b/>
                <w:bCs/>
                <w:sz w:val="16"/>
                <w:szCs w:val="16"/>
              </w:rPr>
              <w:t>Amount</w:t>
            </w:r>
            <w:r>
              <w:rPr>
                <w:b/>
                <w:bCs/>
                <w:sz w:val="16"/>
                <w:szCs w:val="16"/>
              </w:rPr>
              <w:t>s</w:t>
            </w:r>
          </w:p>
        </w:tc>
        <w:tc>
          <w:tcPr>
            <w:tcW w:w="0" w:type="auto"/>
            <w:vAlign w:val="bottom"/>
            <w:hideMark/>
          </w:tcPr>
          <w:p w14:paraId="1173BCC3"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912EB8C" w14:textId="77777777">
        <w:trPr>
          <w:divId w:val="341133366"/>
          <w:trHeight w:val="160"/>
          <w:tblCellSpacing w:w="15" w:type="dxa"/>
        </w:trPr>
        <w:tc>
          <w:tcPr>
            <w:tcW w:w="0" w:type="auto"/>
            <w:vAlign w:val="bottom"/>
            <w:hideMark/>
          </w:tcPr>
          <w:p w14:paraId="1AAD5C9F" w14:textId="77777777" w:rsidR="00000000" w:rsidRDefault="00632532">
            <w:pPr>
              <w:pStyle w:val="a3"/>
              <w:spacing w:before="0" w:beforeAutospacing="0" w:after="0" w:afterAutospacing="0"/>
              <w:rPr>
                <w:sz w:val="22"/>
                <w:szCs w:val="22"/>
              </w:rPr>
            </w:pPr>
            <w:r>
              <w:rPr>
                <w:sz w:val="22"/>
                <w:szCs w:val="22"/>
              </w:rPr>
              <w:t> </w:t>
            </w:r>
          </w:p>
        </w:tc>
        <w:tc>
          <w:tcPr>
            <w:tcW w:w="0" w:type="auto"/>
            <w:gridSpan w:val="2"/>
            <w:hideMark/>
          </w:tcPr>
          <w:p w14:paraId="07C6EE98"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14:paraId="75BC04D9"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2DEDF92" w14:textId="77777777">
        <w:trPr>
          <w:divId w:val="341133366"/>
          <w:trHeight w:val="200"/>
          <w:tblCellSpacing w:w="15" w:type="dxa"/>
        </w:trPr>
        <w:tc>
          <w:tcPr>
            <w:tcW w:w="0" w:type="auto"/>
            <w:vAlign w:val="bottom"/>
            <w:hideMark/>
          </w:tcPr>
          <w:p w14:paraId="75E3374B" w14:textId="77777777" w:rsidR="00000000" w:rsidRDefault="00632532">
            <w:pPr>
              <w:pStyle w:val="a3"/>
              <w:spacing w:before="0" w:beforeAutospacing="0" w:after="0" w:afterAutospacing="0"/>
              <w:rPr>
                <w:sz w:val="20"/>
                <w:szCs w:val="20"/>
              </w:rPr>
            </w:pPr>
            <w:r>
              <w:rPr>
                <w:sz w:val="20"/>
                <w:szCs w:val="20"/>
              </w:rPr>
              <w:t>Consideration</w:t>
            </w:r>
            <w:r>
              <w:rPr>
                <w:sz w:val="20"/>
                <w:szCs w:val="20"/>
              </w:rPr>
              <w:t>s</w:t>
            </w:r>
          </w:p>
        </w:tc>
        <w:tc>
          <w:tcPr>
            <w:tcW w:w="0" w:type="auto"/>
            <w:gridSpan w:val="2"/>
            <w:vAlign w:val="bottom"/>
            <w:hideMark/>
          </w:tcPr>
          <w:p w14:paraId="28CD257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1242651" w14:textId="77777777" w:rsidR="00000000" w:rsidRDefault="00632532">
            <w:pPr>
              <w:pStyle w:val="a3"/>
              <w:spacing w:before="0" w:beforeAutospacing="0" w:after="0" w:afterAutospacing="0"/>
              <w:rPr>
                <w:sz w:val="20"/>
                <w:szCs w:val="20"/>
              </w:rPr>
            </w:pPr>
            <w:r>
              <w:rPr>
                <w:sz w:val="20"/>
                <w:szCs w:val="20"/>
              </w:rPr>
              <w:t> </w:t>
            </w:r>
          </w:p>
        </w:tc>
      </w:tr>
      <w:tr w:rsidR="00000000" w14:paraId="735CE69A" w14:textId="77777777">
        <w:trPr>
          <w:divId w:val="341133366"/>
          <w:trHeight w:val="200"/>
          <w:tblCellSpacing w:w="15" w:type="dxa"/>
        </w:trPr>
        <w:tc>
          <w:tcPr>
            <w:tcW w:w="0" w:type="auto"/>
            <w:vAlign w:val="bottom"/>
            <w:hideMark/>
          </w:tcPr>
          <w:p w14:paraId="7B33BE53" w14:textId="77777777" w:rsidR="00000000" w:rsidRDefault="00632532">
            <w:pPr>
              <w:pStyle w:val="a3"/>
              <w:spacing w:before="0" w:beforeAutospacing="0" w:after="0" w:afterAutospacing="0"/>
              <w:rPr>
                <w:sz w:val="20"/>
                <w:szCs w:val="20"/>
              </w:rPr>
            </w:pPr>
            <w:r>
              <w:rPr>
                <w:sz w:val="20"/>
                <w:szCs w:val="20"/>
              </w:rPr>
              <w:t>Cash, net of cash receive</w:t>
            </w:r>
            <w:r>
              <w:rPr>
                <w:sz w:val="20"/>
                <w:szCs w:val="20"/>
              </w:rPr>
              <w:t>d</w:t>
            </w:r>
          </w:p>
        </w:tc>
        <w:tc>
          <w:tcPr>
            <w:tcW w:w="0" w:type="auto"/>
            <w:noWrap/>
            <w:vAlign w:val="bottom"/>
            <w:hideMark/>
          </w:tcPr>
          <w:p w14:paraId="0B1971A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A293AE0" w14:textId="77777777" w:rsidR="00000000" w:rsidRDefault="00632532">
            <w:pPr>
              <w:pStyle w:val="a3"/>
              <w:spacing w:before="0" w:beforeAutospacing="0" w:after="0" w:afterAutospacing="0"/>
              <w:jc w:val="right"/>
              <w:rPr>
                <w:sz w:val="20"/>
                <w:szCs w:val="20"/>
              </w:rPr>
            </w:pPr>
            <w:r>
              <w:rPr>
                <w:sz w:val="20"/>
                <w:szCs w:val="20"/>
              </w:rPr>
              <w:t>137,75</w:t>
            </w:r>
            <w:r>
              <w:rPr>
                <w:sz w:val="20"/>
                <w:szCs w:val="20"/>
              </w:rPr>
              <w:t>5</w:t>
            </w:r>
          </w:p>
        </w:tc>
        <w:tc>
          <w:tcPr>
            <w:tcW w:w="0" w:type="auto"/>
            <w:noWrap/>
            <w:vAlign w:val="bottom"/>
            <w:hideMark/>
          </w:tcPr>
          <w:p w14:paraId="4AC49A36" w14:textId="77777777" w:rsidR="00000000" w:rsidRDefault="00632532">
            <w:pPr>
              <w:pStyle w:val="a3"/>
              <w:spacing w:before="0" w:beforeAutospacing="0" w:after="0" w:afterAutospacing="0"/>
              <w:rPr>
                <w:sz w:val="20"/>
                <w:szCs w:val="20"/>
              </w:rPr>
            </w:pPr>
            <w:r>
              <w:rPr>
                <w:sz w:val="20"/>
                <w:szCs w:val="20"/>
              </w:rPr>
              <w:t> </w:t>
            </w:r>
          </w:p>
        </w:tc>
      </w:tr>
      <w:tr w:rsidR="00000000" w14:paraId="663169B7" w14:textId="77777777">
        <w:trPr>
          <w:divId w:val="341133366"/>
          <w:tblCellSpacing w:w="15" w:type="dxa"/>
        </w:trPr>
        <w:tc>
          <w:tcPr>
            <w:tcW w:w="0" w:type="auto"/>
            <w:vAlign w:val="bottom"/>
            <w:hideMark/>
          </w:tcPr>
          <w:p w14:paraId="4E078BBE"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1288E426" w14:textId="77777777" w:rsidR="00000000" w:rsidRDefault="00632532">
            <w:pPr>
              <w:pStyle w:val="a3"/>
              <w:spacing w:before="0" w:beforeAutospacing="0" w:after="0" w:afterAutospacing="0"/>
              <w:rPr>
                <w:sz w:val="22"/>
                <w:szCs w:val="22"/>
              </w:rPr>
            </w:pPr>
            <w:r>
              <w:rPr>
                <w:sz w:val="22"/>
                <w:szCs w:val="22"/>
              </w:rPr>
              <w:t> </w:t>
            </w:r>
          </w:p>
        </w:tc>
        <w:tc>
          <w:tcPr>
            <w:tcW w:w="0" w:type="auto"/>
            <w:vAlign w:val="bottom"/>
            <w:hideMark/>
          </w:tcPr>
          <w:p w14:paraId="28A53D67" w14:textId="77777777" w:rsidR="00000000" w:rsidRDefault="00632532">
            <w:pPr>
              <w:pStyle w:val="a3"/>
              <w:spacing w:before="0" w:beforeAutospacing="0" w:after="0" w:afterAutospacing="0"/>
              <w:rPr>
                <w:sz w:val="22"/>
                <w:szCs w:val="22"/>
              </w:rPr>
            </w:pPr>
            <w:r>
              <w:rPr>
                <w:sz w:val="22"/>
                <w:szCs w:val="22"/>
              </w:rPr>
              <w:t> </w:t>
            </w:r>
          </w:p>
        </w:tc>
      </w:tr>
      <w:tr w:rsidR="00000000" w14:paraId="194B3C85" w14:textId="77777777">
        <w:trPr>
          <w:divId w:val="341133366"/>
          <w:tblCellSpacing w:w="15" w:type="dxa"/>
        </w:trPr>
        <w:tc>
          <w:tcPr>
            <w:tcW w:w="0" w:type="auto"/>
            <w:vAlign w:val="bottom"/>
            <w:hideMark/>
          </w:tcPr>
          <w:p w14:paraId="10B16E65"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1E4D52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D24FC6" w14:textId="77777777" w:rsidR="00000000" w:rsidRDefault="00632532">
            <w:pPr>
              <w:pStyle w:val="a3"/>
              <w:spacing w:before="0" w:beforeAutospacing="0" w:after="0" w:afterAutospacing="0"/>
              <w:rPr>
                <w:sz w:val="20"/>
                <w:szCs w:val="20"/>
              </w:rPr>
            </w:pPr>
            <w:r>
              <w:rPr>
                <w:sz w:val="20"/>
                <w:szCs w:val="20"/>
              </w:rPr>
              <w:t> </w:t>
            </w:r>
          </w:p>
        </w:tc>
      </w:tr>
      <w:tr w:rsidR="00000000" w14:paraId="3DA8E90C" w14:textId="77777777">
        <w:trPr>
          <w:divId w:val="341133366"/>
          <w:trHeight w:val="200"/>
          <w:tblCellSpacing w:w="15" w:type="dxa"/>
        </w:trPr>
        <w:tc>
          <w:tcPr>
            <w:tcW w:w="0" w:type="auto"/>
            <w:vAlign w:val="bottom"/>
            <w:hideMark/>
          </w:tcPr>
          <w:p w14:paraId="765D7FC6" w14:textId="77777777" w:rsidR="00000000" w:rsidRDefault="00632532">
            <w:pPr>
              <w:pStyle w:val="a3"/>
              <w:spacing w:before="0" w:beforeAutospacing="0" w:after="0" w:afterAutospacing="0"/>
              <w:rPr>
                <w:sz w:val="20"/>
                <w:szCs w:val="20"/>
              </w:rPr>
            </w:pPr>
            <w:r>
              <w:rPr>
                <w:b/>
                <w:bCs/>
                <w:sz w:val="20"/>
                <w:szCs w:val="20"/>
              </w:rPr>
              <w:t>Recognized amounts of identifiable assets acquired and liabilities assume</w:t>
            </w:r>
            <w:r>
              <w:rPr>
                <w:b/>
                <w:bCs/>
                <w:sz w:val="20"/>
                <w:szCs w:val="20"/>
              </w:rPr>
              <w:t>d</w:t>
            </w:r>
          </w:p>
        </w:tc>
        <w:tc>
          <w:tcPr>
            <w:tcW w:w="0" w:type="auto"/>
            <w:gridSpan w:val="2"/>
            <w:vAlign w:val="bottom"/>
            <w:hideMark/>
          </w:tcPr>
          <w:p w14:paraId="7BFBB76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B6E62C" w14:textId="77777777" w:rsidR="00000000" w:rsidRDefault="00632532">
            <w:pPr>
              <w:pStyle w:val="a3"/>
              <w:spacing w:before="0" w:beforeAutospacing="0" w:after="0" w:afterAutospacing="0"/>
              <w:rPr>
                <w:sz w:val="20"/>
                <w:szCs w:val="20"/>
              </w:rPr>
            </w:pPr>
            <w:r>
              <w:rPr>
                <w:sz w:val="20"/>
                <w:szCs w:val="20"/>
              </w:rPr>
              <w:t> </w:t>
            </w:r>
          </w:p>
        </w:tc>
      </w:tr>
      <w:tr w:rsidR="00000000" w14:paraId="7E2E7A08" w14:textId="77777777">
        <w:trPr>
          <w:divId w:val="341133366"/>
          <w:trHeight w:val="200"/>
          <w:tblCellSpacing w:w="15" w:type="dxa"/>
        </w:trPr>
        <w:tc>
          <w:tcPr>
            <w:tcW w:w="0" w:type="auto"/>
            <w:vAlign w:val="bottom"/>
            <w:hideMark/>
          </w:tcPr>
          <w:p w14:paraId="14013AA5" w14:textId="77777777" w:rsidR="00000000" w:rsidRDefault="00632532">
            <w:pPr>
              <w:pStyle w:val="a3"/>
              <w:spacing w:before="0" w:beforeAutospacing="0" w:after="0" w:afterAutospacing="0"/>
              <w:rPr>
                <w:sz w:val="20"/>
                <w:szCs w:val="20"/>
              </w:rPr>
            </w:pPr>
            <w:r>
              <w:rPr>
                <w:sz w:val="20"/>
                <w:szCs w:val="20"/>
              </w:rPr>
              <w:t>Net working capita</w:t>
            </w:r>
            <w:r>
              <w:rPr>
                <w:sz w:val="20"/>
                <w:szCs w:val="20"/>
              </w:rPr>
              <w:t>l</w:t>
            </w:r>
          </w:p>
        </w:tc>
        <w:tc>
          <w:tcPr>
            <w:tcW w:w="0" w:type="auto"/>
            <w:noWrap/>
            <w:vAlign w:val="bottom"/>
            <w:hideMark/>
          </w:tcPr>
          <w:p w14:paraId="0E3388C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A134D60" w14:textId="77777777" w:rsidR="00000000" w:rsidRDefault="00632532">
            <w:pPr>
              <w:pStyle w:val="a3"/>
              <w:spacing w:before="0" w:beforeAutospacing="0" w:after="0" w:afterAutospacing="0"/>
              <w:jc w:val="right"/>
              <w:rPr>
                <w:sz w:val="20"/>
                <w:szCs w:val="20"/>
              </w:rPr>
            </w:pPr>
            <w:r>
              <w:rPr>
                <w:sz w:val="20"/>
                <w:szCs w:val="20"/>
              </w:rPr>
              <w:t>(</w:t>
            </w:r>
            <w:r>
              <w:rPr>
                <w:sz w:val="20"/>
                <w:szCs w:val="20"/>
              </w:rPr>
              <w:t>15,02</w:t>
            </w:r>
            <w:r>
              <w:rPr>
                <w:sz w:val="20"/>
                <w:szCs w:val="20"/>
              </w:rPr>
              <w:t>4</w:t>
            </w:r>
          </w:p>
        </w:tc>
        <w:tc>
          <w:tcPr>
            <w:tcW w:w="0" w:type="auto"/>
            <w:noWrap/>
            <w:vAlign w:val="bottom"/>
            <w:hideMark/>
          </w:tcPr>
          <w:p w14:paraId="018C4B39" w14:textId="77777777" w:rsidR="00000000" w:rsidRDefault="00632532">
            <w:pPr>
              <w:pStyle w:val="a3"/>
              <w:spacing w:before="0" w:beforeAutospacing="0" w:after="0" w:afterAutospacing="0"/>
              <w:rPr>
                <w:sz w:val="20"/>
                <w:szCs w:val="20"/>
              </w:rPr>
            </w:pPr>
            <w:r>
              <w:rPr>
                <w:sz w:val="20"/>
                <w:szCs w:val="20"/>
              </w:rPr>
              <w:t>)</w:t>
            </w:r>
          </w:p>
        </w:tc>
      </w:tr>
      <w:tr w:rsidR="00000000" w14:paraId="7267A2BE" w14:textId="77777777">
        <w:trPr>
          <w:divId w:val="341133366"/>
          <w:trHeight w:val="200"/>
          <w:tblCellSpacing w:w="15" w:type="dxa"/>
        </w:trPr>
        <w:tc>
          <w:tcPr>
            <w:tcW w:w="0" w:type="auto"/>
            <w:vAlign w:val="bottom"/>
            <w:hideMark/>
          </w:tcPr>
          <w:p w14:paraId="580C8B2E" w14:textId="77777777" w:rsidR="00000000" w:rsidRDefault="00632532">
            <w:pPr>
              <w:pStyle w:val="a3"/>
              <w:spacing w:before="0" w:beforeAutospacing="0" w:after="0" w:afterAutospacing="0"/>
              <w:rPr>
                <w:sz w:val="20"/>
                <w:szCs w:val="20"/>
              </w:rPr>
            </w:pPr>
            <w:r>
              <w:rPr>
                <w:sz w:val="20"/>
                <w:szCs w:val="20"/>
              </w:rPr>
              <w:t>Fixed asset</w:t>
            </w:r>
            <w:r>
              <w:rPr>
                <w:sz w:val="20"/>
                <w:szCs w:val="20"/>
              </w:rPr>
              <w:t>s</w:t>
            </w:r>
          </w:p>
        </w:tc>
        <w:tc>
          <w:tcPr>
            <w:tcW w:w="0" w:type="auto"/>
            <w:noWrap/>
            <w:vAlign w:val="bottom"/>
            <w:hideMark/>
          </w:tcPr>
          <w:p w14:paraId="744435E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7D4E915" w14:textId="77777777" w:rsidR="00000000" w:rsidRDefault="00632532">
            <w:pPr>
              <w:pStyle w:val="a3"/>
              <w:spacing w:before="0" w:beforeAutospacing="0" w:after="0" w:afterAutospacing="0"/>
              <w:jc w:val="right"/>
              <w:rPr>
                <w:sz w:val="20"/>
                <w:szCs w:val="20"/>
              </w:rPr>
            </w:pPr>
            <w:r>
              <w:rPr>
                <w:sz w:val="20"/>
                <w:szCs w:val="20"/>
              </w:rPr>
              <w:t>20,96</w:t>
            </w:r>
            <w:r>
              <w:rPr>
                <w:sz w:val="20"/>
                <w:szCs w:val="20"/>
              </w:rPr>
              <w:t>7</w:t>
            </w:r>
          </w:p>
        </w:tc>
        <w:tc>
          <w:tcPr>
            <w:tcW w:w="0" w:type="auto"/>
            <w:noWrap/>
            <w:vAlign w:val="bottom"/>
            <w:hideMark/>
          </w:tcPr>
          <w:p w14:paraId="3DFEC8BC" w14:textId="77777777" w:rsidR="00000000" w:rsidRDefault="00632532">
            <w:pPr>
              <w:pStyle w:val="a3"/>
              <w:spacing w:before="0" w:beforeAutospacing="0" w:after="0" w:afterAutospacing="0"/>
              <w:rPr>
                <w:sz w:val="20"/>
                <w:szCs w:val="20"/>
              </w:rPr>
            </w:pPr>
            <w:r>
              <w:rPr>
                <w:sz w:val="20"/>
                <w:szCs w:val="20"/>
              </w:rPr>
              <w:t> </w:t>
            </w:r>
          </w:p>
        </w:tc>
      </w:tr>
      <w:tr w:rsidR="00000000" w14:paraId="33E4C609" w14:textId="77777777">
        <w:trPr>
          <w:divId w:val="341133366"/>
          <w:trHeight w:val="200"/>
          <w:tblCellSpacing w:w="15" w:type="dxa"/>
        </w:trPr>
        <w:tc>
          <w:tcPr>
            <w:tcW w:w="0" w:type="auto"/>
            <w:vAlign w:val="bottom"/>
            <w:hideMark/>
          </w:tcPr>
          <w:p w14:paraId="0CDB5A0C" w14:textId="77777777" w:rsidR="00000000" w:rsidRDefault="00632532">
            <w:pPr>
              <w:pStyle w:val="a3"/>
              <w:spacing w:before="0" w:beforeAutospacing="0" w:after="0" w:afterAutospacing="0"/>
              <w:rPr>
                <w:sz w:val="20"/>
                <w:szCs w:val="20"/>
              </w:rPr>
            </w:pPr>
            <w:r>
              <w:rPr>
                <w:sz w:val="20"/>
                <w:szCs w:val="20"/>
              </w:rPr>
              <w:t>ROU assets - operatin</w:t>
            </w:r>
            <w:r>
              <w:rPr>
                <w:sz w:val="20"/>
                <w:szCs w:val="20"/>
              </w:rPr>
              <w:t>g</w:t>
            </w:r>
          </w:p>
        </w:tc>
        <w:tc>
          <w:tcPr>
            <w:tcW w:w="0" w:type="auto"/>
            <w:noWrap/>
            <w:vAlign w:val="bottom"/>
            <w:hideMark/>
          </w:tcPr>
          <w:p w14:paraId="561A3E1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7CE1B34" w14:textId="77777777" w:rsidR="00000000" w:rsidRDefault="00632532">
            <w:pPr>
              <w:pStyle w:val="a3"/>
              <w:spacing w:before="0" w:beforeAutospacing="0" w:after="0" w:afterAutospacing="0"/>
              <w:jc w:val="right"/>
              <w:rPr>
                <w:sz w:val="20"/>
                <w:szCs w:val="20"/>
              </w:rPr>
            </w:pPr>
            <w:r>
              <w:rPr>
                <w:sz w:val="20"/>
                <w:szCs w:val="20"/>
              </w:rPr>
              <w:t>12,65</w:t>
            </w:r>
            <w:r>
              <w:rPr>
                <w:sz w:val="20"/>
                <w:szCs w:val="20"/>
              </w:rPr>
              <w:t>3</w:t>
            </w:r>
          </w:p>
        </w:tc>
        <w:tc>
          <w:tcPr>
            <w:tcW w:w="0" w:type="auto"/>
            <w:noWrap/>
            <w:vAlign w:val="bottom"/>
            <w:hideMark/>
          </w:tcPr>
          <w:p w14:paraId="48F681F7" w14:textId="77777777" w:rsidR="00000000" w:rsidRDefault="00632532">
            <w:pPr>
              <w:pStyle w:val="a3"/>
              <w:spacing w:before="0" w:beforeAutospacing="0" w:after="0" w:afterAutospacing="0"/>
              <w:rPr>
                <w:sz w:val="20"/>
                <w:szCs w:val="20"/>
              </w:rPr>
            </w:pPr>
            <w:r>
              <w:rPr>
                <w:sz w:val="20"/>
                <w:szCs w:val="20"/>
              </w:rPr>
              <w:t> </w:t>
            </w:r>
          </w:p>
        </w:tc>
      </w:tr>
      <w:tr w:rsidR="00000000" w14:paraId="0779E2DC" w14:textId="77777777">
        <w:trPr>
          <w:divId w:val="341133366"/>
          <w:trHeight w:val="200"/>
          <w:tblCellSpacing w:w="15" w:type="dxa"/>
        </w:trPr>
        <w:tc>
          <w:tcPr>
            <w:tcW w:w="0" w:type="auto"/>
            <w:vAlign w:val="bottom"/>
            <w:hideMark/>
          </w:tcPr>
          <w:p w14:paraId="6A8E10EC" w14:textId="77777777" w:rsidR="00000000" w:rsidRDefault="00632532">
            <w:pPr>
              <w:pStyle w:val="a3"/>
              <w:spacing w:before="0" w:beforeAutospacing="0" w:after="0" w:afterAutospacing="0"/>
              <w:rPr>
                <w:sz w:val="20"/>
                <w:szCs w:val="20"/>
              </w:rPr>
            </w:pPr>
            <w:r>
              <w:rPr>
                <w:sz w:val="20"/>
                <w:szCs w:val="20"/>
              </w:rPr>
              <w:t>ROU assets - financ</w:t>
            </w:r>
            <w:r>
              <w:rPr>
                <w:sz w:val="20"/>
                <w:szCs w:val="20"/>
              </w:rPr>
              <w:t>e</w:t>
            </w:r>
          </w:p>
        </w:tc>
        <w:tc>
          <w:tcPr>
            <w:tcW w:w="0" w:type="auto"/>
            <w:noWrap/>
            <w:vAlign w:val="bottom"/>
            <w:hideMark/>
          </w:tcPr>
          <w:p w14:paraId="672C1CC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258DF7A" w14:textId="77777777" w:rsidR="00000000" w:rsidRDefault="00632532">
            <w:pPr>
              <w:pStyle w:val="a3"/>
              <w:spacing w:before="0" w:beforeAutospacing="0" w:after="0" w:afterAutospacing="0"/>
              <w:jc w:val="right"/>
              <w:rPr>
                <w:sz w:val="20"/>
                <w:szCs w:val="20"/>
              </w:rPr>
            </w:pPr>
            <w:r>
              <w:rPr>
                <w:sz w:val="20"/>
                <w:szCs w:val="20"/>
              </w:rPr>
              <w:t>1,18</w:t>
            </w:r>
            <w:r>
              <w:rPr>
                <w:sz w:val="20"/>
                <w:szCs w:val="20"/>
              </w:rPr>
              <w:t>3</w:t>
            </w:r>
          </w:p>
        </w:tc>
        <w:tc>
          <w:tcPr>
            <w:tcW w:w="0" w:type="auto"/>
            <w:noWrap/>
            <w:vAlign w:val="bottom"/>
            <w:hideMark/>
          </w:tcPr>
          <w:p w14:paraId="46821559" w14:textId="77777777" w:rsidR="00000000" w:rsidRDefault="00632532">
            <w:pPr>
              <w:pStyle w:val="a3"/>
              <w:spacing w:before="0" w:beforeAutospacing="0" w:after="0" w:afterAutospacing="0"/>
              <w:rPr>
                <w:sz w:val="20"/>
                <w:szCs w:val="20"/>
              </w:rPr>
            </w:pPr>
            <w:r>
              <w:rPr>
                <w:sz w:val="20"/>
                <w:szCs w:val="20"/>
              </w:rPr>
              <w:t> </w:t>
            </w:r>
          </w:p>
        </w:tc>
      </w:tr>
      <w:tr w:rsidR="00000000" w14:paraId="54EC98A8" w14:textId="77777777">
        <w:trPr>
          <w:divId w:val="341133366"/>
          <w:trHeight w:val="200"/>
          <w:tblCellSpacing w:w="15" w:type="dxa"/>
        </w:trPr>
        <w:tc>
          <w:tcPr>
            <w:tcW w:w="0" w:type="auto"/>
            <w:vAlign w:val="bottom"/>
            <w:hideMark/>
          </w:tcPr>
          <w:p w14:paraId="6A00B822" w14:textId="77777777" w:rsidR="00000000" w:rsidRDefault="00632532">
            <w:pPr>
              <w:pStyle w:val="a3"/>
              <w:spacing w:before="0" w:beforeAutospacing="0" w:after="0" w:afterAutospacing="0"/>
              <w:rPr>
                <w:sz w:val="20"/>
                <w:szCs w:val="20"/>
              </w:rPr>
            </w:pPr>
            <w:r>
              <w:rPr>
                <w:sz w:val="20"/>
                <w:szCs w:val="20"/>
              </w:rPr>
              <w:t>Deferred tax asset</w:t>
            </w:r>
            <w:r>
              <w:rPr>
                <w:sz w:val="20"/>
                <w:szCs w:val="20"/>
              </w:rPr>
              <w:t>s</w:t>
            </w:r>
          </w:p>
        </w:tc>
        <w:tc>
          <w:tcPr>
            <w:tcW w:w="0" w:type="auto"/>
            <w:noWrap/>
            <w:vAlign w:val="bottom"/>
            <w:hideMark/>
          </w:tcPr>
          <w:p w14:paraId="38A4E29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96A150" w14:textId="77777777" w:rsidR="00000000" w:rsidRDefault="00632532">
            <w:pPr>
              <w:pStyle w:val="a3"/>
              <w:spacing w:before="0" w:beforeAutospacing="0" w:after="0" w:afterAutospacing="0"/>
              <w:jc w:val="right"/>
              <w:rPr>
                <w:sz w:val="20"/>
                <w:szCs w:val="20"/>
              </w:rPr>
            </w:pPr>
            <w:r>
              <w:rPr>
                <w:sz w:val="20"/>
                <w:szCs w:val="20"/>
              </w:rPr>
              <w:t>3,44</w:t>
            </w:r>
            <w:r>
              <w:rPr>
                <w:sz w:val="20"/>
                <w:szCs w:val="20"/>
              </w:rPr>
              <w:t>6</w:t>
            </w:r>
          </w:p>
        </w:tc>
        <w:tc>
          <w:tcPr>
            <w:tcW w:w="0" w:type="auto"/>
            <w:noWrap/>
            <w:vAlign w:val="bottom"/>
            <w:hideMark/>
          </w:tcPr>
          <w:p w14:paraId="35B752B4" w14:textId="77777777" w:rsidR="00000000" w:rsidRDefault="00632532">
            <w:pPr>
              <w:pStyle w:val="a3"/>
              <w:spacing w:before="0" w:beforeAutospacing="0" w:after="0" w:afterAutospacing="0"/>
              <w:rPr>
                <w:sz w:val="20"/>
                <w:szCs w:val="20"/>
              </w:rPr>
            </w:pPr>
            <w:r>
              <w:rPr>
                <w:sz w:val="20"/>
                <w:szCs w:val="20"/>
              </w:rPr>
              <w:t> </w:t>
            </w:r>
          </w:p>
        </w:tc>
      </w:tr>
      <w:tr w:rsidR="00000000" w14:paraId="589CE77B" w14:textId="77777777">
        <w:trPr>
          <w:divId w:val="341133366"/>
          <w:trHeight w:val="200"/>
          <w:tblCellSpacing w:w="15" w:type="dxa"/>
        </w:trPr>
        <w:tc>
          <w:tcPr>
            <w:tcW w:w="0" w:type="auto"/>
            <w:vAlign w:val="bottom"/>
            <w:hideMark/>
          </w:tcPr>
          <w:p w14:paraId="13A959FF" w14:textId="77777777" w:rsidR="00000000" w:rsidRDefault="00632532">
            <w:pPr>
              <w:pStyle w:val="a3"/>
              <w:spacing w:before="0" w:beforeAutospacing="0" w:after="0" w:afterAutospacing="0"/>
              <w:rPr>
                <w:sz w:val="20"/>
                <w:szCs w:val="20"/>
              </w:rPr>
            </w:pPr>
            <w:r>
              <w:rPr>
                <w:sz w:val="20"/>
                <w:szCs w:val="20"/>
              </w:rPr>
              <w:t>Other long-term asset</w:t>
            </w:r>
            <w:r>
              <w:rPr>
                <w:sz w:val="20"/>
                <w:szCs w:val="20"/>
              </w:rPr>
              <w:t>s</w:t>
            </w:r>
          </w:p>
        </w:tc>
        <w:tc>
          <w:tcPr>
            <w:tcW w:w="0" w:type="auto"/>
            <w:noWrap/>
            <w:vAlign w:val="bottom"/>
            <w:hideMark/>
          </w:tcPr>
          <w:p w14:paraId="62EE53D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144962" w14:textId="77777777" w:rsidR="00000000" w:rsidRDefault="00632532">
            <w:pPr>
              <w:pStyle w:val="a3"/>
              <w:spacing w:before="0" w:beforeAutospacing="0" w:after="0" w:afterAutospacing="0"/>
              <w:jc w:val="right"/>
              <w:rPr>
                <w:sz w:val="20"/>
                <w:szCs w:val="20"/>
              </w:rPr>
            </w:pPr>
            <w:r>
              <w:rPr>
                <w:sz w:val="20"/>
                <w:szCs w:val="20"/>
              </w:rPr>
              <w:t>4,71</w:t>
            </w:r>
            <w:r>
              <w:rPr>
                <w:sz w:val="20"/>
                <w:szCs w:val="20"/>
              </w:rPr>
              <w:t>1</w:t>
            </w:r>
          </w:p>
        </w:tc>
        <w:tc>
          <w:tcPr>
            <w:tcW w:w="0" w:type="auto"/>
            <w:noWrap/>
            <w:vAlign w:val="bottom"/>
            <w:hideMark/>
          </w:tcPr>
          <w:p w14:paraId="6150175B" w14:textId="77777777" w:rsidR="00000000" w:rsidRDefault="00632532">
            <w:pPr>
              <w:pStyle w:val="a3"/>
              <w:spacing w:before="0" w:beforeAutospacing="0" w:after="0" w:afterAutospacing="0"/>
              <w:rPr>
                <w:sz w:val="20"/>
                <w:szCs w:val="20"/>
              </w:rPr>
            </w:pPr>
            <w:r>
              <w:rPr>
                <w:sz w:val="20"/>
                <w:szCs w:val="20"/>
              </w:rPr>
              <w:t> </w:t>
            </w:r>
          </w:p>
        </w:tc>
      </w:tr>
      <w:tr w:rsidR="00000000" w14:paraId="0C87197B" w14:textId="77777777">
        <w:trPr>
          <w:divId w:val="341133366"/>
          <w:trHeight w:val="200"/>
          <w:tblCellSpacing w:w="15" w:type="dxa"/>
        </w:trPr>
        <w:tc>
          <w:tcPr>
            <w:tcW w:w="0" w:type="auto"/>
            <w:vAlign w:val="bottom"/>
            <w:hideMark/>
          </w:tcPr>
          <w:p w14:paraId="16694954" w14:textId="77777777" w:rsidR="00000000" w:rsidRDefault="00632532">
            <w:pPr>
              <w:pStyle w:val="a3"/>
              <w:spacing w:before="0" w:beforeAutospacing="0" w:after="0" w:afterAutospacing="0"/>
              <w:rPr>
                <w:sz w:val="20"/>
                <w:szCs w:val="20"/>
              </w:rPr>
            </w:pPr>
            <w:r>
              <w:rPr>
                <w:sz w:val="20"/>
                <w:szCs w:val="20"/>
              </w:rPr>
              <w:t>Identifiable intangible asset</w:t>
            </w:r>
            <w:r>
              <w:rPr>
                <w:sz w:val="20"/>
                <w:szCs w:val="20"/>
              </w:rPr>
              <w:t>s</w:t>
            </w:r>
          </w:p>
        </w:tc>
        <w:tc>
          <w:tcPr>
            <w:tcW w:w="0" w:type="auto"/>
            <w:noWrap/>
            <w:vAlign w:val="bottom"/>
            <w:hideMark/>
          </w:tcPr>
          <w:p w14:paraId="602EE7B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7C4D46" w14:textId="77777777" w:rsidR="00000000" w:rsidRDefault="00632532">
            <w:pPr>
              <w:pStyle w:val="a3"/>
              <w:spacing w:before="0" w:beforeAutospacing="0" w:after="0" w:afterAutospacing="0"/>
              <w:jc w:val="right"/>
              <w:rPr>
                <w:sz w:val="20"/>
                <w:szCs w:val="20"/>
              </w:rPr>
            </w:pPr>
            <w:r>
              <w:rPr>
                <w:sz w:val="20"/>
                <w:szCs w:val="20"/>
              </w:rPr>
              <w:t>56,56</w:t>
            </w:r>
            <w:r>
              <w:rPr>
                <w:sz w:val="20"/>
                <w:szCs w:val="20"/>
              </w:rPr>
              <w:t>0</w:t>
            </w:r>
          </w:p>
        </w:tc>
        <w:tc>
          <w:tcPr>
            <w:tcW w:w="0" w:type="auto"/>
            <w:noWrap/>
            <w:vAlign w:val="bottom"/>
            <w:hideMark/>
          </w:tcPr>
          <w:p w14:paraId="75AD1838" w14:textId="77777777" w:rsidR="00000000" w:rsidRDefault="00632532">
            <w:pPr>
              <w:pStyle w:val="a3"/>
              <w:spacing w:before="0" w:beforeAutospacing="0" w:after="0" w:afterAutospacing="0"/>
              <w:rPr>
                <w:sz w:val="20"/>
                <w:szCs w:val="20"/>
              </w:rPr>
            </w:pPr>
            <w:r>
              <w:rPr>
                <w:sz w:val="20"/>
                <w:szCs w:val="20"/>
              </w:rPr>
              <w:t> </w:t>
            </w:r>
          </w:p>
        </w:tc>
      </w:tr>
      <w:tr w:rsidR="00000000" w14:paraId="03B2991B" w14:textId="77777777">
        <w:trPr>
          <w:divId w:val="341133366"/>
          <w:trHeight w:val="200"/>
          <w:tblCellSpacing w:w="15" w:type="dxa"/>
        </w:trPr>
        <w:tc>
          <w:tcPr>
            <w:tcW w:w="0" w:type="auto"/>
            <w:vAlign w:val="bottom"/>
            <w:hideMark/>
          </w:tcPr>
          <w:p w14:paraId="35E934EA" w14:textId="77777777" w:rsidR="00000000" w:rsidRDefault="00632532">
            <w:pPr>
              <w:pStyle w:val="a3"/>
              <w:spacing w:before="0" w:beforeAutospacing="0" w:after="0" w:afterAutospacing="0"/>
              <w:rPr>
                <w:sz w:val="20"/>
                <w:szCs w:val="20"/>
              </w:rPr>
            </w:pPr>
            <w:r>
              <w:rPr>
                <w:sz w:val="20"/>
                <w:szCs w:val="20"/>
              </w:rPr>
              <w:t>Operating lease liabilitie</w:t>
            </w:r>
            <w:r>
              <w:rPr>
                <w:sz w:val="20"/>
                <w:szCs w:val="20"/>
              </w:rPr>
              <w:t>s</w:t>
            </w:r>
          </w:p>
        </w:tc>
        <w:tc>
          <w:tcPr>
            <w:tcW w:w="0" w:type="auto"/>
            <w:noWrap/>
            <w:vAlign w:val="bottom"/>
            <w:hideMark/>
          </w:tcPr>
          <w:p w14:paraId="4E9FB57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00B858" w14:textId="77777777" w:rsidR="00000000" w:rsidRDefault="00632532">
            <w:pPr>
              <w:pStyle w:val="a3"/>
              <w:spacing w:before="0" w:beforeAutospacing="0" w:after="0" w:afterAutospacing="0"/>
              <w:jc w:val="right"/>
              <w:rPr>
                <w:sz w:val="20"/>
                <w:szCs w:val="20"/>
              </w:rPr>
            </w:pPr>
            <w:r>
              <w:rPr>
                <w:sz w:val="20"/>
                <w:szCs w:val="20"/>
              </w:rPr>
              <w:t>(</w:t>
            </w:r>
            <w:r>
              <w:rPr>
                <w:sz w:val="20"/>
                <w:szCs w:val="20"/>
              </w:rPr>
              <w:t>12,65</w:t>
            </w:r>
            <w:r>
              <w:rPr>
                <w:sz w:val="20"/>
                <w:szCs w:val="20"/>
              </w:rPr>
              <w:t>3</w:t>
            </w:r>
          </w:p>
        </w:tc>
        <w:tc>
          <w:tcPr>
            <w:tcW w:w="0" w:type="auto"/>
            <w:noWrap/>
            <w:vAlign w:val="bottom"/>
            <w:hideMark/>
          </w:tcPr>
          <w:p w14:paraId="16ACF152" w14:textId="77777777" w:rsidR="00000000" w:rsidRDefault="00632532">
            <w:pPr>
              <w:pStyle w:val="a3"/>
              <w:spacing w:before="0" w:beforeAutospacing="0" w:after="0" w:afterAutospacing="0"/>
              <w:rPr>
                <w:sz w:val="20"/>
                <w:szCs w:val="20"/>
              </w:rPr>
            </w:pPr>
            <w:r>
              <w:rPr>
                <w:sz w:val="20"/>
                <w:szCs w:val="20"/>
              </w:rPr>
              <w:t>)</w:t>
            </w:r>
          </w:p>
        </w:tc>
      </w:tr>
      <w:tr w:rsidR="00000000" w14:paraId="12C60F54" w14:textId="77777777">
        <w:trPr>
          <w:divId w:val="341133366"/>
          <w:trHeight w:val="200"/>
          <w:tblCellSpacing w:w="15" w:type="dxa"/>
        </w:trPr>
        <w:tc>
          <w:tcPr>
            <w:tcW w:w="0" w:type="auto"/>
            <w:vAlign w:val="bottom"/>
            <w:hideMark/>
          </w:tcPr>
          <w:p w14:paraId="75A84AC4" w14:textId="77777777" w:rsidR="00000000" w:rsidRDefault="00632532">
            <w:pPr>
              <w:pStyle w:val="a3"/>
              <w:spacing w:before="0" w:beforeAutospacing="0" w:after="0" w:afterAutospacing="0"/>
              <w:rPr>
                <w:sz w:val="20"/>
                <w:szCs w:val="20"/>
              </w:rPr>
            </w:pPr>
            <w:r>
              <w:rPr>
                <w:sz w:val="20"/>
                <w:szCs w:val="20"/>
              </w:rPr>
              <w:t>Finance lease liabilitie</w:t>
            </w:r>
            <w:r>
              <w:rPr>
                <w:sz w:val="20"/>
                <w:szCs w:val="20"/>
              </w:rPr>
              <w:t>s</w:t>
            </w:r>
          </w:p>
        </w:tc>
        <w:tc>
          <w:tcPr>
            <w:tcW w:w="0" w:type="auto"/>
            <w:noWrap/>
            <w:vAlign w:val="bottom"/>
            <w:hideMark/>
          </w:tcPr>
          <w:p w14:paraId="5449369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C11727" w14:textId="77777777" w:rsidR="00000000" w:rsidRDefault="00632532">
            <w:pPr>
              <w:pStyle w:val="a3"/>
              <w:spacing w:before="0" w:beforeAutospacing="0" w:after="0" w:afterAutospacing="0"/>
              <w:jc w:val="right"/>
              <w:rPr>
                <w:sz w:val="20"/>
                <w:szCs w:val="20"/>
              </w:rPr>
            </w:pPr>
            <w:r>
              <w:rPr>
                <w:sz w:val="20"/>
                <w:szCs w:val="20"/>
              </w:rPr>
              <w:t>(</w:t>
            </w:r>
            <w:r>
              <w:rPr>
                <w:sz w:val="20"/>
                <w:szCs w:val="20"/>
              </w:rPr>
              <w:t>1,18</w:t>
            </w:r>
            <w:r>
              <w:rPr>
                <w:sz w:val="20"/>
                <w:szCs w:val="20"/>
              </w:rPr>
              <w:t>3</w:t>
            </w:r>
          </w:p>
        </w:tc>
        <w:tc>
          <w:tcPr>
            <w:tcW w:w="0" w:type="auto"/>
            <w:noWrap/>
            <w:vAlign w:val="bottom"/>
            <w:hideMark/>
          </w:tcPr>
          <w:p w14:paraId="65A1FF25" w14:textId="77777777" w:rsidR="00000000" w:rsidRDefault="00632532">
            <w:pPr>
              <w:pStyle w:val="a3"/>
              <w:spacing w:before="0" w:beforeAutospacing="0" w:after="0" w:afterAutospacing="0"/>
              <w:rPr>
                <w:sz w:val="20"/>
                <w:szCs w:val="20"/>
              </w:rPr>
            </w:pPr>
            <w:r>
              <w:rPr>
                <w:sz w:val="20"/>
                <w:szCs w:val="20"/>
              </w:rPr>
              <w:t>)</w:t>
            </w:r>
          </w:p>
        </w:tc>
      </w:tr>
      <w:tr w:rsidR="00000000" w14:paraId="2B4310DE" w14:textId="77777777">
        <w:trPr>
          <w:divId w:val="341133366"/>
          <w:trHeight w:val="200"/>
          <w:tblCellSpacing w:w="15" w:type="dxa"/>
        </w:trPr>
        <w:tc>
          <w:tcPr>
            <w:tcW w:w="0" w:type="auto"/>
            <w:vAlign w:val="bottom"/>
            <w:hideMark/>
          </w:tcPr>
          <w:p w14:paraId="5346B7AC" w14:textId="77777777" w:rsidR="00000000" w:rsidRDefault="00632532">
            <w:pPr>
              <w:pStyle w:val="a3"/>
              <w:spacing w:before="0" w:beforeAutospacing="0" w:after="0" w:afterAutospacing="0"/>
              <w:rPr>
                <w:sz w:val="20"/>
                <w:szCs w:val="20"/>
              </w:rPr>
            </w:pPr>
            <w:r>
              <w:rPr>
                <w:sz w:val="20"/>
                <w:szCs w:val="20"/>
              </w:rPr>
              <w:t>Income tax payabl</w:t>
            </w:r>
            <w:r>
              <w:rPr>
                <w:sz w:val="20"/>
                <w:szCs w:val="20"/>
              </w:rPr>
              <w:t>e</w:t>
            </w:r>
          </w:p>
        </w:tc>
        <w:tc>
          <w:tcPr>
            <w:tcW w:w="0" w:type="auto"/>
            <w:noWrap/>
            <w:vAlign w:val="bottom"/>
            <w:hideMark/>
          </w:tcPr>
          <w:p w14:paraId="5B01172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3E11811" w14:textId="77777777" w:rsidR="00000000" w:rsidRDefault="00632532">
            <w:pPr>
              <w:pStyle w:val="a3"/>
              <w:spacing w:before="0" w:beforeAutospacing="0" w:after="0" w:afterAutospacing="0"/>
              <w:jc w:val="right"/>
              <w:rPr>
                <w:sz w:val="20"/>
                <w:szCs w:val="20"/>
              </w:rPr>
            </w:pPr>
            <w:r>
              <w:rPr>
                <w:sz w:val="20"/>
                <w:szCs w:val="20"/>
              </w:rPr>
              <w:t>(</w:t>
            </w:r>
            <w:r>
              <w:rPr>
                <w:sz w:val="20"/>
                <w:szCs w:val="20"/>
              </w:rPr>
              <w:t>4</w:t>
            </w:r>
            <w:r>
              <w:rPr>
                <w:sz w:val="20"/>
                <w:szCs w:val="20"/>
              </w:rPr>
              <w:t>0</w:t>
            </w:r>
          </w:p>
        </w:tc>
        <w:tc>
          <w:tcPr>
            <w:tcW w:w="0" w:type="auto"/>
            <w:noWrap/>
            <w:vAlign w:val="bottom"/>
            <w:hideMark/>
          </w:tcPr>
          <w:p w14:paraId="7D651E29" w14:textId="77777777" w:rsidR="00000000" w:rsidRDefault="00632532">
            <w:pPr>
              <w:pStyle w:val="a3"/>
              <w:spacing w:before="0" w:beforeAutospacing="0" w:after="0" w:afterAutospacing="0"/>
              <w:rPr>
                <w:sz w:val="20"/>
                <w:szCs w:val="20"/>
              </w:rPr>
            </w:pPr>
            <w:r>
              <w:rPr>
                <w:sz w:val="20"/>
                <w:szCs w:val="20"/>
              </w:rPr>
              <w:t>)</w:t>
            </w:r>
          </w:p>
        </w:tc>
      </w:tr>
      <w:tr w:rsidR="00000000" w14:paraId="5153B6F2" w14:textId="77777777">
        <w:trPr>
          <w:divId w:val="341133366"/>
          <w:trHeight w:val="200"/>
          <w:tblCellSpacing w:w="15" w:type="dxa"/>
        </w:trPr>
        <w:tc>
          <w:tcPr>
            <w:tcW w:w="0" w:type="auto"/>
            <w:vAlign w:val="bottom"/>
            <w:hideMark/>
          </w:tcPr>
          <w:p w14:paraId="46EAE5CC" w14:textId="77777777" w:rsidR="00000000" w:rsidRDefault="00632532">
            <w:pPr>
              <w:pStyle w:val="a3"/>
              <w:spacing w:before="0" w:beforeAutospacing="0" w:after="0" w:afterAutospacing="0"/>
              <w:rPr>
                <w:sz w:val="20"/>
                <w:szCs w:val="20"/>
              </w:rPr>
            </w:pPr>
            <w:r>
              <w:rPr>
                <w:sz w:val="20"/>
                <w:szCs w:val="20"/>
              </w:rPr>
              <w:t>Other long-term liabilitie</w:t>
            </w:r>
            <w:r>
              <w:rPr>
                <w:sz w:val="20"/>
                <w:szCs w:val="20"/>
              </w:rPr>
              <w:t>s</w:t>
            </w:r>
          </w:p>
        </w:tc>
        <w:tc>
          <w:tcPr>
            <w:tcW w:w="0" w:type="auto"/>
            <w:noWrap/>
            <w:vAlign w:val="bottom"/>
            <w:hideMark/>
          </w:tcPr>
          <w:p w14:paraId="3C7E921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B71AB3" w14:textId="77777777" w:rsidR="00000000" w:rsidRDefault="00632532">
            <w:pPr>
              <w:pStyle w:val="a3"/>
              <w:spacing w:before="0" w:beforeAutospacing="0" w:after="0" w:afterAutospacing="0"/>
              <w:jc w:val="right"/>
              <w:rPr>
                <w:sz w:val="20"/>
                <w:szCs w:val="20"/>
              </w:rPr>
            </w:pPr>
            <w:r>
              <w:rPr>
                <w:sz w:val="20"/>
                <w:szCs w:val="20"/>
              </w:rPr>
              <w:t>(</w:t>
            </w:r>
            <w:r>
              <w:rPr>
                <w:sz w:val="20"/>
                <w:szCs w:val="20"/>
              </w:rPr>
              <w:t>4,44</w:t>
            </w:r>
            <w:r>
              <w:rPr>
                <w:sz w:val="20"/>
                <w:szCs w:val="20"/>
              </w:rPr>
              <w:t>9</w:t>
            </w:r>
          </w:p>
        </w:tc>
        <w:tc>
          <w:tcPr>
            <w:tcW w:w="0" w:type="auto"/>
            <w:noWrap/>
            <w:vAlign w:val="bottom"/>
            <w:hideMark/>
          </w:tcPr>
          <w:p w14:paraId="31883486" w14:textId="77777777" w:rsidR="00000000" w:rsidRDefault="00632532">
            <w:pPr>
              <w:pStyle w:val="a3"/>
              <w:spacing w:before="0" w:beforeAutospacing="0" w:after="0" w:afterAutospacing="0"/>
              <w:rPr>
                <w:sz w:val="20"/>
                <w:szCs w:val="20"/>
              </w:rPr>
            </w:pPr>
            <w:r>
              <w:rPr>
                <w:sz w:val="20"/>
                <w:szCs w:val="20"/>
              </w:rPr>
              <w:t>)</w:t>
            </w:r>
          </w:p>
        </w:tc>
      </w:tr>
      <w:tr w:rsidR="00000000" w14:paraId="7EF558A2" w14:textId="77777777">
        <w:trPr>
          <w:divId w:val="341133366"/>
          <w:trHeight w:val="200"/>
          <w:tblCellSpacing w:w="15" w:type="dxa"/>
        </w:trPr>
        <w:tc>
          <w:tcPr>
            <w:tcW w:w="0" w:type="auto"/>
            <w:vAlign w:val="bottom"/>
            <w:hideMark/>
          </w:tcPr>
          <w:p w14:paraId="139E3995" w14:textId="77777777" w:rsidR="00000000" w:rsidRDefault="00632532">
            <w:pPr>
              <w:pStyle w:val="a3"/>
              <w:spacing w:before="0" w:beforeAutospacing="0" w:after="0" w:afterAutospacing="0"/>
              <w:rPr>
                <w:sz w:val="20"/>
                <w:szCs w:val="20"/>
              </w:rPr>
            </w:pPr>
            <w:r>
              <w:rPr>
                <w:sz w:val="20"/>
                <w:szCs w:val="20"/>
              </w:rPr>
              <w:t>Recognized amounts of identifiable assets acquired and liabilities assumed, ne</w:t>
            </w:r>
            <w:r>
              <w:rPr>
                <w:sz w:val="20"/>
                <w:szCs w:val="20"/>
              </w:rPr>
              <w:t>t</w:t>
            </w:r>
          </w:p>
        </w:tc>
        <w:tc>
          <w:tcPr>
            <w:tcW w:w="0" w:type="auto"/>
            <w:noWrap/>
            <w:vAlign w:val="bottom"/>
            <w:hideMark/>
          </w:tcPr>
          <w:p w14:paraId="3813D08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33F594" w14:textId="77777777" w:rsidR="00000000" w:rsidRDefault="00632532">
            <w:pPr>
              <w:pStyle w:val="a3"/>
              <w:spacing w:before="0" w:beforeAutospacing="0" w:after="0" w:afterAutospacing="0"/>
              <w:jc w:val="right"/>
              <w:rPr>
                <w:sz w:val="20"/>
                <w:szCs w:val="20"/>
              </w:rPr>
            </w:pPr>
            <w:r>
              <w:rPr>
                <w:sz w:val="20"/>
                <w:szCs w:val="20"/>
              </w:rPr>
              <w:t>66,17</w:t>
            </w:r>
            <w:r>
              <w:rPr>
                <w:sz w:val="20"/>
                <w:szCs w:val="20"/>
              </w:rPr>
              <w:t>1</w:t>
            </w:r>
          </w:p>
        </w:tc>
        <w:tc>
          <w:tcPr>
            <w:tcW w:w="0" w:type="auto"/>
            <w:noWrap/>
            <w:vAlign w:val="bottom"/>
            <w:hideMark/>
          </w:tcPr>
          <w:p w14:paraId="4361187D" w14:textId="77777777" w:rsidR="00000000" w:rsidRDefault="00632532">
            <w:pPr>
              <w:pStyle w:val="a3"/>
              <w:spacing w:before="0" w:beforeAutospacing="0" w:after="0" w:afterAutospacing="0"/>
              <w:rPr>
                <w:sz w:val="20"/>
                <w:szCs w:val="20"/>
              </w:rPr>
            </w:pPr>
            <w:r>
              <w:rPr>
                <w:sz w:val="20"/>
                <w:szCs w:val="20"/>
              </w:rPr>
              <w:t> </w:t>
            </w:r>
          </w:p>
        </w:tc>
      </w:tr>
      <w:tr w:rsidR="00000000" w14:paraId="5005932E" w14:textId="77777777">
        <w:trPr>
          <w:divId w:val="341133366"/>
          <w:trHeight w:val="200"/>
          <w:tblCellSpacing w:w="15" w:type="dxa"/>
        </w:trPr>
        <w:tc>
          <w:tcPr>
            <w:tcW w:w="0" w:type="auto"/>
            <w:vAlign w:val="bottom"/>
            <w:hideMark/>
          </w:tcPr>
          <w:p w14:paraId="25564E44" w14:textId="77777777" w:rsidR="00000000" w:rsidRDefault="00632532">
            <w:pPr>
              <w:pStyle w:val="a3"/>
              <w:spacing w:before="0" w:beforeAutospacing="0" w:after="0" w:afterAutospacing="0"/>
              <w:rPr>
                <w:sz w:val="20"/>
                <w:szCs w:val="20"/>
              </w:rPr>
            </w:pPr>
            <w:r>
              <w:rPr>
                <w:sz w:val="20"/>
                <w:szCs w:val="20"/>
              </w:rPr>
              <w:t>Goodwil</w:t>
            </w:r>
            <w:r>
              <w:rPr>
                <w:sz w:val="20"/>
                <w:szCs w:val="20"/>
              </w:rPr>
              <w:t>l</w:t>
            </w:r>
          </w:p>
        </w:tc>
        <w:tc>
          <w:tcPr>
            <w:tcW w:w="0" w:type="auto"/>
            <w:noWrap/>
            <w:vAlign w:val="bottom"/>
            <w:hideMark/>
          </w:tcPr>
          <w:p w14:paraId="7B0553A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6671C6A" w14:textId="77777777" w:rsidR="00000000" w:rsidRDefault="00632532">
            <w:pPr>
              <w:pStyle w:val="a3"/>
              <w:spacing w:before="0" w:beforeAutospacing="0" w:after="0" w:afterAutospacing="0"/>
              <w:jc w:val="right"/>
              <w:rPr>
                <w:sz w:val="20"/>
                <w:szCs w:val="20"/>
              </w:rPr>
            </w:pPr>
            <w:r>
              <w:rPr>
                <w:sz w:val="20"/>
                <w:szCs w:val="20"/>
              </w:rPr>
              <w:t>71,58</w:t>
            </w:r>
            <w:r>
              <w:rPr>
                <w:sz w:val="20"/>
                <w:szCs w:val="20"/>
              </w:rPr>
              <w:t>4</w:t>
            </w:r>
          </w:p>
        </w:tc>
        <w:tc>
          <w:tcPr>
            <w:tcW w:w="0" w:type="auto"/>
            <w:noWrap/>
            <w:vAlign w:val="bottom"/>
            <w:hideMark/>
          </w:tcPr>
          <w:p w14:paraId="0CB9D3F8" w14:textId="77777777" w:rsidR="00000000" w:rsidRDefault="00632532">
            <w:pPr>
              <w:pStyle w:val="a3"/>
              <w:spacing w:before="0" w:beforeAutospacing="0" w:after="0" w:afterAutospacing="0"/>
              <w:rPr>
                <w:sz w:val="20"/>
                <w:szCs w:val="20"/>
              </w:rPr>
            </w:pPr>
            <w:r>
              <w:rPr>
                <w:sz w:val="20"/>
                <w:szCs w:val="20"/>
              </w:rPr>
              <w:t> </w:t>
            </w:r>
          </w:p>
        </w:tc>
      </w:tr>
      <w:tr w:rsidR="00000000" w14:paraId="54B16AE1" w14:textId="77777777">
        <w:trPr>
          <w:divId w:val="341133366"/>
          <w:trHeight w:val="200"/>
          <w:tblCellSpacing w:w="15" w:type="dxa"/>
        </w:trPr>
        <w:tc>
          <w:tcPr>
            <w:tcW w:w="0" w:type="auto"/>
            <w:vAlign w:val="bottom"/>
            <w:hideMark/>
          </w:tcPr>
          <w:p w14:paraId="00EC2D7F" w14:textId="77777777" w:rsidR="00000000" w:rsidRDefault="00632532">
            <w:pPr>
              <w:pStyle w:val="a3"/>
              <w:spacing w:before="0" w:beforeAutospacing="0" w:after="0" w:afterAutospacing="0"/>
              <w:rPr>
                <w:sz w:val="20"/>
                <w:szCs w:val="20"/>
              </w:rPr>
            </w:pPr>
            <w:r>
              <w:rPr>
                <w:sz w:val="20"/>
                <w:szCs w:val="20"/>
              </w:rPr>
              <w:t>Tota</w:t>
            </w:r>
            <w:r>
              <w:rPr>
                <w:sz w:val="20"/>
                <w:szCs w:val="20"/>
              </w:rPr>
              <w:t>l</w:t>
            </w:r>
          </w:p>
        </w:tc>
        <w:tc>
          <w:tcPr>
            <w:tcW w:w="0" w:type="auto"/>
            <w:noWrap/>
            <w:vAlign w:val="bottom"/>
            <w:hideMark/>
          </w:tcPr>
          <w:p w14:paraId="7F9A162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551F9FE" w14:textId="77777777" w:rsidR="00000000" w:rsidRDefault="00632532">
            <w:pPr>
              <w:pStyle w:val="a3"/>
              <w:spacing w:before="0" w:beforeAutospacing="0" w:after="0" w:afterAutospacing="0"/>
              <w:jc w:val="right"/>
              <w:rPr>
                <w:sz w:val="20"/>
                <w:szCs w:val="20"/>
              </w:rPr>
            </w:pPr>
            <w:r>
              <w:rPr>
                <w:sz w:val="20"/>
                <w:szCs w:val="20"/>
              </w:rPr>
              <w:t>137,75</w:t>
            </w:r>
            <w:r>
              <w:rPr>
                <w:sz w:val="20"/>
                <w:szCs w:val="20"/>
              </w:rPr>
              <w:t>5</w:t>
            </w:r>
          </w:p>
        </w:tc>
        <w:tc>
          <w:tcPr>
            <w:tcW w:w="0" w:type="auto"/>
            <w:noWrap/>
            <w:vAlign w:val="bottom"/>
            <w:hideMark/>
          </w:tcPr>
          <w:p w14:paraId="44F06076" w14:textId="77777777" w:rsidR="00000000" w:rsidRDefault="00632532">
            <w:pPr>
              <w:pStyle w:val="a3"/>
              <w:spacing w:before="0" w:beforeAutospacing="0" w:after="0" w:afterAutospacing="0"/>
              <w:rPr>
                <w:sz w:val="20"/>
                <w:szCs w:val="20"/>
              </w:rPr>
            </w:pPr>
            <w:r>
              <w:rPr>
                <w:sz w:val="20"/>
                <w:szCs w:val="20"/>
              </w:rPr>
              <w:t> </w:t>
            </w:r>
          </w:p>
        </w:tc>
      </w:tr>
    </w:tbl>
    <w:p w14:paraId="355E15AD" w14:textId="77777777" w:rsidR="00000000" w:rsidRDefault="00632532">
      <w:pPr>
        <w:pStyle w:val="a3"/>
        <w:spacing w:before="0" w:beforeAutospacing="0" w:after="0" w:afterAutospacing="0"/>
        <w:divId w:val="341133366"/>
        <w:rPr>
          <w:sz w:val="20"/>
          <w:szCs w:val="20"/>
        </w:rPr>
      </w:pPr>
      <w:r>
        <w:rPr>
          <w:sz w:val="20"/>
          <w:szCs w:val="20"/>
        </w:rPr>
        <w:t> </w:t>
      </w:r>
    </w:p>
    <w:p w14:paraId="757262D0" w14:textId="77777777" w:rsidR="00000000" w:rsidRDefault="00632532">
      <w:pPr>
        <w:pStyle w:val="a3"/>
        <w:spacing w:before="240" w:beforeAutospacing="0" w:after="0" w:afterAutospacing="0"/>
        <w:jc w:val="center"/>
        <w:divId w:val="341133366"/>
        <w:rPr>
          <w:sz w:val="20"/>
          <w:szCs w:val="20"/>
        </w:rPr>
      </w:pPr>
      <w:r>
        <w:rPr>
          <w:sz w:val="20"/>
          <w:szCs w:val="20"/>
        </w:rPr>
        <w:t>2</w:t>
      </w:r>
      <w:r>
        <w:rPr>
          <w:sz w:val="20"/>
          <w:szCs w:val="20"/>
        </w:rPr>
        <w:t>1</w:t>
      </w:r>
    </w:p>
    <w:p w14:paraId="4045C504" w14:textId="77777777" w:rsidR="00000000" w:rsidRDefault="00632532">
      <w:pPr>
        <w:divId w:val="341133366"/>
        <w:rPr>
          <w:rFonts w:eastAsia="Times New Roman"/>
          <w:sz w:val="22"/>
          <w:szCs w:val="22"/>
        </w:rPr>
      </w:pPr>
      <w:r>
        <w:rPr>
          <w:rFonts w:eastAsia="Times New Roman"/>
          <w:sz w:val="22"/>
          <w:szCs w:val="22"/>
        </w:rPr>
        <w:pict w14:anchorId="5F3715B2">
          <v:rect id="_x0000_i1047" style="width:0;height:1.5pt" o:hralign="center" o:hrstd="t" o:hr="t" fillcolor="#a0a0a0" stroked="f"/>
        </w:pict>
      </w:r>
    </w:p>
    <w:p w14:paraId="4FA4033E" w14:textId="77777777" w:rsidR="00000000" w:rsidRDefault="00632532">
      <w:pPr>
        <w:pStyle w:val="a3"/>
        <w:spacing w:before="240" w:beforeAutospacing="0" w:after="0" w:afterAutospacing="0"/>
        <w:ind w:firstLine="539"/>
        <w:divId w:val="1857189162"/>
        <w:rPr>
          <w:sz w:val="20"/>
          <w:szCs w:val="20"/>
        </w:rPr>
      </w:pPr>
      <w:r>
        <w:rPr>
          <w:sz w:val="20"/>
          <w:szCs w:val="20"/>
        </w:rPr>
        <w:t xml:space="preserve">The goodwill of </w:t>
      </w:r>
      <w:r>
        <w:rPr>
          <w:sz w:val="20"/>
          <w:szCs w:val="20"/>
        </w:rPr>
        <w:t>$</w:t>
      </w:r>
      <w:r>
        <w:rPr>
          <w:sz w:val="20"/>
          <w:szCs w:val="20"/>
        </w:rPr>
        <w:t>71.</w:t>
      </w:r>
      <w:r>
        <w:rPr>
          <w:sz w:val="20"/>
          <w:szCs w:val="20"/>
        </w:rPr>
        <w:t>6</w:t>
      </w:r>
      <w:r>
        <w:rPr>
          <w:sz w:val="20"/>
          <w:szCs w:val="20"/>
        </w:rPr>
        <w:t xml:space="preserve"> million arising from the acquisition is attributed to the expected synergies, assembled workforce, other benefits that will be potentially generated from the combination and deferred tax. The goodwi</w:t>
      </w:r>
      <w:r>
        <w:rPr>
          <w:sz w:val="20"/>
          <w:szCs w:val="20"/>
        </w:rPr>
        <w:t>ll recognized is not deductible for tax purposes</w:t>
      </w:r>
      <w:r>
        <w:rPr>
          <w:sz w:val="20"/>
          <w:szCs w:val="20"/>
        </w:rPr>
        <w:t>.</w:t>
      </w:r>
    </w:p>
    <w:p w14:paraId="621D44BA" w14:textId="77777777" w:rsidR="00000000" w:rsidRDefault="00632532">
      <w:pPr>
        <w:pStyle w:val="a3"/>
        <w:spacing w:before="240" w:beforeAutospacing="0" w:after="0" w:afterAutospacing="0"/>
        <w:ind w:firstLine="539"/>
        <w:divId w:val="1857189162"/>
        <w:rPr>
          <w:sz w:val="20"/>
          <w:szCs w:val="20"/>
        </w:rPr>
      </w:pPr>
      <w:r>
        <w:rPr>
          <w:sz w:val="20"/>
          <w:szCs w:val="20"/>
        </w:rPr>
        <w:t xml:space="preserve">The identified intangible assets acquired consisted of </w:t>
      </w:r>
      <w:r>
        <w:rPr>
          <w:sz w:val="20"/>
          <w:szCs w:val="20"/>
        </w:rPr>
        <w:t>$</w:t>
      </w:r>
      <w:r>
        <w:rPr>
          <w:sz w:val="20"/>
          <w:szCs w:val="20"/>
        </w:rPr>
        <w:t>53.</w:t>
      </w:r>
      <w:r>
        <w:rPr>
          <w:sz w:val="20"/>
          <w:szCs w:val="20"/>
        </w:rPr>
        <w:t>5</w:t>
      </w:r>
      <w:r>
        <w:rPr>
          <w:sz w:val="20"/>
          <w:szCs w:val="20"/>
        </w:rPr>
        <w:t xml:space="preserve"> million customer relationships with an estimated amortization life of</w:t>
      </w:r>
      <w:r>
        <w:rPr>
          <w:sz w:val="20"/>
          <w:szCs w:val="20"/>
        </w:rPr>
        <w:t xml:space="preserve"> </w:t>
      </w:r>
      <w:r>
        <w:rPr>
          <w:sz w:val="20"/>
          <w:szCs w:val="20"/>
        </w:rPr>
        <w:t>14</w:t>
      </w:r>
      <w:r>
        <w:rPr>
          <w:sz w:val="20"/>
          <w:szCs w:val="20"/>
        </w:rPr>
        <w:t xml:space="preserve"> </w:t>
      </w:r>
      <w:r>
        <w:rPr>
          <w:sz w:val="20"/>
          <w:szCs w:val="20"/>
        </w:rPr>
        <w:t xml:space="preserve">years, </w:t>
      </w:r>
      <w:r>
        <w:rPr>
          <w:sz w:val="20"/>
          <w:szCs w:val="20"/>
        </w:rPr>
        <w:t>$</w:t>
      </w:r>
      <w:r>
        <w:rPr>
          <w:sz w:val="20"/>
          <w:szCs w:val="20"/>
        </w:rPr>
        <w:t>2.</w:t>
      </w:r>
      <w:r>
        <w:rPr>
          <w:sz w:val="20"/>
          <w:szCs w:val="20"/>
        </w:rPr>
        <w:t>7</w:t>
      </w:r>
      <w:r>
        <w:rPr>
          <w:sz w:val="20"/>
          <w:szCs w:val="20"/>
        </w:rPr>
        <w:t xml:space="preserve"> million trade name with an estimated amortization life of</w:t>
      </w:r>
      <w:r>
        <w:rPr>
          <w:sz w:val="20"/>
          <w:szCs w:val="20"/>
        </w:rPr>
        <w:t xml:space="preserve"> </w:t>
      </w:r>
      <w:r>
        <w:rPr>
          <w:sz w:val="20"/>
          <w:szCs w:val="20"/>
        </w:rPr>
        <w:t>7</w:t>
      </w:r>
      <w:r>
        <w:rPr>
          <w:sz w:val="20"/>
          <w:szCs w:val="20"/>
        </w:rPr>
        <w:t xml:space="preserve"> </w:t>
      </w:r>
      <w:r>
        <w:rPr>
          <w:sz w:val="20"/>
          <w:szCs w:val="20"/>
        </w:rPr>
        <w:t xml:space="preserve">years, and </w:t>
      </w:r>
      <w:r>
        <w:rPr>
          <w:sz w:val="20"/>
          <w:szCs w:val="20"/>
        </w:rPr>
        <w:t>$</w:t>
      </w:r>
      <w:r>
        <w:rPr>
          <w:sz w:val="20"/>
          <w:szCs w:val="20"/>
        </w:rPr>
        <w:t>360,00</w:t>
      </w:r>
      <w:r>
        <w:rPr>
          <w:sz w:val="20"/>
          <w:szCs w:val="20"/>
        </w:rPr>
        <w:t>0</w:t>
      </w:r>
      <w:r>
        <w:rPr>
          <w:sz w:val="20"/>
          <w:szCs w:val="20"/>
        </w:rPr>
        <w:t xml:space="preserve"> in-place lease intangible asset to be amortized over the remaining lease term of</w:t>
      </w:r>
      <w:r>
        <w:rPr>
          <w:sz w:val="20"/>
          <w:szCs w:val="20"/>
        </w:rPr>
        <w:t xml:space="preserve"> </w:t>
      </w:r>
      <w:r>
        <w:rPr>
          <w:sz w:val="20"/>
          <w:szCs w:val="20"/>
        </w:rPr>
        <w:t>5</w:t>
      </w:r>
      <w:r>
        <w:rPr>
          <w:sz w:val="20"/>
          <w:szCs w:val="20"/>
        </w:rPr>
        <w:t xml:space="preserve"> years</w:t>
      </w:r>
      <w:r>
        <w:rPr>
          <w:sz w:val="20"/>
          <w:szCs w:val="20"/>
        </w:rPr>
        <w:t>.</w:t>
      </w:r>
    </w:p>
    <w:p w14:paraId="17E2804B" w14:textId="77777777" w:rsidR="00000000" w:rsidRDefault="00632532">
      <w:pPr>
        <w:pStyle w:val="a3"/>
        <w:spacing w:before="240" w:beforeAutospacing="0" w:after="0" w:afterAutospacing="0"/>
        <w:ind w:firstLine="539"/>
        <w:divId w:val="1857189162"/>
        <w:rPr>
          <w:sz w:val="20"/>
          <w:szCs w:val="20"/>
        </w:rPr>
      </w:pPr>
      <w:r>
        <w:rPr>
          <w:sz w:val="20"/>
          <w:szCs w:val="20"/>
        </w:rPr>
        <w:t>The fair value of the customer relationship was estimated using the Multiperiod Excess Earnings Method, or MPEEM, of the income approach. Under th</w:t>
      </w:r>
      <w:r>
        <w:rPr>
          <w:sz w:val="20"/>
          <w:szCs w:val="20"/>
        </w:rPr>
        <w:t xml:space="preserve">e MPEEM, an intangible asset’s fair value is equal to the present value of the incremental after-tax cash flows attributable only to the subject intangible asset after deducting contributory asset charges. The incremental after-tax cash flows attributable </w:t>
      </w:r>
      <w:r>
        <w:rPr>
          <w:sz w:val="20"/>
          <w:szCs w:val="20"/>
        </w:rPr>
        <w:t xml:space="preserve">to the customer relationships are then discounted to their present value at a risk-adjusted rate of return. The fair value of the trade name was estimated using the relief from royalty, or RFR, method. The RFR method estimates the portion of the Company's </w:t>
      </w:r>
      <w:r>
        <w:rPr>
          <w:sz w:val="20"/>
          <w:szCs w:val="20"/>
        </w:rPr>
        <w:t>earnings attributable to an intangible asset based on the royalty rate the Company would have paid for the use of the asset if it did not own it. The fair value of in-place lease intangible asset was estimated using the discounted cash flow under the incom</w:t>
      </w:r>
      <w:r>
        <w:rPr>
          <w:sz w:val="20"/>
          <w:szCs w:val="20"/>
        </w:rPr>
        <w:t>e approach. The useful lives of the intangible assets for amortization purposes were determined by considering the period of expected cash flows used to measure the fair values of the intangible assets adjusted as appropriate for entity-specific factors in</w:t>
      </w:r>
      <w:r>
        <w:rPr>
          <w:sz w:val="20"/>
          <w:szCs w:val="20"/>
        </w:rPr>
        <w:t>cluding legal, regulatory, contractual, competitive, economic and other factors that may limit the useful life. The customer relationships and trade name are amortized on a straight-line basis over their estimated useful lives</w:t>
      </w:r>
      <w:r>
        <w:rPr>
          <w:sz w:val="20"/>
          <w:szCs w:val="20"/>
        </w:rPr>
        <w:t>.</w:t>
      </w:r>
    </w:p>
    <w:p w14:paraId="67608639" w14:textId="77777777" w:rsidR="00000000" w:rsidRDefault="00632532">
      <w:pPr>
        <w:pStyle w:val="a3"/>
        <w:spacing w:before="240" w:beforeAutospacing="0" w:after="0" w:afterAutospacing="0"/>
        <w:ind w:firstLine="539"/>
        <w:divId w:val="1857189162"/>
        <w:rPr>
          <w:sz w:val="20"/>
          <w:szCs w:val="20"/>
        </w:rPr>
      </w:pPr>
      <w:r>
        <w:rPr>
          <w:sz w:val="20"/>
          <w:szCs w:val="20"/>
        </w:rPr>
        <w:t>Revenue and operating loss f</w:t>
      </w:r>
      <w:r>
        <w:rPr>
          <w:sz w:val="20"/>
          <w:szCs w:val="20"/>
        </w:rPr>
        <w:t xml:space="preserve">rom the Inform Diagnostics acquisition since the acquisition date are </w:t>
      </w:r>
      <w:r>
        <w:rPr>
          <w:sz w:val="20"/>
          <w:szCs w:val="20"/>
        </w:rPr>
        <w:t>$</w:t>
      </w:r>
      <w:r>
        <w:rPr>
          <w:sz w:val="20"/>
          <w:szCs w:val="20"/>
        </w:rPr>
        <w:t>23.</w:t>
      </w:r>
      <w:r>
        <w:rPr>
          <w:sz w:val="20"/>
          <w:szCs w:val="20"/>
        </w:rPr>
        <w:t>7</w:t>
      </w:r>
      <w:r>
        <w:rPr>
          <w:sz w:val="20"/>
          <w:szCs w:val="20"/>
        </w:rPr>
        <w:t xml:space="preserve"> million and </w:t>
      </w:r>
      <w:r>
        <w:rPr>
          <w:sz w:val="20"/>
          <w:szCs w:val="20"/>
        </w:rPr>
        <w:t>$</w:t>
      </w:r>
      <w:r>
        <w:rPr>
          <w:sz w:val="20"/>
          <w:szCs w:val="20"/>
        </w:rPr>
        <w:t>7.</w:t>
      </w:r>
      <w:r>
        <w:rPr>
          <w:sz w:val="20"/>
          <w:szCs w:val="20"/>
        </w:rPr>
        <w:t>1</w:t>
      </w:r>
      <w:r>
        <w:rPr>
          <w:sz w:val="20"/>
          <w:szCs w:val="20"/>
        </w:rPr>
        <w:t xml:space="preserve"> million, respectively, which are included in the accompanying Condensed Consolidated Statements of Income</w:t>
      </w:r>
      <w:r>
        <w:rPr>
          <w:sz w:val="20"/>
          <w:szCs w:val="20"/>
        </w:rPr>
        <w:t>.</w:t>
      </w:r>
    </w:p>
    <w:p w14:paraId="7D0A35C2" w14:textId="77777777" w:rsidR="00000000" w:rsidRDefault="00632532">
      <w:pPr>
        <w:pStyle w:val="a3"/>
        <w:spacing w:before="240" w:beforeAutospacing="0" w:after="0" w:afterAutospacing="0"/>
        <w:ind w:firstLine="539"/>
        <w:divId w:val="1857189162"/>
        <w:rPr>
          <w:sz w:val="20"/>
          <w:szCs w:val="20"/>
        </w:rPr>
      </w:pPr>
      <w:r>
        <w:rPr>
          <w:sz w:val="20"/>
          <w:szCs w:val="20"/>
        </w:rPr>
        <w:t>The transaction costs associated with the acquisition of</w:t>
      </w:r>
      <w:r>
        <w:rPr>
          <w:sz w:val="20"/>
          <w:szCs w:val="20"/>
        </w:rPr>
        <w:t xml:space="preserve"> Inform Diagnostics consisted primarily of legal, regulatory and financial advisory fees of approximately </w:t>
      </w:r>
      <w:r>
        <w:rPr>
          <w:sz w:val="20"/>
          <w:szCs w:val="20"/>
        </w:rPr>
        <w:t>$</w:t>
      </w:r>
      <w:r>
        <w:rPr>
          <w:sz w:val="20"/>
          <w:szCs w:val="20"/>
        </w:rPr>
        <w:t>5.</w:t>
      </w:r>
      <w:r>
        <w:rPr>
          <w:sz w:val="20"/>
          <w:szCs w:val="20"/>
        </w:rPr>
        <w:t>2</w:t>
      </w:r>
      <w:r>
        <w:rPr>
          <w:sz w:val="20"/>
          <w:szCs w:val="20"/>
        </w:rPr>
        <w:t xml:space="preserve"> million and </w:t>
      </w:r>
      <w:r>
        <w:rPr>
          <w:sz w:val="20"/>
          <w:szCs w:val="20"/>
        </w:rPr>
        <w:t>$</w:t>
      </w:r>
      <w:r>
        <w:rPr>
          <w:sz w:val="20"/>
          <w:szCs w:val="20"/>
        </w:rPr>
        <w:t>6.</w:t>
      </w:r>
      <w:r>
        <w:rPr>
          <w:sz w:val="20"/>
          <w:szCs w:val="20"/>
        </w:rPr>
        <w:t>4</w:t>
      </w:r>
      <w:r>
        <w:rPr>
          <w:sz w:val="20"/>
          <w:szCs w:val="20"/>
        </w:rPr>
        <w:t xml:space="preserve"> million for the three and six months ended June 30, 2022, respectively. These transaction costs were expensed as incurred as sel</w:t>
      </w:r>
      <w:r>
        <w:rPr>
          <w:sz w:val="20"/>
          <w:szCs w:val="20"/>
        </w:rPr>
        <w:t>ling, general and administrative expense in the respective periods</w:t>
      </w:r>
      <w:r>
        <w:rPr>
          <w:sz w:val="20"/>
          <w:szCs w:val="20"/>
        </w:rPr>
        <w:t>.</w:t>
      </w:r>
    </w:p>
    <w:p w14:paraId="0BBD59C0" w14:textId="77777777" w:rsidR="00000000" w:rsidRDefault="00632532">
      <w:pPr>
        <w:pStyle w:val="a3"/>
        <w:spacing w:before="240" w:beforeAutospacing="0" w:after="0" w:afterAutospacing="0"/>
        <w:ind w:firstLine="539"/>
        <w:divId w:val="1857189162"/>
        <w:rPr>
          <w:sz w:val="20"/>
          <w:szCs w:val="20"/>
        </w:rPr>
      </w:pPr>
      <w:r>
        <w:rPr>
          <w:b/>
          <w:bCs/>
          <w:sz w:val="20"/>
          <w:szCs w:val="20"/>
        </w:rPr>
        <w:t>Unaudited Pro Forma Financial Informatio</w:t>
      </w:r>
      <w:r>
        <w:rPr>
          <w:b/>
          <w:bCs/>
          <w:sz w:val="20"/>
          <w:szCs w:val="20"/>
        </w:rPr>
        <w:t>n</w:t>
      </w:r>
    </w:p>
    <w:p w14:paraId="7A28E167" w14:textId="77777777" w:rsidR="00000000" w:rsidRDefault="00632532">
      <w:pPr>
        <w:pStyle w:val="a3"/>
        <w:spacing w:before="120" w:beforeAutospacing="0" w:after="0" w:afterAutospacing="0"/>
        <w:ind w:firstLine="539"/>
        <w:divId w:val="1491748833"/>
        <w:rPr>
          <w:sz w:val="20"/>
          <w:szCs w:val="20"/>
        </w:rPr>
      </w:pPr>
      <w:r>
        <w:rPr>
          <w:sz w:val="20"/>
          <w:szCs w:val="20"/>
        </w:rPr>
        <w:t>The following unaudited pro forma financial information summarizes the combined results of operations of Fulgent and Inform Diagnostics as if the companies had been combined as of the beginning of 2021. The pro forma financial information has been adjusted</w:t>
      </w:r>
      <w:r>
        <w:rPr>
          <w:sz w:val="20"/>
          <w:szCs w:val="20"/>
        </w:rPr>
        <w:t xml:space="preserve"> for the following</w:t>
      </w:r>
      <w:r>
        <w:rPr>
          <w:sz w:val="20"/>
          <w:szCs w:val="20"/>
        </w:rPr>
        <w:t>:</w:t>
      </w:r>
    </w:p>
    <w:p w14:paraId="0D5C37A3" w14:textId="77777777" w:rsidR="00000000" w:rsidRDefault="00632532">
      <w:pPr>
        <w:pStyle w:val="a3"/>
        <w:spacing w:before="240" w:beforeAutospacing="0" w:after="0" w:afterAutospacing="0"/>
        <w:ind w:firstLine="539"/>
        <w:divId w:val="1857189162"/>
        <w:rPr>
          <w:sz w:val="20"/>
          <w:szCs w:val="20"/>
        </w:rPr>
      </w:pPr>
      <w:r>
        <w:rPr>
          <w:i/>
          <w:iCs/>
          <w:sz w:val="20"/>
          <w:szCs w:val="20"/>
        </w:rPr>
        <w:t>Acquisition-related cost</w:t>
      </w:r>
      <w:r>
        <w:rPr>
          <w:i/>
          <w:iCs/>
          <w:sz w:val="20"/>
          <w:szCs w:val="20"/>
        </w:rPr>
        <w:t>s</w:t>
      </w:r>
      <w:r>
        <w:rPr>
          <w:sz w:val="20"/>
          <w:szCs w:val="20"/>
        </w:rPr>
        <w:t xml:space="preserve"> - Acquisition-related costs incurred by both Fulgent and Inform Diagnostics were excluded from the net income attributable to Fulgent, and total costs were </w:t>
      </w:r>
      <w:r>
        <w:rPr>
          <w:sz w:val="20"/>
          <w:szCs w:val="20"/>
        </w:rPr>
        <w:t>$</w:t>
      </w:r>
      <w:r>
        <w:rPr>
          <w:sz w:val="20"/>
          <w:szCs w:val="20"/>
        </w:rPr>
        <w:t>8.</w:t>
      </w:r>
      <w:r>
        <w:rPr>
          <w:sz w:val="20"/>
          <w:szCs w:val="20"/>
        </w:rPr>
        <w:t>2</w:t>
      </w:r>
      <w:r>
        <w:rPr>
          <w:sz w:val="20"/>
          <w:szCs w:val="20"/>
        </w:rPr>
        <w:t xml:space="preserve"> million and </w:t>
      </w:r>
      <w:r>
        <w:rPr>
          <w:sz w:val="20"/>
          <w:szCs w:val="20"/>
        </w:rPr>
        <w:t>$</w:t>
      </w:r>
      <w:r>
        <w:rPr>
          <w:sz w:val="20"/>
          <w:szCs w:val="20"/>
        </w:rPr>
        <w:t>9.</w:t>
      </w:r>
      <w:r>
        <w:rPr>
          <w:sz w:val="20"/>
          <w:szCs w:val="20"/>
        </w:rPr>
        <w:t>5</w:t>
      </w:r>
      <w:r>
        <w:rPr>
          <w:sz w:val="20"/>
          <w:szCs w:val="20"/>
        </w:rPr>
        <w:t xml:space="preserve"> million for the three and six mo</w:t>
      </w:r>
      <w:r>
        <w:rPr>
          <w:sz w:val="20"/>
          <w:szCs w:val="20"/>
        </w:rPr>
        <w:t>nths ended June 30, 2022, respectively</w:t>
      </w:r>
      <w:r>
        <w:rPr>
          <w:sz w:val="20"/>
          <w:szCs w:val="20"/>
        </w:rPr>
        <w:t>.</w:t>
      </w:r>
    </w:p>
    <w:p w14:paraId="25CF2E93" w14:textId="77777777" w:rsidR="00000000" w:rsidRDefault="00632532">
      <w:pPr>
        <w:pStyle w:val="a3"/>
        <w:spacing w:before="240" w:beforeAutospacing="0" w:after="0" w:afterAutospacing="0"/>
        <w:ind w:firstLine="539"/>
        <w:divId w:val="1857189162"/>
        <w:rPr>
          <w:sz w:val="20"/>
          <w:szCs w:val="20"/>
        </w:rPr>
      </w:pPr>
      <w:r>
        <w:rPr>
          <w:sz w:val="20"/>
          <w:szCs w:val="20"/>
        </w:rPr>
        <w:t xml:space="preserve">Other adjustments to the net income attributable to Fulgent were </w:t>
      </w:r>
      <w:r>
        <w:rPr>
          <w:sz w:val="20"/>
          <w:szCs w:val="20"/>
        </w:rPr>
        <w:t>$</w:t>
      </w:r>
      <w:r>
        <w:rPr>
          <w:sz w:val="20"/>
          <w:szCs w:val="20"/>
        </w:rPr>
        <w:t>172,00</w:t>
      </w:r>
      <w:r>
        <w:rPr>
          <w:sz w:val="20"/>
          <w:szCs w:val="20"/>
        </w:rPr>
        <w:t>0</w:t>
      </w:r>
      <w:r>
        <w:rPr>
          <w:sz w:val="20"/>
          <w:szCs w:val="20"/>
        </w:rPr>
        <w:t xml:space="preserve"> and </w:t>
      </w:r>
      <w:r>
        <w:rPr>
          <w:sz w:val="20"/>
          <w:szCs w:val="20"/>
        </w:rPr>
        <w:t>$</w:t>
      </w:r>
      <w:r>
        <w:rPr>
          <w:sz w:val="20"/>
          <w:szCs w:val="20"/>
        </w:rPr>
        <w:t>690,00</w:t>
      </w:r>
      <w:r>
        <w:rPr>
          <w:sz w:val="20"/>
          <w:szCs w:val="20"/>
        </w:rPr>
        <w:t>0</w:t>
      </w:r>
      <w:r>
        <w:rPr>
          <w:sz w:val="20"/>
          <w:szCs w:val="20"/>
        </w:rPr>
        <w:t xml:space="preserve"> for three and six months ended June 30, 2022, respectively, and </w:t>
      </w:r>
      <w:r>
        <w:rPr>
          <w:sz w:val="20"/>
          <w:szCs w:val="20"/>
        </w:rPr>
        <w:t>$</w:t>
      </w:r>
      <w:r>
        <w:rPr>
          <w:sz w:val="20"/>
          <w:szCs w:val="20"/>
        </w:rPr>
        <w:t>517,00</w:t>
      </w:r>
      <w:r>
        <w:rPr>
          <w:sz w:val="20"/>
          <w:szCs w:val="20"/>
        </w:rPr>
        <w:t>0</w:t>
      </w:r>
      <w:r>
        <w:rPr>
          <w:sz w:val="20"/>
          <w:szCs w:val="20"/>
        </w:rPr>
        <w:t xml:space="preserve"> and </w:t>
      </w:r>
      <w:r>
        <w:rPr>
          <w:sz w:val="20"/>
          <w:szCs w:val="20"/>
        </w:rPr>
        <w:t>$</w:t>
      </w:r>
      <w:r>
        <w:rPr>
          <w:sz w:val="20"/>
          <w:szCs w:val="20"/>
        </w:rPr>
        <w:t>1.</w:t>
      </w:r>
      <w:r>
        <w:rPr>
          <w:sz w:val="20"/>
          <w:szCs w:val="20"/>
        </w:rPr>
        <w:t>0</w:t>
      </w:r>
      <w:r>
        <w:rPr>
          <w:sz w:val="20"/>
          <w:szCs w:val="20"/>
        </w:rPr>
        <w:t xml:space="preserve"> million for the three and six months ended June</w:t>
      </w:r>
      <w:r>
        <w:rPr>
          <w:sz w:val="20"/>
          <w:szCs w:val="20"/>
        </w:rPr>
        <w:t xml:space="preserve"> 30, 2021, respectively. Other adjustments to revenue were </w:t>
      </w:r>
      <w:r>
        <w:rPr>
          <w:sz w:val="20"/>
          <w:szCs w:val="20"/>
        </w:rPr>
        <w:t>$</w:t>
      </w:r>
      <w:r>
        <w:rPr>
          <w:sz w:val="20"/>
          <w:szCs w:val="20"/>
        </w:rPr>
        <w:t>196,00</w:t>
      </w:r>
      <w:r>
        <w:rPr>
          <w:sz w:val="20"/>
          <w:szCs w:val="20"/>
        </w:rPr>
        <w:t>0</w:t>
      </w:r>
      <w:r>
        <w:rPr>
          <w:sz w:val="20"/>
          <w:szCs w:val="20"/>
        </w:rPr>
        <w:t xml:space="preserve"> and </w:t>
      </w:r>
      <w:r>
        <w:rPr>
          <w:sz w:val="20"/>
          <w:szCs w:val="20"/>
        </w:rPr>
        <w:t>$</w:t>
      </w:r>
      <w:r>
        <w:rPr>
          <w:sz w:val="20"/>
          <w:szCs w:val="20"/>
        </w:rPr>
        <w:t>962,00</w:t>
      </w:r>
      <w:r>
        <w:rPr>
          <w:sz w:val="20"/>
          <w:szCs w:val="20"/>
        </w:rPr>
        <w:t>0</w:t>
      </w:r>
      <w:r>
        <w:rPr>
          <w:sz w:val="20"/>
          <w:szCs w:val="20"/>
        </w:rPr>
        <w:t xml:space="preserve"> for the three and six months ended June 30, 2022, respectively, and </w:t>
      </w:r>
      <w:r>
        <w:rPr>
          <w:sz w:val="20"/>
          <w:szCs w:val="20"/>
        </w:rPr>
        <w:t>$</w:t>
      </w:r>
      <w:r>
        <w:rPr>
          <w:sz w:val="20"/>
          <w:szCs w:val="20"/>
        </w:rPr>
        <w:t>1.</w:t>
      </w:r>
      <w:r>
        <w:rPr>
          <w:sz w:val="20"/>
          <w:szCs w:val="20"/>
        </w:rPr>
        <w:t>0</w:t>
      </w:r>
      <w:r>
        <w:rPr>
          <w:sz w:val="20"/>
          <w:szCs w:val="20"/>
        </w:rPr>
        <w:t xml:space="preserve"> million and </w:t>
      </w:r>
      <w:r>
        <w:rPr>
          <w:sz w:val="20"/>
          <w:szCs w:val="20"/>
        </w:rPr>
        <w:t>$</w:t>
      </w:r>
      <w:r>
        <w:rPr>
          <w:sz w:val="20"/>
          <w:szCs w:val="20"/>
        </w:rPr>
        <w:t>1.</w:t>
      </w:r>
      <w:r>
        <w:rPr>
          <w:sz w:val="20"/>
          <w:szCs w:val="20"/>
        </w:rPr>
        <w:t>7</w:t>
      </w:r>
      <w:r>
        <w:rPr>
          <w:sz w:val="20"/>
          <w:szCs w:val="20"/>
        </w:rPr>
        <w:t xml:space="preserve"> million were added back to revenue for the three and six months ended June 30, 2021, </w:t>
      </w:r>
      <w:r>
        <w:rPr>
          <w:sz w:val="20"/>
          <w:szCs w:val="20"/>
        </w:rPr>
        <w:t>respectively</w:t>
      </w:r>
      <w:r>
        <w:rPr>
          <w:sz w:val="20"/>
          <w:szCs w:val="20"/>
        </w:rPr>
        <w:t>.</w:t>
      </w:r>
    </w:p>
    <w:p w14:paraId="183A8663" w14:textId="77777777" w:rsidR="00000000" w:rsidRDefault="00632532">
      <w:pPr>
        <w:pStyle w:val="a3"/>
        <w:spacing w:before="0" w:beforeAutospacing="0" w:after="0" w:afterAutospacing="0"/>
        <w:ind w:firstLine="539"/>
        <w:divId w:val="185718916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36"/>
        <w:gridCol w:w="160"/>
        <w:gridCol w:w="710"/>
        <w:gridCol w:w="110"/>
        <w:gridCol w:w="110"/>
        <w:gridCol w:w="160"/>
        <w:gridCol w:w="710"/>
        <w:gridCol w:w="110"/>
        <w:gridCol w:w="115"/>
        <w:gridCol w:w="160"/>
        <w:gridCol w:w="710"/>
        <w:gridCol w:w="110"/>
        <w:gridCol w:w="110"/>
        <w:gridCol w:w="160"/>
        <w:gridCol w:w="710"/>
        <w:gridCol w:w="125"/>
      </w:tblGrid>
      <w:tr w:rsidR="00000000" w14:paraId="6B5B3EC9" w14:textId="77777777">
        <w:trPr>
          <w:divId w:val="1550989859"/>
          <w:tblCellSpacing w:w="15" w:type="dxa"/>
        </w:trPr>
        <w:tc>
          <w:tcPr>
            <w:tcW w:w="2697" w:type="pct"/>
            <w:vAlign w:val="center"/>
            <w:hideMark/>
          </w:tcPr>
          <w:p w14:paraId="1842344C" w14:textId="77777777" w:rsidR="00000000" w:rsidRDefault="00632532">
            <w:pPr>
              <w:rPr>
                <w:sz w:val="20"/>
                <w:szCs w:val="20"/>
              </w:rPr>
            </w:pPr>
          </w:p>
        </w:tc>
        <w:tc>
          <w:tcPr>
            <w:tcW w:w="50" w:type="pct"/>
            <w:vAlign w:val="center"/>
            <w:hideMark/>
          </w:tcPr>
          <w:p w14:paraId="3EDD0128" w14:textId="77777777" w:rsidR="00000000" w:rsidRDefault="00632532">
            <w:pPr>
              <w:rPr>
                <w:rFonts w:eastAsia="Times New Roman"/>
                <w:sz w:val="20"/>
                <w:szCs w:val="20"/>
              </w:rPr>
            </w:pPr>
          </w:p>
        </w:tc>
        <w:tc>
          <w:tcPr>
            <w:tcW w:w="380" w:type="pct"/>
            <w:vAlign w:val="center"/>
            <w:hideMark/>
          </w:tcPr>
          <w:p w14:paraId="3F822230" w14:textId="77777777" w:rsidR="00000000" w:rsidRDefault="00632532">
            <w:pPr>
              <w:rPr>
                <w:rFonts w:eastAsia="Times New Roman"/>
                <w:sz w:val="20"/>
                <w:szCs w:val="20"/>
              </w:rPr>
            </w:pPr>
          </w:p>
        </w:tc>
        <w:tc>
          <w:tcPr>
            <w:tcW w:w="50" w:type="pct"/>
            <w:vAlign w:val="center"/>
            <w:hideMark/>
          </w:tcPr>
          <w:p w14:paraId="7E66704A" w14:textId="77777777" w:rsidR="00000000" w:rsidRDefault="00632532">
            <w:pPr>
              <w:rPr>
                <w:rFonts w:eastAsia="Times New Roman"/>
                <w:sz w:val="20"/>
                <w:szCs w:val="20"/>
              </w:rPr>
            </w:pPr>
          </w:p>
        </w:tc>
        <w:tc>
          <w:tcPr>
            <w:tcW w:w="67" w:type="pct"/>
            <w:vAlign w:val="center"/>
            <w:hideMark/>
          </w:tcPr>
          <w:p w14:paraId="3AEEB374" w14:textId="77777777" w:rsidR="00000000" w:rsidRDefault="00632532">
            <w:pPr>
              <w:rPr>
                <w:rFonts w:eastAsia="Times New Roman"/>
                <w:sz w:val="20"/>
                <w:szCs w:val="20"/>
              </w:rPr>
            </w:pPr>
          </w:p>
        </w:tc>
        <w:tc>
          <w:tcPr>
            <w:tcW w:w="50" w:type="pct"/>
            <w:vAlign w:val="center"/>
            <w:hideMark/>
          </w:tcPr>
          <w:p w14:paraId="72674A9F" w14:textId="77777777" w:rsidR="00000000" w:rsidRDefault="00632532">
            <w:pPr>
              <w:rPr>
                <w:rFonts w:eastAsia="Times New Roman"/>
                <w:sz w:val="20"/>
                <w:szCs w:val="20"/>
              </w:rPr>
            </w:pPr>
          </w:p>
        </w:tc>
        <w:tc>
          <w:tcPr>
            <w:tcW w:w="423" w:type="pct"/>
            <w:vAlign w:val="center"/>
            <w:hideMark/>
          </w:tcPr>
          <w:p w14:paraId="7FA69BA9" w14:textId="77777777" w:rsidR="00000000" w:rsidRDefault="00632532">
            <w:pPr>
              <w:rPr>
                <w:rFonts w:eastAsia="Times New Roman"/>
                <w:sz w:val="20"/>
                <w:szCs w:val="20"/>
              </w:rPr>
            </w:pPr>
          </w:p>
        </w:tc>
        <w:tc>
          <w:tcPr>
            <w:tcW w:w="50" w:type="pct"/>
            <w:vAlign w:val="center"/>
            <w:hideMark/>
          </w:tcPr>
          <w:p w14:paraId="35AEA3CC" w14:textId="77777777" w:rsidR="00000000" w:rsidRDefault="00632532">
            <w:pPr>
              <w:rPr>
                <w:rFonts w:eastAsia="Times New Roman"/>
                <w:sz w:val="20"/>
                <w:szCs w:val="20"/>
              </w:rPr>
            </w:pPr>
          </w:p>
        </w:tc>
        <w:tc>
          <w:tcPr>
            <w:tcW w:w="67" w:type="pct"/>
            <w:vAlign w:val="center"/>
            <w:hideMark/>
          </w:tcPr>
          <w:p w14:paraId="07CE9743" w14:textId="77777777" w:rsidR="00000000" w:rsidRDefault="00632532">
            <w:pPr>
              <w:rPr>
                <w:rFonts w:eastAsia="Times New Roman"/>
                <w:sz w:val="20"/>
                <w:szCs w:val="20"/>
              </w:rPr>
            </w:pPr>
          </w:p>
        </w:tc>
        <w:tc>
          <w:tcPr>
            <w:tcW w:w="50" w:type="pct"/>
            <w:vAlign w:val="center"/>
            <w:hideMark/>
          </w:tcPr>
          <w:p w14:paraId="1B8DAA20" w14:textId="77777777" w:rsidR="00000000" w:rsidRDefault="00632532">
            <w:pPr>
              <w:rPr>
                <w:rFonts w:eastAsia="Times New Roman"/>
                <w:sz w:val="20"/>
                <w:szCs w:val="20"/>
              </w:rPr>
            </w:pPr>
          </w:p>
        </w:tc>
        <w:tc>
          <w:tcPr>
            <w:tcW w:w="423" w:type="pct"/>
            <w:vAlign w:val="center"/>
            <w:hideMark/>
          </w:tcPr>
          <w:p w14:paraId="24C45DBA" w14:textId="77777777" w:rsidR="00000000" w:rsidRDefault="00632532">
            <w:pPr>
              <w:rPr>
                <w:rFonts w:eastAsia="Times New Roman"/>
                <w:sz w:val="20"/>
                <w:szCs w:val="20"/>
              </w:rPr>
            </w:pPr>
          </w:p>
        </w:tc>
        <w:tc>
          <w:tcPr>
            <w:tcW w:w="50" w:type="pct"/>
            <w:vAlign w:val="center"/>
            <w:hideMark/>
          </w:tcPr>
          <w:p w14:paraId="1C4C62B8" w14:textId="77777777" w:rsidR="00000000" w:rsidRDefault="00632532">
            <w:pPr>
              <w:rPr>
                <w:rFonts w:eastAsia="Times New Roman"/>
                <w:sz w:val="20"/>
                <w:szCs w:val="20"/>
              </w:rPr>
            </w:pPr>
          </w:p>
        </w:tc>
        <w:tc>
          <w:tcPr>
            <w:tcW w:w="67" w:type="pct"/>
            <w:vAlign w:val="center"/>
            <w:hideMark/>
          </w:tcPr>
          <w:p w14:paraId="3973DE86" w14:textId="77777777" w:rsidR="00000000" w:rsidRDefault="00632532">
            <w:pPr>
              <w:rPr>
                <w:rFonts w:eastAsia="Times New Roman"/>
                <w:sz w:val="20"/>
                <w:szCs w:val="20"/>
              </w:rPr>
            </w:pPr>
          </w:p>
        </w:tc>
        <w:tc>
          <w:tcPr>
            <w:tcW w:w="50" w:type="pct"/>
            <w:vAlign w:val="center"/>
            <w:hideMark/>
          </w:tcPr>
          <w:p w14:paraId="2D2C7E91" w14:textId="77777777" w:rsidR="00000000" w:rsidRDefault="00632532">
            <w:pPr>
              <w:rPr>
                <w:rFonts w:eastAsia="Times New Roman"/>
                <w:sz w:val="20"/>
                <w:szCs w:val="20"/>
              </w:rPr>
            </w:pPr>
          </w:p>
        </w:tc>
        <w:tc>
          <w:tcPr>
            <w:tcW w:w="472" w:type="pct"/>
            <w:vAlign w:val="center"/>
            <w:hideMark/>
          </w:tcPr>
          <w:p w14:paraId="1F0049E2" w14:textId="77777777" w:rsidR="00000000" w:rsidRDefault="00632532">
            <w:pPr>
              <w:rPr>
                <w:rFonts w:eastAsia="Times New Roman"/>
                <w:sz w:val="20"/>
                <w:szCs w:val="20"/>
              </w:rPr>
            </w:pPr>
          </w:p>
        </w:tc>
        <w:tc>
          <w:tcPr>
            <w:tcW w:w="50" w:type="pct"/>
            <w:vAlign w:val="center"/>
            <w:hideMark/>
          </w:tcPr>
          <w:p w14:paraId="691F2855" w14:textId="77777777" w:rsidR="00000000" w:rsidRDefault="00632532">
            <w:pPr>
              <w:rPr>
                <w:rFonts w:eastAsia="Times New Roman"/>
                <w:sz w:val="20"/>
                <w:szCs w:val="20"/>
              </w:rPr>
            </w:pPr>
          </w:p>
        </w:tc>
      </w:tr>
      <w:tr w:rsidR="00000000" w14:paraId="29E61B67" w14:textId="77777777">
        <w:trPr>
          <w:divId w:val="1550989859"/>
          <w:trHeight w:val="160"/>
          <w:tblCellSpacing w:w="15" w:type="dxa"/>
        </w:trPr>
        <w:tc>
          <w:tcPr>
            <w:tcW w:w="0" w:type="auto"/>
            <w:vAlign w:val="bottom"/>
            <w:hideMark/>
          </w:tcPr>
          <w:p w14:paraId="2684932A" w14:textId="77777777" w:rsidR="00000000" w:rsidRDefault="00632532">
            <w:pPr>
              <w:pStyle w:val="a3"/>
              <w:spacing w:before="0" w:beforeAutospacing="0" w:after="0" w:afterAutospacing="0"/>
              <w:rPr>
                <w:sz w:val="22"/>
                <w:szCs w:val="22"/>
              </w:rPr>
            </w:pPr>
            <w:r>
              <w:rPr>
                <w:sz w:val="22"/>
                <w:szCs w:val="22"/>
              </w:rPr>
              <w:t> </w:t>
            </w:r>
          </w:p>
        </w:tc>
        <w:tc>
          <w:tcPr>
            <w:tcW w:w="0" w:type="auto"/>
            <w:gridSpan w:val="6"/>
            <w:vAlign w:val="bottom"/>
            <w:hideMark/>
          </w:tcPr>
          <w:p w14:paraId="470E8CB2" w14:textId="77777777" w:rsidR="00000000" w:rsidRDefault="00632532">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c>
          <w:tcPr>
            <w:tcW w:w="0" w:type="auto"/>
            <w:vAlign w:val="bottom"/>
            <w:hideMark/>
          </w:tcPr>
          <w:p w14:paraId="14386BB9"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38950A1" w14:textId="77777777" w:rsidR="00000000" w:rsidRDefault="00632532">
            <w:pPr>
              <w:pStyle w:val="a3"/>
              <w:spacing w:before="0" w:beforeAutospacing="0" w:after="0" w:afterAutospacing="0"/>
              <w:rPr>
                <w:sz w:val="22"/>
                <w:szCs w:val="22"/>
              </w:rPr>
            </w:pPr>
            <w:r>
              <w:rPr>
                <w:sz w:val="22"/>
                <w:szCs w:val="22"/>
              </w:rPr>
              <w:t> </w:t>
            </w:r>
          </w:p>
        </w:tc>
        <w:tc>
          <w:tcPr>
            <w:tcW w:w="0" w:type="auto"/>
            <w:gridSpan w:val="6"/>
            <w:vAlign w:val="bottom"/>
            <w:hideMark/>
          </w:tcPr>
          <w:p w14:paraId="55E701B6"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1A397910"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21570B94" w14:textId="77777777">
        <w:trPr>
          <w:divId w:val="1550989859"/>
          <w:trHeight w:val="160"/>
          <w:tblCellSpacing w:w="15" w:type="dxa"/>
        </w:trPr>
        <w:tc>
          <w:tcPr>
            <w:tcW w:w="0" w:type="auto"/>
            <w:vAlign w:val="bottom"/>
            <w:hideMark/>
          </w:tcPr>
          <w:p w14:paraId="7BB607EB" w14:textId="77777777" w:rsidR="00000000" w:rsidRDefault="00632532">
            <w:pPr>
              <w:pStyle w:val="a3"/>
              <w:spacing w:before="0" w:beforeAutospacing="0" w:after="0" w:afterAutospacing="0"/>
              <w:rPr>
                <w:sz w:val="22"/>
                <w:szCs w:val="22"/>
              </w:rPr>
            </w:pPr>
            <w:r>
              <w:rPr>
                <w:sz w:val="22"/>
                <w:szCs w:val="22"/>
              </w:rPr>
              <w:t> </w:t>
            </w:r>
          </w:p>
        </w:tc>
        <w:tc>
          <w:tcPr>
            <w:tcW w:w="0" w:type="auto"/>
            <w:gridSpan w:val="2"/>
            <w:vAlign w:val="bottom"/>
            <w:hideMark/>
          </w:tcPr>
          <w:p w14:paraId="115AC9D8"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2FE2687"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B18F8B0"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8094424"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687E88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6EF6506" w14:textId="77777777" w:rsidR="00000000" w:rsidRDefault="00632532">
            <w:pPr>
              <w:pStyle w:val="a3"/>
              <w:spacing w:before="0" w:beforeAutospacing="0" w:after="0" w:afterAutospacing="0"/>
              <w:rPr>
                <w:sz w:val="22"/>
                <w:szCs w:val="22"/>
              </w:rPr>
            </w:pPr>
            <w:r>
              <w:rPr>
                <w:sz w:val="22"/>
                <w:szCs w:val="22"/>
              </w:rPr>
              <w:t> </w:t>
            </w:r>
          </w:p>
        </w:tc>
        <w:tc>
          <w:tcPr>
            <w:tcW w:w="0" w:type="auto"/>
            <w:gridSpan w:val="2"/>
            <w:vAlign w:val="bottom"/>
            <w:hideMark/>
          </w:tcPr>
          <w:p w14:paraId="79034795"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DDE0602"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9993D57"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6D2F871"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691C59F"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1217623" w14:textId="77777777">
        <w:trPr>
          <w:divId w:val="1550989859"/>
          <w:trHeight w:val="160"/>
          <w:tblCellSpacing w:w="15" w:type="dxa"/>
        </w:trPr>
        <w:tc>
          <w:tcPr>
            <w:tcW w:w="0" w:type="auto"/>
            <w:vAlign w:val="bottom"/>
            <w:hideMark/>
          </w:tcPr>
          <w:p w14:paraId="2363E3B1"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14"/>
            <w:hideMark/>
          </w:tcPr>
          <w:p w14:paraId="4A22B63F"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hideMark/>
          </w:tcPr>
          <w:p w14:paraId="30B66A86"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E3AEB79" w14:textId="77777777">
        <w:trPr>
          <w:divId w:val="1550989859"/>
          <w:trHeight w:val="200"/>
          <w:tblCellSpacing w:w="15" w:type="dxa"/>
        </w:trPr>
        <w:tc>
          <w:tcPr>
            <w:tcW w:w="0" w:type="auto"/>
            <w:hideMark/>
          </w:tcPr>
          <w:p w14:paraId="5BBE064A" w14:textId="77777777" w:rsidR="00000000" w:rsidRDefault="00632532">
            <w:pPr>
              <w:pStyle w:val="a3"/>
              <w:spacing w:before="0" w:beforeAutospacing="0" w:after="0" w:afterAutospacing="0"/>
              <w:rPr>
                <w:sz w:val="20"/>
                <w:szCs w:val="20"/>
              </w:rPr>
            </w:pPr>
            <w:r>
              <w:rPr>
                <w:sz w:val="20"/>
                <w:szCs w:val="20"/>
              </w:rPr>
              <w:t>Revenu</w:t>
            </w:r>
            <w:r>
              <w:rPr>
                <w:sz w:val="20"/>
                <w:szCs w:val="20"/>
              </w:rPr>
              <w:t>e</w:t>
            </w:r>
          </w:p>
        </w:tc>
        <w:tc>
          <w:tcPr>
            <w:tcW w:w="0" w:type="auto"/>
            <w:noWrap/>
            <w:vAlign w:val="bottom"/>
            <w:hideMark/>
          </w:tcPr>
          <w:p w14:paraId="24041C1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CB6D568" w14:textId="77777777" w:rsidR="00000000" w:rsidRDefault="00632532">
            <w:pPr>
              <w:pStyle w:val="a3"/>
              <w:spacing w:before="0" w:beforeAutospacing="0" w:after="0" w:afterAutospacing="0"/>
              <w:jc w:val="right"/>
              <w:rPr>
                <w:sz w:val="20"/>
                <w:szCs w:val="20"/>
              </w:rPr>
            </w:pPr>
            <w:r>
              <w:rPr>
                <w:sz w:val="20"/>
                <w:szCs w:val="20"/>
              </w:rPr>
              <w:t>133,72</w:t>
            </w:r>
            <w:r>
              <w:rPr>
                <w:sz w:val="20"/>
                <w:szCs w:val="20"/>
              </w:rPr>
              <w:t>0</w:t>
            </w:r>
          </w:p>
        </w:tc>
        <w:tc>
          <w:tcPr>
            <w:tcW w:w="0" w:type="auto"/>
            <w:noWrap/>
            <w:vAlign w:val="bottom"/>
            <w:hideMark/>
          </w:tcPr>
          <w:p w14:paraId="1D25C6F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D4E661E"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3B060D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07F1C8D" w14:textId="77777777" w:rsidR="00000000" w:rsidRDefault="00632532">
            <w:pPr>
              <w:pStyle w:val="a3"/>
              <w:spacing w:before="0" w:beforeAutospacing="0" w:after="0" w:afterAutospacing="0"/>
              <w:jc w:val="right"/>
              <w:rPr>
                <w:sz w:val="20"/>
                <w:szCs w:val="20"/>
              </w:rPr>
            </w:pPr>
            <w:r>
              <w:rPr>
                <w:sz w:val="20"/>
                <w:szCs w:val="20"/>
              </w:rPr>
              <w:t>193,15</w:t>
            </w:r>
            <w:r>
              <w:rPr>
                <w:sz w:val="20"/>
                <w:szCs w:val="20"/>
              </w:rPr>
              <w:t>6</w:t>
            </w:r>
          </w:p>
        </w:tc>
        <w:tc>
          <w:tcPr>
            <w:tcW w:w="0" w:type="auto"/>
            <w:noWrap/>
            <w:vAlign w:val="bottom"/>
            <w:hideMark/>
          </w:tcPr>
          <w:p w14:paraId="177712E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E1D2546" w14:textId="77777777" w:rsidR="00000000" w:rsidRDefault="00632532">
            <w:pPr>
              <w:pStyle w:val="a3"/>
              <w:spacing w:before="0" w:beforeAutospacing="0" w:after="0" w:afterAutospacing="0"/>
              <w:rPr>
                <w:sz w:val="22"/>
                <w:szCs w:val="22"/>
              </w:rPr>
            </w:pPr>
            <w:r>
              <w:rPr>
                <w:sz w:val="22"/>
                <w:szCs w:val="22"/>
              </w:rPr>
              <w:t> </w:t>
            </w:r>
          </w:p>
        </w:tc>
        <w:tc>
          <w:tcPr>
            <w:tcW w:w="0" w:type="auto"/>
            <w:noWrap/>
            <w:vAlign w:val="bottom"/>
            <w:hideMark/>
          </w:tcPr>
          <w:p w14:paraId="4F2BC3D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D05385E" w14:textId="77777777" w:rsidR="00000000" w:rsidRDefault="00632532">
            <w:pPr>
              <w:pStyle w:val="a3"/>
              <w:spacing w:before="0" w:beforeAutospacing="0" w:after="0" w:afterAutospacing="0"/>
              <w:jc w:val="right"/>
              <w:rPr>
                <w:sz w:val="20"/>
                <w:szCs w:val="20"/>
              </w:rPr>
            </w:pPr>
            <w:r>
              <w:rPr>
                <w:sz w:val="20"/>
                <w:szCs w:val="20"/>
              </w:rPr>
              <w:t>486,02</w:t>
            </w:r>
            <w:r>
              <w:rPr>
                <w:sz w:val="20"/>
                <w:szCs w:val="20"/>
              </w:rPr>
              <w:t>7</w:t>
            </w:r>
          </w:p>
        </w:tc>
        <w:tc>
          <w:tcPr>
            <w:tcW w:w="0" w:type="auto"/>
            <w:noWrap/>
            <w:vAlign w:val="bottom"/>
            <w:hideMark/>
          </w:tcPr>
          <w:p w14:paraId="2C50548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0C690F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CB4EF4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44B9D67" w14:textId="77777777" w:rsidR="00000000" w:rsidRDefault="00632532">
            <w:pPr>
              <w:pStyle w:val="a3"/>
              <w:spacing w:before="0" w:beforeAutospacing="0" w:after="0" w:afterAutospacing="0"/>
              <w:jc w:val="right"/>
              <w:rPr>
                <w:sz w:val="20"/>
                <w:szCs w:val="20"/>
              </w:rPr>
            </w:pPr>
            <w:r>
              <w:rPr>
                <w:sz w:val="20"/>
                <w:szCs w:val="20"/>
              </w:rPr>
              <w:t>589,85</w:t>
            </w:r>
            <w:r>
              <w:rPr>
                <w:sz w:val="20"/>
                <w:szCs w:val="20"/>
              </w:rPr>
              <w:t>1</w:t>
            </w:r>
          </w:p>
        </w:tc>
        <w:tc>
          <w:tcPr>
            <w:tcW w:w="0" w:type="auto"/>
            <w:noWrap/>
            <w:vAlign w:val="bottom"/>
            <w:hideMark/>
          </w:tcPr>
          <w:p w14:paraId="23E25DF3" w14:textId="77777777" w:rsidR="00000000" w:rsidRDefault="00632532">
            <w:pPr>
              <w:pStyle w:val="a3"/>
              <w:spacing w:before="0" w:beforeAutospacing="0" w:after="0" w:afterAutospacing="0"/>
              <w:rPr>
                <w:sz w:val="20"/>
                <w:szCs w:val="20"/>
              </w:rPr>
            </w:pPr>
            <w:r>
              <w:rPr>
                <w:sz w:val="20"/>
                <w:szCs w:val="20"/>
              </w:rPr>
              <w:t> </w:t>
            </w:r>
          </w:p>
        </w:tc>
      </w:tr>
      <w:tr w:rsidR="00000000" w14:paraId="291F6941" w14:textId="77777777">
        <w:trPr>
          <w:divId w:val="1550989859"/>
          <w:trHeight w:val="200"/>
          <w:tblCellSpacing w:w="15" w:type="dxa"/>
        </w:trPr>
        <w:tc>
          <w:tcPr>
            <w:tcW w:w="0" w:type="auto"/>
            <w:hideMark/>
          </w:tcPr>
          <w:p w14:paraId="756863A2" w14:textId="77777777" w:rsidR="00000000" w:rsidRDefault="00632532">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14:paraId="40C3468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E754225" w14:textId="77777777" w:rsidR="00000000" w:rsidRDefault="00632532">
            <w:pPr>
              <w:pStyle w:val="a3"/>
              <w:spacing w:before="0" w:beforeAutospacing="0" w:after="0" w:afterAutospacing="0"/>
              <w:jc w:val="right"/>
              <w:rPr>
                <w:sz w:val="20"/>
                <w:szCs w:val="20"/>
              </w:rPr>
            </w:pPr>
            <w:r>
              <w:rPr>
                <w:sz w:val="20"/>
                <w:szCs w:val="20"/>
              </w:rPr>
              <w:t>10,46</w:t>
            </w:r>
            <w:r>
              <w:rPr>
                <w:sz w:val="20"/>
                <w:szCs w:val="20"/>
              </w:rPr>
              <w:t>1</w:t>
            </w:r>
          </w:p>
        </w:tc>
        <w:tc>
          <w:tcPr>
            <w:tcW w:w="0" w:type="auto"/>
            <w:noWrap/>
            <w:vAlign w:val="bottom"/>
            <w:hideMark/>
          </w:tcPr>
          <w:p w14:paraId="1377598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B1C8C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370AAD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4563864" w14:textId="77777777" w:rsidR="00000000" w:rsidRDefault="00632532">
            <w:pPr>
              <w:pStyle w:val="a3"/>
              <w:spacing w:before="0" w:beforeAutospacing="0" w:after="0" w:afterAutospacing="0"/>
              <w:jc w:val="right"/>
              <w:rPr>
                <w:sz w:val="20"/>
                <w:szCs w:val="20"/>
              </w:rPr>
            </w:pPr>
            <w:r>
              <w:rPr>
                <w:sz w:val="20"/>
                <w:szCs w:val="20"/>
              </w:rPr>
              <w:t>83,27</w:t>
            </w:r>
            <w:r>
              <w:rPr>
                <w:sz w:val="20"/>
                <w:szCs w:val="20"/>
              </w:rPr>
              <w:t>1</w:t>
            </w:r>
          </w:p>
        </w:tc>
        <w:tc>
          <w:tcPr>
            <w:tcW w:w="0" w:type="auto"/>
            <w:noWrap/>
            <w:vAlign w:val="bottom"/>
            <w:hideMark/>
          </w:tcPr>
          <w:p w14:paraId="5ABE491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05EADD" w14:textId="77777777" w:rsidR="00000000" w:rsidRDefault="00632532">
            <w:pPr>
              <w:pStyle w:val="a3"/>
              <w:spacing w:before="0" w:beforeAutospacing="0" w:after="0" w:afterAutospacing="0"/>
              <w:rPr>
                <w:sz w:val="22"/>
                <w:szCs w:val="22"/>
              </w:rPr>
            </w:pPr>
            <w:r>
              <w:rPr>
                <w:sz w:val="22"/>
                <w:szCs w:val="22"/>
              </w:rPr>
              <w:t> </w:t>
            </w:r>
          </w:p>
        </w:tc>
        <w:tc>
          <w:tcPr>
            <w:tcW w:w="0" w:type="auto"/>
            <w:noWrap/>
            <w:vAlign w:val="bottom"/>
            <w:hideMark/>
          </w:tcPr>
          <w:p w14:paraId="6B100A6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16B333B" w14:textId="77777777" w:rsidR="00000000" w:rsidRDefault="00632532">
            <w:pPr>
              <w:pStyle w:val="a3"/>
              <w:spacing w:before="0" w:beforeAutospacing="0" w:after="0" w:afterAutospacing="0"/>
              <w:jc w:val="right"/>
              <w:rPr>
                <w:sz w:val="20"/>
                <w:szCs w:val="20"/>
              </w:rPr>
            </w:pPr>
            <w:r>
              <w:rPr>
                <w:sz w:val="20"/>
                <w:szCs w:val="20"/>
              </w:rPr>
              <w:t>162,31</w:t>
            </w:r>
            <w:r>
              <w:rPr>
                <w:sz w:val="20"/>
                <w:szCs w:val="20"/>
              </w:rPr>
              <w:t>7</w:t>
            </w:r>
          </w:p>
        </w:tc>
        <w:tc>
          <w:tcPr>
            <w:tcW w:w="0" w:type="auto"/>
            <w:noWrap/>
            <w:vAlign w:val="bottom"/>
            <w:hideMark/>
          </w:tcPr>
          <w:p w14:paraId="6899525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CF8FA18"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69F5BC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A910B88" w14:textId="77777777" w:rsidR="00000000" w:rsidRDefault="00632532">
            <w:pPr>
              <w:pStyle w:val="a3"/>
              <w:spacing w:before="0" w:beforeAutospacing="0" w:after="0" w:afterAutospacing="0"/>
              <w:jc w:val="right"/>
              <w:rPr>
                <w:sz w:val="20"/>
                <w:szCs w:val="20"/>
              </w:rPr>
            </w:pPr>
            <w:r>
              <w:rPr>
                <w:sz w:val="20"/>
                <w:szCs w:val="20"/>
              </w:rPr>
              <w:t>282,70</w:t>
            </w:r>
            <w:r>
              <w:rPr>
                <w:sz w:val="20"/>
                <w:szCs w:val="20"/>
              </w:rPr>
              <w:t>3</w:t>
            </w:r>
          </w:p>
        </w:tc>
        <w:tc>
          <w:tcPr>
            <w:tcW w:w="0" w:type="auto"/>
            <w:noWrap/>
            <w:vAlign w:val="bottom"/>
            <w:hideMark/>
          </w:tcPr>
          <w:p w14:paraId="69742E41" w14:textId="77777777" w:rsidR="00000000" w:rsidRDefault="00632532">
            <w:pPr>
              <w:pStyle w:val="a3"/>
              <w:spacing w:before="0" w:beforeAutospacing="0" w:after="0" w:afterAutospacing="0"/>
              <w:rPr>
                <w:sz w:val="20"/>
                <w:szCs w:val="20"/>
              </w:rPr>
            </w:pPr>
            <w:r>
              <w:rPr>
                <w:sz w:val="20"/>
                <w:szCs w:val="20"/>
              </w:rPr>
              <w:t> </w:t>
            </w:r>
          </w:p>
        </w:tc>
      </w:tr>
      <w:tr w:rsidR="00000000" w14:paraId="5CBF90BB" w14:textId="77777777">
        <w:trPr>
          <w:divId w:val="1550989859"/>
          <w:trHeight w:val="200"/>
          <w:tblCellSpacing w:w="15" w:type="dxa"/>
        </w:trPr>
        <w:tc>
          <w:tcPr>
            <w:tcW w:w="0" w:type="auto"/>
            <w:hideMark/>
          </w:tcPr>
          <w:p w14:paraId="35159CD5" w14:textId="77777777" w:rsidR="00000000" w:rsidRDefault="00632532">
            <w:pPr>
              <w:pStyle w:val="a3"/>
              <w:spacing w:before="0" w:beforeAutospacing="0" w:after="0" w:afterAutospacing="0"/>
              <w:rPr>
                <w:sz w:val="20"/>
                <w:szCs w:val="20"/>
              </w:rPr>
            </w:pPr>
            <w:r>
              <w:rPr>
                <w:sz w:val="20"/>
                <w:szCs w:val="20"/>
              </w:rPr>
              <w:t>Basic earnings per common share attributable to Fulgen</w:t>
            </w:r>
            <w:r>
              <w:rPr>
                <w:sz w:val="20"/>
                <w:szCs w:val="20"/>
              </w:rPr>
              <w:t>t</w:t>
            </w:r>
          </w:p>
        </w:tc>
        <w:tc>
          <w:tcPr>
            <w:tcW w:w="0" w:type="auto"/>
            <w:noWrap/>
            <w:vAlign w:val="bottom"/>
            <w:hideMark/>
          </w:tcPr>
          <w:p w14:paraId="192E766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6809A18" w14:textId="77777777" w:rsidR="00000000" w:rsidRDefault="00632532">
            <w:pPr>
              <w:pStyle w:val="a3"/>
              <w:spacing w:before="0" w:beforeAutospacing="0" w:after="0" w:afterAutospacing="0"/>
              <w:jc w:val="right"/>
              <w:rPr>
                <w:sz w:val="20"/>
                <w:szCs w:val="20"/>
              </w:rPr>
            </w:pPr>
            <w:r>
              <w:rPr>
                <w:sz w:val="20"/>
                <w:szCs w:val="20"/>
              </w:rPr>
              <w:t>0.3</w:t>
            </w:r>
            <w:r>
              <w:rPr>
                <w:sz w:val="20"/>
                <w:szCs w:val="20"/>
              </w:rPr>
              <w:t>4</w:t>
            </w:r>
          </w:p>
        </w:tc>
        <w:tc>
          <w:tcPr>
            <w:tcW w:w="0" w:type="auto"/>
            <w:noWrap/>
            <w:vAlign w:val="bottom"/>
            <w:hideMark/>
          </w:tcPr>
          <w:p w14:paraId="2EA4544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142CFAF"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B2651E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81FEE64" w14:textId="77777777" w:rsidR="00000000" w:rsidRDefault="00632532">
            <w:pPr>
              <w:pStyle w:val="a3"/>
              <w:spacing w:before="0" w:beforeAutospacing="0" w:after="0" w:afterAutospacing="0"/>
              <w:jc w:val="right"/>
              <w:rPr>
                <w:sz w:val="20"/>
                <w:szCs w:val="20"/>
              </w:rPr>
            </w:pPr>
            <w:r>
              <w:rPr>
                <w:sz w:val="20"/>
                <w:szCs w:val="20"/>
              </w:rPr>
              <w:t>2.8</w:t>
            </w:r>
            <w:r>
              <w:rPr>
                <w:sz w:val="20"/>
                <w:szCs w:val="20"/>
              </w:rPr>
              <w:t>6</w:t>
            </w:r>
          </w:p>
        </w:tc>
        <w:tc>
          <w:tcPr>
            <w:tcW w:w="0" w:type="auto"/>
            <w:noWrap/>
            <w:vAlign w:val="bottom"/>
            <w:hideMark/>
          </w:tcPr>
          <w:p w14:paraId="7C09615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E95AD9" w14:textId="77777777" w:rsidR="00000000" w:rsidRDefault="00632532">
            <w:pPr>
              <w:pStyle w:val="a3"/>
              <w:spacing w:before="0" w:beforeAutospacing="0" w:after="0" w:afterAutospacing="0"/>
              <w:rPr>
                <w:sz w:val="22"/>
                <w:szCs w:val="22"/>
              </w:rPr>
            </w:pPr>
            <w:r>
              <w:rPr>
                <w:sz w:val="22"/>
                <w:szCs w:val="22"/>
              </w:rPr>
              <w:t> </w:t>
            </w:r>
          </w:p>
        </w:tc>
        <w:tc>
          <w:tcPr>
            <w:tcW w:w="0" w:type="auto"/>
            <w:noWrap/>
            <w:vAlign w:val="bottom"/>
            <w:hideMark/>
          </w:tcPr>
          <w:p w14:paraId="294EE88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33AAD79" w14:textId="77777777" w:rsidR="00000000" w:rsidRDefault="00632532">
            <w:pPr>
              <w:pStyle w:val="a3"/>
              <w:spacing w:before="0" w:beforeAutospacing="0" w:after="0" w:afterAutospacing="0"/>
              <w:jc w:val="right"/>
              <w:rPr>
                <w:sz w:val="20"/>
                <w:szCs w:val="20"/>
              </w:rPr>
            </w:pPr>
            <w:r>
              <w:rPr>
                <w:sz w:val="20"/>
                <w:szCs w:val="20"/>
              </w:rPr>
              <w:t>5.3</w:t>
            </w:r>
            <w:r>
              <w:rPr>
                <w:sz w:val="20"/>
                <w:szCs w:val="20"/>
              </w:rPr>
              <w:t>6</w:t>
            </w:r>
          </w:p>
        </w:tc>
        <w:tc>
          <w:tcPr>
            <w:tcW w:w="0" w:type="auto"/>
            <w:noWrap/>
            <w:vAlign w:val="bottom"/>
            <w:hideMark/>
          </w:tcPr>
          <w:p w14:paraId="0D1DEA8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FBB0247"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453315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6989E64" w14:textId="77777777" w:rsidR="00000000" w:rsidRDefault="00632532">
            <w:pPr>
              <w:pStyle w:val="a3"/>
              <w:spacing w:before="0" w:beforeAutospacing="0" w:after="0" w:afterAutospacing="0"/>
              <w:jc w:val="right"/>
              <w:rPr>
                <w:sz w:val="20"/>
                <w:szCs w:val="20"/>
              </w:rPr>
            </w:pPr>
            <w:r>
              <w:rPr>
                <w:sz w:val="20"/>
                <w:szCs w:val="20"/>
              </w:rPr>
              <w:t>9.7</w:t>
            </w:r>
            <w:r>
              <w:rPr>
                <w:sz w:val="20"/>
                <w:szCs w:val="20"/>
              </w:rPr>
              <w:t>5</w:t>
            </w:r>
          </w:p>
        </w:tc>
        <w:tc>
          <w:tcPr>
            <w:tcW w:w="0" w:type="auto"/>
            <w:noWrap/>
            <w:vAlign w:val="bottom"/>
            <w:hideMark/>
          </w:tcPr>
          <w:p w14:paraId="78011640" w14:textId="77777777" w:rsidR="00000000" w:rsidRDefault="00632532">
            <w:pPr>
              <w:pStyle w:val="a3"/>
              <w:spacing w:before="0" w:beforeAutospacing="0" w:after="0" w:afterAutospacing="0"/>
              <w:rPr>
                <w:sz w:val="20"/>
                <w:szCs w:val="20"/>
              </w:rPr>
            </w:pPr>
            <w:r>
              <w:rPr>
                <w:sz w:val="20"/>
                <w:szCs w:val="20"/>
              </w:rPr>
              <w:t> </w:t>
            </w:r>
          </w:p>
        </w:tc>
      </w:tr>
      <w:tr w:rsidR="00000000" w14:paraId="30FC4009" w14:textId="77777777">
        <w:trPr>
          <w:divId w:val="1550989859"/>
          <w:trHeight w:val="200"/>
          <w:tblCellSpacing w:w="15" w:type="dxa"/>
        </w:trPr>
        <w:tc>
          <w:tcPr>
            <w:tcW w:w="0" w:type="auto"/>
            <w:hideMark/>
          </w:tcPr>
          <w:p w14:paraId="3C203CF6" w14:textId="77777777" w:rsidR="00000000" w:rsidRDefault="00632532">
            <w:pPr>
              <w:pStyle w:val="a3"/>
              <w:spacing w:before="0" w:beforeAutospacing="0" w:after="0" w:afterAutospacing="0"/>
              <w:rPr>
                <w:sz w:val="20"/>
                <w:szCs w:val="20"/>
              </w:rPr>
            </w:pPr>
            <w:r>
              <w:rPr>
                <w:sz w:val="20"/>
                <w:szCs w:val="20"/>
              </w:rPr>
              <w:t>Diluted earnings per common share attributable to Fulgen</w:t>
            </w:r>
            <w:r>
              <w:rPr>
                <w:sz w:val="20"/>
                <w:szCs w:val="20"/>
              </w:rPr>
              <w:t>t</w:t>
            </w:r>
          </w:p>
        </w:tc>
        <w:tc>
          <w:tcPr>
            <w:tcW w:w="0" w:type="auto"/>
            <w:noWrap/>
            <w:vAlign w:val="bottom"/>
            <w:hideMark/>
          </w:tcPr>
          <w:p w14:paraId="3BCF79D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1820A18" w14:textId="77777777" w:rsidR="00000000" w:rsidRDefault="00632532">
            <w:pPr>
              <w:pStyle w:val="a3"/>
              <w:spacing w:before="0" w:beforeAutospacing="0" w:after="0" w:afterAutospacing="0"/>
              <w:jc w:val="right"/>
              <w:rPr>
                <w:sz w:val="20"/>
                <w:szCs w:val="20"/>
              </w:rPr>
            </w:pPr>
            <w:r>
              <w:rPr>
                <w:sz w:val="20"/>
                <w:szCs w:val="20"/>
              </w:rPr>
              <w:t>0.3</w:t>
            </w:r>
            <w:r>
              <w:rPr>
                <w:sz w:val="20"/>
                <w:szCs w:val="20"/>
              </w:rPr>
              <w:t>4</w:t>
            </w:r>
          </w:p>
        </w:tc>
        <w:tc>
          <w:tcPr>
            <w:tcW w:w="0" w:type="auto"/>
            <w:noWrap/>
            <w:vAlign w:val="bottom"/>
            <w:hideMark/>
          </w:tcPr>
          <w:p w14:paraId="14C9FE2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280A4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F1F96D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9EAADC4" w14:textId="77777777" w:rsidR="00000000" w:rsidRDefault="00632532">
            <w:pPr>
              <w:pStyle w:val="a3"/>
              <w:spacing w:before="0" w:beforeAutospacing="0" w:after="0" w:afterAutospacing="0"/>
              <w:jc w:val="right"/>
              <w:rPr>
                <w:sz w:val="20"/>
                <w:szCs w:val="20"/>
              </w:rPr>
            </w:pPr>
            <w:r>
              <w:rPr>
                <w:sz w:val="20"/>
                <w:szCs w:val="20"/>
              </w:rPr>
              <w:t>2.7</w:t>
            </w:r>
            <w:r>
              <w:rPr>
                <w:sz w:val="20"/>
                <w:szCs w:val="20"/>
              </w:rPr>
              <w:t>0</w:t>
            </w:r>
          </w:p>
        </w:tc>
        <w:tc>
          <w:tcPr>
            <w:tcW w:w="0" w:type="auto"/>
            <w:noWrap/>
            <w:vAlign w:val="bottom"/>
            <w:hideMark/>
          </w:tcPr>
          <w:p w14:paraId="6B19151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C4BDC5E" w14:textId="77777777" w:rsidR="00000000" w:rsidRDefault="00632532">
            <w:pPr>
              <w:pStyle w:val="a3"/>
              <w:spacing w:before="0" w:beforeAutospacing="0" w:after="0" w:afterAutospacing="0"/>
              <w:rPr>
                <w:sz w:val="22"/>
                <w:szCs w:val="22"/>
              </w:rPr>
            </w:pPr>
            <w:r>
              <w:rPr>
                <w:sz w:val="22"/>
                <w:szCs w:val="22"/>
              </w:rPr>
              <w:t> </w:t>
            </w:r>
          </w:p>
        </w:tc>
        <w:tc>
          <w:tcPr>
            <w:tcW w:w="0" w:type="auto"/>
            <w:noWrap/>
            <w:vAlign w:val="bottom"/>
            <w:hideMark/>
          </w:tcPr>
          <w:p w14:paraId="4551CC1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E0FE5FF" w14:textId="77777777" w:rsidR="00000000" w:rsidRDefault="00632532">
            <w:pPr>
              <w:pStyle w:val="a3"/>
              <w:spacing w:before="0" w:beforeAutospacing="0" w:after="0" w:afterAutospacing="0"/>
              <w:jc w:val="right"/>
              <w:rPr>
                <w:sz w:val="20"/>
                <w:szCs w:val="20"/>
              </w:rPr>
            </w:pPr>
            <w:r>
              <w:rPr>
                <w:sz w:val="20"/>
                <w:szCs w:val="20"/>
              </w:rPr>
              <w:t>5.2</w:t>
            </w:r>
            <w:r>
              <w:rPr>
                <w:sz w:val="20"/>
                <w:szCs w:val="20"/>
              </w:rPr>
              <w:t>0</w:t>
            </w:r>
          </w:p>
        </w:tc>
        <w:tc>
          <w:tcPr>
            <w:tcW w:w="0" w:type="auto"/>
            <w:noWrap/>
            <w:vAlign w:val="bottom"/>
            <w:hideMark/>
          </w:tcPr>
          <w:p w14:paraId="72F75EB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6F8C4A2"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09C38F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4424BD2" w14:textId="77777777" w:rsidR="00000000" w:rsidRDefault="00632532">
            <w:pPr>
              <w:pStyle w:val="a3"/>
              <w:spacing w:before="0" w:beforeAutospacing="0" w:after="0" w:afterAutospacing="0"/>
              <w:jc w:val="right"/>
              <w:rPr>
                <w:sz w:val="20"/>
                <w:szCs w:val="20"/>
              </w:rPr>
            </w:pPr>
            <w:r>
              <w:rPr>
                <w:sz w:val="20"/>
                <w:szCs w:val="20"/>
              </w:rPr>
              <w:t>9.1</w:t>
            </w:r>
            <w:r>
              <w:rPr>
                <w:sz w:val="20"/>
                <w:szCs w:val="20"/>
              </w:rPr>
              <w:t>8</w:t>
            </w:r>
          </w:p>
        </w:tc>
        <w:tc>
          <w:tcPr>
            <w:tcW w:w="0" w:type="auto"/>
            <w:noWrap/>
            <w:vAlign w:val="bottom"/>
            <w:hideMark/>
          </w:tcPr>
          <w:p w14:paraId="5E63AD4D" w14:textId="77777777" w:rsidR="00000000" w:rsidRDefault="00632532">
            <w:pPr>
              <w:pStyle w:val="a3"/>
              <w:spacing w:before="0" w:beforeAutospacing="0" w:after="0" w:afterAutospacing="0"/>
              <w:rPr>
                <w:sz w:val="20"/>
                <w:szCs w:val="20"/>
              </w:rPr>
            </w:pPr>
            <w:r>
              <w:rPr>
                <w:sz w:val="20"/>
                <w:szCs w:val="20"/>
              </w:rPr>
              <w:t> </w:t>
            </w:r>
          </w:p>
        </w:tc>
      </w:tr>
    </w:tbl>
    <w:p w14:paraId="583163AC" w14:textId="77777777" w:rsidR="00000000" w:rsidRDefault="00632532">
      <w:pPr>
        <w:pStyle w:val="a3"/>
        <w:spacing w:before="0" w:beforeAutospacing="0" w:after="0" w:afterAutospacing="0"/>
        <w:rPr>
          <w:sz w:val="20"/>
          <w:szCs w:val="20"/>
        </w:rPr>
      </w:pPr>
      <w:r>
        <w:rPr>
          <w:sz w:val="20"/>
          <w:szCs w:val="20"/>
        </w:rPr>
        <w:t> </w:t>
      </w:r>
    </w:p>
    <w:p w14:paraId="79C9A57B" w14:textId="77777777" w:rsidR="00000000" w:rsidRDefault="00632532">
      <w:pPr>
        <w:pStyle w:val="a3"/>
        <w:spacing w:before="360" w:beforeAutospacing="0" w:after="0" w:afterAutospacing="0"/>
        <w:divId w:val="1972326579"/>
        <w:rPr>
          <w:sz w:val="20"/>
          <w:szCs w:val="20"/>
        </w:rPr>
      </w:pPr>
      <w:r>
        <w:rPr>
          <w:b/>
          <w:bCs/>
          <w:sz w:val="20"/>
          <w:szCs w:val="20"/>
        </w:rPr>
        <w:t>Note 16. Stock Repurchase Progra</w:t>
      </w:r>
      <w:r>
        <w:rPr>
          <w:b/>
          <w:bCs/>
          <w:sz w:val="20"/>
          <w:szCs w:val="20"/>
        </w:rPr>
        <w:t>m</w:t>
      </w:r>
    </w:p>
    <w:p w14:paraId="47DE6462" w14:textId="77777777" w:rsidR="00000000" w:rsidRDefault="00632532">
      <w:pPr>
        <w:pStyle w:val="a3"/>
        <w:spacing w:before="120" w:beforeAutospacing="0" w:after="0" w:afterAutospacing="0"/>
        <w:ind w:firstLine="539"/>
        <w:divId w:val="1972326579"/>
        <w:rPr>
          <w:sz w:val="20"/>
          <w:szCs w:val="20"/>
        </w:rPr>
      </w:pPr>
      <w:r>
        <w:rPr>
          <w:sz w:val="20"/>
          <w:szCs w:val="20"/>
        </w:rPr>
        <w:t xml:space="preserve">In March 2022, the Company's Board authorized a </w:t>
      </w:r>
      <w:r>
        <w:rPr>
          <w:sz w:val="20"/>
          <w:szCs w:val="20"/>
        </w:rPr>
        <w:t>$</w:t>
      </w:r>
      <w:r>
        <w:rPr>
          <w:sz w:val="20"/>
          <w:szCs w:val="20"/>
        </w:rPr>
        <w:t>250.</w:t>
      </w:r>
      <w:r>
        <w:rPr>
          <w:sz w:val="20"/>
          <w:szCs w:val="20"/>
        </w:rPr>
        <w:t>0</w:t>
      </w:r>
      <w:r>
        <w:rPr>
          <w:sz w:val="20"/>
          <w:szCs w:val="20"/>
        </w:rPr>
        <w:t xml:space="preserve"> </w:t>
      </w:r>
      <w:r>
        <w:rPr>
          <w:sz w:val="20"/>
          <w:szCs w:val="20"/>
        </w:rPr>
        <w:t>million stock repurchase program. Under the stock repurchase program, the Company may repurchase shares from time to time in the open market or in privately negotiated transactions. The stock repurchase program has no expiration from the date of authorizat</w:t>
      </w:r>
      <w:r>
        <w:rPr>
          <w:sz w:val="20"/>
          <w:szCs w:val="20"/>
        </w:rPr>
        <w:t>ion. During the three months ended June 30, 2022, the Company repurchased</w:t>
      </w:r>
      <w:r>
        <w:rPr>
          <w:sz w:val="20"/>
          <w:szCs w:val="20"/>
        </w:rPr>
        <w:t xml:space="preserve"> </w:t>
      </w:r>
      <w:r>
        <w:rPr>
          <w:sz w:val="20"/>
          <w:szCs w:val="20"/>
        </w:rPr>
        <w:t>215,00</w:t>
      </w:r>
      <w:r>
        <w:rPr>
          <w:sz w:val="20"/>
          <w:szCs w:val="20"/>
        </w:rPr>
        <w:t>0</w:t>
      </w:r>
      <w:r>
        <w:rPr>
          <w:sz w:val="20"/>
          <w:szCs w:val="20"/>
        </w:rPr>
        <w:t xml:space="preserve"> shares of its common stock at an aggregate cost of </w:t>
      </w:r>
      <w:r>
        <w:rPr>
          <w:sz w:val="20"/>
          <w:szCs w:val="20"/>
        </w:rPr>
        <w:t>$</w:t>
      </w:r>
      <w:r>
        <w:rPr>
          <w:sz w:val="20"/>
          <w:szCs w:val="20"/>
        </w:rPr>
        <w:t>10.</w:t>
      </w:r>
      <w:r>
        <w:rPr>
          <w:sz w:val="20"/>
          <w:szCs w:val="20"/>
        </w:rPr>
        <w:t>6</w:t>
      </w:r>
      <w:r>
        <w:rPr>
          <w:sz w:val="20"/>
          <w:szCs w:val="20"/>
        </w:rPr>
        <w:t xml:space="preserve"> million under the stock repurchase program. As of June 30, 2022, a total of approximately </w:t>
      </w:r>
      <w:r>
        <w:rPr>
          <w:sz w:val="20"/>
          <w:szCs w:val="20"/>
        </w:rPr>
        <w:t>$</w:t>
      </w:r>
      <w:r>
        <w:rPr>
          <w:sz w:val="20"/>
          <w:szCs w:val="20"/>
        </w:rPr>
        <w:t>239.</w:t>
      </w:r>
      <w:r>
        <w:rPr>
          <w:sz w:val="20"/>
          <w:szCs w:val="20"/>
        </w:rPr>
        <w:t>4</w:t>
      </w:r>
      <w:r>
        <w:rPr>
          <w:sz w:val="20"/>
          <w:szCs w:val="20"/>
        </w:rPr>
        <w:t xml:space="preserve"> million remained ava</w:t>
      </w:r>
      <w:r>
        <w:rPr>
          <w:sz w:val="20"/>
          <w:szCs w:val="20"/>
        </w:rPr>
        <w:t>ilable for future repurchases of its common stock under the stock repurchase program</w:t>
      </w:r>
      <w:r>
        <w:rPr>
          <w:sz w:val="20"/>
          <w:szCs w:val="20"/>
        </w:rPr>
        <w:t>.</w:t>
      </w:r>
    </w:p>
    <w:p w14:paraId="39BDD174" w14:textId="77777777" w:rsidR="00000000" w:rsidRDefault="00632532">
      <w:pPr>
        <w:pStyle w:val="a3"/>
        <w:spacing w:before="240" w:beforeAutospacing="0" w:after="0" w:afterAutospacing="0"/>
        <w:jc w:val="center"/>
        <w:rPr>
          <w:sz w:val="20"/>
          <w:szCs w:val="20"/>
        </w:rPr>
      </w:pPr>
      <w:r>
        <w:rPr>
          <w:sz w:val="20"/>
          <w:szCs w:val="20"/>
        </w:rPr>
        <w:t>2</w:t>
      </w:r>
      <w:r>
        <w:rPr>
          <w:sz w:val="20"/>
          <w:szCs w:val="20"/>
        </w:rPr>
        <w:t>2</w:t>
      </w:r>
    </w:p>
    <w:p w14:paraId="42191E6A" w14:textId="77777777" w:rsidR="00000000" w:rsidRDefault="00632532">
      <w:pPr>
        <w:rPr>
          <w:rFonts w:eastAsia="Times New Roman"/>
        </w:rPr>
      </w:pPr>
      <w:r>
        <w:rPr>
          <w:rFonts w:eastAsia="Times New Roman"/>
        </w:rPr>
        <w:pict w14:anchorId="5F483570">
          <v:rect id="_x0000_i1048" style="width:0;height:1.5pt" o:hralign="center" o:hrstd="t" o:hr="t" fillcolor="#a0a0a0" stroked="f"/>
        </w:pict>
      </w:r>
    </w:p>
    <w:p w14:paraId="58B0A917" w14:textId="77777777" w:rsidR="00000000" w:rsidRDefault="00632532">
      <w:pPr>
        <w:pStyle w:val="a3"/>
        <w:spacing w:before="360" w:beforeAutospacing="0" w:after="0" w:afterAutospacing="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Operations</w:t>
      </w:r>
      <w:r>
        <w:rPr>
          <w:b/>
          <w:bCs/>
          <w:sz w:val="20"/>
          <w:szCs w:val="20"/>
        </w:rPr>
        <w:t>.</w:t>
      </w:r>
    </w:p>
    <w:p w14:paraId="0C53B65E" w14:textId="77777777" w:rsidR="00000000" w:rsidRDefault="00632532">
      <w:pPr>
        <w:pStyle w:val="a3"/>
        <w:spacing w:before="120" w:beforeAutospacing="0" w:after="0" w:afterAutospacing="0"/>
        <w:rPr>
          <w:sz w:val="20"/>
          <w:szCs w:val="20"/>
        </w:rPr>
      </w:pPr>
      <w:r>
        <w:rPr>
          <w:i/>
          <w:iCs/>
          <w:sz w:val="20"/>
          <w:szCs w:val="20"/>
        </w:rPr>
        <w:t>The following discussion and analys</w:t>
      </w:r>
      <w:r>
        <w:rPr>
          <w:i/>
          <w:iCs/>
          <w:sz w:val="20"/>
          <w:szCs w:val="20"/>
        </w:rPr>
        <w:t>is of our financial condition and results of operations should be read together with our condensed consolidated financial statements and related notes included in this report. Additionally, pursuant to Instruction 2 to paragraph (b) of Item 303 of Regulati</w:t>
      </w:r>
      <w:r>
        <w:rPr>
          <w:i/>
          <w:iCs/>
          <w:sz w:val="20"/>
          <w:szCs w:val="20"/>
        </w:rPr>
        <w:t>on S-K promulgated by the Securities and Exchange Commission in preparing this discussion and analysis, we presume that readers have access to and have read the discussion and analysis of our financial condition and results of operations included in our an</w:t>
      </w:r>
      <w:r>
        <w:rPr>
          <w:i/>
          <w:iCs/>
          <w:sz w:val="20"/>
          <w:szCs w:val="20"/>
        </w:rPr>
        <w:t>nual report on Form 10-K for our fiscal year ended December 31, 2021 filed with the U.S. Securities and Exchange Commission, or SEC, on February 28, 2022, or the 2021 Annual Report. As used in this discussion and analysis and elsewhere in this report, unle</w:t>
      </w:r>
      <w:r>
        <w:rPr>
          <w:i/>
          <w:iCs/>
          <w:sz w:val="20"/>
          <w:szCs w:val="20"/>
        </w:rPr>
        <w:t>ss the context otherwise requires, the terms “Fulgent,” the “Company,” “we,” “us” and “our” refer to Fulgent Genetics, Inc. and its consolidated subsidiaries</w:t>
      </w:r>
      <w:r>
        <w:rPr>
          <w:i/>
          <w:iCs/>
          <w:sz w:val="20"/>
          <w:szCs w:val="20"/>
        </w:rPr>
        <w:t>.</w:t>
      </w:r>
    </w:p>
    <w:p w14:paraId="0287F3EB" w14:textId="77777777" w:rsidR="00000000" w:rsidRDefault="00632532">
      <w:pPr>
        <w:pStyle w:val="a3"/>
        <w:spacing w:before="360" w:beforeAutospacing="0" w:after="0" w:afterAutospacing="0"/>
        <w:jc w:val="center"/>
        <w:rPr>
          <w:sz w:val="20"/>
          <w:szCs w:val="20"/>
        </w:rPr>
      </w:pPr>
      <w:r>
        <w:rPr>
          <w:b/>
          <w:bCs/>
          <w:i/>
          <w:iCs/>
          <w:sz w:val="20"/>
          <w:szCs w:val="20"/>
        </w:rPr>
        <w:t>Forward-Looking Statement</w:t>
      </w:r>
      <w:r>
        <w:rPr>
          <w:b/>
          <w:bCs/>
          <w:i/>
          <w:iCs/>
          <w:sz w:val="20"/>
          <w:szCs w:val="20"/>
        </w:rPr>
        <w:t>s</w:t>
      </w:r>
    </w:p>
    <w:p w14:paraId="34A52197" w14:textId="77777777" w:rsidR="00000000" w:rsidRDefault="00632532">
      <w:pPr>
        <w:pStyle w:val="a3"/>
        <w:spacing w:before="120" w:beforeAutospacing="0" w:after="0" w:afterAutospacing="0"/>
        <w:rPr>
          <w:sz w:val="20"/>
          <w:szCs w:val="20"/>
        </w:rPr>
      </w:pPr>
      <w:r>
        <w:rPr>
          <w:i/>
          <w:iCs/>
          <w:sz w:val="20"/>
          <w:szCs w:val="20"/>
        </w:rPr>
        <w:t>The following discussion and analysis contains forward-looking statements within the meaning of Section 27A of the Securities Act of 1933, as amended, or the Securities Act, and Section 21E of the Securities Exchange Act of 1934, as amended, or the Exchang</w:t>
      </w:r>
      <w:r>
        <w:rPr>
          <w:i/>
          <w:iCs/>
          <w:sz w:val="20"/>
          <w:szCs w:val="20"/>
        </w:rPr>
        <w:t xml:space="preserve">e Act. Forward-looking statements are statements other than historical facts and relate to future events or circumstances or our future performance, and they are based on our current assumptions, expectations and beliefs concerning future developments and </w:t>
      </w:r>
      <w:r>
        <w:rPr>
          <w:i/>
          <w:iCs/>
          <w:sz w:val="20"/>
          <w:szCs w:val="20"/>
        </w:rPr>
        <w:t>their potential effect on our business. The forward-looking statements in this discussion and analysis include statements about, among other things, our future financial and operating performance, our future cash flows and liquidity and our growth strategi</w:t>
      </w:r>
      <w:r>
        <w:rPr>
          <w:i/>
          <w:iCs/>
          <w:sz w:val="20"/>
          <w:szCs w:val="20"/>
        </w:rPr>
        <w:t xml:space="preserve">es, as well as anticipated trends in our business and industry. These forward-looking statements are subject to a number of risks and uncertainties, including, among others, those described under “Item 1A. Risk Factors” in Part I of the 2021 Annual Report </w:t>
      </w:r>
      <w:r>
        <w:rPr>
          <w:i/>
          <w:iCs/>
          <w:sz w:val="20"/>
          <w:szCs w:val="20"/>
        </w:rPr>
        <w:t>and under “Item 1A. Risk Factors” in Part II of this Quarterly Report. Moreover, we operate in a competitive and rapidly evolving industry and new risks emerge from time to time. It is not possible for us to predict all of the risks we may face, nor can we</w:t>
      </w:r>
      <w:r>
        <w:rPr>
          <w:i/>
          <w:iCs/>
          <w:sz w:val="20"/>
          <w:szCs w:val="20"/>
        </w:rPr>
        <w:t xml:space="preserve"> assess the impact of all factors on our business or the extent to which any factor or combination of factors could cause actual results to differ from our expectations</w:t>
      </w:r>
      <w:r>
        <w:rPr>
          <w:i/>
          <w:iCs/>
          <w:sz w:val="20"/>
          <w:szCs w:val="20"/>
        </w:rPr>
        <w:t>.</w:t>
      </w:r>
      <w:r>
        <w:rPr>
          <w:sz w:val="20"/>
          <w:szCs w:val="20"/>
        </w:rPr>
        <w:t xml:space="preserve"> </w:t>
      </w:r>
      <w:r>
        <w:rPr>
          <w:i/>
          <w:iCs/>
          <w:sz w:val="20"/>
          <w:szCs w:val="20"/>
        </w:rPr>
        <w:t>In light of these risks and uncertainties, the forward-looking events and circumstance</w:t>
      </w:r>
      <w:r>
        <w:rPr>
          <w:i/>
          <w:iCs/>
          <w:sz w:val="20"/>
          <w:szCs w:val="20"/>
        </w:rPr>
        <w:t>s described in this discussion and analysis may not occur, and actual results could differ materially and adversely from those described in or implied by any forward-looking statements we make. Although we have based our forward-looking statements on assum</w:t>
      </w:r>
      <w:r>
        <w:rPr>
          <w:i/>
          <w:iCs/>
          <w:sz w:val="20"/>
          <w:szCs w:val="20"/>
        </w:rPr>
        <w:t>ptions and expectations we believe are reasonable, we cannot guarantee future results, levels of activity, performance or achievements or other future events. As a result, forward-looking statements should not be relied on or viewed as predictions of futur</w:t>
      </w:r>
      <w:r>
        <w:rPr>
          <w:i/>
          <w:iCs/>
          <w:sz w:val="20"/>
          <w:szCs w:val="20"/>
        </w:rPr>
        <w:t xml:space="preserve">e events, and this discussion and analysis should be read with the understanding that actual future results, levels of activity, performance and achievements may be materially different than our current expectations. The forward-looking statements in this </w:t>
      </w:r>
      <w:r>
        <w:rPr>
          <w:i/>
          <w:iCs/>
          <w:sz w:val="20"/>
          <w:szCs w:val="20"/>
        </w:rPr>
        <w:t>discussion and analysis speak only as of the date of this report, and except as required by law, we undertake no obligation to update publicly any forward-looking statements for any reason after the date of this report to conform these statements to actual</w:t>
      </w:r>
      <w:r>
        <w:rPr>
          <w:i/>
          <w:iCs/>
          <w:sz w:val="20"/>
          <w:szCs w:val="20"/>
        </w:rPr>
        <w:t xml:space="preserve"> results or to changes in our expectations</w:t>
      </w:r>
      <w:r>
        <w:rPr>
          <w:i/>
          <w:iCs/>
          <w:sz w:val="20"/>
          <w:szCs w:val="20"/>
        </w:rPr>
        <w:t>.</w:t>
      </w:r>
    </w:p>
    <w:p w14:paraId="3E065F92" w14:textId="77777777" w:rsidR="00000000" w:rsidRDefault="00632532">
      <w:pPr>
        <w:pStyle w:val="a3"/>
        <w:spacing w:before="360" w:beforeAutospacing="0" w:after="0" w:afterAutospacing="0"/>
        <w:jc w:val="center"/>
        <w:rPr>
          <w:sz w:val="20"/>
          <w:szCs w:val="20"/>
        </w:rPr>
      </w:pPr>
      <w:r>
        <w:rPr>
          <w:b/>
          <w:bCs/>
          <w:sz w:val="20"/>
          <w:szCs w:val="20"/>
        </w:rPr>
        <w:t>Overvie</w:t>
      </w:r>
      <w:r>
        <w:rPr>
          <w:b/>
          <w:bCs/>
          <w:sz w:val="20"/>
          <w:szCs w:val="20"/>
        </w:rPr>
        <w:t>w</w:t>
      </w:r>
    </w:p>
    <w:p w14:paraId="158D39FC" w14:textId="77777777" w:rsidR="00000000" w:rsidRDefault="00632532">
      <w:pPr>
        <w:pStyle w:val="a3"/>
        <w:spacing w:before="120" w:beforeAutospacing="0" w:after="0" w:afterAutospacing="0"/>
        <w:ind w:firstLine="555"/>
        <w:rPr>
          <w:sz w:val="20"/>
          <w:szCs w:val="20"/>
        </w:rPr>
      </w:pPr>
      <w:r>
        <w:rPr>
          <w:sz w:val="20"/>
          <w:szCs w:val="20"/>
        </w:rPr>
        <w:t>We are a technology company offering large-scale COVID-19 testing services, molecular diagnostic testing services and comprehensive genetic testing designed to provide physicians and patients with clinic</w:t>
      </w:r>
      <w:r>
        <w:rPr>
          <w:sz w:val="20"/>
          <w:szCs w:val="20"/>
        </w:rPr>
        <w:t>ally actionable diagnostic information to improve the quality of patient care. A cornerstone of our business is our ability to provide expansive options and flexibility for all clients’ unique testing needs. To this end, we have developed a proprietary tec</w:t>
      </w:r>
      <w:r>
        <w:rPr>
          <w:sz w:val="20"/>
          <w:szCs w:val="20"/>
        </w:rPr>
        <w:t>hnology platform allowing us to offer a broad and flexible test menu and to continually expand and improve our proprietary genetic reference library, while maintaining accessible pricing, high accuracy and competitive turnaround times. Combining next gener</w:t>
      </w:r>
      <w:r>
        <w:rPr>
          <w:sz w:val="20"/>
          <w:szCs w:val="20"/>
        </w:rPr>
        <w:t>ation sequencing, or NGS, with our technology platform, we perform full-gene sequencing with deletion/duplication analysis in single-gene tests; pre-established, multi-gene, disease-specific panels; and customized panels that can be tailored to meet specif</w:t>
      </w:r>
      <w:r>
        <w:rPr>
          <w:sz w:val="20"/>
          <w:szCs w:val="20"/>
        </w:rPr>
        <w:t>ic customer needs</w:t>
      </w:r>
      <w:r>
        <w:rPr>
          <w:sz w:val="20"/>
          <w:szCs w:val="20"/>
        </w:rPr>
        <w:t>.</w:t>
      </w:r>
      <w:r>
        <w:rPr>
          <w:sz w:val="20"/>
          <w:szCs w:val="20"/>
        </w:rPr>
        <w:t xml:space="preserve"> </w:t>
      </w:r>
    </w:p>
    <w:p w14:paraId="65F63922" w14:textId="77777777" w:rsidR="00000000" w:rsidRDefault="00632532">
      <w:pPr>
        <w:pStyle w:val="a3"/>
        <w:spacing w:before="240" w:beforeAutospacing="0" w:after="0" w:afterAutospacing="0"/>
        <w:ind w:firstLine="555"/>
        <w:rPr>
          <w:sz w:val="20"/>
          <w:szCs w:val="20"/>
        </w:rPr>
      </w:pPr>
      <w:r>
        <w:rPr>
          <w:sz w:val="20"/>
          <w:szCs w:val="20"/>
        </w:rPr>
        <w:t>Our technology platform, which integrates sophisticated data comparison and suppression algorithms, adaptive learning software, in comparison to our competitors advanced genetic diagnostics tools and integrated laboratory processes, all</w:t>
      </w:r>
      <w:r>
        <w:rPr>
          <w:sz w:val="20"/>
          <w:szCs w:val="20"/>
        </w:rPr>
        <w:t>ows us to offer a test menu with expansive genetic coverage. We believe the comprehensive data output and high detection rates of our tests, both made possible by this expansive genetic coverage, provide physicians with information they can readily incorpo</w:t>
      </w:r>
      <w:r>
        <w:rPr>
          <w:sz w:val="20"/>
          <w:szCs w:val="20"/>
        </w:rPr>
        <w:t>rate into treatment decisions for their patients, which we refer to as clinical actionability. In addition, our technology platform facilitates our ability to perform customized genetic tests using our expansive library of genes, and we believe this flexib</w:t>
      </w:r>
      <w:r>
        <w:rPr>
          <w:sz w:val="20"/>
          <w:szCs w:val="20"/>
        </w:rPr>
        <w:t>ility increases the utility of the genetic data we produce. Further, our technology platform provides us with operating efficiencies that help lower our internal costs, which allows us to offer our tests at accessible price points. As a result, our efforts</w:t>
      </w:r>
      <w:r>
        <w:rPr>
          <w:sz w:val="20"/>
          <w:szCs w:val="20"/>
        </w:rPr>
        <w:t xml:space="preserve"> to build and continually enhance our technology platform allow us to deliver comprehensive, adaptable, clinically actionable and affordable genetic analysis while maintaining a low cost per billable test, enabling us to efficiently meet the needs of our g</w:t>
      </w:r>
      <w:r>
        <w:rPr>
          <w:sz w:val="20"/>
          <w:szCs w:val="20"/>
        </w:rPr>
        <w:t>rowing base of customers</w:t>
      </w:r>
      <w:r>
        <w:rPr>
          <w:sz w:val="20"/>
          <w:szCs w:val="20"/>
        </w:rPr>
        <w:t>.</w:t>
      </w:r>
      <w:r>
        <w:rPr>
          <w:sz w:val="20"/>
          <w:szCs w:val="20"/>
        </w:rPr>
        <w:t xml:space="preserve"> </w:t>
      </w:r>
    </w:p>
    <w:p w14:paraId="31FABD38" w14:textId="77777777" w:rsidR="00000000" w:rsidRDefault="00632532">
      <w:pPr>
        <w:pStyle w:val="a3"/>
        <w:spacing w:before="240" w:beforeAutospacing="0" w:after="0" w:afterAutospacing="0"/>
        <w:jc w:val="center"/>
        <w:rPr>
          <w:sz w:val="20"/>
          <w:szCs w:val="20"/>
        </w:rPr>
      </w:pPr>
      <w:r>
        <w:rPr>
          <w:sz w:val="20"/>
          <w:szCs w:val="20"/>
        </w:rPr>
        <w:t>2</w:t>
      </w:r>
      <w:r>
        <w:rPr>
          <w:sz w:val="20"/>
          <w:szCs w:val="20"/>
        </w:rPr>
        <w:t>3</w:t>
      </w:r>
    </w:p>
    <w:p w14:paraId="7B39EE73" w14:textId="77777777" w:rsidR="00000000" w:rsidRDefault="00632532">
      <w:pPr>
        <w:rPr>
          <w:rFonts w:eastAsia="Times New Roman"/>
        </w:rPr>
      </w:pPr>
      <w:r>
        <w:rPr>
          <w:rFonts w:eastAsia="Times New Roman"/>
        </w:rPr>
        <w:pict w14:anchorId="7036F97A">
          <v:rect id="_x0000_i1049" style="width:0;height:1.5pt" o:hralign="center" o:hrstd="t" o:hr="t" fillcolor="#a0a0a0" stroked="f"/>
        </w:pict>
      </w:r>
    </w:p>
    <w:p w14:paraId="787D9B33" w14:textId="77777777" w:rsidR="00000000" w:rsidRDefault="00632532">
      <w:pPr>
        <w:pStyle w:val="a3"/>
        <w:spacing w:before="240" w:beforeAutospacing="0" w:after="0" w:afterAutospacing="0"/>
        <w:ind w:firstLine="555"/>
        <w:rPr>
          <w:sz w:val="20"/>
          <w:szCs w:val="20"/>
        </w:rPr>
      </w:pPr>
      <w:r>
        <w:rPr>
          <w:sz w:val="20"/>
          <w:szCs w:val="20"/>
        </w:rPr>
        <w:t xml:space="preserve">We offer tests at competitive prices, averaging approximately $98 per billable test delivered in the six months ended June 30, 2022, and at a low cost to us, averaging approximately $30 per </w:t>
      </w:r>
      <w:r>
        <w:rPr>
          <w:sz w:val="20"/>
          <w:szCs w:val="20"/>
        </w:rPr>
        <w:t>billable test delivered in the six months ended June 30, 2022. We delivered over 1.3 million and approximately 4.6 million billable tests in the three and six months ended June 30, 2022, respectively, compared to approximately 1.6 million and over 5.3 mill</w:t>
      </w:r>
      <w:r>
        <w:rPr>
          <w:sz w:val="20"/>
          <w:szCs w:val="20"/>
        </w:rPr>
        <w:t>ion billable tests delivered in the three and six months ended June 30, 2021, respectively. We recorded revenue and net income of $125.3 million and $11.5 million, respectively, in the three months ended June 30, 2022, compared to revenue and net income of</w:t>
      </w:r>
      <w:r>
        <w:rPr>
          <w:sz w:val="20"/>
          <w:szCs w:val="20"/>
        </w:rPr>
        <w:t xml:space="preserve"> $153.6 million and $79.8 million, respectively, in three months ended June 30, 2021. We recorded revenue and net income of $445.6 million and $165.5 million, respectively, in the six months ended June 30, 2022, compared to revenue and net income of $513.0</w:t>
      </w:r>
      <w:r>
        <w:rPr>
          <w:sz w:val="20"/>
          <w:szCs w:val="20"/>
        </w:rPr>
        <w:t xml:space="preserve"> million and $280.5 million, respectively, in six months ended June 30, 2021. As of June 30, 2022, an aggregate of over 19.0 million billable tests have been delivered to approximately 3,000 customers since launching our first commercial genetic tests in 2</w:t>
      </w:r>
      <w:r>
        <w:rPr>
          <w:sz w:val="20"/>
          <w:szCs w:val="20"/>
        </w:rPr>
        <w:t>013. We have experienced compound quarterly growth of 4% in the number of billable tests delivered in our last eight completed fiscal quarters. We achieved profitability in the first half of 2017, and in the second and the third quarter of 2019, the second</w:t>
      </w:r>
      <w:r>
        <w:rPr>
          <w:sz w:val="20"/>
          <w:szCs w:val="20"/>
        </w:rPr>
        <w:t>, third and fourth quarters of 2020, each quarter of 2021, and the first half of 2022, but we have recorded losses in all other periods since our inception</w:t>
      </w:r>
      <w:r>
        <w:rPr>
          <w:sz w:val="20"/>
          <w:szCs w:val="20"/>
        </w:rPr>
        <w:t>.</w:t>
      </w:r>
    </w:p>
    <w:p w14:paraId="05B7E340" w14:textId="77777777" w:rsidR="00000000" w:rsidRDefault="00632532">
      <w:pPr>
        <w:pStyle w:val="a3"/>
        <w:spacing w:before="360" w:beforeAutospacing="0" w:after="0" w:afterAutospacing="0"/>
        <w:jc w:val="center"/>
        <w:rPr>
          <w:sz w:val="20"/>
          <w:szCs w:val="20"/>
        </w:rPr>
      </w:pPr>
      <w:r>
        <w:rPr>
          <w:b/>
          <w:bCs/>
          <w:sz w:val="20"/>
          <w:szCs w:val="20"/>
        </w:rPr>
        <w:t>COVID-19 Consideration</w:t>
      </w:r>
      <w:r>
        <w:rPr>
          <w:b/>
          <w:bCs/>
          <w:sz w:val="20"/>
          <w:szCs w:val="20"/>
        </w:rPr>
        <w:t>s</w:t>
      </w:r>
    </w:p>
    <w:p w14:paraId="7A95BB21" w14:textId="77777777" w:rsidR="00000000" w:rsidRDefault="00632532">
      <w:pPr>
        <w:pStyle w:val="a3"/>
        <w:spacing w:before="120" w:beforeAutospacing="0" w:after="0" w:afterAutospacing="0"/>
        <w:ind w:firstLine="555"/>
        <w:rPr>
          <w:sz w:val="20"/>
          <w:szCs w:val="20"/>
        </w:rPr>
      </w:pPr>
      <w:r>
        <w:rPr>
          <w:sz w:val="20"/>
          <w:szCs w:val="20"/>
        </w:rPr>
        <w:t>During the first half of 2022, and for the entirety of the COVID-19 pandemi</w:t>
      </w:r>
      <w:r>
        <w:rPr>
          <w:sz w:val="20"/>
          <w:szCs w:val="20"/>
        </w:rPr>
        <w:t>c to such point, we continued to operate as an essential business in response to COVID-19. There has been strong demand for accurate COVID-19 testing with rapid turn-around times as private businesses, municipalities and healthcare providers began to incre</w:t>
      </w:r>
      <w:r>
        <w:rPr>
          <w:sz w:val="20"/>
          <w:szCs w:val="20"/>
        </w:rPr>
        <w:t>asingly rely on diagnostic testing to continue operations and as a tool to aide containment efforts, and as result we have recognized significant revenue growth in connection with sales of our COVID-19 tests. The duration of the ongoing COVID-19 pandemic a</w:t>
      </w:r>
      <w:r>
        <w:rPr>
          <w:sz w:val="20"/>
          <w:szCs w:val="20"/>
        </w:rPr>
        <w:t>nd continuing market for COVID-19 diagnostic tests remains subject to a number of uncertainties, including uncertainties regarding the newly emerging viral variants, the success of global vaccine distribution efforts, the effectiveness of vaccines on new v</w:t>
      </w:r>
      <w:r>
        <w:rPr>
          <w:sz w:val="20"/>
          <w:szCs w:val="20"/>
        </w:rPr>
        <w:t>iral variants and customer and consumer preferences regarding the use of rapid testing. Our ability to continue to operate as currently planned, including our ability to continue to offer our COVID</w:t>
      </w:r>
      <w:r>
        <w:rPr>
          <w:sz w:val="20"/>
          <w:szCs w:val="20"/>
        </w:rPr>
        <w:noBreakHyphen/>
        <w:t>19 tests with accurate results and competitive turn-around</w:t>
      </w:r>
      <w:r>
        <w:rPr>
          <w:sz w:val="20"/>
          <w:szCs w:val="20"/>
        </w:rPr>
        <w:t xml:space="preserve"> times without any significant negative operational impact from the COVID-19 pandemic will depend in part on our, and any of our third</w:t>
      </w:r>
      <w:r>
        <w:rPr>
          <w:sz w:val="20"/>
          <w:szCs w:val="20"/>
        </w:rPr>
        <w:noBreakHyphen/>
        <w:t>party service providers’ and suppliers’ ability to protect our respective employees and supply chains</w:t>
      </w:r>
      <w:r>
        <w:rPr>
          <w:sz w:val="20"/>
          <w:szCs w:val="20"/>
        </w:rPr>
        <w:t>.</w:t>
      </w:r>
      <w:r>
        <w:rPr>
          <w:sz w:val="20"/>
          <w:szCs w:val="20"/>
        </w:rPr>
        <w:t xml:space="preserve"> </w:t>
      </w:r>
    </w:p>
    <w:p w14:paraId="5D38D99F" w14:textId="77777777" w:rsidR="00000000" w:rsidRDefault="00632532">
      <w:pPr>
        <w:pStyle w:val="a3"/>
        <w:spacing w:before="240" w:beforeAutospacing="0" w:after="0" w:afterAutospacing="0"/>
        <w:ind w:firstLine="555"/>
        <w:rPr>
          <w:sz w:val="20"/>
          <w:szCs w:val="20"/>
        </w:rPr>
      </w:pPr>
      <w:r>
        <w:rPr>
          <w:sz w:val="20"/>
          <w:szCs w:val="20"/>
        </w:rPr>
        <w:t>The COVID-19 pand</w:t>
      </w:r>
      <w:r>
        <w:rPr>
          <w:sz w:val="20"/>
          <w:szCs w:val="20"/>
        </w:rPr>
        <w:t>emic has not negatively impacted the Company’s liquidity position as of June 30, 2022, and in the first half of 2022 and 2021, the COVID-19 pandemic did not have a negative impact on our consolidated operating results. We have not incurred any material imp</w:t>
      </w:r>
      <w:r>
        <w:rPr>
          <w:sz w:val="20"/>
          <w:szCs w:val="20"/>
        </w:rPr>
        <w:t>airments of our assets or a significant change in the fair value of our assets due to the COVID-19 pandemic as of June 30, 2022</w:t>
      </w:r>
      <w:r>
        <w:rPr>
          <w:sz w:val="20"/>
          <w:szCs w:val="20"/>
        </w:rPr>
        <w:t>.</w:t>
      </w:r>
    </w:p>
    <w:p w14:paraId="690193AF" w14:textId="77777777" w:rsidR="00000000" w:rsidRDefault="00632532">
      <w:pPr>
        <w:pStyle w:val="a3"/>
        <w:spacing w:before="240" w:beforeAutospacing="0" w:after="0" w:afterAutospacing="0"/>
        <w:ind w:firstLine="555"/>
        <w:rPr>
          <w:sz w:val="20"/>
          <w:szCs w:val="20"/>
        </w:rPr>
      </w:pPr>
      <w:r>
        <w:rPr>
          <w:sz w:val="20"/>
          <w:szCs w:val="20"/>
        </w:rPr>
        <w:t>For additional information on risk factors related to the COVID-19 pandemic or other risks that could impact our results, pleas</w:t>
      </w:r>
      <w:r>
        <w:rPr>
          <w:sz w:val="20"/>
          <w:szCs w:val="20"/>
        </w:rPr>
        <w:t>e refer to “Item 1A. Risk Factors” in Part I of the 2021 Annual Report and “Item 1A. Risk Factors” in Part II of this Quarterly Report</w:t>
      </w:r>
      <w:r>
        <w:rPr>
          <w:sz w:val="20"/>
          <w:szCs w:val="20"/>
        </w:rPr>
        <w:t>.</w:t>
      </w:r>
    </w:p>
    <w:p w14:paraId="7C8B8221" w14:textId="77777777" w:rsidR="00000000" w:rsidRDefault="00632532">
      <w:pPr>
        <w:pStyle w:val="a3"/>
        <w:spacing w:before="360" w:beforeAutospacing="0" w:after="0" w:afterAutospacing="0"/>
        <w:jc w:val="center"/>
        <w:rPr>
          <w:sz w:val="20"/>
          <w:szCs w:val="20"/>
        </w:rPr>
      </w:pPr>
      <w:r>
        <w:rPr>
          <w:b/>
          <w:bCs/>
          <w:sz w:val="20"/>
          <w:szCs w:val="20"/>
        </w:rPr>
        <w:t>Business Risks and Uncertainties and Other Factors Affecting Our Performanc</w:t>
      </w:r>
      <w:r>
        <w:rPr>
          <w:b/>
          <w:bCs/>
          <w:sz w:val="20"/>
          <w:szCs w:val="20"/>
        </w:rPr>
        <w:t>e</w:t>
      </w:r>
    </w:p>
    <w:p w14:paraId="0F0C18DD" w14:textId="77777777" w:rsidR="00000000" w:rsidRDefault="00632532">
      <w:pPr>
        <w:pStyle w:val="a3"/>
        <w:spacing w:before="120" w:beforeAutospacing="0" w:after="0" w:afterAutospacing="0"/>
        <w:ind w:firstLine="555"/>
        <w:rPr>
          <w:sz w:val="20"/>
          <w:szCs w:val="20"/>
        </w:rPr>
      </w:pPr>
      <w:r>
        <w:rPr>
          <w:sz w:val="20"/>
          <w:szCs w:val="20"/>
        </w:rPr>
        <w:t>Our business and prospects are exposed to n</w:t>
      </w:r>
      <w:r>
        <w:rPr>
          <w:sz w:val="20"/>
          <w:szCs w:val="20"/>
        </w:rPr>
        <w:t>umerous risks and uncertainties. For more information, see “Item 1A. Risk Factors” in Part I of the 2021 Annual Report and “Item 1A. Risk Factors” in Part II of this Quarterly Report. In addition, our performance in any period is affected by a number of ot</w:t>
      </w:r>
      <w:r>
        <w:rPr>
          <w:sz w:val="20"/>
          <w:szCs w:val="20"/>
        </w:rPr>
        <w:t>her factors. See the description of some of the material factors affecting our performance in “Item 7. Management’s Discussion and Analysis of Financial Condition and Results of Operations” of the 2021 Annual Report</w:t>
      </w:r>
      <w:r>
        <w:rPr>
          <w:sz w:val="20"/>
          <w:szCs w:val="20"/>
        </w:rPr>
        <w:t>.</w:t>
      </w:r>
    </w:p>
    <w:p w14:paraId="5E2286E9" w14:textId="77777777" w:rsidR="00000000" w:rsidRDefault="00632532">
      <w:pPr>
        <w:pStyle w:val="a3"/>
        <w:spacing w:before="0" w:beforeAutospacing="0" w:after="0" w:afterAutospacing="0"/>
        <w:rPr>
          <w:sz w:val="20"/>
          <w:szCs w:val="20"/>
        </w:rPr>
      </w:pPr>
      <w:r>
        <w:rPr>
          <w:sz w:val="20"/>
          <w:szCs w:val="20"/>
        </w:rPr>
        <w:t> </w:t>
      </w:r>
    </w:p>
    <w:p w14:paraId="6D9E946C" w14:textId="77777777" w:rsidR="00000000" w:rsidRDefault="00632532">
      <w:pPr>
        <w:pStyle w:val="a3"/>
        <w:spacing w:before="240" w:beforeAutospacing="0" w:after="0" w:afterAutospacing="0"/>
        <w:jc w:val="center"/>
        <w:rPr>
          <w:sz w:val="20"/>
          <w:szCs w:val="20"/>
        </w:rPr>
      </w:pPr>
      <w:r>
        <w:rPr>
          <w:sz w:val="20"/>
          <w:szCs w:val="20"/>
        </w:rPr>
        <w:t>2</w:t>
      </w:r>
      <w:r>
        <w:rPr>
          <w:sz w:val="20"/>
          <w:szCs w:val="20"/>
        </w:rPr>
        <w:t>4</w:t>
      </w:r>
    </w:p>
    <w:p w14:paraId="77B0F622" w14:textId="77777777" w:rsidR="00000000" w:rsidRDefault="00632532">
      <w:pPr>
        <w:rPr>
          <w:rFonts w:eastAsia="Times New Roman"/>
        </w:rPr>
      </w:pPr>
      <w:r>
        <w:rPr>
          <w:rFonts w:eastAsia="Times New Roman"/>
        </w:rPr>
        <w:pict w14:anchorId="080DBDD3">
          <v:rect id="_x0000_i1050" style="width:0;height:1.5pt" o:hralign="center" o:hrstd="t" o:hr="t" fillcolor="#a0a0a0" stroked="f"/>
        </w:pict>
      </w:r>
    </w:p>
    <w:p w14:paraId="5ADF5CC7" w14:textId="77777777" w:rsidR="00000000" w:rsidRDefault="00632532">
      <w:pPr>
        <w:pStyle w:val="a3"/>
        <w:spacing w:before="360" w:beforeAutospacing="0" w:after="0" w:afterAutospacing="0"/>
        <w:jc w:val="center"/>
        <w:rPr>
          <w:sz w:val="20"/>
          <w:szCs w:val="20"/>
        </w:rPr>
      </w:pPr>
      <w:r>
        <w:rPr>
          <w:b/>
          <w:bCs/>
          <w:sz w:val="20"/>
          <w:szCs w:val="20"/>
        </w:rPr>
        <w:t>Results of Operation</w:t>
      </w:r>
      <w:r>
        <w:rPr>
          <w:b/>
          <w:bCs/>
          <w:sz w:val="20"/>
          <w:szCs w:val="20"/>
        </w:rPr>
        <w:t>s</w:t>
      </w:r>
    </w:p>
    <w:p w14:paraId="45F723D2" w14:textId="77777777" w:rsidR="00000000" w:rsidRDefault="00632532">
      <w:pPr>
        <w:pStyle w:val="a3"/>
        <w:spacing w:before="120" w:beforeAutospacing="0" w:after="0" w:afterAutospacing="0"/>
        <w:ind w:firstLine="555"/>
        <w:rPr>
          <w:sz w:val="20"/>
          <w:szCs w:val="20"/>
        </w:rPr>
      </w:pPr>
      <w:r>
        <w:rPr>
          <w:sz w:val="20"/>
          <w:szCs w:val="20"/>
        </w:rPr>
        <w:t>The table below summarizes our results of operations for the periods indicated. For a financial overview relating to our results of operations, including general descriptions of the make-up of material line items of our statement of</w:t>
      </w:r>
      <w:r>
        <w:rPr>
          <w:sz w:val="20"/>
          <w:szCs w:val="20"/>
        </w:rPr>
        <w:t xml:space="preserve"> income data, see “Item 7. Management’s Discussion and Analysis of Financial Condition and Results of Operations” of the 2021 Annual Report</w:t>
      </w:r>
      <w:r>
        <w:rPr>
          <w:sz w:val="20"/>
          <w:szCs w:val="20"/>
        </w:rPr>
        <w:t>.</w:t>
      </w:r>
    </w:p>
    <w:p w14:paraId="35260DD9"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20"/>
        <w:gridCol w:w="160"/>
        <w:gridCol w:w="710"/>
        <w:gridCol w:w="110"/>
        <w:gridCol w:w="110"/>
        <w:gridCol w:w="160"/>
        <w:gridCol w:w="710"/>
        <w:gridCol w:w="110"/>
        <w:gridCol w:w="110"/>
        <w:gridCol w:w="160"/>
        <w:gridCol w:w="677"/>
        <w:gridCol w:w="127"/>
        <w:gridCol w:w="110"/>
        <w:gridCol w:w="760"/>
        <w:gridCol w:w="110"/>
        <w:gridCol w:w="160"/>
        <w:gridCol w:w="710"/>
        <w:gridCol w:w="110"/>
        <w:gridCol w:w="110"/>
        <w:gridCol w:w="160"/>
        <w:gridCol w:w="710"/>
        <w:gridCol w:w="110"/>
        <w:gridCol w:w="110"/>
        <w:gridCol w:w="160"/>
        <w:gridCol w:w="777"/>
        <w:gridCol w:w="127"/>
        <w:gridCol w:w="110"/>
        <w:gridCol w:w="775"/>
      </w:tblGrid>
      <w:tr w:rsidR="00000000" w14:paraId="74B4DAD3" w14:textId="77777777">
        <w:trPr>
          <w:tblCellSpacing w:w="15" w:type="dxa"/>
        </w:trPr>
        <w:tc>
          <w:tcPr>
            <w:tcW w:w="1388" w:type="pct"/>
            <w:vAlign w:val="center"/>
            <w:hideMark/>
          </w:tcPr>
          <w:p w14:paraId="0FEE2084" w14:textId="77777777" w:rsidR="00000000" w:rsidRDefault="00632532">
            <w:pPr>
              <w:rPr>
                <w:sz w:val="20"/>
                <w:szCs w:val="20"/>
              </w:rPr>
            </w:pPr>
          </w:p>
        </w:tc>
        <w:tc>
          <w:tcPr>
            <w:tcW w:w="50" w:type="pct"/>
            <w:vAlign w:val="center"/>
            <w:hideMark/>
          </w:tcPr>
          <w:p w14:paraId="3D6223E5" w14:textId="77777777" w:rsidR="00000000" w:rsidRDefault="00632532">
            <w:pPr>
              <w:rPr>
                <w:rFonts w:eastAsia="Times New Roman"/>
                <w:sz w:val="20"/>
                <w:szCs w:val="20"/>
              </w:rPr>
            </w:pPr>
          </w:p>
        </w:tc>
        <w:tc>
          <w:tcPr>
            <w:tcW w:w="316" w:type="pct"/>
            <w:vAlign w:val="center"/>
            <w:hideMark/>
          </w:tcPr>
          <w:p w14:paraId="7907EE04" w14:textId="77777777" w:rsidR="00000000" w:rsidRDefault="00632532">
            <w:pPr>
              <w:rPr>
                <w:rFonts w:eastAsia="Times New Roman"/>
                <w:sz w:val="20"/>
                <w:szCs w:val="20"/>
              </w:rPr>
            </w:pPr>
          </w:p>
        </w:tc>
        <w:tc>
          <w:tcPr>
            <w:tcW w:w="50" w:type="pct"/>
            <w:vAlign w:val="center"/>
            <w:hideMark/>
          </w:tcPr>
          <w:p w14:paraId="404309E3" w14:textId="77777777" w:rsidR="00000000" w:rsidRDefault="00632532">
            <w:pPr>
              <w:rPr>
                <w:rFonts w:eastAsia="Times New Roman"/>
                <w:sz w:val="20"/>
                <w:szCs w:val="20"/>
              </w:rPr>
            </w:pPr>
          </w:p>
        </w:tc>
        <w:tc>
          <w:tcPr>
            <w:tcW w:w="47" w:type="pct"/>
            <w:vAlign w:val="center"/>
            <w:hideMark/>
          </w:tcPr>
          <w:p w14:paraId="66DF1BCF" w14:textId="77777777" w:rsidR="00000000" w:rsidRDefault="00632532">
            <w:pPr>
              <w:rPr>
                <w:rFonts w:eastAsia="Times New Roman"/>
                <w:sz w:val="20"/>
                <w:szCs w:val="20"/>
              </w:rPr>
            </w:pPr>
          </w:p>
        </w:tc>
        <w:tc>
          <w:tcPr>
            <w:tcW w:w="50" w:type="pct"/>
            <w:vAlign w:val="center"/>
            <w:hideMark/>
          </w:tcPr>
          <w:p w14:paraId="183AC5F1" w14:textId="77777777" w:rsidR="00000000" w:rsidRDefault="00632532">
            <w:pPr>
              <w:rPr>
                <w:rFonts w:eastAsia="Times New Roman"/>
                <w:sz w:val="20"/>
                <w:szCs w:val="20"/>
              </w:rPr>
            </w:pPr>
          </w:p>
        </w:tc>
        <w:tc>
          <w:tcPr>
            <w:tcW w:w="357" w:type="pct"/>
            <w:vAlign w:val="center"/>
            <w:hideMark/>
          </w:tcPr>
          <w:p w14:paraId="21C87E0D" w14:textId="77777777" w:rsidR="00000000" w:rsidRDefault="00632532">
            <w:pPr>
              <w:rPr>
                <w:rFonts w:eastAsia="Times New Roman"/>
                <w:sz w:val="20"/>
                <w:szCs w:val="20"/>
              </w:rPr>
            </w:pPr>
          </w:p>
        </w:tc>
        <w:tc>
          <w:tcPr>
            <w:tcW w:w="50" w:type="pct"/>
            <w:vAlign w:val="center"/>
            <w:hideMark/>
          </w:tcPr>
          <w:p w14:paraId="239887D9" w14:textId="77777777" w:rsidR="00000000" w:rsidRDefault="00632532">
            <w:pPr>
              <w:rPr>
                <w:rFonts w:eastAsia="Times New Roman"/>
                <w:sz w:val="20"/>
                <w:szCs w:val="20"/>
              </w:rPr>
            </w:pPr>
          </w:p>
        </w:tc>
        <w:tc>
          <w:tcPr>
            <w:tcW w:w="47" w:type="pct"/>
            <w:vAlign w:val="center"/>
            <w:hideMark/>
          </w:tcPr>
          <w:p w14:paraId="2DA0627B" w14:textId="77777777" w:rsidR="00000000" w:rsidRDefault="00632532">
            <w:pPr>
              <w:rPr>
                <w:rFonts w:eastAsia="Times New Roman"/>
                <w:sz w:val="20"/>
                <w:szCs w:val="20"/>
              </w:rPr>
            </w:pPr>
          </w:p>
        </w:tc>
        <w:tc>
          <w:tcPr>
            <w:tcW w:w="50" w:type="pct"/>
            <w:vAlign w:val="center"/>
            <w:hideMark/>
          </w:tcPr>
          <w:p w14:paraId="7CEEC991" w14:textId="77777777" w:rsidR="00000000" w:rsidRDefault="00632532">
            <w:pPr>
              <w:rPr>
                <w:rFonts w:eastAsia="Times New Roman"/>
                <w:sz w:val="20"/>
                <w:szCs w:val="20"/>
              </w:rPr>
            </w:pPr>
          </w:p>
        </w:tc>
        <w:tc>
          <w:tcPr>
            <w:tcW w:w="320" w:type="pct"/>
            <w:vAlign w:val="center"/>
            <w:hideMark/>
          </w:tcPr>
          <w:p w14:paraId="6FB7CB6A" w14:textId="77777777" w:rsidR="00000000" w:rsidRDefault="00632532">
            <w:pPr>
              <w:rPr>
                <w:rFonts w:eastAsia="Times New Roman"/>
                <w:sz w:val="20"/>
                <w:szCs w:val="20"/>
              </w:rPr>
            </w:pPr>
          </w:p>
        </w:tc>
        <w:tc>
          <w:tcPr>
            <w:tcW w:w="50" w:type="pct"/>
            <w:vAlign w:val="center"/>
            <w:hideMark/>
          </w:tcPr>
          <w:p w14:paraId="79039891" w14:textId="77777777" w:rsidR="00000000" w:rsidRDefault="00632532">
            <w:pPr>
              <w:rPr>
                <w:rFonts w:eastAsia="Times New Roman"/>
                <w:sz w:val="20"/>
                <w:szCs w:val="20"/>
              </w:rPr>
            </w:pPr>
          </w:p>
        </w:tc>
        <w:tc>
          <w:tcPr>
            <w:tcW w:w="47" w:type="pct"/>
            <w:vAlign w:val="center"/>
            <w:hideMark/>
          </w:tcPr>
          <w:p w14:paraId="1A00E4A5" w14:textId="77777777" w:rsidR="00000000" w:rsidRDefault="00632532">
            <w:pPr>
              <w:rPr>
                <w:rFonts w:eastAsia="Times New Roman"/>
                <w:sz w:val="20"/>
                <w:szCs w:val="20"/>
              </w:rPr>
            </w:pPr>
          </w:p>
        </w:tc>
        <w:tc>
          <w:tcPr>
            <w:tcW w:w="278" w:type="pct"/>
            <w:vAlign w:val="center"/>
            <w:hideMark/>
          </w:tcPr>
          <w:p w14:paraId="2F504C0F" w14:textId="77777777" w:rsidR="00000000" w:rsidRDefault="00632532">
            <w:pPr>
              <w:rPr>
                <w:rFonts w:eastAsia="Times New Roman"/>
                <w:sz w:val="20"/>
                <w:szCs w:val="20"/>
              </w:rPr>
            </w:pPr>
          </w:p>
        </w:tc>
        <w:tc>
          <w:tcPr>
            <w:tcW w:w="54" w:type="pct"/>
            <w:vAlign w:val="center"/>
            <w:hideMark/>
          </w:tcPr>
          <w:p w14:paraId="3682A52E" w14:textId="77777777" w:rsidR="00000000" w:rsidRDefault="00632532">
            <w:pPr>
              <w:rPr>
                <w:rFonts w:eastAsia="Times New Roman"/>
                <w:sz w:val="20"/>
                <w:szCs w:val="20"/>
              </w:rPr>
            </w:pPr>
          </w:p>
        </w:tc>
        <w:tc>
          <w:tcPr>
            <w:tcW w:w="50" w:type="pct"/>
            <w:vAlign w:val="center"/>
            <w:hideMark/>
          </w:tcPr>
          <w:p w14:paraId="4D07A55C" w14:textId="77777777" w:rsidR="00000000" w:rsidRDefault="00632532">
            <w:pPr>
              <w:rPr>
                <w:rFonts w:eastAsia="Times New Roman"/>
                <w:sz w:val="20"/>
                <w:szCs w:val="20"/>
              </w:rPr>
            </w:pPr>
          </w:p>
        </w:tc>
        <w:tc>
          <w:tcPr>
            <w:tcW w:w="316" w:type="pct"/>
            <w:vAlign w:val="center"/>
            <w:hideMark/>
          </w:tcPr>
          <w:p w14:paraId="395F977C" w14:textId="77777777" w:rsidR="00000000" w:rsidRDefault="00632532">
            <w:pPr>
              <w:rPr>
                <w:rFonts w:eastAsia="Times New Roman"/>
                <w:sz w:val="20"/>
                <w:szCs w:val="20"/>
              </w:rPr>
            </w:pPr>
          </w:p>
        </w:tc>
        <w:tc>
          <w:tcPr>
            <w:tcW w:w="50" w:type="pct"/>
            <w:vAlign w:val="center"/>
            <w:hideMark/>
          </w:tcPr>
          <w:p w14:paraId="23433A74" w14:textId="77777777" w:rsidR="00000000" w:rsidRDefault="00632532">
            <w:pPr>
              <w:rPr>
                <w:rFonts w:eastAsia="Times New Roman"/>
                <w:sz w:val="20"/>
                <w:szCs w:val="20"/>
              </w:rPr>
            </w:pPr>
          </w:p>
        </w:tc>
        <w:tc>
          <w:tcPr>
            <w:tcW w:w="47" w:type="pct"/>
            <w:vAlign w:val="center"/>
            <w:hideMark/>
          </w:tcPr>
          <w:p w14:paraId="652635C7" w14:textId="77777777" w:rsidR="00000000" w:rsidRDefault="00632532">
            <w:pPr>
              <w:rPr>
                <w:rFonts w:eastAsia="Times New Roman"/>
                <w:sz w:val="20"/>
                <w:szCs w:val="20"/>
              </w:rPr>
            </w:pPr>
          </w:p>
        </w:tc>
        <w:tc>
          <w:tcPr>
            <w:tcW w:w="50" w:type="pct"/>
            <w:vAlign w:val="center"/>
            <w:hideMark/>
          </w:tcPr>
          <w:p w14:paraId="05E9F1A2" w14:textId="77777777" w:rsidR="00000000" w:rsidRDefault="00632532">
            <w:pPr>
              <w:rPr>
                <w:rFonts w:eastAsia="Times New Roman"/>
                <w:sz w:val="20"/>
                <w:szCs w:val="20"/>
              </w:rPr>
            </w:pPr>
          </w:p>
        </w:tc>
        <w:tc>
          <w:tcPr>
            <w:tcW w:w="405" w:type="pct"/>
            <w:vAlign w:val="center"/>
            <w:hideMark/>
          </w:tcPr>
          <w:p w14:paraId="7AE77B43" w14:textId="77777777" w:rsidR="00000000" w:rsidRDefault="00632532">
            <w:pPr>
              <w:rPr>
                <w:rFonts w:eastAsia="Times New Roman"/>
                <w:sz w:val="20"/>
                <w:szCs w:val="20"/>
              </w:rPr>
            </w:pPr>
          </w:p>
        </w:tc>
        <w:tc>
          <w:tcPr>
            <w:tcW w:w="50" w:type="pct"/>
            <w:vAlign w:val="center"/>
            <w:hideMark/>
          </w:tcPr>
          <w:p w14:paraId="1D70A803" w14:textId="77777777" w:rsidR="00000000" w:rsidRDefault="00632532">
            <w:pPr>
              <w:rPr>
                <w:rFonts w:eastAsia="Times New Roman"/>
                <w:sz w:val="20"/>
                <w:szCs w:val="20"/>
              </w:rPr>
            </w:pPr>
          </w:p>
        </w:tc>
        <w:tc>
          <w:tcPr>
            <w:tcW w:w="47" w:type="pct"/>
            <w:vAlign w:val="center"/>
            <w:hideMark/>
          </w:tcPr>
          <w:p w14:paraId="05EA3982" w14:textId="77777777" w:rsidR="00000000" w:rsidRDefault="00632532">
            <w:pPr>
              <w:rPr>
                <w:rFonts w:eastAsia="Times New Roman"/>
                <w:sz w:val="20"/>
                <w:szCs w:val="20"/>
              </w:rPr>
            </w:pPr>
          </w:p>
        </w:tc>
        <w:tc>
          <w:tcPr>
            <w:tcW w:w="50" w:type="pct"/>
            <w:vAlign w:val="center"/>
            <w:hideMark/>
          </w:tcPr>
          <w:p w14:paraId="05ACEF78" w14:textId="77777777" w:rsidR="00000000" w:rsidRDefault="00632532">
            <w:pPr>
              <w:rPr>
                <w:rFonts w:eastAsia="Times New Roman"/>
                <w:sz w:val="20"/>
                <w:szCs w:val="20"/>
              </w:rPr>
            </w:pPr>
          </w:p>
        </w:tc>
        <w:tc>
          <w:tcPr>
            <w:tcW w:w="400" w:type="pct"/>
            <w:vAlign w:val="center"/>
            <w:hideMark/>
          </w:tcPr>
          <w:p w14:paraId="566B8DC2" w14:textId="77777777" w:rsidR="00000000" w:rsidRDefault="00632532">
            <w:pPr>
              <w:rPr>
                <w:rFonts w:eastAsia="Times New Roman"/>
                <w:sz w:val="20"/>
                <w:szCs w:val="20"/>
              </w:rPr>
            </w:pPr>
          </w:p>
        </w:tc>
        <w:tc>
          <w:tcPr>
            <w:tcW w:w="50" w:type="pct"/>
            <w:vAlign w:val="center"/>
            <w:hideMark/>
          </w:tcPr>
          <w:p w14:paraId="772A2A08" w14:textId="77777777" w:rsidR="00000000" w:rsidRDefault="00632532">
            <w:pPr>
              <w:rPr>
                <w:rFonts w:eastAsia="Times New Roman"/>
                <w:sz w:val="20"/>
                <w:szCs w:val="20"/>
              </w:rPr>
            </w:pPr>
          </w:p>
        </w:tc>
        <w:tc>
          <w:tcPr>
            <w:tcW w:w="47" w:type="pct"/>
            <w:vAlign w:val="center"/>
            <w:hideMark/>
          </w:tcPr>
          <w:p w14:paraId="279B7DF4" w14:textId="77777777" w:rsidR="00000000" w:rsidRDefault="00632532">
            <w:pPr>
              <w:rPr>
                <w:rFonts w:eastAsia="Times New Roman"/>
                <w:sz w:val="20"/>
                <w:szCs w:val="20"/>
              </w:rPr>
            </w:pPr>
          </w:p>
        </w:tc>
        <w:tc>
          <w:tcPr>
            <w:tcW w:w="278" w:type="pct"/>
            <w:vAlign w:val="center"/>
            <w:hideMark/>
          </w:tcPr>
          <w:p w14:paraId="133BB5A9" w14:textId="77777777" w:rsidR="00000000" w:rsidRDefault="00632532">
            <w:pPr>
              <w:rPr>
                <w:rFonts w:eastAsia="Times New Roman"/>
                <w:sz w:val="20"/>
                <w:szCs w:val="20"/>
              </w:rPr>
            </w:pPr>
          </w:p>
        </w:tc>
      </w:tr>
      <w:tr w:rsidR="00000000" w14:paraId="0E2C330A" w14:textId="77777777">
        <w:trPr>
          <w:trHeight w:val="160"/>
          <w:tblCellSpacing w:w="15" w:type="dxa"/>
        </w:trPr>
        <w:tc>
          <w:tcPr>
            <w:tcW w:w="0" w:type="auto"/>
            <w:vAlign w:val="bottom"/>
            <w:hideMark/>
          </w:tcPr>
          <w:p w14:paraId="593BC6F7"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654CC460" w14:textId="77777777" w:rsidR="00000000" w:rsidRDefault="00632532">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14:paraId="4D167E20"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72F17700"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346F31FD"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28DD7B79"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53D68C26"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68CB7AAC"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12E15C3" w14:textId="77777777" w:rsidR="00000000" w:rsidRDefault="00632532">
            <w:pPr>
              <w:pStyle w:val="a3"/>
              <w:spacing w:before="0" w:beforeAutospacing="0" w:after="0" w:afterAutospacing="0"/>
              <w:jc w:val="right"/>
              <w:rPr>
                <w:sz w:val="16"/>
                <w:szCs w:val="16"/>
              </w:rPr>
            </w:pPr>
            <w:r>
              <w:rPr>
                <w:sz w:val="16"/>
                <w:szCs w:val="16"/>
              </w:rPr>
              <w:t> </w:t>
            </w:r>
          </w:p>
        </w:tc>
        <w:tc>
          <w:tcPr>
            <w:tcW w:w="0" w:type="auto"/>
            <w:gridSpan w:val="6"/>
            <w:vAlign w:val="bottom"/>
            <w:hideMark/>
          </w:tcPr>
          <w:p w14:paraId="4005CEA7" w14:textId="77777777" w:rsidR="00000000" w:rsidRDefault="00632532">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14:paraId="39D5BD53"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7CCFF21"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6E6476FE"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1F35DE98"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70A92B7B" w14:textId="77777777" w:rsidR="00000000" w:rsidRDefault="00632532">
            <w:pPr>
              <w:pStyle w:val="a3"/>
              <w:spacing w:before="0" w:beforeAutospacing="0" w:after="0" w:afterAutospacing="0"/>
              <w:rPr>
                <w:sz w:val="16"/>
                <w:szCs w:val="16"/>
              </w:rPr>
            </w:pPr>
            <w:r>
              <w:rPr>
                <w:sz w:val="16"/>
                <w:szCs w:val="16"/>
              </w:rPr>
              <w:t> </w:t>
            </w:r>
          </w:p>
        </w:tc>
        <w:tc>
          <w:tcPr>
            <w:tcW w:w="0" w:type="auto"/>
            <w:vAlign w:val="bottom"/>
            <w:hideMark/>
          </w:tcPr>
          <w:p w14:paraId="24F60BB7"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0111B887" w14:textId="77777777">
        <w:trPr>
          <w:trHeight w:val="160"/>
          <w:tblCellSpacing w:w="15" w:type="dxa"/>
        </w:trPr>
        <w:tc>
          <w:tcPr>
            <w:tcW w:w="0" w:type="auto"/>
            <w:vAlign w:val="bottom"/>
            <w:hideMark/>
          </w:tcPr>
          <w:p w14:paraId="50AECC04"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5CD596EF" w14:textId="77777777" w:rsidR="00000000" w:rsidRDefault="00632532">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14:paraId="090C34BB"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44F9E9C"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6D8494BF" w14:textId="77777777" w:rsidR="00000000" w:rsidRDefault="00632532">
            <w:pPr>
              <w:pStyle w:val="a3"/>
              <w:spacing w:before="0" w:beforeAutospacing="0" w:after="0" w:afterAutospacing="0"/>
              <w:jc w:val="center"/>
              <w:rPr>
                <w:sz w:val="16"/>
                <w:szCs w:val="16"/>
              </w:rPr>
            </w:pPr>
            <w:r>
              <w:rPr>
                <w:b/>
                <w:bCs/>
                <w:sz w:val="16"/>
                <w:szCs w:val="16"/>
              </w:rPr>
              <w:t>$</w:t>
            </w:r>
          </w:p>
        </w:tc>
        <w:tc>
          <w:tcPr>
            <w:tcW w:w="0" w:type="auto"/>
            <w:vAlign w:val="bottom"/>
            <w:hideMark/>
          </w:tcPr>
          <w:p w14:paraId="124B4792"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D0559F8"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1596633" w14:textId="77777777" w:rsidR="00000000" w:rsidRDefault="00632532">
            <w:pPr>
              <w:pStyle w:val="a3"/>
              <w:spacing w:before="0" w:beforeAutospacing="0" w:after="0" w:afterAutospacing="0"/>
              <w:jc w:val="center"/>
              <w:rPr>
                <w:sz w:val="16"/>
                <w:szCs w:val="16"/>
              </w:rPr>
            </w:pPr>
            <w:r>
              <w:rPr>
                <w:b/>
                <w:bCs/>
                <w:sz w:val="16"/>
                <w:szCs w:val="16"/>
              </w:rPr>
              <w:t>%</w:t>
            </w:r>
          </w:p>
        </w:tc>
        <w:tc>
          <w:tcPr>
            <w:tcW w:w="0" w:type="auto"/>
            <w:vAlign w:val="bottom"/>
            <w:hideMark/>
          </w:tcPr>
          <w:p w14:paraId="5DB2639B" w14:textId="77777777" w:rsidR="00000000" w:rsidRDefault="00632532">
            <w:pPr>
              <w:pStyle w:val="a3"/>
              <w:spacing w:before="0" w:beforeAutospacing="0" w:after="0" w:afterAutospacing="0"/>
              <w:jc w:val="right"/>
              <w:rPr>
                <w:sz w:val="16"/>
                <w:szCs w:val="16"/>
              </w:rPr>
            </w:pPr>
            <w:r>
              <w:rPr>
                <w:sz w:val="16"/>
                <w:szCs w:val="16"/>
              </w:rPr>
              <w:t> </w:t>
            </w:r>
          </w:p>
        </w:tc>
        <w:tc>
          <w:tcPr>
            <w:tcW w:w="0" w:type="auto"/>
            <w:gridSpan w:val="6"/>
            <w:vAlign w:val="bottom"/>
            <w:hideMark/>
          </w:tcPr>
          <w:p w14:paraId="1FA40A2D" w14:textId="77777777" w:rsidR="00000000" w:rsidRDefault="00632532">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14:paraId="73272F9E"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15AC758"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529E5A0D" w14:textId="77777777" w:rsidR="00000000" w:rsidRDefault="00632532">
            <w:pPr>
              <w:pStyle w:val="a3"/>
              <w:spacing w:before="0" w:beforeAutospacing="0" w:after="0" w:afterAutospacing="0"/>
              <w:jc w:val="center"/>
              <w:rPr>
                <w:sz w:val="16"/>
                <w:szCs w:val="16"/>
              </w:rPr>
            </w:pPr>
            <w:r>
              <w:rPr>
                <w:b/>
                <w:bCs/>
                <w:sz w:val="16"/>
                <w:szCs w:val="16"/>
              </w:rPr>
              <w:t>$</w:t>
            </w:r>
          </w:p>
        </w:tc>
        <w:tc>
          <w:tcPr>
            <w:tcW w:w="0" w:type="auto"/>
            <w:vAlign w:val="bottom"/>
            <w:hideMark/>
          </w:tcPr>
          <w:p w14:paraId="1FF191D2"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173EAC0"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270189D7" w14:textId="77777777" w:rsidR="00000000" w:rsidRDefault="00632532">
            <w:pPr>
              <w:pStyle w:val="a3"/>
              <w:spacing w:before="0" w:beforeAutospacing="0" w:after="0" w:afterAutospacing="0"/>
              <w:jc w:val="center"/>
              <w:rPr>
                <w:sz w:val="16"/>
                <w:szCs w:val="16"/>
              </w:rPr>
            </w:pPr>
            <w:r>
              <w:rPr>
                <w:b/>
                <w:bCs/>
                <w:sz w:val="16"/>
                <w:szCs w:val="16"/>
              </w:rPr>
              <w:t>%</w:t>
            </w:r>
          </w:p>
        </w:tc>
      </w:tr>
      <w:tr w:rsidR="00000000" w14:paraId="1D04A012" w14:textId="77777777">
        <w:trPr>
          <w:trHeight w:val="160"/>
          <w:tblCellSpacing w:w="15" w:type="dxa"/>
        </w:trPr>
        <w:tc>
          <w:tcPr>
            <w:tcW w:w="0" w:type="auto"/>
            <w:vAlign w:val="bottom"/>
            <w:hideMark/>
          </w:tcPr>
          <w:p w14:paraId="1FE0C818"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D690B47"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11E25782"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343D49B"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C400D3F"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048FE4B"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B5061A9"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75BF3EC6" w14:textId="77777777" w:rsidR="00000000" w:rsidRDefault="0063253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44D81C7A"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1C9598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147D38E9" w14:textId="77777777" w:rsidR="00000000" w:rsidRDefault="0063253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22FD0F73" w14:textId="77777777" w:rsidR="00000000" w:rsidRDefault="00632532">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61466938"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653F7D42"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4FB526BD"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39C11B9"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560EA15"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200F57B" w14:textId="77777777" w:rsidR="00000000" w:rsidRDefault="00632532">
            <w:pPr>
              <w:pStyle w:val="a3"/>
              <w:spacing w:before="0" w:beforeAutospacing="0" w:after="0" w:afterAutospacing="0"/>
              <w:rPr>
                <w:sz w:val="16"/>
                <w:szCs w:val="16"/>
              </w:rPr>
            </w:pPr>
            <w:r>
              <w:rPr>
                <w:sz w:val="16"/>
                <w:szCs w:val="16"/>
              </w:rPr>
              <w:t> </w:t>
            </w:r>
          </w:p>
        </w:tc>
        <w:tc>
          <w:tcPr>
            <w:tcW w:w="0" w:type="auto"/>
            <w:gridSpan w:val="2"/>
            <w:vAlign w:val="bottom"/>
            <w:hideMark/>
          </w:tcPr>
          <w:p w14:paraId="69D63EF5" w14:textId="77777777" w:rsidR="00000000" w:rsidRDefault="00632532">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14:paraId="5B3A1D96"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5F8DE280"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61372EA0" w14:textId="77777777" w:rsidR="00000000" w:rsidRDefault="00632532">
            <w:pPr>
              <w:pStyle w:val="a3"/>
              <w:spacing w:before="0" w:beforeAutospacing="0" w:after="0" w:afterAutospacing="0"/>
              <w:jc w:val="center"/>
              <w:rPr>
                <w:sz w:val="16"/>
                <w:szCs w:val="16"/>
              </w:rPr>
            </w:pPr>
            <w:r>
              <w:rPr>
                <w:b/>
                <w:bCs/>
                <w:sz w:val="16"/>
                <w:szCs w:val="16"/>
              </w:rPr>
              <w:t>Chang</w:t>
            </w:r>
            <w:r>
              <w:rPr>
                <w:b/>
                <w:bCs/>
                <w:sz w:val="16"/>
                <w:szCs w:val="16"/>
              </w:rPr>
              <w:t>e</w:t>
            </w:r>
          </w:p>
        </w:tc>
      </w:tr>
      <w:tr w:rsidR="00000000" w14:paraId="0A92513E" w14:textId="77777777">
        <w:trPr>
          <w:trHeight w:val="200"/>
          <w:tblCellSpacing w:w="15" w:type="dxa"/>
        </w:trPr>
        <w:tc>
          <w:tcPr>
            <w:tcW w:w="0" w:type="auto"/>
            <w:vAlign w:val="bottom"/>
            <w:hideMark/>
          </w:tcPr>
          <w:p w14:paraId="557D9440" w14:textId="77777777" w:rsidR="00000000" w:rsidRDefault="00632532">
            <w:pPr>
              <w:pStyle w:val="a3"/>
              <w:spacing w:before="0" w:beforeAutospacing="0" w:after="0" w:afterAutospacing="0"/>
              <w:rPr>
                <w:sz w:val="20"/>
                <w:szCs w:val="20"/>
              </w:rPr>
            </w:pPr>
            <w:r>
              <w:rPr>
                <w:b/>
                <w:bCs/>
                <w:sz w:val="20"/>
                <w:szCs w:val="20"/>
              </w:rPr>
              <w:t>Statement of Income Data</w:t>
            </w:r>
            <w:r>
              <w:rPr>
                <w:b/>
                <w:bCs/>
                <w:sz w:val="20"/>
                <w:szCs w:val="20"/>
              </w:rPr>
              <w:t>:</w:t>
            </w:r>
          </w:p>
        </w:tc>
        <w:tc>
          <w:tcPr>
            <w:tcW w:w="0" w:type="auto"/>
            <w:gridSpan w:val="27"/>
            <w:vAlign w:val="bottom"/>
            <w:hideMark/>
          </w:tcPr>
          <w:p w14:paraId="4DAD408D" w14:textId="77777777" w:rsidR="00000000" w:rsidRDefault="00632532">
            <w:pPr>
              <w:pStyle w:val="a3"/>
              <w:spacing w:before="0" w:beforeAutospacing="0" w:after="0" w:afterAutospacing="0"/>
              <w:jc w:val="center"/>
              <w:rPr>
                <w:sz w:val="16"/>
                <w:szCs w:val="16"/>
              </w:rPr>
            </w:pPr>
            <w:r>
              <w:rPr>
                <w:b/>
                <w:bCs/>
                <w:sz w:val="16"/>
                <w:szCs w:val="16"/>
              </w:rPr>
              <w:t>(dollars and billable tests in thousands, except per billable test data</w:t>
            </w:r>
            <w:r>
              <w:rPr>
                <w:b/>
                <w:bCs/>
                <w:sz w:val="16"/>
                <w:szCs w:val="16"/>
              </w:rPr>
              <w:t>)</w:t>
            </w:r>
          </w:p>
        </w:tc>
      </w:tr>
      <w:tr w:rsidR="00000000" w14:paraId="02364DAC" w14:textId="77777777">
        <w:trPr>
          <w:trHeight w:val="200"/>
          <w:tblCellSpacing w:w="15" w:type="dxa"/>
        </w:trPr>
        <w:tc>
          <w:tcPr>
            <w:tcW w:w="0" w:type="auto"/>
            <w:hideMark/>
          </w:tcPr>
          <w:p w14:paraId="2A438035" w14:textId="77777777" w:rsidR="00000000" w:rsidRDefault="00632532">
            <w:pPr>
              <w:pStyle w:val="a3"/>
              <w:spacing w:before="0" w:beforeAutospacing="0" w:after="0" w:afterAutospacing="0"/>
              <w:rPr>
                <w:sz w:val="20"/>
                <w:szCs w:val="20"/>
              </w:rPr>
            </w:pPr>
            <w:r>
              <w:rPr>
                <w:sz w:val="20"/>
                <w:szCs w:val="20"/>
              </w:rPr>
              <w:t>Revenu</w:t>
            </w:r>
            <w:r>
              <w:rPr>
                <w:sz w:val="20"/>
                <w:szCs w:val="20"/>
              </w:rPr>
              <w:t>e</w:t>
            </w:r>
          </w:p>
        </w:tc>
        <w:tc>
          <w:tcPr>
            <w:tcW w:w="0" w:type="auto"/>
            <w:noWrap/>
            <w:vAlign w:val="bottom"/>
            <w:hideMark/>
          </w:tcPr>
          <w:p w14:paraId="7A9A2C1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7999EEF" w14:textId="77777777" w:rsidR="00000000" w:rsidRDefault="00632532">
            <w:pPr>
              <w:pStyle w:val="a3"/>
              <w:spacing w:before="0" w:beforeAutospacing="0" w:after="0" w:afterAutospacing="0"/>
              <w:jc w:val="right"/>
              <w:rPr>
                <w:sz w:val="20"/>
                <w:szCs w:val="20"/>
              </w:rPr>
            </w:pPr>
            <w:r>
              <w:rPr>
                <w:sz w:val="20"/>
                <w:szCs w:val="20"/>
              </w:rPr>
              <w:t>125,34</w:t>
            </w:r>
            <w:r>
              <w:rPr>
                <w:sz w:val="20"/>
                <w:szCs w:val="20"/>
              </w:rPr>
              <w:t>1</w:t>
            </w:r>
          </w:p>
        </w:tc>
        <w:tc>
          <w:tcPr>
            <w:tcW w:w="0" w:type="auto"/>
            <w:noWrap/>
            <w:vAlign w:val="bottom"/>
            <w:hideMark/>
          </w:tcPr>
          <w:p w14:paraId="2B72FBF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539BF1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365FA8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A48E708" w14:textId="77777777" w:rsidR="00000000" w:rsidRDefault="00632532">
            <w:pPr>
              <w:pStyle w:val="a3"/>
              <w:spacing w:before="0" w:beforeAutospacing="0" w:after="0" w:afterAutospacing="0"/>
              <w:jc w:val="right"/>
              <w:rPr>
                <w:sz w:val="20"/>
                <w:szCs w:val="20"/>
              </w:rPr>
            </w:pPr>
            <w:r>
              <w:rPr>
                <w:sz w:val="20"/>
                <w:szCs w:val="20"/>
              </w:rPr>
              <w:t>153,61</w:t>
            </w:r>
            <w:r>
              <w:rPr>
                <w:sz w:val="20"/>
                <w:szCs w:val="20"/>
              </w:rPr>
              <w:t>6</w:t>
            </w:r>
          </w:p>
        </w:tc>
        <w:tc>
          <w:tcPr>
            <w:tcW w:w="0" w:type="auto"/>
            <w:noWrap/>
            <w:vAlign w:val="bottom"/>
            <w:hideMark/>
          </w:tcPr>
          <w:p w14:paraId="19D3FD8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B1821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8D8EE6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53F6A19" w14:textId="77777777" w:rsidR="00000000" w:rsidRDefault="00632532">
            <w:pPr>
              <w:pStyle w:val="a3"/>
              <w:spacing w:before="0" w:beforeAutospacing="0" w:after="0" w:afterAutospacing="0"/>
              <w:jc w:val="right"/>
              <w:rPr>
                <w:sz w:val="20"/>
                <w:szCs w:val="20"/>
              </w:rPr>
            </w:pPr>
            <w:r>
              <w:rPr>
                <w:sz w:val="20"/>
                <w:szCs w:val="20"/>
              </w:rPr>
              <w:t>(28,27</w:t>
            </w:r>
            <w:r>
              <w:rPr>
                <w:sz w:val="20"/>
                <w:szCs w:val="20"/>
              </w:rPr>
              <w:t>5</w:t>
            </w:r>
          </w:p>
        </w:tc>
        <w:tc>
          <w:tcPr>
            <w:tcW w:w="0" w:type="auto"/>
            <w:noWrap/>
            <w:vAlign w:val="bottom"/>
            <w:hideMark/>
          </w:tcPr>
          <w:p w14:paraId="3CD5F1C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6A9886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0E2D632" w14:textId="77777777" w:rsidR="00000000" w:rsidRDefault="00632532">
            <w:pPr>
              <w:pStyle w:val="a3"/>
              <w:spacing w:before="0" w:beforeAutospacing="0" w:after="0" w:afterAutospacing="0"/>
              <w:jc w:val="center"/>
              <w:rPr>
                <w:sz w:val="20"/>
                <w:szCs w:val="20"/>
              </w:rPr>
            </w:pPr>
            <w:r>
              <w:rPr>
                <w:sz w:val="20"/>
                <w:szCs w:val="20"/>
              </w:rPr>
              <w:t>  (18%</w:t>
            </w:r>
            <w:r>
              <w:rPr>
                <w:sz w:val="20"/>
                <w:szCs w:val="20"/>
              </w:rPr>
              <w:t>)</w:t>
            </w:r>
          </w:p>
        </w:tc>
        <w:tc>
          <w:tcPr>
            <w:tcW w:w="0" w:type="auto"/>
            <w:vAlign w:val="bottom"/>
            <w:hideMark/>
          </w:tcPr>
          <w:p w14:paraId="794022E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C875FC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072B600" w14:textId="77777777" w:rsidR="00000000" w:rsidRDefault="00632532">
            <w:pPr>
              <w:pStyle w:val="a3"/>
              <w:spacing w:before="0" w:beforeAutospacing="0" w:after="0" w:afterAutospacing="0"/>
              <w:jc w:val="right"/>
              <w:rPr>
                <w:sz w:val="20"/>
                <w:szCs w:val="20"/>
              </w:rPr>
            </w:pPr>
            <w:r>
              <w:rPr>
                <w:sz w:val="20"/>
                <w:szCs w:val="20"/>
              </w:rPr>
              <w:t>445,60</w:t>
            </w:r>
            <w:r>
              <w:rPr>
                <w:sz w:val="20"/>
                <w:szCs w:val="20"/>
              </w:rPr>
              <w:t>9</w:t>
            </w:r>
          </w:p>
        </w:tc>
        <w:tc>
          <w:tcPr>
            <w:tcW w:w="0" w:type="auto"/>
            <w:noWrap/>
            <w:vAlign w:val="bottom"/>
            <w:hideMark/>
          </w:tcPr>
          <w:p w14:paraId="2BBD143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BE33C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ED4A43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EADC7A7" w14:textId="77777777" w:rsidR="00000000" w:rsidRDefault="00632532">
            <w:pPr>
              <w:pStyle w:val="a3"/>
              <w:spacing w:before="0" w:beforeAutospacing="0" w:after="0" w:afterAutospacing="0"/>
              <w:jc w:val="right"/>
              <w:rPr>
                <w:sz w:val="20"/>
                <w:szCs w:val="20"/>
              </w:rPr>
            </w:pPr>
            <w:r>
              <w:rPr>
                <w:sz w:val="20"/>
                <w:szCs w:val="20"/>
              </w:rPr>
              <w:t>513,04</w:t>
            </w:r>
            <w:r>
              <w:rPr>
                <w:sz w:val="20"/>
                <w:szCs w:val="20"/>
              </w:rPr>
              <w:t>5</w:t>
            </w:r>
          </w:p>
        </w:tc>
        <w:tc>
          <w:tcPr>
            <w:tcW w:w="0" w:type="auto"/>
            <w:noWrap/>
            <w:vAlign w:val="bottom"/>
            <w:hideMark/>
          </w:tcPr>
          <w:p w14:paraId="3BD0FF1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D6589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91166C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BA0DCE6" w14:textId="77777777" w:rsidR="00000000" w:rsidRDefault="00632532">
            <w:pPr>
              <w:pStyle w:val="a3"/>
              <w:spacing w:before="0" w:beforeAutospacing="0" w:after="0" w:afterAutospacing="0"/>
              <w:jc w:val="right"/>
              <w:rPr>
                <w:sz w:val="20"/>
                <w:szCs w:val="20"/>
              </w:rPr>
            </w:pPr>
            <w:r>
              <w:rPr>
                <w:sz w:val="20"/>
                <w:szCs w:val="20"/>
              </w:rPr>
              <w:t>(67,43</w:t>
            </w:r>
            <w:r>
              <w:rPr>
                <w:sz w:val="20"/>
                <w:szCs w:val="20"/>
              </w:rPr>
              <w:t>6</w:t>
            </w:r>
          </w:p>
        </w:tc>
        <w:tc>
          <w:tcPr>
            <w:tcW w:w="0" w:type="auto"/>
            <w:noWrap/>
            <w:vAlign w:val="bottom"/>
            <w:hideMark/>
          </w:tcPr>
          <w:p w14:paraId="2547400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96FB8D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12CC5A" w14:textId="77777777" w:rsidR="00000000" w:rsidRDefault="00632532">
            <w:pPr>
              <w:pStyle w:val="a3"/>
              <w:spacing w:before="0" w:beforeAutospacing="0" w:after="0" w:afterAutospacing="0"/>
              <w:jc w:val="center"/>
              <w:rPr>
                <w:sz w:val="20"/>
                <w:szCs w:val="20"/>
              </w:rPr>
            </w:pPr>
            <w:r>
              <w:rPr>
                <w:sz w:val="20"/>
                <w:szCs w:val="20"/>
              </w:rPr>
              <w:t>  (13%</w:t>
            </w:r>
            <w:r>
              <w:rPr>
                <w:sz w:val="20"/>
                <w:szCs w:val="20"/>
              </w:rPr>
              <w:t>)</w:t>
            </w:r>
          </w:p>
        </w:tc>
      </w:tr>
      <w:tr w:rsidR="00000000" w14:paraId="0C2C596E" w14:textId="77777777">
        <w:trPr>
          <w:trHeight w:val="200"/>
          <w:tblCellSpacing w:w="15" w:type="dxa"/>
        </w:trPr>
        <w:tc>
          <w:tcPr>
            <w:tcW w:w="0" w:type="auto"/>
            <w:hideMark/>
          </w:tcPr>
          <w:p w14:paraId="784E8311" w14:textId="77777777" w:rsidR="00000000" w:rsidRDefault="00632532">
            <w:pPr>
              <w:pStyle w:val="a3"/>
              <w:spacing w:before="0" w:beforeAutospacing="0" w:after="0" w:afterAutospacing="0"/>
              <w:rPr>
                <w:sz w:val="20"/>
                <w:szCs w:val="20"/>
              </w:rPr>
            </w:pPr>
            <w:r>
              <w:rPr>
                <w:sz w:val="20"/>
                <w:szCs w:val="20"/>
              </w:rPr>
              <w:t>Cost of revenu</w:t>
            </w:r>
            <w:r>
              <w:rPr>
                <w:sz w:val="20"/>
                <w:szCs w:val="20"/>
              </w:rPr>
              <w:t>e</w:t>
            </w:r>
          </w:p>
        </w:tc>
        <w:tc>
          <w:tcPr>
            <w:tcW w:w="0" w:type="auto"/>
            <w:noWrap/>
            <w:vAlign w:val="bottom"/>
            <w:hideMark/>
          </w:tcPr>
          <w:p w14:paraId="77071D3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6F97384" w14:textId="77777777" w:rsidR="00000000" w:rsidRDefault="00632532">
            <w:pPr>
              <w:pStyle w:val="a3"/>
              <w:spacing w:before="0" w:beforeAutospacing="0" w:after="0" w:afterAutospacing="0"/>
              <w:jc w:val="right"/>
              <w:rPr>
                <w:sz w:val="20"/>
                <w:szCs w:val="20"/>
              </w:rPr>
            </w:pPr>
            <w:r>
              <w:rPr>
                <w:sz w:val="20"/>
                <w:szCs w:val="20"/>
              </w:rPr>
              <w:t>60,06</w:t>
            </w:r>
            <w:r>
              <w:rPr>
                <w:sz w:val="20"/>
                <w:szCs w:val="20"/>
              </w:rPr>
              <w:t>5</w:t>
            </w:r>
          </w:p>
        </w:tc>
        <w:tc>
          <w:tcPr>
            <w:tcW w:w="0" w:type="auto"/>
            <w:noWrap/>
            <w:vAlign w:val="bottom"/>
            <w:hideMark/>
          </w:tcPr>
          <w:p w14:paraId="0AD17E6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E9E02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449D3C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F4E19F6" w14:textId="77777777" w:rsidR="00000000" w:rsidRDefault="00632532">
            <w:pPr>
              <w:pStyle w:val="a3"/>
              <w:spacing w:before="0" w:beforeAutospacing="0" w:after="0" w:afterAutospacing="0"/>
              <w:jc w:val="right"/>
              <w:rPr>
                <w:sz w:val="20"/>
                <w:szCs w:val="20"/>
              </w:rPr>
            </w:pPr>
            <w:r>
              <w:rPr>
                <w:sz w:val="20"/>
                <w:szCs w:val="20"/>
              </w:rPr>
              <w:t>35,85</w:t>
            </w:r>
            <w:r>
              <w:rPr>
                <w:sz w:val="20"/>
                <w:szCs w:val="20"/>
              </w:rPr>
              <w:t>8</w:t>
            </w:r>
          </w:p>
        </w:tc>
        <w:tc>
          <w:tcPr>
            <w:tcW w:w="0" w:type="auto"/>
            <w:noWrap/>
            <w:vAlign w:val="bottom"/>
            <w:hideMark/>
          </w:tcPr>
          <w:p w14:paraId="3246D3B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3451F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C3A608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696F4EA" w14:textId="77777777" w:rsidR="00000000" w:rsidRDefault="00632532">
            <w:pPr>
              <w:pStyle w:val="a3"/>
              <w:spacing w:before="0" w:beforeAutospacing="0" w:after="0" w:afterAutospacing="0"/>
              <w:jc w:val="right"/>
              <w:rPr>
                <w:sz w:val="20"/>
                <w:szCs w:val="20"/>
              </w:rPr>
            </w:pPr>
            <w:r>
              <w:rPr>
                <w:sz w:val="20"/>
                <w:szCs w:val="20"/>
              </w:rPr>
              <w:t>24,20</w:t>
            </w:r>
            <w:r>
              <w:rPr>
                <w:sz w:val="20"/>
                <w:szCs w:val="20"/>
              </w:rPr>
              <w:t>7</w:t>
            </w:r>
          </w:p>
        </w:tc>
        <w:tc>
          <w:tcPr>
            <w:tcW w:w="0" w:type="auto"/>
            <w:noWrap/>
            <w:vAlign w:val="bottom"/>
            <w:hideMark/>
          </w:tcPr>
          <w:p w14:paraId="583E79D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D610B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4C18DF" w14:textId="77777777" w:rsidR="00000000" w:rsidRDefault="00632532">
            <w:pPr>
              <w:pStyle w:val="a3"/>
              <w:spacing w:before="0" w:beforeAutospacing="0" w:after="0" w:afterAutospacing="0"/>
              <w:jc w:val="center"/>
              <w:rPr>
                <w:sz w:val="20"/>
                <w:szCs w:val="20"/>
              </w:rPr>
            </w:pPr>
            <w:r>
              <w:rPr>
                <w:sz w:val="20"/>
                <w:szCs w:val="20"/>
              </w:rPr>
              <w:t>  68</w:t>
            </w:r>
            <w:r>
              <w:rPr>
                <w:sz w:val="20"/>
                <w:szCs w:val="20"/>
              </w:rPr>
              <w:t>%</w:t>
            </w:r>
            <w:r>
              <w:rPr>
                <w:sz w:val="20"/>
                <w:szCs w:val="20"/>
              </w:rPr>
              <w:t xml:space="preserve"> </w:t>
            </w:r>
          </w:p>
        </w:tc>
        <w:tc>
          <w:tcPr>
            <w:tcW w:w="0" w:type="auto"/>
            <w:vAlign w:val="bottom"/>
            <w:hideMark/>
          </w:tcPr>
          <w:p w14:paraId="3C62D524"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6978D6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18E2FD" w14:textId="77777777" w:rsidR="00000000" w:rsidRDefault="00632532">
            <w:pPr>
              <w:pStyle w:val="a3"/>
              <w:spacing w:before="0" w:beforeAutospacing="0" w:after="0" w:afterAutospacing="0"/>
              <w:jc w:val="right"/>
              <w:rPr>
                <w:sz w:val="20"/>
                <w:szCs w:val="20"/>
              </w:rPr>
            </w:pPr>
            <w:r>
              <w:rPr>
                <w:sz w:val="20"/>
                <w:szCs w:val="20"/>
              </w:rPr>
              <w:t>137,79</w:t>
            </w:r>
            <w:r>
              <w:rPr>
                <w:sz w:val="20"/>
                <w:szCs w:val="20"/>
              </w:rPr>
              <w:t>0</w:t>
            </w:r>
          </w:p>
        </w:tc>
        <w:tc>
          <w:tcPr>
            <w:tcW w:w="0" w:type="auto"/>
            <w:noWrap/>
            <w:vAlign w:val="bottom"/>
            <w:hideMark/>
          </w:tcPr>
          <w:p w14:paraId="28C8E8B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E938D9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DACAC8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63B7D9" w14:textId="77777777" w:rsidR="00000000" w:rsidRDefault="00632532">
            <w:pPr>
              <w:pStyle w:val="a3"/>
              <w:spacing w:before="0" w:beforeAutospacing="0" w:after="0" w:afterAutospacing="0"/>
              <w:jc w:val="right"/>
              <w:rPr>
                <w:sz w:val="20"/>
                <w:szCs w:val="20"/>
              </w:rPr>
            </w:pPr>
            <w:r>
              <w:rPr>
                <w:sz w:val="20"/>
                <w:szCs w:val="20"/>
              </w:rPr>
              <w:t>109,93</w:t>
            </w:r>
            <w:r>
              <w:rPr>
                <w:sz w:val="20"/>
                <w:szCs w:val="20"/>
              </w:rPr>
              <w:t>3</w:t>
            </w:r>
          </w:p>
        </w:tc>
        <w:tc>
          <w:tcPr>
            <w:tcW w:w="0" w:type="auto"/>
            <w:noWrap/>
            <w:vAlign w:val="bottom"/>
            <w:hideMark/>
          </w:tcPr>
          <w:p w14:paraId="2090BC8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9D3F7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A98897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8DDFD16" w14:textId="77777777" w:rsidR="00000000" w:rsidRDefault="00632532">
            <w:pPr>
              <w:pStyle w:val="a3"/>
              <w:spacing w:before="0" w:beforeAutospacing="0" w:after="0" w:afterAutospacing="0"/>
              <w:jc w:val="right"/>
              <w:rPr>
                <w:sz w:val="20"/>
                <w:szCs w:val="20"/>
              </w:rPr>
            </w:pPr>
            <w:r>
              <w:rPr>
                <w:sz w:val="20"/>
                <w:szCs w:val="20"/>
              </w:rPr>
              <w:t>27,85</w:t>
            </w:r>
            <w:r>
              <w:rPr>
                <w:sz w:val="20"/>
                <w:szCs w:val="20"/>
              </w:rPr>
              <w:t>7</w:t>
            </w:r>
          </w:p>
        </w:tc>
        <w:tc>
          <w:tcPr>
            <w:tcW w:w="0" w:type="auto"/>
            <w:noWrap/>
            <w:vAlign w:val="bottom"/>
            <w:hideMark/>
          </w:tcPr>
          <w:p w14:paraId="1742F59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D41EA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A80DF6" w14:textId="77777777" w:rsidR="00000000" w:rsidRDefault="00632532">
            <w:pPr>
              <w:pStyle w:val="a3"/>
              <w:spacing w:before="0" w:beforeAutospacing="0" w:after="0" w:afterAutospacing="0"/>
              <w:jc w:val="center"/>
              <w:rPr>
                <w:sz w:val="20"/>
                <w:szCs w:val="20"/>
              </w:rPr>
            </w:pPr>
            <w:r>
              <w:rPr>
                <w:sz w:val="20"/>
                <w:szCs w:val="20"/>
              </w:rPr>
              <w:t>  25</w:t>
            </w:r>
            <w:r>
              <w:rPr>
                <w:sz w:val="20"/>
                <w:szCs w:val="20"/>
              </w:rPr>
              <w:t>%</w:t>
            </w:r>
            <w:r>
              <w:rPr>
                <w:sz w:val="20"/>
                <w:szCs w:val="20"/>
              </w:rPr>
              <w:t xml:space="preserve"> </w:t>
            </w:r>
          </w:p>
        </w:tc>
      </w:tr>
      <w:tr w:rsidR="00000000" w14:paraId="50698861" w14:textId="77777777">
        <w:trPr>
          <w:trHeight w:val="200"/>
          <w:tblCellSpacing w:w="15" w:type="dxa"/>
        </w:trPr>
        <w:tc>
          <w:tcPr>
            <w:tcW w:w="0" w:type="auto"/>
            <w:hideMark/>
          </w:tcPr>
          <w:p w14:paraId="1C6F9A3E" w14:textId="77777777" w:rsidR="00000000" w:rsidRDefault="00632532">
            <w:pPr>
              <w:pStyle w:val="a3"/>
              <w:spacing w:before="0" w:beforeAutospacing="0" w:after="0" w:afterAutospacing="0"/>
              <w:ind w:left="200"/>
              <w:rPr>
                <w:sz w:val="20"/>
                <w:szCs w:val="20"/>
              </w:rPr>
            </w:pPr>
            <w:r>
              <w:rPr>
                <w:sz w:val="20"/>
                <w:szCs w:val="20"/>
              </w:rPr>
              <w:t>Gross profi</w:t>
            </w:r>
            <w:r>
              <w:rPr>
                <w:sz w:val="20"/>
                <w:szCs w:val="20"/>
              </w:rPr>
              <w:t>t</w:t>
            </w:r>
          </w:p>
        </w:tc>
        <w:tc>
          <w:tcPr>
            <w:tcW w:w="0" w:type="auto"/>
            <w:noWrap/>
            <w:vAlign w:val="bottom"/>
            <w:hideMark/>
          </w:tcPr>
          <w:p w14:paraId="007D08B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7C496FE" w14:textId="77777777" w:rsidR="00000000" w:rsidRDefault="00632532">
            <w:pPr>
              <w:pStyle w:val="a3"/>
              <w:spacing w:before="0" w:beforeAutospacing="0" w:after="0" w:afterAutospacing="0"/>
              <w:jc w:val="right"/>
              <w:rPr>
                <w:sz w:val="20"/>
                <w:szCs w:val="20"/>
              </w:rPr>
            </w:pPr>
            <w:r>
              <w:rPr>
                <w:sz w:val="20"/>
                <w:szCs w:val="20"/>
              </w:rPr>
              <w:t>65,27</w:t>
            </w:r>
            <w:r>
              <w:rPr>
                <w:sz w:val="20"/>
                <w:szCs w:val="20"/>
              </w:rPr>
              <w:t>6</w:t>
            </w:r>
          </w:p>
        </w:tc>
        <w:tc>
          <w:tcPr>
            <w:tcW w:w="0" w:type="auto"/>
            <w:noWrap/>
            <w:vAlign w:val="bottom"/>
            <w:hideMark/>
          </w:tcPr>
          <w:p w14:paraId="2BE17CC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47D59F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7F1AAA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2DAD66" w14:textId="77777777" w:rsidR="00000000" w:rsidRDefault="00632532">
            <w:pPr>
              <w:pStyle w:val="a3"/>
              <w:spacing w:before="0" w:beforeAutospacing="0" w:after="0" w:afterAutospacing="0"/>
              <w:jc w:val="right"/>
              <w:rPr>
                <w:sz w:val="20"/>
                <w:szCs w:val="20"/>
              </w:rPr>
            </w:pPr>
            <w:r>
              <w:rPr>
                <w:sz w:val="20"/>
                <w:szCs w:val="20"/>
              </w:rPr>
              <w:t>117,75</w:t>
            </w:r>
            <w:r>
              <w:rPr>
                <w:sz w:val="20"/>
                <w:szCs w:val="20"/>
              </w:rPr>
              <w:t>8</w:t>
            </w:r>
          </w:p>
        </w:tc>
        <w:tc>
          <w:tcPr>
            <w:tcW w:w="0" w:type="auto"/>
            <w:noWrap/>
            <w:vAlign w:val="bottom"/>
            <w:hideMark/>
          </w:tcPr>
          <w:p w14:paraId="0C621A3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957D7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3FBEA6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25BF132" w14:textId="77777777" w:rsidR="00000000" w:rsidRDefault="00632532">
            <w:pPr>
              <w:pStyle w:val="a3"/>
              <w:spacing w:before="0" w:beforeAutospacing="0" w:after="0" w:afterAutospacing="0"/>
              <w:jc w:val="right"/>
              <w:rPr>
                <w:sz w:val="20"/>
                <w:szCs w:val="20"/>
              </w:rPr>
            </w:pPr>
            <w:r>
              <w:rPr>
                <w:sz w:val="20"/>
                <w:szCs w:val="20"/>
              </w:rPr>
              <w:t>(52,48</w:t>
            </w:r>
            <w:r>
              <w:rPr>
                <w:sz w:val="20"/>
                <w:szCs w:val="20"/>
              </w:rPr>
              <w:t>2</w:t>
            </w:r>
          </w:p>
        </w:tc>
        <w:tc>
          <w:tcPr>
            <w:tcW w:w="0" w:type="auto"/>
            <w:noWrap/>
            <w:vAlign w:val="bottom"/>
            <w:hideMark/>
          </w:tcPr>
          <w:p w14:paraId="0C40D01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D7C2D1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DBB02B" w14:textId="77777777" w:rsidR="00000000" w:rsidRDefault="00632532">
            <w:pPr>
              <w:pStyle w:val="a3"/>
              <w:spacing w:before="0" w:beforeAutospacing="0" w:after="0" w:afterAutospacing="0"/>
              <w:jc w:val="center"/>
              <w:rPr>
                <w:sz w:val="20"/>
                <w:szCs w:val="20"/>
              </w:rPr>
            </w:pPr>
            <w:r>
              <w:rPr>
                <w:sz w:val="20"/>
                <w:szCs w:val="20"/>
              </w:rPr>
              <w:t>  (45%</w:t>
            </w:r>
            <w:r>
              <w:rPr>
                <w:sz w:val="20"/>
                <w:szCs w:val="20"/>
              </w:rPr>
              <w:t>)</w:t>
            </w:r>
          </w:p>
        </w:tc>
        <w:tc>
          <w:tcPr>
            <w:tcW w:w="0" w:type="auto"/>
            <w:vAlign w:val="bottom"/>
            <w:hideMark/>
          </w:tcPr>
          <w:p w14:paraId="7A02140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CC7F39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DD7C808" w14:textId="77777777" w:rsidR="00000000" w:rsidRDefault="00632532">
            <w:pPr>
              <w:pStyle w:val="a3"/>
              <w:spacing w:before="0" w:beforeAutospacing="0" w:after="0" w:afterAutospacing="0"/>
              <w:jc w:val="right"/>
              <w:rPr>
                <w:sz w:val="20"/>
                <w:szCs w:val="20"/>
              </w:rPr>
            </w:pPr>
            <w:r>
              <w:rPr>
                <w:sz w:val="20"/>
                <w:szCs w:val="20"/>
              </w:rPr>
              <w:t>307,81</w:t>
            </w:r>
            <w:r>
              <w:rPr>
                <w:sz w:val="20"/>
                <w:szCs w:val="20"/>
              </w:rPr>
              <w:t>9</w:t>
            </w:r>
          </w:p>
        </w:tc>
        <w:tc>
          <w:tcPr>
            <w:tcW w:w="0" w:type="auto"/>
            <w:noWrap/>
            <w:vAlign w:val="bottom"/>
            <w:hideMark/>
          </w:tcPr>
          <w:p w14:paraId="3A21CA4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D58CFF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32E307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E05E586" w14:textId="77777777" w:rsidR="00000000" w:rsidRDefault="00632532">
            <w:pPr>
              <w:pStyle w:val="a3"/>
              <w:spacing w:before="0" w:beforeAutospacing="0" w:after="0" w:afterAutospacing="0"/>
              <w:jc w:val="right"/>
              <w:rPr>
                <w:sz w:val="20"/>
                <w:szCs w:val="20"/>
              </w:rPr>
            </w:pPr>
            <w:r>
              <w:rPr>
                <w:sz w:val="20"/>
                <w:szCs w:val="20"/>
              </w:rPr>
              <w:t>403,11</w:t>
            </w:r>
            <w:r>
              <w:rPr>
                <w:sz w:val="20"/>
                <w:szCs w:val="20"/>
              </w:rPr>
              <w:t>2</w:t>
            </w:r>
          </w:p>
        </w:tc>
        <w:tc>
          <w:tcPr>
            <w:tcW w:w="0" w:type="auto"/>
            <w:noWrap/>
            <w:vAlign w:val="bottom"/>
            <w:hideMark/>
          </w:tcPr>
          <w:p w14:paraId="73432A8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2C3902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37D0B0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1D82BA" w14:textId="77777777" w:rsidR="00000000" w:rsidRDefault="00632532">
            <w:pPr>
              <w:pStyle w:val="a3"/>
              <w:spacing w:before="0" w:beforeAutospacing="0" w:after="0" w:afterAutospacing="0"/>
              <w:jc w:val="right"/>
              <w:rPr>
                <w:sz w:val="20"/>
                <w:szCs w:val="20"/>
              </w:rPr>
            </w:pPr>
            <w:r>
              <w:rPr>
                <w:sz w:val="20"/>
                <w:szCs w:val="20"/>
              </w:rPr>
              <w:t>(95,29</w:t>
            </w:r>
            <w:r>
              <w:rPr>
                <w:sz w:val="20"/>
                <w:szCs w:val="20"/>
              </w:rPr>
              <w:t>3</w:t>
            </w:r>
          </w:p>
        </w:tc>
        <w:tc>
          <w:tcPr>
            <w:tcW w:w="0" w:type="auto"/>
            <w:noWrap/>
            <w:vAlign w:val="bottom"/>
            <w:hideMark/>
          </w:tcPr>
          <w:p w14:paraId="2A2D22B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098A35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BFF011" w14:textId="77777777" w:rsidR="00000000" w:rsidRDefault="00632532">
            <w:pPr>
              <w:pStyle w:val="a3"/>
              <w:spacing w:before="0" w:beforeAutospacing="0" w:after="0" w:afterAutospacing="0"/>
              <w:jc w:val="center"/>
              <w:rPr>
                <w:sz w:val="20"/>
                <w:szCs w:val="20"/>
              </w:rPr>
            </w:pPr>
            <w:r>
              <w:rPr>
                <w:sz w:val="20"/>
                <w:szCs w:val="20"/>
              </w:rPr>
              <w:t>  (24%</w:t>
            </w:r>
            <w:r>
              <w:rPr>
                <w:sz w:val="20"/>
                <w:szCs w:val="20"/>
              </w:rPr>
              <w:t>)</w:t>
            </w:r>
          </w:p>
        </w:tc>
      </w:tr>
      <w:tr w:rsidR="00000000" w14:paraId="67B5A1E6" w14:textId="77777777">
        <w:trPr>
          <w:trHeight w:val="200"/>
          <w:tblCellSpacing w:w="15" w:type="dxa"/>
        </w:trPr>
        <w:tc>
          <w:tcPr>
            <w:tcW w:w="0" w:type="auto"/>
            <w:hideMark/>
          </w:tcPr>
          <w:p w14:paraId="7BA1C0A9" w14:textId="77777777" w:rsidR="00000000" w:rsidRDefault="00632532">
            <w:pPr>
              <w:pStyle w:val="a3"/>
              <w:spacing w:before="0" w:beforeAutospacing="0" w:after="0" w:afterAutospacing="0"/>
              <w:rPr>
                <w:sz w:val="20"/>
                <w:szCs w:val="20"/>
              </w:rPr>
            </w:pPr>
            <w:r>
              <w:rPr>
                <w:sz w:val="20"/>
                <w:szCs w:val="20"/>
              </w:rPr>
              <w:t>Operating expenses</w:t>
            </w:r>
            <w:r>
              <w:rPr>
                <w:sz w:val="20"/>
                <w:szCs w:val="20"/>
              </w:rPr>
              <w:t>:</w:t>
            </w:r>
          </w:p>
        </w:tc>
        <w:tc>
          <w:tcPr>
            <w:tcW w:w="0" w:type="auto"/>
            <w:gridSpan w:val="2"/>
            <w:vAlign w:val="bottom"/>
            <w:hideMark/>
          </w:tcPr>
          <w:p w14:paraId="076901EB"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627B44D9"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E0D26AE"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9919FA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2A5A2BA"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7609F19"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30C460B8"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8BF362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A8C6E2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6B7443"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2D5805DC"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4E58265"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3C81C62"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EF59E36"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FC369D1"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6BF357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2073EFF4"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1AC91AB7"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3012A55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65EB42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3328EC" w14:textId="77777777" w:rsidR="00000000" w:rsidRDefault="00632532">
            <w:pPr>
              <w:pStyle w:val="a3"/>
              <w:spacing w:before="0" w:beforeAutospacing="0" w:after="0" w:afterAutospacing="0"/>
              <w:jc w:val="center"/>
              <w:rPr>
                <w:sz w:val="20"/>
                <w:szCs w:val="20"/>
              </w:rPr>
            </w:pPr>
            <w:r>
              <w:rPr>
                <w:sz w:val="20"/>
                <w:szCs w:val="20"/>
              </w:rPr>
              <w:t> </w:t>
            </w:r>
          </w:p>
        </w:tc>
      </w:tr>
      <w:tr w:rsidR="00000000" w14:paraId="5139F813" w14:textId="77777777">
        <w:trPr>
          <w:trHeight w:val="200"/>
          <w:tblCellSpacing w:w="15" w:type="dxa"/>
        </w:trPr>
        <w:tc>
          <w:tcPr>
            <w:tcW w:w="0" w:type="auto"/>
            <w:hideMark/>
          </w:tcPr>
          <w:p w14:paraId="3E10EF4A" w14:textId="77777777" w:rsidR="00000000" w:rsidRDefault="00632532">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noWrap/>
            <w:vAlign w:val="bottom"/>
            <w:hideMark/>
          </w:tcPr>
          <w:p w14:paraId="2AB8B19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81C12E" w14:textId="77777777" w:rsidR="00000000" w:rsidRDefault="00632532">
            <w:pPr>
              <w:pStyle w:val="a3"/>
              <w:spacing w:before="0" w:beforeAutospacing="0" w:after="0" w:afterAutospacing="0"/>
              <w:jc w:val="right"/>
              <w:rPr>
                <w:sz w:val="20"/>
                <w:szCs w:val="20"/>
              </w:rPr>
            </w:pPr>
            <w:r>
              <w:rPr>
                <w:sz w:val="20"/>
                <w:szCs w:val="20"/>
              </w:rPr>
              <w:t>6,90</w:t>
            </w:r>
            <w:r>
              <w:rPr>
                <w:sz w:val="20"/>
                <w:szCs w:val="20"/>
              </w:rPr>
              <w:t>5</w:t>
            </w:r>
          </w:p>
        </w:tc>
        <w:tc>
          <w:tcPr>
            <w:tcW w:w="0" w:type="auto"/>
            <w:noWrap/>
            <w:vAlign w:val="bottom"/>
            <w:hideMark/>
          </w:tcPr>
          <w:p w14:paraId="2EDCB49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08C52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F7FF07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37C3EB" w14:textId="77777777" w:rsidR="00000000" w:rsidRDefault="00632532">
            <w:pPr>
              <w:pStyle w:val="a3"/>
              <w:spacing w:before="0" w:beforeAutospacing="0" w:after="0" w:afterAutospacing="0"/>
              <w:jc w:val="right"/>
              <w:rPr>
                <w:sz w:val="20"/>
                <w:szCs w:val="20"/>
              </w:rPr>
            </w:pPr>
            <w:r>
              <w:rPr>
                <w:sz w:val="20"/>
                <w:szCs w:val="20"/>
              </w:rPr>
              <w:t>5,31</w:t>
            </w:r>
            <w:r>
              <w:rPr>
                <w:sz w:val="20"/>
                <w:szCs w:val="20"/>
              </w:rPr>
              <w:t>2</w:t>
            </w:r>
          </w:p>
        </w:tc>
        <w:tc>
          <w:tcPr>
            <w:tcW w:w="0" w:type="auto"/>
            <w:noWrap/>
            <w:vAlign w:val="bottom"/>
            <w:hideMark/>
          </w:tcPr>
          <w:p w14:paraId="3863CFE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82CDB3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BE1B8B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D7772F6" w14:textId="77777777" w:rsidR="00000000" w:rsidRDefault="00632532">
            <w:pPr>
              <w:pStyle w:val="a3"/>
              <w:spacing w:before="0" w:beforeAutospacing="0" w:after="0" w:afterAutospacing="0"/>
              <w:jc w:val="right"/>
              <w:rPr>
                <w:sz w:val="20"/>
                <w:szCs w:val="20"/>
              </w:rPr>
            </w:pPr>
            <w:r>
              <w:rPr>
                <w:sz w:val="20"/>
                <w:szCs w:val="20"/>
              </w:rPr>
              <w:t>1,59</w:t>
            </w:r>
            <w:r>
              <w:rPr>
                <w:sz w:val="20"/>
                <w:szCs w:val="20"/>
              </w:rPr>
              <w:t>3</w:t>
            </w:r>
          </w:p>
        </w:tc>
        <w:tc>
          <w:tcPr>
            <w:tcW w:w="0" w:type="auto"/>
            <w:noWrap/>
            <w:vAlign w:val="bottom"/>
            <w:hideMark/>
          </w:tcPr>
          <w:p w14:paraId="2A82093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9A8E94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00B637A" w14:textId="77777777" w:rsidR="00000000" w:rsidRDefault="00632532">
            <w:pPr>
              <w:pStyle w:val="a3"/>
              <w:spacing w:before="0" w:beforeAutospacing="0" w:after="0" w:afterAutospacing="0"/>
              <w:jc w:val="center"/>
              <w:rPr>
                <w:sz w:val="20"/>
                <w:szCs w:val="20"/>
              </w:rPr>
            </w:pPr>
            <w:r>
              <w:rPr>
                <w:sz w:val="20"/>
                <w:szCs w:val="20"/>
              </w:rPr>
              <w:t>  30</w:t>
            </w:r>
            <w:r>
              <w:rPr>
                <w:sz w:val="20"/>
                <w:szCs w:val="20"/>
              </w:rPr>
              <w:t>%</w:t>
            </w:r>
            <w:r>
              <w:rPr>
                <w:sz w:val="20"/>
                <w:szCs w:val="20"/>
              </w:rPr>
              <w:t xml:space="preserve"> </w:t>
            </w:r>
          </w:p>
        </w:tc>
        <w:tc>
          <w:tcPr>
            <w:tcW w:w="0" w:type="auto"/>
            <w:vAlign w:val="bottom"/>
            <w:hideMark/>
          </w:tcPr>
          <w:p w14:paraId="0FF408C1"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00087E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F69FD02" w14:textId="77777777" w:rsidR="00000000" w:rsidRDefault="00632532">
            <w:pPr>
              <w:pStyle w:val="a3"/>
              <w:spacing w:before="0" w:beforeAutospacing="0" w:after="0" w:afterAutospacing="0"/>
              <w:jc w:val="right"/>
              <w:rPr>
                <w:sz w:val="20"/>
                <w:szCs w:val="20"/>
              </w:rPr>
            </w:pPr>
            <w:r>
              <w:rPr>
                <w:sz w:val="20"/>
                <w:szCs w:val="20"/>
              </w:rPr>
              <w:t>12,89</w:t>
            </w:r>
            <w:r>
              <w:rPr>
                <w:sz w:val="20"/>
                <w:szCs w:val="20"/>
              </w:rPr>
              <w:t>4</w:t>
            </w:r>
          </w:p>
        </w:tc>
        <w:tc>
          <w:tcPr>
            <w:tcW w:w="0" w:type="auto"/>
            <w:noWrap/>
            <w:vAlign w:val="bottom"/>
            <w:hideMark/>
          </w:tcPr>
          <w:p w14:paraId="301C24F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C41A5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8341F7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2A76B6D" w14:textId="77777777" w:rsidR="00000000" w:rsidRDefault="00632532">
            <w:pPr>
              <w:pStyle w:val="a3"/>
              <w:spacing w:before="0" w:beforeAutospacing="0" w:after="0" w:afterAutospacing="0"/>
              <w:jc w:val="right"/>
              <w:rPr>
                <w:sz w:val="20"/>
                <w:szCs w:val="20"/>
              </w:rPr>
            </w:pPr>
            <w:r>
              <w:rPr>
                <w:sz w:val="20"/>
                <w:szCs w:val="20"/>
              </w:rPr>
              <w:t>10,73</w:t>
            </w:r>
            <w:r>
              <w:rPr>
                <w:sz w:val="20"/>
                <w:szCs w:val="20"/>
              </w:rPr>
              <w:t>4</w:t>
            </w:r>
          </w:p>
        </w:tc>
        <w:tc>
          <w:tcPr>
            <w:tcW w:w="0" w:type="auto"/>
            <w:noWrap/>
            <w:vAlign w:val="bottom"/>
            <w:hideMark/>
          </w:tcPr>
          <w:p w14:paraId="6BD0F6C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97593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B46F47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C1C5BE1" w14:textId="77777777" w:rsidR="00000000" w:rsidRDefault="00632532">
            <w:pPr>
              <w:pStyle w:val="a3"/>
              <w:spacing w:before="0" w:beforeAutospacing="0" w:after="0" w:afterAutospacing="0"/>
              <w:jc w:val="right"/>
              <w:rPr>
                <w:sz w:val="20"/>
                <w:szCs w:val="20"/>
              </w:rPr>
            </w:pPr>
            <w:r>
              <w:rPr>
                <w:sz w:val="20"/>
                <w:szCs w:val="20"/>
              </w:rPr>
              <w:t>2,16</w:t>
            </w:r>
            <w:r>
              <w:rPr>
                <w:sz w:val="20"/>
                <w:szCs w:val="20"/>
              </w:rPr>
              <w:t>0</w:t>
            </w:r>
          </w:p>
        </w:tc>
        <w:tc>
          <w:tcPr>
            <w:tcW w:w="0" w:type="auto"/>
            <w:noWrap/>
            <w:vAlign w:val="bottom"/>
            <w:hideMark/>
          </w:tcPr>
          <w:p w14:paraId="46FDB5D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367AB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0E5E06" w14:textId="77777777" w:rsidR="00000000" w:rsidRDefault="00632532">
            <w:pPr>
              <w:pStyle w:val="a3"/>
              <w:spacing w:before="0" w:beforeAutospacing="0" w:after="0" w:afterAutospacing="0"/>
              <w:jc w:val="center"/>
              <w:rPr>
                <w:sz w:val="20"/>
                <w:szCs w:val="20"/>
              </w:rPr>
            </w:pPr>
            <w:r>
              <w:rPr>
                <w:sz w:val="20"/>
                <w:szCs w:val="20"/>
              </w:rPr>
              <w:t>  20</w:t>
            </w:r>
            <w:r>
              <w:rPr>
                <w:sz w:val="20"/>
                <w:szCs w:val="20"/>
              </w:rPr>
              <w:t>%</w:t>
            </w:r>
            <w:r>
              <w:rPr>
                <w:sz w:val="20"/>
                <w:szCs w:val="20"/>
              </w:rPr>
              <w:t xml:space="preserve"> </w:t>
            </w:r>
          </w:p>
        </w:tc>
      </w:tr>
      <w:tr w:rsidR="00000000" w14:paraId="61323D75" w14:textId="77777777">
        <w:trPr>
          <w:trHeight w:val="200"/>
          <w:tblCellSpacing w:w="15" w:type="dxa"/>
        </w:trPr>
        <w:tc>
          <w:tcPr>
            <w:tcW w:w="0" w:type="auto"/>
            <w:hideMark/>
          </w:tcPr>
          <w:p w14:paraId="37EEE052" w14:textId="77777777" w:rsidR="00000000" w:rsidRDefault="00632532">
            <w:pPr>
              <w:pStyle w:val="a3"/>
              <w:spacing w:before="0" w:beforeAutospacing="0" w:after="0" w:afterAutospacing="0"/>
              <w:ind w:left="200"/>
              <w:rPr>
                <w:sz w:val="20"/>
                <w:szCs w:val="20"/>
              </w:rPr>
            </w:pPr>
            <w:r>
              <w:rPr>
                <w:sz w:val="20"/>
                <w:szCs w:val="20"/>
              </w:rPr>
              <w:t>Selling and marketin</w:t>
            </w:r>
            <w:r>
              <w:rPr>
                <w:sz w:val="20"/>
                <w:szCs w:val="20"/>
              </w:rPr>
              <w:t>g</w:t>
            </w:r>
          </w:p>
        </w:tc>
        <w:tc>
          <w:tcPr>
            <w:tcW w:w="0" w:type="auto"/>
            <w:noWrap/>
            <w:vAlign w:val="bottom"/>
            <w:hideMark/>
          </w:tcPr>
          <w:p w14:paraId="6220877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4F92291" w14:textId="77777777" w:rsidR="00000000" w:rsidRDefault="00632532">
            <w:pPr>
              <w:pStyle w:val="a3"/>
              <w:spacing w:before="0" w:beforeAutospacing="0" w:after="0" w:afterAutospacing="0"/>
              <w:jc w:val="right"/>
              <w:rPr>
                <w:sz w:val="20"/>
                <w:szCs w:val="20"/>
              </w:rPr>
            </w:pPr>
            <w:r>
              <w:rPr>
                <w:sz w:val="20"/>
                <w:szCs w:val="20"/>
              </w:rPr>
              <w:t>10,86</w:t>
            </w:r>
            <w:r>
              <w:rPr>
                <w:sz w:val="20"/>
                <w:szCs w:val="20"/>
              </w:rPr>
              <w:t>6</w:t>
            </w:r>
          </w:p>
        </w:tc>
        <w:tc>
          <w:tcPr>
            <w:tcW w:w="0" w:type="auto"/>
            <w:noWrap/>
            <w:vAlign w:val="bottom"/>
            <w:hideMark/>
          </w:tcPr>
          <w:p w14:paraId="34AFDB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98C901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08073F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AED6148" w14:textId="77777777" w:rsidR="00000000" w:rsidRDefault="00632532">
            <w:pPr>
              <w:pStyle w:val="a3"/>
              <w:spacing w:before="0" w:beforeAutospacing="0" w:after="0" w:afterAutospacing="0"/>
              <w:jc w:val="right"/>
              <w:rPr>
                <w:sz w:val="20"/>
                <w:szCs w:val="20"/>
              </w:rPr>
            </w:pPr>
            <w:r>
              <w:rPr>
                <w:sz w:val="20"/>
                <w:szCs w:val="20"/>
              </w:rPr>
              <w:t>5,21</w:t>
            </w:r>
            <w:r>
              <w:rPr>
                <w:sz w:val="20"/>
                <w:szCs w:val="20"/>
              </w:rPr>
              <w:t>9</w:t>
            </w:r>
          </w:p>
        </w:tc>
        <w:tc>
          <w:tcPr>
            <w:tcW w:w="0" w:type="auto"/>
            <w:noWrap/>
            <w:vAlign w:val="bottom"/>
            <w:hideMark/>
          </w:tcPr>
          <w:p w14:paraId="5FB9FAD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CD9272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1BFF89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B037E2" w14:textId="77777777" w:rsidR="00000000" w:rsidRDefault="00632532">
            <w:pPr>
              <w:pStyle w:val="a3"/>
              <w:spacing w:before="0" w:beforeAutospacing="0" w:after="0" w:afterAutospacing="0"/>
              <w:jc w:val="right"/>
              <w:rPr>
                <w:sz w:val="20"/>
                <w:szCs w:val="20"/>
              </w:rPr>
            </w:pPr>
            <w:r>
              <w:rPr>
                <w:sz w:val="20"/>
                <w:szCs w:val="20"/>
              </w:rPr>
              <w:t>5,64</w:t>
            </w:r>
            <w:r>
              <w:rPr>
                <w:sz w:val="20"/>
                <w:szCs w:val="20"/>
              </w:rPr>
              <w:t>7</w:t>
            </w:r>
          </w:p>
        </w:tc>
        <w:tc>
          <w:tcPr>
            <w:tcW w:w="0" w:type="auto"/>
            <w:noWrap/>
            <w:vAlign w:val="bottom"/>
            <w:hideMark/>
          </w:tcPr>
          <w:p w14:paraId="7F5CA51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035D12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A57366" w14:textId="77777777" w:rsidR="00000000" w:rsidRDefault="00632532">
            <w:pPr>
              <w:pStyle w:val="a3"/>
              <w:spacing w:before="0" w:beforeAutospacing="0" w:after="0" w:afterAutospacing="0"/>
              <w:jc w:val="center"/>
              <w:rPr>
                <w:sz w:val="20"/>
                <w:szCs w:val="20"/>
              </w:rPr>
            </w:pPr>
            <w:r>
              <w:rPr>
                <w:sz w:val="20"/>
                <w:szCs w:val="20"/>
              </w:rPr>
              <w:t>  108</w:t>
            </w:r>
            <w:r>
              <w:rPr>
                <w:sz w:val="20"/>
                <w:szCs w:val="20"/>
              </w:rPr>
              <w:t>%</w:t>
            </w:r>
            <w:r>
              <w:rPr>
                <w:sz w:val="20"/>
                <w:szCs w:val="20"/>
              </w:rPr>
              <w:t xml:space="preserve"> </w:t>
            </w:r>
          </w:p>
        </w:tc>
        <w:tc>
          <w:tcPr>
            <w:tcW w:w="0" w:type="auto"/>
            <w:vAlign w:val="bottom"/>
            <w:hideMark/>
          </w:tcPr>
          <w:p w14:paraId="2548ECA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9AC231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CA90A1" w14:textId="77777777" w:rsidR="00000000" w:rsidRDefault="00632532">
            <w:pPr>
              <w:pStyle w:val="a3"/>
              <w:spacing w:before="0" w:beforeAutospacing="0" w:after="0" w:afterAutospacing="0"/>
              <w:jc w:val="right"/>
              <w:rPr>
                <w:sz w:val="20"/>
                <w:szCs w:val="20"/>
              </w:rPr>
            </w:pPr>
            <w:r>
              <w:rPr>
                <w:sz w:val="20"/>
                <w:szCs w:val="20"/>
              </w:rPr>
              <w:t>18,80</w:t>
            </w:r>
            <w:r>
              <w:rPr>
                <w:sz w:val="20"/>
                <w:szCs w:val="20"/>
              </w:rPr>
              <w:t>6</w:t>
            </w:r>
          </w:p>
        </w:tc>
        <w:tc>
          <w:tcPr>
            <w:tcW w:w="0" w:type="auto"/>
            <w:noWrap/>
            <w:vAlign w:val="bottom"/>
            <w:hideMark/>
          </w:tcPr>
          <w:p w14:paraId="051B4CB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35B460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F9B295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8D55BA" w14:textId="77777777" w:rsidR="00000000" w:rsidRDefault="00632532">
            <w:pPr>
              <w:pStyle w:val="a3"/>
              <w:spacing w:before="0" w:beforeAutospacing="0" w:after="0" w:afterAutospacing="0"/>
              <w:jc w:val="right"/>
              <w:rPr>
                <w:sz w:val="20"/>
                <w:szCs w:val="20"/>
              </w:rPr>
            </w:pPr>
            <w:r>
              <w:rPr>
                <w:sz w:val="20"/>
                <w:szCs w:val="20"/>
              </w:rPr>
              <w:t>10,22</w:t>
            </w:r>
            <w:r>
              <w:rPr>
                <w:sz w:val="20"/>
                <w:szCs w:val="20"/>
              </w:rPr>
              <w:t>7</w:t>
            </w:r>
          </w:p>
        </w:tc>
        <w:tc>
          <w:tcPr>
            <w:tcW w:w="0" w:type="auto"/>
            <w:noWrap/>
            <w:vAlign w:val="bottom"/>
            <w:hideMark/>
          </w:tcPr>
          <w:p w14:paraId="6F1EB51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15D1C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81D8F8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188F94" w14:textId="77777777" w:rsidR="00000000" w:rsidRDefault="00632532">
            <w:pPr>
              <w:pStyle w:val="a3"/>
              <w:spacing w:before="0" w:beforeAutospacing="0" w:after="0" w:afterAutospacing="0"/>
              <w:jc w:val="right"/>
              <w:rPr>
                <w:sz w:val="20"/>
                <w:szCs w:val="20"/>
              </w:rPr>
            </w:pPr>
            <w:r>
              <w:rPr>
                <w:sz w:val="20"/>
                <w:szCs w:val="20"/>
              </w:rPr>
              <w:t>8,57</w:t>
            </w:r>
            <w:r>
              <w:rPr>
                <w:sz w:val="20"/>
                <w:szCs w:val="20"/>
              </w:rPr>
              <w:t>9</w:t>
            </w:r>
          </w:p>
        </w:tc>
        <w:tc>
          <w:tcPr>
            <w:tcW w:w="0" w:type="auto"/>
            <w:noWrap/>
            <w:vAlign w:val="bottom"/>
            <w:hideMark/>
          </w:tcPr>
          <w:p w14:paraId="1648F09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741AF5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DEF5239" w14:textId="77777777" w:rsidR="00000000" w:rsidRDefault="00632532">
            <w:pPr>
              <w:pStyle w:val="a3"/>
              <w:spacing w:before="0" w:beforeAutospacing="0" w:after="0" w:afterAutospacing="0"/>
              <w:jc w:val="center"/>
              <w:rPr>
                <w:sz w:val="20"/>
                <w:szCs w:val="20"/>
              </w:rPr>
            </w:pPr>
            <w:r>
              <w:rPr>
                <w:sz w:val="20"/>
                <w:szCs w:val="20"/>
              </w:rPr>
              <w:t>  84</w:t>
            </w:r>
            <w:r>
              <w:rPr>
                <w:sz w:val="20"/>
                <w:szCs w:val="20"/>
              </w:rPr>
              <w:t>%</w:t>
            </w:r>
            <w:r>
              <w:rPr>
                <w:sz w:val="20"/>
                <w:szCs w:val="20"/>
              </w:rPr>
              <w:t xml:space="preserve"> </w:t>
            </w:r>
          </w:p>
        </w:tc>
      </w:tr>
      <w:tr w:rsidR="00000000" w14:paraId="0B9BA6EE" w14:textId="77777777">
        <w:trPr>
          <w:trHeight w:val="200"/>
          <w:tblCellSpacing w:w="15" w:type="dxa"/>
        </w:trPr>
        <w:tc>
          <w:tcPr>
            <w:tcW w:w="0" w:type="auto"/>
            <w:hideMark/>
          </w:tcPr>
          <w:p w14:paraId="5F6C88F2" w14:textId="77777777" w:rsidR="00000000" w:rsidRDefault="00632532">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noWrap/>
            <w:vAlign w:val="bottom"/>
            <w:hideMark/>
          </w:tcPr>
          <w:p w14:paraId="61CE84C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C8B077" w14:textId="77777777" w:rsidR="00000000" w:rsidRDefault="00632532">
            <w:pPr>
              <w:pStyle w:val="a3"/>
              <w:spacing w:before="0" w:beforeAutospacing="0" w:after="0" w:afterAutospacing="0"/>
              <w:jc w:val="right"/>
              <w:rPr>
                <w:sz w:val="20"/>
                <w:szCs w:val="20"/>
              </w:rPr>
            </w:pPr>
            <w:r>
              <w:rPr>
                <w:sz w:val="20"/>
                <w:szCs w:val="20"/>
              </w:rPr>
              <w:t>30,24</w:t>
            </w:r>
            <w:r>
              <w:rPr>
                <w:sz w:val="20"/>
                <w:szCs w:val="20"/>
              </w:rPr>
              <w:t>0</w:t>
            </w:r>
          </w:p>
        </w:tc>
        <w:tc>
          <w:tcPr>
            <w:tcW w:w="0" w:type="auto"/>
            <w:noWrap/>
            <w:vAlign w:val="bottom"/>
            <w:hideMark/>
          </w:tcPr>
          <w:p w14:paraId="1026ADD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6E78DB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C35387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0C41EE5" w14:textId="77777777" w:rsidR="00000000" w:rsidRDefault="00632532">
            <w:pPr>
              <w:pStyle w:val="a3"/>
              <w:spacing w:before="0" w:beforeAutospacing="0" w:after="0" w:afterAutospacing="0"/>
              <w:jc w:val="right"/>
              <w:rPr>
                <w:sz w:val="20"/>
                <w:szCs w:val="20"/>
              </w:rPr>
            </w:pPr>
            <w:r>
              <w:rPr>
                <w:sz w:val="20"/>
                <w:szCs w:val="20"/>
              </w:rPr>
              <w:t>8,32</w:t>
            </w:r>
            <w:r>
              <w:rPr>
                <w:sz w:val="20"/>
                <w:szCs w:val="20"/>
              </w:rPr>
              <w:t>9</w:t>
            </w:r>
          </w:p>
        </w:tc>
        <w:tc>
          <w:tcPr>
            <w:tcW w:w="0" w:type="auto"/>
            <w:noWrap/>
            <w:vAlign w:val="bottom"/>
            <w:hideMark/>
          </w:tcPr>
          <w:p w14:paraId="0EE2262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4DECD1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26F795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98E29F0" w14:textId="77777777" w:rsidR="00000000" w:rsidRDefault="00632532">
            <w:pPr>
              <w:pStyle w:val="a3"/>
              <w:spacing w:before="0" w:beforeAutospacing="0" w:after="0" w:afterAutospacing="0"/>
              <w:jc w:val="right"/>
              <w:rPr>
                <w:sz w:val="20"/>
                <w:szCs w:val="20"/>
              </w:rPr>
            </w:pPr>
            <w:r>
              <w:rPr>
                <w:sz w:val="20"/>
                <w:szCs w:val="20"/>
              </w:rPr>
              <w:t>21,91</w:t>
            </w:r>
            <w:r>
              <w:rPr>
                <w:sz w:val="20"/>
                <w:szCs w:val="20"/>
              </w:rPr>
              <w:t>1</w:t>
            </w:r>
          </w:p>
        </w:tc>
        <w:tc>
          <w:tcPr>
            <w:tcW w:w="0" w:type="auto"/>
            <w:noWrap/>
            <w:vAlign w:val="bottom"/>
            <w:hideMark/>
          </w:tcPr>
          <w:p w14:paraId="6DEBAC4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53D4D0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BC0DD96" w14:textId="77777777" w:rsidR="00000000" w:rsidRDefault="00632532">
            <w:pPr>
              <w:pStyle w:val="a3"/>
              <w:spacing w:before="0" w:beforeAutospacing="0" w:after="0" w:afterAutospacing="0"/>
              <w:jc w:val="center"/>
              <w:rPr>
                <w:sz w:val="20"/>
                <w:szCs w:val="20"/>
              </w:rPr>
            </w:pPr>
            <w:r>
              <w:rPr>
                <w:sz w:val="20"/>
                <w:szCs w:val="20"/>
              </w:rPr>
              <w:t>  263</w:t>
            </w:r>
            <w:r>
              <w:rPr>
                <w:sz w:val="20"/>
                <w:szCs w:val="20"/>
              </w:rPr>
              <w:t>%</w:t>
            </w:r>
            <w:r>
              <w:rPr>
                <w:sz w:val="20"/>
                <w:szCs w:val="20"/>
              </w:rPr>
              <w:t xml:space="preserve"> </w:t>
            </w:r>
          </w:p>
        </w:tc>
        <w:tc>
          <w:tcPr>
            <w:tcW w:w="0" w:type="auto"/>
            <w:vAlign w:val="bottom"/>
            <w:hideMark/>
          </w:tcPr>
          <w:p w14:paraId="51018760"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2B35D7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14A3A5" w14:textId="77777777" w:rsidR="00000000" w:rsidRDefault="00632532">
            <w:pPr>
              <w:pStyle w:val="a3"/>
              <w:spacing w:before="0" w:beforeAutospacing="0" w:after="0" w:afterAutospacing="0"/>
              <w:jc w:val="right"/>
              <w:rPr>
                <w:sz w:val="20"/>
                <w:szCs w:val="20"/>
              </w:rPr>
            </w:pPr>
            <w:r>
              <w:rPr>
                <w:sz w:val="20"/>
                <w:szCs w:val="20"/>
              </w:rPr>
              <w:t>56,01</w:t>
            </w:r>
            <w:r>
              <w:rPr>
                <w:sz w:val="20"/>
                <w:szCs w:val="20"/>
              </w:rPr>
              <w:t>5</w:t>
            </w:r>
          </w:p>
        </w:tc>
        <w:tc>
          <w:tcPr>
            <w:tcW w:w="0" w:type="auto"/>
            <w:noWrap/>
            <w:vAlign w:val="bottom"/>
            <w:hideMark/>
          </w:tcPr>
          <w:p w14:paraId="10D6EAD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FFC750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32354F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7FF22E" w14:textId="77777777" w:rsidR="00000000" w:rsidRDefault="00632532">
            <w:pPr>
              <w:pStyle w:val="a3"/>
              <w:spacing w:before="0" w:beforeAutospacing="0" w:after="0" w:afterAutospacing="0"/>
              <w:jc w:val="right"/>
              <w:rPr>
                <w:sz w:val="20"/>
                <w:szCs w:val="20"/>
              </w:rPr>
            </w:pPr>
            <w:r>
              <w:rPr>
                <w:sz w:val="20"/>
                <w:szCs w:val="20"/>
              </w:rPr>
              <w:t>16,33</w:t>
            </w:r>
            <w:r>
              <w:rPr>
                <w:sz w:val="20"/>
                <w:szCs w:val="20"/>
              </w:rPr>
              <w:t>1</w:t>
            </w:r>
          </w:p>
        </w:tc>
        <w:tc>
          <w:tcPr>
            <w:tcW w:w="0" w:type="auto"/>
            <w:noWrap/>
            <w:vAlign w:val="bottom"/>
            <w:hideMark/>
          </w:tcPr>
          <w:p w14:paraId="607AB61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A9437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E8EDAC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96C630D" w14:textId="77777777" w:rsidR="00000000" w:rsidRDefault="00632532">
            <w:pPr>
              <w:pStyle w:val="a3"/>
              <w:spacing w:before="0" w:beforeAutospacing="0" w:after="0" w:afterAutospacing="0"/>
              <w:jc w:val="right"/>
              <w:rPr>
                <w:sz w:val="20"/>
                <w:szCs w:val="20"/>
              </w:rPr>
            </w:pPr>
            <w:r>
              <w:rPr>
                <w:sz w:val="20"/>
                <w:szCs w:val="20"/>
              </w:rPr>
              <w:t>39,68</w:t>
            </w:r>
            <w:r>
              <w:rPr>
                <w:sz w:val="20"/>
                <w:szCs w:val="20"/>
              </w:rPr>
              <w:t>4</w:t>
            </w:r>
          </w:p>
        </w:tc>
        <w:tc>
          <w:tcPr>
            <w:tcW w:w="0" w:type="auto"/>
            <w:noWrap/>
            <w:vAlign w:val="bottom"/>
            <w:hideMark/>
          </w:tcPr>
          <w:p w14:paraId="7E20EA9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FD4D99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ACEA0C" w14:textId="77777777" w:rsidR="00000000" w:rsidRDefault="00632532">
            <w:pPr>
              <w:pStyle w:val="a3"/>
              <w:spacing w:before="0" w:beforeAutospacing="0" w:after="0" w:afterAutospacing="0"/>
              <w:jc w:val="center"/>
              <w:rPr>
                <w:sz w:val="20"/>
                <w:szCs w:val="20"/>
              </w:rPr>
            </w:pPr>
            <w:r>
              <w:rPr>
                <w:sz w:val="20"/>
                <w:szCs w:val="20"/>
              </w:rPr>
              <w:t>  243</w:t>
            </w:r>
            <w:r>
              <w:rPr>
                <w:sz w:val="20"/>
                <w:szCs w:val="20"/>
              </w:rPr>
              <w:t>%</w:t>
            </w:r>
            <w:r>
              <w:rPr>
                <w:sz w:val="20"/>
                <w:szCs w:val="20"/>
              </w:rPr>
              <w:t xml:space="preserve"> </w:t>
            </w:r>
          </w:p>
        </w:tc>
      </w:tr>
      <w:tr w:rsidR="00000000" w14:paraId="063D1240" w14:textId="77777777">
        <w:trPr>
          <w:trHeight w:val="200"/>
          <w:tblCellSpacing w:w="15" w:type="dxa"/>
        </w:trPr>
        <w:tc>
          <w:tcPr>
            <w:tcW w:w="0" w:type="auto"/>
            <w:hideMark/>
          </w:tcPr>
          <w:p w14:paraId="6D5FA065" w14:textId="77777777" w:rsidR="00000000" w:rsidRDefault="00632532">
            <w:pPr>
              <w:pStyle w:val="a3"/>
              <w:spacing w:before="0" w:beforeAutospacing="0" w:after="0" w:afterAutospacing="0"/>
              <w:ind w:left="200"/>
              <w:rPr>
                <w:sz w:val="20"/>
                <w:szCs w:val="20"/>
              </w:rPr>
            </w:pPr>
            <w:r>
              <w:rPr>
                <w:sz w:val="20"/>
                <w:szCs w:val="20"/>
              </w:rPr>
              <w:t>Amortization of intangible asset</w:t>
            </w:r>
            <w:r>
              <w:rPr>
                <w:sz w:val="20"/>
                <w:szCs w:val="20"/>
              </w:rPr>
              <w:t>s</w:t>
            </w:r>
          </w:p>
        </w:tc>
        <w:tc>
          <w:tcPr>
            <w:tcW w:w="0" w:type="auto"/>
            <w:noWrap/>
            <w:vAlign w:val="bottom"/>
            <w:hideMark/>
          </w:tcPr>
          <w:p w14:paraId="08993BC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970925" w14:textId="77777777" w:rsidR="00000000" w:rsidRDefault="00632532">
            <w:pPr>
              <w:pStyle w:val="a3"/>
              <w:spacing w:before="0" w:beforeAutospacing="0" w:after="0" w:afterAutospacing="0"/>
              <w:jc w:val="right"/>
              <w:rPr>
                <w:sz w:val="20"/>
                <w:szCs w:val="20"/>
              </w:rPr>
            </w:pPr>
            <w:r>
              <w:rPr>
                <w:sz w:val="20"/>
                <w:szCs w:val="20"/>
              </w:rPr>
              <w:t>1,57</w:t>
            </w:r>
            <w:r>
              <w:rPr>
                <w:sz w:val="20"/>
                <w:szCs w:val="20"/>
              </w:rPr>
              <w:t>5</w:t>
            </w:r>
          </w:p>
        </w:tc>
        <w:tc>
          <w:tcPr>
            <w:tcW w:w="0" w:type="auto"/>
            <w:noWrap/>
            <w:vAlign w:val="bottom"/>
            <w:hideMark/>
          </w:tcPr>
          <w:p w14:paraId="3246D81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2DBAEF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0D3E25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9F0EAD"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002F25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17D83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9CF4D7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DB95A4" w14:textId="77777777" w:rsidR="00000000" w:rsidRDefault="00632532">
            <w:pPr>
              <w:pStyle w:val="a3"/>
              <w:spacing w:before="0" w:beforeAutospacing="0" w:after="0" w:afterAutospacing="0"/>
              <w:jc w:val="right"/>
              <w:rPr>
                <w:sz w:val="20"/>
                <w:szCs w:val="20"/>
              </w:rPr>
            </w:pPr>
            <w:r>
              <w:rPr>
                <w:sz w:val="20"/>
                <w:szCs w:val="20"/>
              </w:rPr>
              <w:t>1,57</w:t>
            </w:r>
            <w:r>
              <w:rPr>
                <w:sz w:val="20"/>
                <w:szCs w:val="20"/>
              </w:rPr>
              <w:t>5</w:t>
            </w:r>
          </w:p>
        </w:tc>
        <w:tc>
          <w:tcPr>
            <w:tcW w:w="0" w:type="auto"/>
            <w:noWrap/>
            <w:vAlign w:val="bottom"/>
            <w:hideMark/>
          </w:tcPr>
          <w:p w14:paraId="53086C0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5250BE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468211" w14:textId="77777777" w:rsidR="00000000" w:rsidRDefault="00632532">
            <w:pPr>
              <w:pStyle w:val="a3"/>
              <w:spacing w:before="0" w:beforeAutospacing="0" w:after="0" w:afterAutospacing="0"/>
              <w:jc w:val="center"/>
              <w:rPr>
                <w:sz w:val="20"/>
                <w:szCs w:val="20"/>
              </w:rPr>
            </w:pPr>
            <w:r>
              <w:rPr>
                <w:sz w:val="20"/>
                <w:szCs w:val="20"/>
              </w:rPr>
              <w:t>*</w:t>
            </w:r>
          </w:p>
        </w:tc>
        <w:tc>
          <w:tcPr>
            <w:tcW w:w="0" w:type="auto"/>
            <w:vAlign w:val="bottom"/>
            <w:hideMark/>
          </w:tcPr>
          <w:p w14:paraId="20F8CE9F"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41B7AC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D414BE1" w14:textId="77777777" w:rsidR="00000000" w:rsidRDefault="00632532">
            <w:pPr>
              <w:pStyle w:val="a3"/>
              <w:spacing w:before="0" w:beforeAutospacing="0" w:after="0" w:afterAutospacing="0"/>
              <w:jc w:val="right"/>
              <w:rPr>
                <w:sz w:val="20"/>
                <w:szCs w:val="20"/>
              </w:rPr>
            </w:pPr>
            <w:r>
              <w:rPr>
                <w:sz w:val="20"/>
                <w:szCs w:val="20"/>
              </w:rPr>
              <w:t>2,48</w:t>
            </w:r>
            <w:r>
              <w:rPr>
                <w:sz w:val="20"/>
                <w:szCs w:val="20"/>
              </w:rPr>
              <w:t>1</w:t>
            </w:r>
          </w:p>
        </w:tc>
        <w:tc>
          <w:tcPr>
            <w:tcW w:w="0" w:type="auto"/>
            <w:noWrap/>
            <w:vAlign w:val="bottom"/>
            <w:hideMark/>
          </w:tcPr>
          <w:p w14:paraId="3D08C3B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44825A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EDA6FE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030B9E"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48E1700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B94CA1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61A8C2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7EC6C6" w14:textId="77777777" w:rsidR="00000000" w:rsidRDefault="00632532">
            <w:pPr>
              <w:pStyle w:val="a3"/>
              <w:spacing w:before="0" w:beforeAutospacing="0" w:after="0" w:afterAutospacing="0"/>
              <w:jc w:val="right"/>
              <w:rPr>
                <w:sz w:val="20"/>
                <w:szCs w:val="20"/>
              </w:rPr>
            </w:pPr>
            <w:r>
              <w:rPr>
                <w:sz w:val="20"/>
                <w:szCs w:val="20"/>
              </w:rPr>
              <w:t>2,48</w:t>
            </w:r>
            <w:r>
              <w:rPr>
                <w:sz w:val="20"/>
                <w:szCs w:val="20"/>
              </w:rPr>
              <w:t>1</w:t>
            </w:r>
          </w:p>
        </w:tc>
        <w:tc>
          <w:tcPr>
            <w:tcW w:w="0" w:type="auto"/>
            <w:noWrap/>
            <w:vAlign w:val="bottom"/>
            <w:hideMark/>
          </w:tcPr>
          <w:p w14:paraId="519C6C4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F2AB2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9D867D" w14:textId="77777777" w:rsidR="00000000" w:rsidRDefault="00632532">
            <w:pPr>
              <w:pStyle w:val="a3"/>
              <w:spacing w:before="0" w:beforeAutospacing="0" w:after="0" w:afterAutospacing="0"/>
              <w:jc w:val="center"/>
              <w:rPr>
                <w:sz w:val="20"/>
                <w:szCs w:val="20"/>
              </w:rPr>
            </w:pPr>
            <w:r>
              <w:rPr>
                <w:sz w:val="20"/>
                <w:szCs w:val="20"/>
              </w:rPr>
              <w:t>*</w:t>
            </w:r>
          </w:p>
        </w:tc>
      </w:tr>
      <w:tr w:rsidR="00000000" w14:paraId="21D8BC0A" w14:textId="77777777">
        <w:trPr>
          <w:trHeight w:val="200"/>
          <w:tblCellSpacing w:w="15" w:type="dxa"/>
        </w:trPr>
        <w:tc>
          <w:tcPr>
            <w:tcW w:w="0" w:type="auto"/>
            <w:hideMark/>
          </w:tcPr>
          <w:p w14:paraId="6FF1D480" w14:textId="77777777" w:rsidR="00000000" w:rsidRDefault="00632532">
            <w:pPr>
              <w:pStyle w:val="a3"/>
              <w:spacing w:before="0" w:beforeAutospacing="0" w:after="0" w:afterAutospacing="0"/>
              <w:ind w:left="200"/>
              <w:rPr>
                <w:sz w:val="20"/>
                <w:szCs w:val="20"/>
              </w:rPr>
            </w:pPr>
            <w:r>
              <w:rPr>
                <w:sz w:val="20"/>
                <w:szCs w:val="20"/>
              </w:rPr>
              <w:t>Restructuring cost</w:t>
            </w:r>
            <w:r>
              <w:rPr>
                <w:sz w:val="20"/>
                <w:szCs w:val="20"/>
              </w:rPr>
              <w:t>s</w:t>
            </w:r>
          </w:p>
        </w:tc>
        <w:tc>
          <w:tcPr>
            <w:tcW w:w="0" w:type="auto"/>
            <w:noWrap/>
            <w:vAlign w:val="bottom"/>
            <w:hideMark/>
          </w:tcPr>
          <w:p w14:paraId="2B7215A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B4A751" w14:textId="77777777" w:rsidR="00000000" w:rsidRDefault="00632532">
            <w:pPr>
              <w:pStyle w:val="a3"/>
              <w:spacing w:before="0" w:beforeAutospacing="0" w:after="0" w:afterAutospacing="0"/>
              <w:jc w:val="right"/>
              <w:rPr>
                <w:sz w:val="20"/>
                <w:szCs w:val="20"/>
              </w:rPr>
            </w:pPr>
            <w:r>
              <w:rPr>
                <w:sz w:val="20"/>
                <w:szCs w:val="20"/>
              </w:rPr>
              <w:t>2,89</w:t>
            </w:r>
            <w:r>
              <w:rPr>
                <w:sz w:val="20"/>
                <w:szCs w:val="20"/>
              </w:rPr>
              <w:t>6</w:t>
            </w:r>
          </w:p>
        </w:tc>
        <w:tc>
          <w:tcPr>
            <w:tcW w:w="0" w:type="auto"/>
            <w:noWrap/>
            <w:vAlign w:val="bottom"/>
            <w:hideMark/>
          </w:tcPr>
          <w:p w14:paraId="7783A27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FDB45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2FC04C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94F652F"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25E9ACB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092DC5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D1CC25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35936D1" w14:textId="77777777" w:rsidR="00000000" w:rsidRDefault="00632532">
            <w:pPr>
              <w:pStyle w:val="a3"/>
              <w:spacing w:before="0" w:beforeAutospacing="0" w:after="0" w:afterAutospacing="0"/>
              <w:jc w:val="right"/>
              <w:rPr>
                <w:sz w:val="20"/>
                <w:szCs w:val="20"/>
              </w:rPr>
            </w:pPr>
            <w:r>
              <w:rPr>
                <w:sz w:val="20"/>
                <w:szCs w:val="20"/>
              </w:rPr>
              <w:t>2,89</w:t>
            </w:r>
            <w:r>
              <w:rPr>
                <w:sz w:val="20"/>
                <w:szCs w:val="20"/>
              </w:rPr>
              <w:t>6</w:t>
            </w:r>
          </w:p>
        </w:tc>
        <w:tc>
          <w:tcPr>
            <w:tcW w:w="0" w:type="auto"/>
            <w:noWrap/>
            <w:vAlign w:val="bottom"/>
            <w:hideMark/>
          </w:tcPr>
          <w:p w14:paraId="109898E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92F0A3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A6FB0E" w14:textId="77777777" w:rsidR="00000000" w:rsidRDefault="00632532">
            <w:pPr>
              <w:pStyle w:val="a3"/>
              <w:spacing w:before="0" w:beforeAutospacing="0" w:after="0" w:afterAutospacing="0"/>
              <w:jc w:val="center"/>
              <w:rPr>
                <w:sz w:val="20"/>
                <w:szCs w:val="20"/>
              </w:rPr>
            </w:pPr>
            <w:r>
              <w:rPr>
                <w:sz w:val="20"/>
                <w:szCs w:val="20"/>
              </w:rPr>
              <w:t>*</w:t>
            </w:r>
          </w:p>
        </w:tc>
        <w:tc>
          <w:tcPr>
            <w:tcW w:w="0" w:type="auto"/>
            <w:vAlign w:val="bottom"/>
            <w:hideMark/>
          </w:tcPr>
          <w:p w14:paraId="1CFA083A"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F1A5F2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1C04875" w14:textId="77777777" w:rsidR="00000000" w:rsidRDefault="00632532">
            <w:pPr>
              <w:pStyle w:val="a3"/>
              <w:spacing w:before="0" w:beforeAutospacing="0" w:after="0" w:afterAutospacing="0"/>
              <w:jc w:val="right"/>
              <w:rPr>
                <w:sz w:val="20"/>
                <w:szCs w:val="20"/>
              </w:rPr>
            </w:pPr>
            <w:r>
              <w:rPr>
                <w:sz w:val="20"/>
                <w:szCs w:val="20"/>
              </w:rPr>
              <w:t>2,89</w:t>
            </w:r>
            <w:r>
              <w:rPr>
                <w:sz w:val="20"/>
                <w:szCs w:val="20"/>
              </w:rPr>
              <w:t>6</w:t>
            </w:r>
          </w:p>
        </w:tc>
        <w:tc>
          <w:tcPr>
            <w:tcW w:w="0" w:type="auto"/>
            <w:noWrap/>
            <w:vAlign w:val="bottom"/>
            <w:hideMark/>
          </w:tcPr>
          <w:p w14:paraId="78A897A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CFCCB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CECA47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D6DBD40"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602023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1ABF4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B2910C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176C55F" w14:textId="77777777" w:rsidR="00000000" w:rsidRDefault="00632532">
            <w:pPr>
              <w:pStyle w:val="a3"/>
              <w:spacing w:before="0" w:beforeAutospacing="0" w:after="0" w:afterAutospacing="0"/>
              <w:jc w:val="right"/>
              <w:rPr>
                <w:sz w:val="20"/>
                <w:szCs w:val="20"/>
              </w:rPr>
            </w:pPr>
            <w:r>
              <w:rPr>
                <w:sz w:val="20"/>
                <w:szCs w:val="20"/>
              </w:rPr>
              <w:t>2,89</w:t>
            </w:r>
            <w:r>
              <w:rPr>
                <w:sz w:val="20"/>
                <w:szCs w:val="20"/>
              </w:rPr>
              <w:t>6</w:t>
            </w:r>
          </w:p>
        </w:tc>
        <w:tc>
          <w:tcPr>
            <w:tcW w:w="0" w:type="auto"/>
            <w:noWrap/>
            <w:vAlign w:val="bottom"/>
            <w:hideMark/>
          </w:tcPr>
          <w:p w14:paraId="447E7DC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3ABA12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51DEAF" w14:textId="77777777" w:rsidR="00000000" w:rsidRDefault="00632532">
            <w:pPr>
              <w:pStyle w:val="a3"/>
              <w:spacing w:before="0" w:beforeAutospacing="0" w:after="0" w:afterAutospacing="0"/>
              <w:jc w:val="center"/>
              <w:rPr>
                <w:sz w:val="20"/>
                <w:szCs w:val="20"/>
              </w:rPr>
            </w:pPr>
            <w:r>
              <w:rPr>
                <w:sz w:val="20"/>
                <w:szCs w:val="20"/>
              </w:rPr>
              <w:t>*</w:t>
            </w:r>
          </w:p>
        </w:tc>
      </w:tr>
      <w:tr w:rsidR="00000000" w14:paraId="0EA507D2" w14:textId="77777777">
        <w:trPr>
          <w:trHeight w:val="200"/>
          <w:tblCellSpacing w:w="15" w:type="dxa"/>
        </w:trPr>
        <w:tc>
          <w:tcPr>
            <w:tcW w:w="0" w:type="auto"/>
            <w:hideMark/>
          </w:tcPr>
          <w:p w14:paraId="12B284A8" w14:textId="77777777" w:rsidR="00000000" w:rsidRDefault="00632532">
            <w:pPr>
              <w:pStyle w:val="a3"/>
              <w:spacing w:before="0" w:beforeAutospacing="0" w:after="0" w:afterAutospacing="0"/>
              <w:rPr>
                <w:sz w:val="20"/>
                <w:szCs w:val="20"/>
              </w:rPr>
            </w:pPr>
            <w:r>
              <w:rPr>
                <w:sz w:val="20"/>
                <w:szCs w:val="20"/>
              </w:rPr>
              <w:t>Total operating expense</w:t>
            </w:r>
            <w:r>
              <w:rPr>
                <w:sz w:val="20"/>
                <w:szCs w:val="20"/>
              </w:rPr>
              <w:t>s</w:t>
            </w:r>
          </w:p>
        </w:tc>
        <w:tc>
          <w:tcPr>
            <w:tcW w:w="0" w:type="auto"/>
            <w:noWrap/>
            <w:vAlign w:val="bottom"/>
            <w:hideMark/>
          </w:tcPr>
          <w:p w14:paraId="6597DD4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10A1C5" w14:textId="77777777" w:rsidR="00000000" w:rsidRDefault="00632532">
            <w:pPr>
              <w:pStyle w:val="a3"/>
              <w:spacing w:before="0" w:beforeAutospacing="0" w:after="0" w:afterAutospacing="0"/>
              <w:jc w:val="right"/>
              <w:rPr>
                <w:sz w:val="20"/>
                <w:szCs w:val="20"/>
              </w:rPr>
            </w:pPr>
            <w:r>
              <w:rPr>
                <w:sz w:val="20"/>
                <w:szCs w:val="20"/>
              </w:rPr>
              <w:t>52,48</w:t>
            </w:r>
            <w:r>
              <w:rPr>
                <w:sz w:val="20"/>
                <w:szCs w:val="20"/>
              </w:rPr>
              <w:t>2</w:t>
            </w:r>
          </w:p>
        </w:tc>
        <w:tc>
          <w:tcPr>
            <w:tcW w:w="0" w:type="auto"/>
            <w:noWrap/>
            <w:vAlign w:val="bottom"/>
            <w:hideMark/>
          </w:tcPr>
          <w:p w14:paraId="2F1AC62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3099D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08B890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13BD68" w14:textId="77777777" w:rsidR="00000000" w:rsidRDefault="00632532">
            <w:pPr>
              <w:pStyle w:val="a3"/>
              <w:spacing w:before="0" w:beforeAutospacing="0" w:after="0" w:afterAutospacing="0"/>
              <w:jc w:val="right"/>
              <w:rPr>
                <w:sz w:val="20"/>
                <w:szCs w:val="20"/>
              </w:rPr>
            </w:pPr>
            <w:r>
              <w:rPr>
                <w:sz w:val="20"/>
                <w:szCs w:val="20"/>
              </w:rPr>
              <w:t>18,86</w:t>
            </w:r>
            <w:r>
              <w:rPr>
                <w:sz w:val="20"/>
                <w:szCs w:val="20"/>
              </w:rPr>
              <w:t>0</w:t>
            </w:r>
          </w:p>
        </w:tc>
        <w:tc>
          <w:tcPr>
            <w:tcW w:w="0" w:type="auto"/>
            <w:noWrap/>
            <w:vAlign w:val="bottom"/>
            <w:hideMark/>
          </w:tcPr>
          <w:p w14:paraId="34563B0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B22C23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F81E04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858FB5" w14:textId="77777777" w:rsidR="00000000" w:rsidRDefault="00632532">
            <w:pPr>
              <w:pStyle w:val="a3"/>
              <w:spacing w:before="0" w:beforeAutospacing="0" w:after="0" w:afterAutospacing="0"/>
              <w:jc w:val="right"/>
              <w:rPr>
                <w:sz w:val="20"/>
                <w:szCs w:val="20"/>
              </w:rPr>
            </w:pPr>
            <w:r>
              <w:rPr>
                <w:sz w:val="20"/>
                <w:szCs w:val="20"/>
              </w:rPr>
              <w:t>33,62</w:t>
            </w:r>
            <w:r>
              <w:rPr>
                <w:sz w:val="20"/>
                <w:szCs w:val="20"/>
              </w:rPr>
              <w:t>2</w:t>
            </w:r>
          </w:p>
        </w:tc>
        <w:tc>
          <w:tcPr>
            <w:tcW w:w="0" w:type="auto"/>
            <w:noWrap/>
            <w:vAlign w:val="bottom"/>
            <w:hideMark/>
          </w:tcPr>
          <w:p w14:paraId="32E6E80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5FFCC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0714CE4" w14:textId="77777777" w:rsidR="00000000" w:rsidRDefault="00632532">
            <w:pPr>
              <w:pStyle w:val="a3"/>
              <w:spacing w:before="0" w:beforeAutospacing="0" w:after="0" w:afterAutospacing="0"/>
              <w:jc w:val="center"/>
              <w:rPr>
                <w:sz w:val="20"/>
                <w:szCs w:val="20"/>
              </w:rPr>
            </w:pPr>
            <w:r>
              <w:rPr>
                <w:sz w:val="20"/>
                <w:szCs w:val="20"/>
              </w:rPr>
              <w:t>  178</w:t>
            </w:r>
            <w:r>
              <w:rPr>
                <w:sz w:val="20"/>
                <w:szCs w:val="20"/>
              </w:rPr>
              <w:t>%</w:t>
            </w:r>
            <w:r>
              <w:rPr>
                <w:sz w:val="20"/>
                <w:szCs w:val="20"/>
              </w:rPr>
              <w:t xml:space="preserve"> </w:t>
            </w:r>
          </w:p>
        </w:tc>
        <w:tc>
          <w:tcPr>
            <w:tcW w:w="0" w:type="auto"/>
            <w:vAlign w:val="bottom"/>
            <w:hideMark/>
          </w:tcPr>
          <w:p w14:paraId="159F7E34"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2B94D4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D6B7EF" w14:textId="77777777" w:rsidR="00000000" w:rsidRDefault="00632532">
            <w:pPr>
              <w:pStyle w:val="a3"/>
              <w:spacing w:before="0" w:beforeAutospacing="0" w:after="0" w:afterAutospacing="0"/>
              <w:jc w:val="right"/>
              <w:rPr>
                <w:sz w:val="20"/>
                <w:szCs w:val="20"/>
              </w:rPr>
            </w:pPr>
            <w:r>
              <w:rPr>
                <w:sz w:val="20"/>
                <w:szCs w:val="20"/>
              </w:rPr>
              <w:t>93,09</w:t>
            </w:r>
            <w:r>
              <w:rPr>
                <w:sz w:val="20"/>
                <w:szCs w:val="20"/>
              </w:rPr>
              <w:t>2</w:t>
            </w:r>
          </w:p>
        </w:tc>
        <w:tc>
          <w:tcPr>
            <w:tcW w:w="0" w:type="auto"/>
            <w:noWrap/>
            <w:vAlign w:val="bottom"/>
            <w:hideMark/>
          </w:tcPr>
          <w:p w14:paraId="7D5B15D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60C7B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DDBB58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0D05017" w14:textId="77777777" w:rsidR="00000000" w:rsidRDefault="00632532">
            <w:pPr>
              <w:pStyle w:val="a3"/>
              <w:spacing w:before="0" w:beforeAutospacing="0" w:after="0" w:afterAutospacing="0"/>
              <w:jc w:val="right"/>
              <w:rPr>
                <w:sz w:val="20"/>
                <w:szCs w:val="20"/>
              </w:rPr>
            </w:pPr>
            <w:r>
              <w:rPr>
                <w:sz w:val="20"/>
                <w:szCs w:val="20"/>
              </w:rPr>
              <w:t>37,29</w:t>
            </w:r>
            <w:r>
              <w:rPr>
                <w:sz w:val="20"/>
                <w:szCs w:val="20"/>
              </w:rPr>
              <w:t>2</w:t>
            </w:r>
          </w:p>
        </w:tc>
        <w:tc>
          <w:tcPr>
            <w:tcW w:w="0" w:type="auto"/>
            <w:noWrap/>
            <w:vAlign w:val="bottom"/>
            <w:hideMark/>
          </w:tcPr>
          <w:p w14:paraId="629D5DD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25F8FE"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DCDF3B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0BFD09" w14:textId="77777777" w:rsidR="00000000" w:rsidRDefault="00632532">
            <w:pPr>
              <w:pStyle w:val="a3"/>
              <w:spacing w:before="0" w:beforeAutospacing="0" w:after="0" w:afterAutospacing="0"/>
              <w:jc w:val="right"/>
              <w:rPr>
                <w:sz w:val="20"/>
                <w:szCs w:val="20"/>
              </w:rPr>
            </w:pPr>
            <w:r>
              <w:rPr>
                <w:sz w:val="20"/>
                <w:szCs w:val="20"/>
              </w:rPr>
              <w:t>55,80</w:t>
            </w:r>
            <w:r>
              <w:rPr>
                <w:sz w:val="20"/>
                <w:szCs w:val="20"/>
              </w:rPr>
              <w:t>0</w:t>
            </w:r>
          </w:p>
        </w:tc>
        <w:tc>
          <w:tcPr>
            <w:tcW w:w="0" w:type="auto"/>
            <w:noWrap/>
            <w:vAlign w:val="bottom"/>
            <w:hideMark/>
          </w:tcPr>
          <w:p w14:paraId="53F733A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D84C73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9DC2C86" w14:textId="77777777" w:rsidR="00000000" w:rsidRDefault="00632532">
            <w:pPr>
              <w:pStyle w:val="a3"/>
              <w:spacing w:before="0" w:beforeAutospacing="0" w:after="0" w:afterAutospacing="0"/>
              <w:jc w:val="center"/>
              <w:rPr>
                <w:sz w:val="20"/>
                <w:szCs w:val="20"/>
              </w:rPr>
            </w:pPr>
            <w:r>
              <w:rPr>
                <w:sz w:val="20"/>
                <w:szCs w:val="20"/>
              </w:rPr>
              <w:t>  150</w:t>
            </w:r>
            <w:r>
              <w:rPr>
                <w:sz w:val="20"/>
                <w:szCs w:val="20"/>
              </w:rPr>
              <w:t>%</w:t>
            </w:r>
            <w:r>
              <w:rPr>
                <w:sz w:val="20"/>
                <w:szCs w:val="20"/>
              </w:rPr>
              <w:t xml:space="preserve"> </w:t>
            </w:r>
          </w:p>
        </w:tc>
      </w:tr>
      <w:tr w:rsidR="00000000" w14:paraId="0C1A61DB" w14:textId="77777777">
        <w:trPr>
          <w:trHeight w:val="200"/>
          <w:tblCellSpacing w:w="15" w:type="dxa"/>
        </w:trPr>
        <w:tc>
          <w:tcPr>
            <w:tcW w:w="0" w:type="auto"/>
            <w:hideMark/>
          </w:tcPr>
          <w:p w14:paraId="6C29AF92" w14:textId="77777777" w:rsidR="00000000" w:rsidRDefault="00632532">
            <w:pPr>
              <w:pStyle w:val="a3"/>
              <w:spacing w:before="0" w:beforeAutospacing="0" w:after="0" w:afterAutospacing="0"/>
              <w:rPr>
                <w:sz w:val="20"/>
                <w:szCs w:val="20"/>
              </w:rPr>
            </w:pPr>
            <w:r>
              <w:rPr>
                <w:sz w:val="20"/>
                <w:szCs w:val="20"/>
              </w:rPr>
              <w:t>Operating incom</w:t>
            </w:r>
            <w:r>
              <w:rPr>
                <w:sz w:val="20"/>
                <w:szCs w:val="20"/>
              </w:rPr>
              <w:t>e</w:t>
            </w:r>
          </w:p>
        </w:tc>
        <w:tc>
          <w:tcPr>
            <w:tcW w:w="0" w:type="auto"/>
            <w:noWrap/>
            <w:vAlign w:val="bottom"/>
            <w:hideMark/>
          </w:tcPr>
          <w:p w14:paraId="16415B4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580B69" w14:textId="77777777" w:rsidR="00000000" w:rsidRDefault="00632532">
            <w:pPr>
              <w:pStyle w:val="a3"/>
              <w:spacing w:before="0" w:beforeAutospacing="0" w:after="0" w:afterAutospacing="0"/>
              <w:jc w:val="right"/>
              <w:rPr>
                <w:sz w:val="20"/>
                <w:szCs w:val="20"/>
              </w:rPr>
            </w:pPr>
            <w:r>
              <w:rPr>
                <w:sz w:val="20"/>
                <w:szCs w:val="20"/>
              </w:rPr>
              <w:t>12,79</w:t>
            </w:r>
            <w:r>
              <w:rPr>
                <w:sz w:val="20"/>
                <w:szCs w:val="20"/>
              </w:rPr>
              <w:t>4</w:t>
            </w:r>
          </w:p>
        </w:tc>
        <w:tc>
          <w:tcPr>
            <w:tcW w:w="0" w:type="auto"/>
            <w:noWrap/>
            <w:vAlign w:val="bottom"/>
            <w:hideMark/>
          </w:tcPr>
          <w:p w14:paraId="20BA99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A7711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FA9A1D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9B2C14C" w14:textId="77777777" w:rsidR="00000000" w:rsidRDefault="00632532">
            <w:pPr>
              <w:pStyle w:val="a3"/>
              <w:spacing w:before="0" w:beforeAutospacing="0" w:after="0" w:afterAutospacing="0"/>
              <w:jc w:val="right"/>
              <w:rPr>
                <w:sz w:val="20"/>
                <w:szCs w:val="20"/>
              </w:rPr>
            </w:pPr>
            <w:r>
              <w:rPr>
                <w:sz w:val="20"/>
                <w:szCs w:val="20"/>
              </w:rPr>
              <w:t>98,89</w:t>
            </w:r>
            <w:r>
              <w:rPr>
                <w:sz w:val="20"/>
                <w:szCs w:val="20"/>
              </w:rPr>
              <w:t>8</w:t>
            </w:r>
          </w:p>
        </w:tc>
        <w:tc>
          <w:tcPr>
            <w:tcW w:w="0" w:type="auto"/>
            <w:noWrap/>
            <w:vAlign w:val="bottom"/>
            <w:hideMark/>
          </w:tcPr>
          <w:p w14:paraId="49AE54C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FF6494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666087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360086F" w14:textId="77777777" w:rsidR="00000000" w:rsidRDefault="00632532">
            <w:pPr>
              <w:pStyle w:val="a3"/>
              <w:spacing w:before="0" w:beforeAutospacing="0" w:after="0" w:afterAutospacing="0"/>
              <w:jc w:val="right"/>
              <w:rPr>
                <w:sz w:val="20"/>
                <w:szCs w:val="20"/>
              </w:rPr>
            </w:pPr>
            <w:r>
              <w:rPr>
                <w:sz w:val="20"/>
                <w:szCs w:val="20"/>
              </w:rPr>
              <w:t>(86,10</w:t>
            </w:r>
            <w:r>
              <w:rPr>
                <w:sz w:val="20"/>
                <w:szCs w:val="20"/>
              </w:rPr>
              <w:t>4</w:t>
            </w:r>
          </w:p>
        </w:tc>
        <w:tc>
          <w:tcPr>
            <w:tcW w:w="0" w:type="auto"/>
            <w:noWrap/>
            <w:vAlign w:val="bottom"/>
            <w:hideMark/>
          </w:tcPr>
          <w:p w14:paraId="46307B8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D0048A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F0219C" w14:textId="77777777" w:rsidR="00000000" w:rsidRDefault="00632532">
            <w:pPr>
              <w:pStyle w:val="a3"/>
              <w:spacing w:before="0" w:beforeAutospacing="0" w:after="0" w:afterAutospacing="0"/>
              <w:jc w:val="center"/>
              <w:rPr>
                <w:sz w:val="20"/>
                <w:szCs w:val="20"/>
              </w:rPr>
            </w:pPr>
            <w:r>
              <w:rPr>
                <w:sz w:val="20"/>
                <w:szCs w:val="20"/>
              </w:rPr>
              <w:t>  (87%</w:t>
            </w:r>
            <w:r>
              <w:rPr>
                <w:sz w:val="20"/>
                <w:szCs w:val="20"/>
              </w:rPr>
              <w:t>)</w:t>
            </w:r>
          </w:p>
        </w:tc>
        <w:tc>
          <w:tcPr>
            <w:tcW w:w="0" w:type="auto"/>
            <w:vAlign w:val="bottom"/>
            <w:hideMark/>
          </w:tcPr>
          <w:p w14:paraId="7D462992"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7B5C65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385EA10" w14:textId="77777777" w:rsidR="00000000" w:rsidRDefault="00632532">
            <w:pPr>
              <w:pStyle w:val="a3"/>
              <w:spacing w:before="0" w:beforeAutospacing="0" w:after="0" w:afterAutospacing="0"/>
              <w:jc w:val="right"/>
              <w:rPr>
                <w:sz w:val="20"/>
                <w:szCs w:val="20"/>
              </w:rPr>
            </w:pPr>
            <w:r>
              <w:rPr>
                <w:sz w:val="20"/>
                <w:szCs w:val="20"/>
              </w:rPr>
              <w:t>214,72</w:t>
            </w:r>
            <w:r>
              <w:rPr>
                <w:sz w:val="20"/>
                <w:szCs w:val="20"/>
              </w:rPr>
              <w:t>7</w:t>
            </w:r>
          </w:p>
        </w:tc>
        <w:tc>
          <w:tcPr>
            <w:tcW w:w="0" w:type="auto"/>
            <w:noWrap/>
            <w:vAlign w:val="bottom"/>
            <w:hideMark/>
          </w:tcPr>
          <w:p w14:paraId="2371637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000DB0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BDEF0A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C4474F" w14:textId="77777777" w:rsidR="00000000" w:rsidRDefault="00632532">
            <w:pPr>
              <w:pStyle w:val="a3"/>
              <w:spacing w:before="0" w:beforeAutospacing="0" w:after="0" w:afterAutospacing="0"/>
              <w:jc w:val="right"/>
              <w:rPr>
                <w:sz w:val="20"/>
                <w:szCs w:val="20"/>
              </w:rPr>
            </w:pPr>
            <w:r>
              <w:rPr>
                <w:sz w:val="20"/>
                <w:szCs w:val="20"/>
              </w:rPr>
              <w:t>365,82</w:t>
            </w:r>
            <w:r>
              <w:rPr>
                <w:sz w:val="20"/>
                <w:szCs w:val="20"/>
              </w:rPr>
              <w:t>0</w:t>
            </w:r>
          </w:p>
        </w:tc>
        <w:tc>
          <w:tcPr>
            <w:tcW w:w="0" w:type="auto"/>
            <w:noWrap/>
            <w:vAlign w:val="bottom"/>
            <w:hideMark/>
          </w:tcPr>
          <w:p w14:paraId="7EF0847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C163F6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C8BA74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49D9D60" w14:textId="77777777" w:rsidR="00000000" w:rsidRDefault="00632532">
            <w:pPr>
              <w:pStyle w:val="a3"/>
              <w:spacing w:before="0" w:beforeAutospacing="0" w:after="0" w:afterAutospacing="0"/>
              <w:jc w:val="right"/>
              <w:rPr>
                <w:sz w:val="20"/>
                <w:szCs w:val="20"/>
              </w:rPr>
            </w:pPr>
            <w:r>
              <w:rPr>
                <w:sz w:val="20"/>
                <w:szCs w:val="20"/>
              </w:rPr>
              <w:t>(151,09</w:t>
            </w:r>
            <w:r>
              <w:rPr>
                <w:sz w:val="20"/>
                <w:szCs w:val="20"/>
              </w:rPr>
              <w:t>3</w:t>
            </w:r>
          </w:p>
        </w:tc>
        <w:tc>
          <w:tcPr>
            <w:tcW w:w="0" w:type="auto"/>
            <w:noWrap/>
            <w:vAlign w:val="bottom"/>
            <w:hideMark/>
          </w:tcPr>
          <w:p w14:paraId="2DAB170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79F7FB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CF3B2AC" w14:textId="77777777" w:rsidR="00000000" w:rsidRDefault="00632532">
            <w:pPr>
              <w:pStyle w:val="a3"/>
              <w:spacing w:before="0" w:beforeAutospacing="0" w:after="0" w:afterAutospacing="0"/>
              <w:jc w:val="center"/>
              <w:rPr>
                <w:sz w:val="20"/>
                <w:szCs w:val="20"/>
              </w:rPr>
            </w:pPr>
            <w:r>
              <w:rPr>
                <w:sz w:val="20"/>
                <w:szCs w:val="20"/>
              </w:rPr>
              <w:t>  (41%</w:t>
            </w:r>
            <w:r>
              <w:rPr>
                <w:sz w:val="20"/>
                <w:szCs w:val="20"/>
              </w:rPr>
              <w:t>)</w:t>
            </w:r>
          </w:p>
        </w:tc>
      </w:tr>
      <w:tr w:rsidR="00000000" w14:paraId="2EDAD1A1" w14:textId="77777777">
        <w:trPr>
          <w:trHeight w:val="200"/>
          <w:tblCellSpacing w:w="15" w:type="dxa"/>
        </w:trPr>
        <w:tc>
          <w:tcPr>
            <w:tcW w:w="0" w:type="auto"/>
            <w:hideMark/>
          </w:tcPr>
          <w:p w14:paraId="6B28BB37" w14:textId="77777777" w:rsidR="00000000" w:rsidRDefault="00632532">
            <w:pPr>
              <w:pStyle w:val="a3"/>
              <w:spacing w:before="0" w:beforeAutospacing="0" w:after="0" w:afterAutospacing="0"/>
              <w:rPr>
                <w:sz w:val="20"/>
                <w:szCs w:val="20"/>
              </w:rPr>
            </w:pPr>
            <w:r>
              <w:rPr>
                <w:sz w:val="20"/>
                <w:szCs w:val="20"/>
              </w:rPr>
              <w:t>Interest and other income, ne</w:t>
            </w:r>
            <w:r>
              <w:rPr>
                <w:sz w:val="20"/>
                <w:szCs w:val="20"/>
              </w:rPr>
              <w:t>t</w:t>
            </w:r>
          </w:p>
        </w:tc>
        <w:tc>
          <w:tcPr>
            <w:tcW w:w="0" w:type="auto"/>
            <w:noWrap/>
            <w:vAlign w:val="bottom"/>
            <w:hideMark/>
          </w:tcPr>
          <w:p w14:paraId="14A310B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EC4E6F7" w14:textId="77777777" w:rsidR="00000000" w:rsidRDefault="00632532">
            <w:pPr>
              <w:pStyle w:val="a3"/>
              <w:spacing w:before="0" w:beforeAutospacing="0" w:after="0" w:afterAutospacing="0"/>
              <w:jc w:val="right"/>
              <w:rPr>
                <w:sz w:val="20"/>
                <w:szCs w:val="20"/>
              </w:rPr>
            </w:pPr>
            <w:r>
              <w:rPr>
                <w:sz w:val="20"/>
                <w:szCs w:val="20"/>
              </w:rPr>
              <w:t>95</w:t>
            </w:r>
            <w:r>
              <w:rPr>
                <w:sz w:val="20"/>
                <w:szCs w:val="20"/>
              </w:rPr>
              <w:t>8</w:t>
            </w:r>
          </w:p>
        </w:tc>
        <w:tc>
          <w:tcPr>
            <w:tcW w:w="0" w:type="auto"/>
            <w:noWrap/>
            <w:vAlign w:val="bottom"/>
            <w:hideMark/>
          </w:tcPr>
          <w:p w14:paraId="72DD6B3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66325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2A6BB2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165B450" w14:textId="77777777" w:rsidR="00000000" w:rsidRDefault="00632532">
            <w:pPr>
              <w:pStyle w:val="a3"/>
              <w:spacing w:before="0" w:beforeAutospacing="0" w:after="0" w:afterAutospacing="0"/>
              <w:jc w:val="right"/>
              <w:rPr>
                <w:sz w:val="20"/>
                <w:szCs w:val="20"/>
              </w:rPr>
            </w:pPr>
            <w:r>
              <w:rPr>
                <w:sz w:val="20"/>
                <w:szCs w:val="20"/>
              </w:rPr>
              <w:t>60</w:t>
            </w:r>
            <w:r>
              <w:rPr>
                <w:sz w:val="20"/>
                <w:szCs w:val="20"/>
              </w:rPr>
              <w:t>4</w:t>
            </w:r>
          </w:p>
        </w:tc>
        <w:tc>
          <w:tcPr>
            <w:tcW w:w="0" w:type="auto"/>
            <w:noWrap/>
            <w:vAlign w:val="bottom"/>
            <w:hideMark/>
          </w:tcPr>
          <w:p w14:paraId="35C313F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E0C4D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4EC4B9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81BBCE4" w14:textId="77777777" w:rsidR="00000000" w:rsidRDefault="00632532">
            <w:pPr>
              <w:pStyle w:val="a3"/>
              <w:spacing w:before="0" w:beforeAutospacing="0" w:after="0" w:afterAutospacing="0"/>
              <w:jc w:val="right"/>
              <w:rPr>
                <w:sz w:val="20"/>
                <w:szCs w:val="20"/>
              </w:rPr>
            </w:pPr>
            <w:r>
              <w:rPr>
                <w:sz w:val="20"/>
                <w:szCs w:val="20"/>
              </w:rPr>
              <w:t>35</w:t>
            </w:r>
            <w:r>
              <w:rPr>
                <w:sz w:val="20"/>
                <w:szCs w:val="20"/>
              </w:rPr>
              <w:t>4</w:t>
            </w:r>
          </w:p>
        </w:tc>
        <w:tc>
          <w:tcPr>
            <w:tcW w:w="0" w:type="auto"/>
            <w:noWrap/>
            <w:vAlign w:val="bottom"/>
            <w:hideMark/>
          </w:tcPr>
          <w:p w14:paraId="7B2A27A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B41288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DBCE005" w14:textId="77777777" w:rsidR="00000000" w:rsidRDefault="00632532">
            <w:pPr>
              <w:pStyle w:val="a3"/>
              <w:spacing w:before="0" w:beforeAutospacing="0" w:after="0" w:afterAutospacing="0"/>
              <w:jc w:val="center"/>
              <w:rPr>
                <w:sz w:val="20"/>
                <w:szCs w:val="20"/>
              </w:rPr>
            </w:pPr>
            <w:r>
              <w:rPr>
                <w:sz w:val="20"/>
                <w:szCs w:val="20"/>
              </w:rPr>
              <w:t>  59</w:t>
            </w:r>
            <w:r>
              <w:rPr>
                <w:sz w:val="20"/>
                <w:szCs w:val="20"/>
              </w:rPr>
              <w:t>%</w:t>
            </w:r>
            <w:r>
              <w:rPr>
                <w:sz w:val="20"/>
                <w:szCs w:val="20"/>
              </w:rPr>
              <w:t xml:space="preserve"> </w:t>
            </w:r>
          </w:p>
        </w:tc>
        <w:tc>
          <w:tcPr>
            <w:tcW w:w="0" w:type="auto"/>
            <w:vAlign w:val="bottom"/>
            <w:hideMark/>
          </w:tcPr>
          <w:p w14:paraId="41EAE7E6"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BCF325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CB91B2" w14:textId="77777777" w:rsidR="00000000" w:rsidRDefault="00632532">
            <w:pPr>
              <w:pStyle w:val="a3"/>
              <w:spacing w:before="0" w:beforeAutospacing="0" w:after="0" w:afterAutospacing="0"/>
              <w:jc w:val="right"/>
              <w:rPr>
                <w:sz w:val="20"/>
                <w:szCs w:val="20"/>
              </w:rPr>
            </w:pPr>
            <w:r>
              <w:rPr>
                <w:sz w:val="20"/>
                <w:szCs w:val="20"/>
              </w:rPr>
              <w:t>1,00</w:t>
            </w:r>
            <w:r>
              <w:rPr>
                <w:sz w:val="20"/>
                <w:szCs w:val="20"/>
              </w:rPr>
              <w:t>3</w:t>
            </w:r>
          </w:p>
        </w:tc>
        <w:tc>
          <w:tcPr>
            <w:tcW w:w="0" w:type="auto"/>
            <w:noWrap/>
            <w:vAlign w:val="bottom"/>
            <w:hideMark/>
          </w:tcPr>
          <w:p w14:paraId="4AA11BD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B5566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4C084B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B0050C" w14:textId="77777777" w:rsidR="00000000" w:rsidRDefault="00632532">
            <w:pPr>
              <w:pStyle w:val="a3"/>
              <w:spacing w:before="0" w:beforeAutospacing="0" w:after="0" w:afterAutospacing="0"/>
              <w:jc w:val="right"/>
              <w:rPr>
                <w:sz w:val="20"/>
                <w:szCs w:val="20"/>
              </w:rPr>
            </w:pPr>
            <w:r>
              <w:rPr>
                <w:sz w:val="20"/>
                <w:szCs w:val="20"/>
              </w:rPr>
              <w:t>88</w:t>
            </w:r>
            <w:r>
              <w:rPr>
                <w:sz w:val="20"/>
                <w:szCs w:val="20"/>
              </w:rPr>
              <w:t>6</w:t>
            </w:r>
          </w:p>
        </w:tc>
        <w:tc>
          <w:tcPr>
            <w:tcW w:w="0" w:type="auto"/>
            <w:noWrap/>
            <w:vAlign w:val="bottom"/>
            <w:hideMark/>
          </w:tcPr>
          <w:p w14:paraId="03BE696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ADEC8F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FD1AF0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A34C249" w14:textId="77777777" w:rsidR="00000000" w:rsidRDefault="00632532">
            <w:pPr>
              <w:pStyle w:val="a3"/>
              <w:spacing w:before="0" w:beforeAutospacing="0" w:after="0" w:afterAutospacing="0"/>
              <w:jc w:val="right"/>
              <w:rPr>
                <w:sz w:val="20"/>
                <w:szCs w:val="20"/>
              </w:rPr>
            </w:pPr>
            <w:r>
              <w:rPr>
                <w:sz w:val="20"/>
                <w:szCs w:val="20"/>
              </w:rPr>
              <w:t>11</w:t>
            </w:r>
            <w:r>
              <w:rPr>
                <w:sz w:val="20"/>
                <w:szCs w:val="20"/>
              </w:rPr>
              <w:t>7</w:t>
            </w:r>
          </w:p>
        </w:tc>
        <w:tc>
          <w:tcPr>
            <w:tcW w:w="0" w:type="auto"/>
            <w:noWrap/>
            <w:vAlign w:val="bottom"/>
            <w:hideMark/>
          </w:tcPr>
          <w:p w14:paraId="550E587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263AC8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DDDFAD" w14:textId="77777777" w:rsidR="00000000" w:rsidRDefault="00632532">
            <w:pPr>
              <w:pStyle w:val="a3"/>
              <w:spacing w:before="0" w:beforeAutospacing="0" w:after="0" w:afterAutospacing="0"/>
              <w:jc w:val="center"/>
              <w:rPr>
                <w:sz w:val="20"/>
                <w:szCs w:val="20"/>
              </w:rPr>
            </w:pPr>
            <w:r>
              <w:rPr>
                <w:sz w:val="20"/>
                <w:szCs w:val="20"/>
              </w:rPr>
              <w:t>  13</w:t>
            </w:r>
            <w:r>
              <w:rPr>
                <w:sz w:val="20"/>
                <w:szCs w:val="20"/>
              </w:rPr>
              <w:t>%</w:t>
            </w:r>
            <w:r>
              <w:rPr>
                <w:sz w:val="20"/>
                <w:szCs w:val="20"/>
              </w:rPr>
              <w:t xml:space="preserve"> </w:t>
            </w:r>
          </w:p>
        </w:tc>
      </w:tr>
      <w:tr w:rsidR="00000000" w14:paraId="3ACB0AEE" w14:textId="77777777">
        <w:trPr>
          <w:trHeight w:val="200"/>
          <w:tblCellSpacing w:w="15" w:type="dxa"/>
        </w:trPr>
        <w:tc>
          <w:tcPr>
            <w:tcW w:w="0" w:type="auto"/>
            <w:hideMark/>
          </w:tcPr>
          <w:p w14:paraId="1BA8E8E7" w14:textId="77777777" w:rsidR="00000000" w:rsidRDefault="00632532">
            <w:pPr>
              <w:pStyle w:val="a3"/>
              <w:spacing w:before="0" w:beforeAutospacing="0" w:after="0" w:afterAutospacing="0"/>
              <w:rPr>
                <w:sz w:val="20"/>
                <w:szCs w:val="20"/>
              </w:rPr>
            </w:pPr>
            <w:r>
              <w:rPr>
                <w:sz w:val="20"/>
                <w:szCs w:val="20"/>
              </w:rPr>
              <w:t>Income before income taxes and gain on equity method investmen</w:t>
            </w:r>
            <w:r>
              <w:rPr>
                <w:sz w:val="20"/>
                <w:szCs w:val="20"/>
              </w:rPr>
              <w:t>t</w:t>
            </w:r>
          </w:p>
        </w:tc>
        <w:tc>
          <w:tcPr>
            <w:tcW w:w="0" w:type="auto"/>
            <w:noWrap/>
            <w:vAlign w:val="bottom"/>
            <w:hideMark/>
          </w:tcPr>
          <w:p w14:paraId="39FBB07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7ADE189" w14:textId="77777777" w:rsidR="00000000" w:rsidRDefault="00632532">
            <w:pPr>
              <w:pStyle w:val="a3"/>
              <w:spacing w:before="0" w:beforeAutospacing="0" w:after="0" w:afterAutospacing="0"/>
              <w:jc w:val="right"/>
              <w:rPr>
                <w:sz w:val="20"/>
                <w:szCs w:val="20"/>
              </w:rPr>
            </w:pPr>
            <w:r>
              <w:rPr>
                <w:sz w:val="20"/>
                <w:szCs w:val="20"/>
              </w:rPr>
              <w:t>13,75</w:t>
            </w:r>
            <w:r>
              <w:rPr>
                <w:sz w:val="20"/>
                <w:szCs w:val="20"/>
              </w:rPr>
              <w:t>2</w:t>
            </w:r>
          </w:p>
        </w:tc>
        <w:tc>
          <w:tcPr>
            <w:tcW w:w="0" w:type="auto"/>
            <w:noWrap/>
            <w:vAlign w:val="bottom"/>
            <w:hideMark/>
          </w:tcPr>
          <w:p w14:paraId="34B1F48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9FDA107"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2174AC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29DA2B1" w14:textId="77777777" w:rsidR="00000000" w:rsidRDefault="00632532">
            <w:pPr>
              <w:pStyle w:val="a3"/>
              <w:spacing w:before="0" w:beforeAutospacing="0" w:after="0" w:afterAutospacing="0"/>
              <w:jc w:val="right"/>
              <w:rPr>
                <w:sz w:val="20"/>
                <w:szCs w:val="20"/>
              </w:rPr>
            </w:pPr>
            <w:r>
              <w:rPr>
                <w:sz w:val="20"/>
                <w:szCs w:val="20"/>
              </w:rPr>
              <w:t>99,50</w:t>
            </w:r>
            <w:r>
              <w:rPr>
                <w:sz w:val="20"/>
                <w:szCs w:val="20"/>
              </w:rPr>
              <w:t>2</w:t>
            </w:r>
          </w:p>
        </w:tc>
        <w:tc>
          <w:tcPr>
            <w:tcW w:w="0" w:type="auto"/>
            <w:noWrap/>
            <w:vAlign w:val="bottom"/>
            <w:hideMark/>
          </w:tcPr>
          <w:p w14:paraId="047742B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E461102"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10766F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063200" w14:textId="77777777" w:rsidR="00000000" w:rsidRDefault="00632532">
            <w:pPr>
              <w:pStyle w:val="a3"/>
              <w:spacing w:before="0" w:beforeAutospacing="0" w:after="0" w:afterAutospacing="0"/>
              <w:jc w:val="right"/>
              <w:rPr>
                <w:sz w:val="20"/>
                <w:szCs w:val="20"/>
              </w:rPr>
            </w:pPr>
            <w:r>
              <w:rPr>
                <w:sz w:val="20"/>
                <w:szCs w:val="20"/>
              </w:rPr>
              <w:t>(85,75</w:t>
            </w:r>
            <w:r>
              <w:rPr>
                <w:sz w:val="20"/>
                <w:szCs w:val="20"/>
              </w:rPr>
              <w:t>0</w:t>
            </w:r>
          </w:p>
        </w:tc>
        <w:tc>
          <w:tcPr>
            <w:tcW w:w="0" w:type="auto"/>
            <w:noWrap/>
            <w:vAlign w:val="bottom"/>
            <w:hideMark/>
          </w:tcPr>
          <w:p w14:paraId="5CB9182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3E01DB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7E1640E" w14:textId="77777777" w:rsidR="00000000" w:rsidRDefault="00632532">
            <w:pPr>
              <w:pStyle w:val="a3"/>
              <w:spacing w:before="0" w:beforeAutospacing="0" w:after="0" w:afterAutospacing="0"/>
              <w:jc w:val="center"/>
              <w:rPr>
                <w:sz w:val="20"/>
                <w:szCs w:val="20"/>
              </w:rPr>
            </w:pPr>
            <w:r>
              <w:rPr>
                <w:sz w:val="20"/>
                <w:szCs w:val="20"/>
              </w:rPr>
              <w:t>  (86%</w:t>
            </w:r>
            <w:r>
              <w:rPr>
                <w:sz w:val="20"/>
                <w:szCs w:val="20"/>
              </w:rPr>
              <w:t>)</w:t>
            </w:r>
          </w:p>
        </w:tc>
        <w:tc>
          <w:tcPr>
            <w:tcW w:w="0" w:type="auto"/>
            <w:vAlign w:val="bottom"/>
            <w:hideMark/>
          </w:tcPr>
          <w:p w14:paraId="6CC82DBF"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68FEF3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D93AD7" w14:textId="77777777" w:rsidR="00000000" w:rsidRDefault="00632532">
            <w:pPr>
              <w:pStyle w:val="a3"/>
              <w:spacing w:before="0" w:beforeAutospacing="0" w:after="0" w:afterAutospacing="0"/>
              <w:jc w:val="right"/>
              <w:rPr>
                <w:sz w:val="20"/>
                <w:szCs w:val="20"/>
              </w:rPr>
            </w:pPr>
            <w:r>
              <w:rPr>
                <w:sz w:val="20"/>
                <w:szCs w:val="20"/>
              </w:rPr>
              <w:t>215,73</w:t>
            </w:r>
            <w:r>
              <w:rPr>
                <w:sz w:val="20"/>
                <w:szCs w:val="20"/>
              </w:rPr>
              <w:t>0</w:t>
            </w:r>
          </w:p>
        </w:tc>
        <w:tc>
          <w:tcPr>
            <w:tcW w:w="0" w:type="auto"/>
            <w:noWrap/>
            <w:vAlign w:val="bottom"/>
            <w:hideMark/>
          </w:tcPr>
          <w:p w14:paraId="2AB341D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F1B92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9583A0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8B5D404" w14:textId="77777777" w:rsidR="00000000" w:rsidRDefault="00632532">
            <w:pPr>
              <w:pStyle w:val="a3"/>
              <w:spacing w:before="0" w:beforeAutospacing="0" w:after="0" w:afterAutospacing="0"/>
              <w:jc w:val="right"/>
              <w:rPr>
                <w:sz w:val="20"/>
                <w:szCs w:val="20"/>
              </w:rPr>
            </w:pPr>
            <w:r>
              <w:rPr>
                <w:sz w:val="20"/>
                <w:szCs w:val="20"/>
              </w:rPr>
              <w:t>366,70</w:t>
            </w:r>
            <w:r>
              <w:rPr>
                <w:sz w:val="20"/>
                <w:szCs w:val="20"/>
              </w:rPr>
              <w:t>6</w:t>
            </w:r>
          </w:p>
        </w:tc>
        <w:tc>
          <w:tcPr>
            <w:tcW w:w="0" w:type="auto"/>
            <w:noWrap/>
            <w:vAlign w:val="bottom"/>
            <w:hideMark/>
          </w:tcPr>
          <w:p w14:paraId="129351E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8B9EA7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F642E5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51D2E2" w14:textId="77777777" w:rsidR="00000000" w:rsidRDefault="00632532">
            <w:pPr>
              <w:pStyle w:val="a3"/>
              <w:spacing w:before="0" w:beforeAutospacing="0" w:after="0" w:afterAutospacing="0"/>
              <w:jc w:val="right"/>
              <w:rPr>
                <w:sz w:val="20"/>
                <w:szCs w:val="20"/>
              </w:rPr>
            </w:pPr>
            <w:r>
              <w:rPr>
                <w:sz w:val="20"/>
                <w:szCs w:val="20"/>
              </w:rPr>
              <w:t>(150,97</w:t>
            </w:r>
            <w:r>
              <w:rPr>
                <w:sz w:val="20"/>
                <w:szCs w:val="20"/>
              </w:rPr>
              <w:t>6</w:t>
            </w:r>
          </w:p>
        </w:tc>
        <w:tc>
          <w:tcPr>
            <w:tcW w:w="0" w:type="auto"/>
            <w:noWrap/>
            <w:vAlign w:val="bottom"/>
            <w:hideMark/>
          </w:tcPr>
          <w:p w14:paraId="4B1412C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C220F1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AB117F" w14:textId="77777777" w:rsidR="00000000" w:rsidRDefault="00632532">
            <w:pPr>
              <w:pStyle w:val="a3"/>
              <w:spacing w:before="0" w:beforeAutospacing="0" w:after="0" w:afterAutospacing="0"/>
              <w:jc w:val="center"/>
              <w:rPr>
                <w:sz w:val="20"/>
                <w:szCs w:val="20"/>
              </w:rPr>
            </w:pPr>
            <w:r>
              <w:rPr>
                <w:sz w:val="20"/>
                <w:szCs w:val="20"/>
              </w:rPr>
              <w:t>  (41%</w:t>
            </w:r>
            <w:r>
              <w:rPr>
                <w:sz w:val="20"/>
                <w:szCs w:val="20"/>
              </w:rPr>
              <w:t>)</w:t>
            </w:r>
          </w:p>
        </w:tc>
      </w:tr>
      <w:tr w:rsidR="00000000" w14:paraId="487B2C8E" w14:textId="77777777">
        <w:trPr>
          <w:trHeight w:val="200"/>
          <w:tblCellSpacing w:w="15" w:type="dxa"/>
        </w:trPr>
        <w:tc>
          <w:tcPr>
            <w:tcW w:w="0" w:type="auto"/>
            <w:hideMark/>
          </w:tcPr>
          <w:p w14:paraId="1A6F257A" w14:textId="77777777" w:rsidR="00000000" w:rsidRDefault="00632532">
            <w:pPr>
              <w:pStyle w:val="a3"/>
              <w:spacing w:before="0" w:beforeAutospacing="0" w:after="0" w:afterAutospacing="0"/>
              <w:rPr>
                <w:sz w:val="20"/>
                <w:szCs w:val="20"/>
              </w:rPr>
            </w:pPr>
            <w:r>
              <w:rPr>
                <w:sz w:val="20"/>
                <w:szCs w:val="20"/>
              </w:rPr>
              <w:t>Provision for income taxe</w:t>
            </w:r>
            <w:r>
              <w:rPr>
                <w:sz w:val="20"/>
                <w:szCs w:val="20"/>
              </w:rPr>
              <w:t>s</w:t>
            </w:r>
          </w:p>
        </w:tc>
        <w:tc>
          <w:tcPr>
            <w:tcW w:w="0" w:type="auto"/>
            <w:noWrap/>
            <w:vAlign w:val="bottom"/>
            <w:hideMark/>
          </w:tcPr>
          <w:p w14:paraId="34FD8B1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DCCEB88" w14:textId="77777777" w:rsidR="00000000" w:rsidRDefault="00632532">
            <w:pPr>
              <w:pStyle w:val="a3"/>
              <w:spacing w:before="0" w:beforeAutospacing="0" w:after="0" w:afterAutospacing="0"/>
              <w:jc w:val="right"/>
              <w:rPr>
                <w:sz w:val="20"/>
                <w:szCs w:val="20"/>
              </w:rPr>
            </w:pPr>
            <w:r>
              <w:rPr>
                <w:sz w:val="20"/>
                <w:szCs w:val="20"/>
              </w:rPr>
              <w:t>2,65</w:t>
            </w:r>
            <w:r>
              <w:rPr>
                <w:sz w:val="20"/>
                <w:szCs w:val="20"/>
              </w:rPr>
              <w:t>3</w:t>
            </w:r>
          </w:p>
        </w:tc>
        <w:tc>
          <w:tcPr>
            <w:tcW w:w="0" w:type="auto"/>
            <w:noWrap/>
            <w:vAlign w:val="bottom"/>
            <w:hideMark/>
          </w:tcPr>
          <w:p w14:paraId="3974B0E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CB24D94"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F56F63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2F7DF4" w14:textId="77777777" w:rsidR="00000000" w:rsidRDefault="00632532">
            <w:pPr>
              <w:pStyle w:val="a3"/>
              <w:spacing w:before="0" w:beforeAutospacing="0" w:after="0" w:afterAutospacing="0"/>
              <w:jc w:val="right"/>
              <w:rPr>
                <w:sz w:val="20"/>
                <w:szCs w:val="20"/>
              </w:rPr>
            </w:pPr>
            <w:r>
              <w:rPr>
                <w:sz w:val="20"/>
                <w:szCs w:val="20"/>
              </w:rPr>
              <w:t>23,58</w:t>
            </w:r>
            <w:r>
              <w:rPr>
                <w:sz w:val="20"/>
                <w:szCs w:val="20"/>
              </w:rPr>
              <w:t>9</w:t>
            </w:r>
          </w:p>
        </w:tc>
        <w:tc>
          <w:tcPr>
            <w:tcW w:w="0" w:type="auto"/>
            <w:noWrap/>
            <w:vAlign w:val="bottom"/>
            <w:hideMark/>
          </w:tcPr>
          <w:p w14:paraId="16FFF6D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ADAA6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56E83B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BBFBEC0" w14:textId="77777777" w:rsidR="00000000" w:rsidRDefault="00632532">
            <w:pPr>
              <w:pStyle w:val="a3"/>
              <w:spacing w:before="0" w:beforeAutospacing="0" w:after="0" w:afterAutospacing="0"/>
              <w:jc w:val="right"/>
              <w:rPr>
                <w:sz w:val="20"/>
                <w:szCs w:val="20"/>
              </w:rPr>
            </w:pPr>
            <w:r>
              <w:rPr>
                <w:sz w:val="20"/>
                <w:szCs w:val="20"/>
              </w:rPr>
              <w:t>(20,93</w:t>
            </w:r>
            <w:r>
              <w:rPr>
                <w:sz w:val="20"/>
                <w:szCs w:val="20"/>
              </w:rPr>
              <w:t>6</w:t>
            </w:r>
          </w:p>
        </w:tc>
        <w:tc>
          <w:tcPr>
            <w:tcW w:w="0" w:type="auto"/>
            <w:noWrap/>
            <w:vAlign w:val="bottom"/>
            <w:hideMark/>
          </w:tcPr>
          <w:p w14:paraId="4605993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FD418D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6CACB79" w14:textId="77777777" w:rsidR="00000000" w:rsidRDefault="00632532">
            <w:pPr>
              <w:pStyle w:val="a3"/>
              <w:spacing w:before="0" w:beforeAutospacing="0" w:after="0" w:afterAutospacing="0"/>
              <w:jc w:val="center"/>
              <w:rPr>
                <w:sz w:val="20"/>
                <w:szCs w:val="20"/>
              </w:rPr>
            </w:pPr>
            <w:r>
              <w:rPr>
                <w:sz w:val="20"/>
                <w:szCs w:val="20"/>
              </w:rPr>
              <w:t>  (89%</w:t>
            </w:r>
            <w:r>
              <w:rPr>
                <w:sz w:val="20"/>
                <w:szCs w:val="20"/>
              </w:rPr>
              <w:t>)</w:t>
            </w:r>
          </w:p>
        </w:tc>
        <w:tc>
          <w:tcPr>
            <w:tcW w:w="0" w:type="auto"/>
            <w:vAlign w:val="bottom"/>
            <w:hideMark/>
          </w:tcPr>
          <w:p w14:paraId="0CECBE1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145701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FEA063D" w14:textId="77777777" w:rsidR="00000000" w:rsidRDefault="00632532">
            <w:pPr>
              <w:pStyle w:val="a3"/>
              <w:spacing w:before="0" w:beforeAutospacing="0" w:after="0" w:afterAutospacing="0"/>
              <w:jc w:val="right"/>
              <w:rPr>
                <w:sz w:val="20"/>
                <w:szCs w:val="20"/>
              </w:rPr>
            </w:pPr>
            <w:r>
              <w:rPr>
                <w:sz w:val="20"/>
                <w:szCs w:val="20"/>
              </w:rPr>
              <w:t>51,07</w:t>
            </w:r>
            <w:r>
              <w:rPr>
                <w:sz w:val="20"/>
                <w:szCs w:val="20"/>
              </w:rPr>
              <w:t>4</w:t>
            </w:r>
          </w:p>
        </w:tc>
        <w:tc>
          <w:tcPr>
            <w:tcW w:w="0" w:type="auto"/>
            <w:noWrap/>
            <w:vAlign w:val="bottom"/>
            <w:hideMark/>
          </w:tcPr>
          <w:p w14:paraId="1FFE0A9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FE8C75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0349DA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905D3F" w14:textId="77777777" w:rsidR="00000000" w:rsidRDefault="00632532">
            <w:pPr>
              <w:pStyle w:val="a3"/>
              <w:spacing w:before="0" w:beforeAutospacing="0" w:after="0" w:afterAutospacing="0"/>
              <w:jc w:val="right"/>
              <w:rPr>
                <w:sz w:val="20"/>
                <w:szCs w:val="20"/>
              </w:rPr>
            </w:pPr>
            <w:r>
              <w:rPr>
                <w:sz w:val="20"/>
                <w:szCs w:val="20"/>
              </w:rPr>
              <w:t>90,10</w:t>
            </w:r>
            <w:r>
              <w:rPr>
                <w:sz w:val="20"/>
                <w:szCs w:val="20"/>
              </w:rPr>
              <w:t>2</w:t>
            </w:r>
          </w:p>
        </w:tc>
        <w:tc>
          <w:tcPr>
            <w:tcW w:w="0" w:type="auto"/>
            <w:noWrap/>
            <w:vAlign w:val="bottom"/>
            <w:hideMark/>
          </w:tcPr>
          <w:p w14:paraId="7655E3F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188A9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08ADFA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B23CF1" w14:textId="77777777" w:rsidR="00000000" w:rsidRDefault="00632532">
            <w:pPr>
              <w:pStyle w:val="a3"/>
              <w:spacing w:before="0" w:beforeAutospacing="0" w:after="0" w:afterAutospacing="0"/>
              <w:jc w:val="right"/>
              <w:rPr>
                <w:sz w:val="20"/>
                <w:szCs w:val="20"/>
              </w:rPr>
            </w:pPr>
            <w:r>
              <w:rPr>
                <w:sz w:val="20"/>
                <w:szCs w:val="20"/>
              </w:rPr>
              <w:t>(39,02</w:t>
            </w:r>
            <w:r>
              <w:rPr>
                <w:sz w:val="20"/>
                <w:szCs w:val="20"/>
              </w:rPr>
              <w:t>8</w:t>
            </w:r>
          </w:p>
        </w:tc>
        <w:tc>
          <w:tcPr>
            <w:tcW w:w="0" w:type="auto"/>
            <w:noWrap/>
            <w:vAlign w:val="bottom"/>
            <w:hideMark/>
          </w:tcPr>
          <w:p w14:paraId="12D8C36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0CCA50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5E2CA63" w14:textId="77777777" w:rsidR="00000000" w:rsidRDefault="00632532">
            <w:pPr>
              <w:pStyle w:val="a3"/>
              <w:spacing w:before="0" w:beforeAutospacing="0" w:after="0" w:afterAutospacing="0"/>
              <w:jc w:val="center"/>
              <w:rPr>
                <w:sz w:val="20"/>
                <w:szCs w:val="20"/>
              </w:rPr>
            </w:pPr>
            <w:r>
              <w:rPr>
                <w:sz w:val="20"/>
                <w:szCs w:val="20"/>
              </w:rPr>
              <w:t>  (43%</w:t>
            </w:r>
            <w:r>
              <w:rPr>
                <w:sz w:val="20"/>
                <w:szCs w:val="20"/>
              </w:rPr>
              <w:t>)</w:t>
            </w:r>
          </w:p>
        </w:tc>
      </w:tr>
      <w:tr w:rsidR="00000000" w14:paraId="60C4D42C" w14:textId="77777777">
        <w:trPr>
          <w:trHeight w:val="200"/>
          <w:tblCellSpacing w:w="15" w:type="dxa"/>
        </w:trPr>
        <w:tc>
          <w:tcPr>
            <w:tcW w:w="0" w:type="auto"/>
            <w:hideMark/>
          </w:tcPr>
          <w:p w14:paraId="38690F57" w14:textId="77777777" w:rsidR="00000000" w:rsidRDefault="00632532">
            <w:pPr>
              <w:pStyle w:val="a3"/>
              <w:spacing w:before="0" w:beforeAutospacing="0" w:after="0" w:afterAutospacing="0"/>
              <w:rPr>
                <w:sz w:val="20"/>
                <w:szCs w:val="20"/>
              </w:rPr>
            </w:pPr>
            <w:r>
              <w:rPr>
                <w:sz w:val="20"/>
                <w:szCs w:val="20"/>
              </w:rPr>
              <w:t>Income before gain on equity method investmen</w:t>
            </w:r>
            <w:r>
              <w:rPr>
                <w:sz w:val="20"/>
                <w:szCs w:val="20"/>
              </w:rPr>
              <w:t>t</w:t>
            </w:r>
          </w:p>
        </w:tc>
        <w:tc>
          <w:tcPr>
            <w:tcW w:w="0" w:type="auto"/>
            <w:noWrap/>
            <w:vAlign w:val="bottom"/>
            <w:hideMark/>
          </w:tcPr>
          <w:p w14:paraId="317E489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4B35D03" w14:textId="77777777" w:rsidR="00000000" w:rsidRDefault="00632532">
            <w:pPr>
              <w:pStyle w:val="a3"/>
              <w:spacing w:before="0" w:beforeAutospacing="0" w:after="0" w:afterAutospacing="0"/>
              <w:jc w:val="right"/>
              <w:rPr>
                <w:sz w:val="20"/>
                <w:szCs w:val="20"/>
              </w:rPr>
            </w:pPr>
            <w:r>
              <w:rPr>
                <w:sz w:val="20"/>
                <w:szCs w:val="20"/>
              </w:rPr>
              <w:t>11,09</w:t>
            </w:r>
            <w:r>
              <w:rPr>
                <w:sz w:val="20"/>
                <w:szCs w:val="20"/>
              </w:rPr>
              <w:t>9</w:t>
            </w:r>
          </w:p>
        </w:tc>
        <w:tc>
          <w:tcPr>
            <w:tcW w:w="0" w:type="auto"/>
            <w:noWrap/>
            <w:vAlign w:val="bottom"/>
            <w:hideMark/>
          </w:tcPr>
          <w:p w14:paraId="0004109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6FE065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A451C8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6368B6" w14:textId="77777777" w:rsidR="00000000" w:rsidRDefault="00632532">
            <w:pPr>
              <w:pStyle w:val="a3"/>
              <w:spacing w:before="0" w:beforeAutospacing="0" w:after="0" w:afterAutospacing="0"/>
              <w:jc w:val="right"/>
              <w:rPr>
                <w:sz w:val="20"/>
                <w:szCs w:val="20"/>
              </w:rPr>
            </w:pPr>
            <w:r>
              <w:rPr>
                <w:sz w:val="20"/>
                <w:szCs w:val="20"/>
              </w:rPr>
              <w:t>75,91</w:t>
            </w:r>
            <w:r>
              <w:rPr>
                <w:sz w:val="20"/>
                <w:szCs w:val="20"/>
              </w:rPr>
              <w:t>3</w:t>
            </w:r>
          </w:p>
        </w:tc>
        <w:tc>
          <w:tcPr>
            <w:tcW w:w="0" w:type="auto"/>
            <w:noWrap/>
            <w:vAlign w:val="bottom"/>
            <w:hideMark/>
          </w:tcPr>
          <w:p w14:paraId="78B504E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38901C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4A15370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ED19A8" w14:textId="77777777" w:rsidR="00000000" w:rsidRDefault="00632532">
            <w:pPr>
              <w:pStyle w:val="a3"/>
              <w:spacing w:before="0" w:beforeAutospacing="0" w:after="0" w:afterAutospacing="0"/>
              <w:jc w:val="right"/>
              <w:rPr>
                <w:sz w:val="20"/>
                <w:szCs w:val="20"/>
              </w:rPr>
            </w:pPr>
            <w:r>
              <w:rPr>
                <w:sz w:val="20"/>
                <w:szCs w:val="20"/>
              </w:rPr>
              <w:t>(64,81</w:t>
            </w:r>
            <w:r>
              <w:rPr>
                <w:sz w:val="20"/>
                <w:szCs w:val="20"/>
              </w:rPr>
              <w:t>4</w:t>
            </w:r>
          </w:p>
        </w:tc>
        <w:tc>
          <w:tcPr>
            <w:tcW w:w="0" w:type="auto"/>
            <w:noWrap/>
            <w:vAlign w:val="bottom"/>
            <w:hideMark/>
          </w:tcPr>
          <w:p w14:paraId="64FDFD2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EE580B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877ACB" w14:textId="77777777" w:rsidR="00000000" w:rsidRDefault="00632532">
            <w:pPr>
              <w:pStyle w:val="a3"/>
              <w:spacing w:before="0" w:beforeAutospacing="0" w:after="0" w:afterAutospacing="0"/>
              <w:jc w:val="center"/>
              <w:rPr>
                <w:sz w:val="20"/>
                <w:szCs w:val="20"/>
              </w:rPr>
            </w:pPr>
            <w:r>
              <w:rPr>
                <w:sz w:val="20"/>
                <w:szCs w:val="20"/>
              </w:rPr>
              <w:t>  (85%</w:t>
            </w:r>
            <w:r>
              <w:rPr>
                <w:sz w:val="20"/>
                <w:szCs w:val="20"/>
              </w:rPr>
              <w:t>)</w:t>
            </w:r>
          </w:p>
        </w:tc>
        <w:tc>
          <w:tcPr>
            <w:tcW w:w="0" w:type="auto"/>
            <w:vAlign w:val="bottom"/>
            <w:hideMark/>
          </w:tcPr>
          <w:p w14:paraId="797E8BE5"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6C9BB5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424C8DC" w14:textId="77777777" w:rsidR="00000000" w:rsidRDefault="00632532">
            <w:pPr>
              <w:pStyle w:val="a3"/>
              <w:spacing w:before="0" w:beforeAutospacing="0" w:after="0" w:afterAutospacing="0"/>
              <w:jc w:val="right"/>
              <w:rPr>
                <w:sz w:val="20"/>
                <w:szCs w:val="20"/>
              </w:rPr>
            </w:pPr>
            <w:r>
              <w:rPr>
                <w:sz w:val="20"/>
                <w:szCs w:val="20"/>
              </w:rPr>
              <w:t>164,65</w:t>
            </w:r>
            <w:r>
              <w:rPr>
                <w:sz w:val="20"/>
                <w:szCs w:val="20"/>
              </w:rPr>
              <w:t>6</w:t>
            </w:r>
          </w:p>
        </w:tc>
        <w:tc>
          <w:tcPr>
            <w:tcW w:w="0" w:type="auto"/>
            <w:noWrap/>
            <w:vAlign w:val="bottom"/>
            <w:hideMark/>
          </w:tcPr>
          <w:p w14:paraId="123A41A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F5006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51C4DD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9E44C8A" w14:textId="77777777" w:rsidR="00000000" w:rsidRDefault="00632532">
            <w:pPr>
              <w:pStyle w:val="a3"/>
              <w:spacing w:before="0" w:beforeAutospacing="0" w:after="0" w:afterAutospacing="0"/>
              <w:jc w:val="right"/>
              <w:rPr>
                <w:sz w:val="20"/>
                <w:szCs w:val="20"/>
              </w:rPr>
            </w:pPr>
            <w:r>
              <w:rPr>
                <w:sz w:val="20"/>
                <w:szCs w:val="20"/>
              </w:rPr>
              <w:t>276,60</w:t>
            </w:r>
            <w:r>
              <w:rPr>
                <w:sz w:val="20"/>
                <w:szCs w:val="20"/>
              </w:rPr>
              <w:t>4</w:t>
            </w:r>
          </w:p>
        </w:tc>
        <w:tc>
          <w:tcPr>
            <w:tcW w:w="0" w:type="auto"/>
            <w:noWrap/>
            <w:vAlign w:val="bottom"/>
            <w:hideMark/>
          </w:tcPr>
          <w:p w14:paraId="06590C8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42219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110289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3F267FF" w14:textId="77777777" w:rsidR="00000000" w:rsidRDefault="00632532">
            <w:pPr>
              <w:pStyle w:val="a3"/>
              <w:spacing w:before="0" w:beforeAutospacing="0" w:after="0" w:afterAutospacing="0"/>
              <w:jc w:val="right"/>
              <w:rPr>
                <w:sz w:val="20"/>
                <w:szCs w:val="20"/>
              </w:rPr>
            </w:pPr>
            <w:r>
              <w:rPr>
                <w:sz w:val="20"/>
                <w:szCs w:val="20"/>
              </w:rPr>
              <w:t>(111,94</w:t>
            </w:r>
            <w:r>
              <w:rPr>
                <w:sz w:val="20"/>
                <w:szCs w:val="20"/>
              </w:rPr>
              <w:t>8</w:t>
            </w:r>
          </w:p>
        </w:tc>
        <w:tc>
          <w:tcPr>
            <w:tcW w:w="0" w:type="auto"/>
            <w:noWrap/>
            <w:vAlign w:val="bottom"/>
            <w:hideMark/>
          </w:tcPr>
          <w:p w14:paraId="658C897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B835C4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977B76E" w14:textId="77777777" w:rsidR="00000000" w:rsidRDefault="00632532">
            <w:pPr>
              <w:pStyle w:val="a3"/>
              <w:spacing w:before="0" w:beforeAutospacing="0" w:after="0" w:afterAutospacing="0"/>
              <w:jc w:val="center"/>
              <w:rPr>
                <w:sz w:val="20"/>
                <w:szCs w:val="20"/>
              </w:rPr>
            </w:pPr>
            <w:r>
              <w:rPr>
                <w:sz w:val="20"/>
                <w:szCs w:val="20"/>
              </w:rPr>
              <w:t>  (40%</w:t>
            </w:r>
            <w:r>
              <w:rPr>
                <w:sz w:val="20"/>
                <w:szCs w:val="20"/>
              </w:rPr>
              <w:t>)</w:t>
            </w:r>
          </w:p>
        </w:tc>
      </w:tr>
      <w:tr w:rsidR="00000000" w14:paraId="478A736A" w14:textId="77777777">
        <w:trPr>
          <w:trHeight w:val="200"/>
          <w:tblCellSpacing w:w="15" w:type="dxa"/>
        </w:trPr>
        <w:tc>
          <w:tcPr>
            <w:tcW w:w="0" w:type="auto"/>
            <w:hideMark/>
          </w:tcPr>
          <w:p w14:paraId="7A0C7452" w14:textId="77777777" w:rsidR="00000000" w:rsidRDefault="00632532">
            <w:pPr>
              <w:pStyle w:val="a3"/>
              <w:spacing w:before="0" w:beforeAutospacing="0" w:after="0" w:afterAutospacing="0"/>
              <w:rPr>
                <w:sz w:val="20"/>
                <w:szCs w:val="20"/>
              </w:rPr>
            </w:pPr>
            <w:r>
              <w:rPr>
                <w:sz w:val="20"/>
                <w:szCs w:val="20"/>
              </w:rPr>
              <w:t>Gain on equity method investmen</w:t>
            </w:r>
            <w:r>
              <w:rPr>
                <w:sz w:val="20"/>
                <w:szCs w:val="20"/>
              </w:rPr>
              <w:t>t</w:t>
            </w:r>
          </w:p>
        </w:tc>
        <w:tc>
          <w:tcPr>
            <w:tcW w:w="0" w:type="auto"/>
            <w:noWrap/>
            <w:vAlign w:val="bottom"/>
            <w:hideMark/>
          </w:tcPr>
          <w:p w14:paraId="4AD773E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68690E1"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3370DC6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BC4655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87163A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107A581" w14:textId="77777777" w:rsidR="00000000" w:rsidRDefault="00632532">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14:paraId="1D64F81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8D727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E6D908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C4EFAF7" w14:textId="77777777" w:rsidR="00000000" w:rsidRDefault="00632532">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14:paraId="6CFEA0BB"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F691F5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EE34A27" w14:textId="77777777" w:rsidR="00000000" w:rsidRDefault="00632532">
            <w:pPr>
              <w:pStyle w:val="a3"/>
              <w:spacing w:before="0" w:beforeAutospacing="0" w:after="0" w:afterAutospacing="0"/>
              <w:jc w:val="center"/>
              <w:rPr>
                <w:sz w:val="20"/>
                <w:szCs w:val="20"/>
              </w:rPr>
            </w:pPr>
            <w:r>
              <w:rPr>
                <w:sz w:val="20"/>
                <w:szCs w:val="20"/>
              </w:rPr>
              <w:t>  </w:t>
            </w:r>
            <w:r>
              <w:rPr>
                <w:sz w:val="20"/>
                <w:szCs w:val="20"/>
              </w:rPr>
              <w:t>(100%</w:t>
            </w:r>
            <w:r>
              <w:rPr>
                <w:sz w:val="20"/>
                <w:szCs w:val="20"/>
              </w:rPr>
              <w:t>)</w:t>
            </w:r>
          </w:p>
        </w:tc>
        <w:tc>
          <w:tcPr>
            <w:tcW w:w="0" w:type="auto"/>
            <w:vAlign w:val="bottom"/>
            <w:hideMark/>
          </w:tcPr>
          <w:p w14:paraId="70A0B160"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5FC1AFC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4814188" w14:textId="77777777" w:rsidR="00000000" w:rsidRDefault="00632532">
            <w:pPr>
              <w:pStyle w:val="a3"/>
              <w:spacing w:before="0" w:beforeAutospacing="0" w:after="0" w:afterAutospacing="0"/>
              <w:jc w:val="right"/>
              <w:rPr>
                <w:sz w:val="20"/>
                <w:szCs w:val="20"/>
              </w:rPr>
            </w:pPr>
            <w:r>
              <w:rPr>
                <w:sz w:val="20"/>
                <w:szCs w:val="20"/>
              </w:rPr>
              <w:t>—</w:t>
            </w:r>
          </w:p>
        </w:tc>
        <w:tc>
          <w:tcPr>
            <w:tcW w:w="0" w:type="auto"/>
            <w:noWrap/>
            <w:vAlign w:val="bottom"/>
            <w:hideMark/>
          </w:tcPr>
          <w:p w14:paraId="0DBBC8E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16751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0960DC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79A7343" w14:textId="77777777" w:rsidR="00000000" w:rsidRDefault="00632532">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14:paraId="2B44BC7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FFD783"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FFB76B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D06E257" w14:textId="77777777" w:rsidR="00000000" w:rsidRDefault="00632532">
            <w:pPr>
              <w:pStyle w:val="a3"/>
              <w:spacing w:before="0" w:beforeAutospacing="0" w:after="0" w:afterAutospacing="0"/>
              <w:jc w:val="right"/>
              <w:rPr>
                <w:sz w:val="20"/>
                <w:szCs w:val="20"/>
              </w:rPr>
            </w:pPr>
            <w:r>
              <w:rPr>
                <w:sz w:val="20"/>
                <w:szCs w:val="20"/>
              </w:rPr>
              <w:t>(3,73</w:t>
            </w:r>
            <w:r>
              <w:rPr>
                <w:sz w:val="20"/>
                <w:szCs w:val="20"/>
              </w:rPr>
              <w:t>4</w:t>
            </w:r>
          </w:p>
        </w:tc>
        <w:tc>
          <w:tcPr>
            <w:tcW w:w="0" w:type="auto"/>
            <w:noWrap/>
            <w:vAlign w:val="bottom"/>
            <w:hideMark/>
          </w:tcPr>
          <w:p w14:paraId="5C25E77D"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52E95F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73C836B" w14:textId="77777777" w:rsidR="00000000" w:rsidRDefault="00632532">
            <w:pPr>
              <w:pStyle w:val="a3"/>
              <w:spacing w:before="0" w:beforeAutospacing="0" w:after="0" w:afterAutospacing="0"/>
              <w:jc w:val="center"/>
              <w:rPr>
                <w:sz w:val="20"/>
                <w:szCs w:val="20"/>
              </w:rPr>
            </w:pPr>
            <w:r>
              <w:rPr>
                <w:sz w:val="20"/>
                <w:szCs w:val="20"/>
              </w:rPr>
              <w:t>  (100%</w:t>
            </w:r>
            <w:r>
              <w:rPr>
                <w:sz w:val="20"/>
                <w:szCs w:val="20"/>
              </w:rPr>
              <w:t>)</w:t>
            </w:r>
          </w:p>
        </w:tc>
      </w:tr>
      <w:tr w:rsidR="00000000" w14:paraId="336632DD" w14:textId="77777777">
        <w:trPr>
          <w:trHeight w:val="200"/>
          <w:tblCellSpacing w:w="15" w:type="dxa"/>
        </w:trPr>
        <w:tc>
          <w:tcPr>
            <w:tcW w:w="0" w:type="auto"/>
            <w:hideMark/>
          </w:tcPr>
          <w:p w14:paraId="257A97A8" w14:textId="77777777" w:rsidR="00000000" w:rsidRDefault="00632532">
            <w:pPr>
              <w:pStyle w:val="a3"/>
              <w:spacing w:before="0" w:beforeAutospacing="0" w:after="0" w:afterAutospacing="0"/>
              <w:rPr>
                <w:sz w:val="20"/>
                <w:szCs w:val="20"/>
              </w:rPr>
            </w:pPr>
            <w:r>
              <w:rPr>
                <w:sz w:val="20"/>
                <w:szCs w:val="20"/>
              </w:rPr>
              <w:t>Net income from consolidated operation</w:t>
            </w:r>
            <w:r>
              <w:rPr>
                <w:sz w:val="20"/>
                <w:szCs w:val="20"/>
              </w:rPr>
              <w:t>s</w:t>
            </w:r>
          </w:p>
        </w:tc>
        <w:tc>
          <w:tcPr>
            <w:tcW w:w="0" w:type="auto"/>
            <w:noWrap/>
            <w:vAlign w:val="bottom"/>
            <w:hideMark/>
          </w:tcPr>
          <w:p w14:paraId="6B18BBF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EF7B20" w14:textId="77777777" w:rsidR="00000000" w:rsidRDefault="00632532">
            <w:pPr>
              <w:pStyle w:val="a3"/>
              <w:spacing w:before="0" w:beforeAutospacing="0" w:after="0" w:afterAutospacing="0"/>
              <w:jc w:val="right"/>
              <w:rPr>
                <w:sz w:val="20"/>
                <w:szCs w:val="20"/>
              </w:rPr>
            </w:pPr>
            <w:r>
              <w:rPr>
                <w:sz w:val="20"/>
                <w:szCs w:val="20"/>
              </w:rPr>
              <w:t>11,09</w:t>
            </w:r>
            <w:r>
              <w:rPr>
                <w:sz w:val="20"/>
                <w:szCs w:val="20"/>
              </w:rPr>
              <w:t>9</w:t>
            </w:r>
          </w:p>
        </w:tc>
        <w:tc>
          <w:tcPr>
            <w:tcW w:w="0" w:type="auto"/>
            <w:noWrap/>
            <w:vAlign w:val="bottom"/>
            <w:hideMark/>
          </w:tcPr>
          <w:p w14:paraId="34533B4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16565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BFBBE0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3B695DE" w14:textId="77777777" w:rsidR="00000000" w:rsidRDefault="00632532">
            <w:pPr>
              <w:pStyle w:val="a3"/>
              <w:spacing w:before="0" w:beforeAutospacing="0" w:after="0" w:afterAutospacing="0"/>
              <w:jc w:val="right"/>
              <w:rPr>
                <w:sz w:val="20"/>
                <w:szCs w:val="20"/>
              </w:rPr>
            </w:pPr>
            <w:r>
              <w:rPr>
                <w:sz w:val="20"/>
                <w:szCs w:val="20"/>
              </w:rPr>
              <w:t>79,64</w:t>
            </w:r>
            <w:r>
              <w:rPr>
                <w:sz w:val="20"/>
                <w:szCs w:val="20"/>
              </w:rPr>
              <w:t>7</w:t>
            </w:r>
          </w:p>
        </w:tc>
        <w:tc>
          <w:tcPr>
            <w:tcW w:w="0" w:type="auto"/>
            <w:noWrap/>
            <w:vAlign w:val="bottom"/>
            <w:hideMark/>
          </w:tcPr>
          <w:p w14:paraId="1EA058B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879248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A7A142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64B560" w14:textId="77777777" w:rsidR="00000000" w:rsidRDefault="00632532">
            <w:pPr>
              <w:pStyle w:val="a3"/>
              <w:spacing w:before="0" w:beforeAutospacing="0" w:after="0" w:afterAutospacing="0"/>
              <w:jc w:val="right"/>
              <w:rPr>
                <w:sz w:val="20"/>
                <w:szCs w:val="20"/>
              </w:rPr>
            </w:pPr>
            <w:r>
              <w:rPr>
                <w:sz w:val="20"/>
                <w:szCs w:val="20"/>
              </w:rPr>
              <w:t>(68,54</w:t>
            </w:r>
            <w:r>
              <w:rPr>
                <w:sz w:val="20"/>
                <w:szCs w:val="20"/>
              </w:rPr>
              <w:t>8</w:t>
            </w:r>
          </w:p>
        </w:tc>
        <w:tc>
          <w:tcPr>
            <w:tcW w:w="0" w:type="auto"/>
            <w:noWrap/>
            <w:vAlign w:val="bottom"/>
            <w:hideMark/>
          </w:tcPr>
          <w:p w14:paraId="3A8EF21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8EA9B3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B50BF80" w14:textId="77777777" w:rsidR="00000000" w:rsidRDefault="00632532">
            <w:pPr>
              <w:pStyle w:val="a3"/>
              <w:spacing w:before="0" w:beforeAutospacing="0" w:after="0" w:afterAutospacing="0"/>
              <w:jc w:val="center"/>
              <w:rPr>
                <w:sz w:val="20"/>
                <w:szCs w:val="20"/>
              </w:rPr>
            </w:pPr>
            <w:r>
              <w:rPr>
                <w:sz w:val="20"/>
                <w:szCs w:val="20"/>
              </w:rPr>
              <w:t>  (86%</w:t>
            </w:r>
            <w:r>
              <w:rPr>
                <w:sz w:val="20"/>
                <w:szCs w:val="20"/>
              </w:rPr>
              <w:t>)</w:t>
            </w:r>
          </w:p>
        </w:tc>
        <w:tc>
          <w:tcPr>
            <w:tcW w:w="0" w:type="auto"/>
            <w:vAlign w:val="bottom"/>
            <w:hideMark/>
          </w:tcPr>
          <w:p w14:paraId="63CF98BE"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E23ABF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98998CC" w14:textId="77777777" w:rsidR="00000000" w:rsidRDefault="00632532">
            <w:pPr>
              <w:pStyle w:val="a3"/>
              <w:spacing w:before="0" w:beforeAutospacing="0" w:after="0" w:afterAutospacing="0"/>
              <w:jc w:val="right"/>
              <w:rPr>
                <w:sz w:val="20"/>
                <w:szCs w:val="20"/>
              </w:rPr>
            </w:pPr>
            <w:r>
              <w:rPr>
                <w:sz w:val="20"/>
                <w:szCs w:val="20"/>
              </w:rPr>
              <w:t>164,65</w:t>
            </w:r>
            <w:r>
              <w:rPr>
                <w:sz w:val="20"/>
                <w:szCs w:val="20"/>
              </w:rPr>
              <w:t>6</w:t>
            </w:r>
          </w:p>
        </w:tc>
        <w:tc>
          <w:tcPr>
            <w:tcW w:w="0" w:type="auto"/>
            <w:noWrap/>
            <w:vAlign w:val="bottom"/>
            <w:hideMark/>
          </w:tcPr>
          <w:p w14:paraId="1EB7911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345138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C0B713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035441" w14:textId="77777777" w:rsidR="00000000" w:rsidRDefault="00632532">
            <w:pPr>
              <w:pStyle w:val="a3"/>
              <w:spacing w:before="0" w:beforeAutospacing="0" w:after="0" w:afterAutospacing="0"/>
              <w:jc w:val="right"/>
              <w:rPr>
                <w:sz w:val="20"/>
                <w:szCs w:val="20"/>
              </w:rPr>
            </w:pPr>
            <w:r>
              <w:rPr>
                <w:sz w:val="20"/>
                <w:szCs w:val="20"/>
              </w:rPr>
              <w:t>280,33</w:t>
            </w:r>
            <w:r>
              <w:rPr>
                <w:sz w:val="20"/>
                <w:szCs w:val="20"/>
              </w:rPr>
              <w:t>8</w:t>
            </w:r>
          </w:p>
        </w:tc>
        <w:tc>
          <w:tcPr>
            <w:tcW w:w="0" w:type="auto"/>
            <w:noWrap/>
            <w:vAlign w:val="bottom"/>
            <w:hideMark/>
          </w:tcPr>
          <w:p w14:paraId="50C4031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B770D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3A71DF3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D8C663E" w14:textId="77777777" w:rsidR="00000000" w:rsidRDefault="00632532">
            <w:pPr>
              <w:pStyle w:val="a3"/>
              <w:spacing w:before="0" w:beforeAutospacing="0" w:after="0" w:afterAutospacing="0"/>
              <w:jc w:val="right"/>
              <w:rPr>
                <w:sz w:val="20"/>
                <w:szCs w:val="20"/>
              </w:rPr>
            </w:pPr>
            <w:r>
              <w:rPr>
                <w:sz w:val="20"/>
                <w:szCs w:val="20"/>
              </w:rPr>
              <w:t>(115,68</w:t>
            </w:r>
            <w:r>
              <w:rPr>
                <w:sz w:val="20"/>
                <w:szCs w:val="20"/>
              </w:rPr>
              <w:t>2</w:t>
            </w:r>
          </w:p>
        </w:tc>
        <w:tc>
          <w:tcPr>
            <w:tcW w:w="0" w:type="auto"/>
            <w:noWrap/>
            <w:vAlign w:val="bottom"/>
            <w:hideMark/>
          </w:tcPr>
          <w:p w14:paraId="4E3B33A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038C94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D8DC909" w14:textId="77777777" w:rsidR="00000000" w:rsidRDefault="00632532">
            <w:pPr>
              <w:pStyle w:val="a3"/>
              <w:spacing w:before="0" w:beforeAutospacing="0" w:after="0" w:afterAutospacing="0"/>
              <w:jc w:val="center"/>
              <w:rPr>
                <w:sz w:val="20"/>
                <w:szCs w:val="20"/>
              </w:rPr>
            </w:pPr>
            <w:r>
              <w:rPr>
                <w:sz w:val="20"/>
                <w:szCs w:val="20"/>
              </w:rPr>
              <w:t>  (41%</w:t>
            </w:r>
            <w:r>
              <w:rPr>
                <w:sz w:val="20"/>
                <w:szCs w:val="20"/>
              </w:rPr>
              <w:t>)</w:t>
            </w:r>
          </w:p>
        </w:tc>
      </w:tr>
      <w:tr w:rsidR="00000000" w14:paraId="2E5919CE" w14:textId="77777777">
        <w:trPr>
          <w:trHeight w:val="200"/>
          <w:tblCellSpacing w:w="15" w:type="dxa"/>
        </w:trPr>
        <w:tc>
          <w:tcPr>
            <w:tcW w:w="0" w:type="auto"/>
            <w:hideMark/>
          </w:tcPr>
          <w:p w14:paraId="72BA24E5" w14:textId="77777777" w:rsidR="00000000" w:rsidRDefault="00632532">
            <w:pPr>
              <w:pStyle w:val="a3"/>
              <w:spacing w:before="0" w:beforeAutospacing="0" w:after="0" w:afterAutospacing="0"/>
              <w:rPr>
                <w:sz w:val="20"/>
                <w:szCs w:val="20"/>
              </w:rPr>
            </w:pPr>
            <w:r>
              <w:rPr>
                <w:sz w:val="20"/>
                <w:szCs w:val="20"/>
              </w:rPr>
              <w:t>Net loss attributable to noncontrolling interest</w:t>
            </w:r>
            <w:r>
              <w:rPr>
                <w:sz w:val="20"/>
                <w:szCs w:val="20"/>
              </w:rPr>
              <w:t>s</w:t>
            </w:r>
          </w:p>
        </w:tc>
        <w:tc>
          <w:tcPr>
            <w:tcW w:w="0" w:type="auto"/>
            <w:noWrap/>
            <w:vAlign w:val="bottom"/>
            <w:hideMark/>
          </w:tcPr>
          <w:p w14:paraId="6A26528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B384607" w14:textId="77777777" w:rsidR="00000000" w:rsidRDefault="00632532">
            <w:pPr>
              <w:pStyle w:val="a3"/>
              <w:spacing w:before="0" w:beforeAutospacing="0" w:after="0" w:afterAutospacing="0"/>
              <w:jc w:val="right"/>
              <w:rPr>
                <w:sz w:val="20"/>
                <w:szCs w:val="20"/>
              </w:rPr>
            </w:pPr>
            <w:r>
              <w:rPr>
                <w:sz w:val="20"/>
                <w:szCs w:val="20"/>
              </w:rPr>
              <w:t>43</w:t>
            </w:r>
            <w:r>
              <w:rPr>
                <w:sz w:val="20"/>
                <w:szCs w:val="20"/>
              </w:rPr>
              <w:t>8</w:t>
            </w:r>
          </w:p>
        </w:tc>
        <w:tc>
          <w:tcPr>
            <w:tcW w:w="0" w:type="auto"/>
            <w:noWrap/>
            <w:vAlign w:val="bottom"/>
            <w:hideMark/>
          </w:tcPr>
          <w:p w14:paraId="18E35D9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58A955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091086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6FAFA75" w14:textId="77777777" w:rsidR="00000000" w:rsidRDefault="00632532">
            <w:pPr>
              <w:pStyle w:val="a3"/>
              <w:spacing w:before="0" w:beforeAutospacing="0" w:after="0" w:afterAutospacing="0"/>
              <w:jc w:val="right"/>
              <w:rPr>
                <w:sz w:val="20"/>
                <w:szCs w:val="20"/>
              </w:rPr>
            </w:pPr>
            <w:r>
              <w:rPr>
                <w:sz w:val="20"/>
                <w:szCs w:val="20"/>
              </w:rPr>
              <w:t>16</w:t>
            </w:r>
            <w:r>
              <w:rPr>
                <w:sz w:val="20"/>
                <w:szCs w:val="20"/>
              </w:rPr>
              <w:t>5</w:t>
            </w:r>
          </w:p>
        </w:tc>
        <w:tc>
          <w:tcPr>
            <w:tcW w:w="0" w:type="auto"/>
            <w:noWrap/>
            <w:vAlign w:val="bottom"/>
            <w:hideMark/>
          </w:tcPr>
          <w:p w14:paraId="05671B1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F87313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07838D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F286CFC" w14:textId="77777777" w:rsidR="00000000" w:rsidRDefault="00632532">
            <w:pPr>
              <w:pStyle w:val="a3"/>
              <w:spacing w:before="0" w:beforeAutospacing="0" w:after="0" w:afterAutospacing="0"/>
              <w:jc w:val="right"/>
              <w:rPr>
                <w:sz w:val="20"/>
                <w:szCs w:val="20"/>
              </w:rPr>
            </w:pPr>
            <w:r>
              <w:rPr>
                <w:sz w:val="20"/>
                <w:szCs w:val="20"/>
              </w:rPr>
              <w:t>27</w:t>
            </w:r>
            <w:r>
              <w:rPr>
                <w:sz w:val="20"/>
                <w:szCs w:val="20"/>
              </w:rPr>
              <w:t>3</w:t>
            </w:r>
          </w:p>
        </w:tc>
        <w:tc>
          <w:tcPr>
            <w:tcW w:w="0" w:type="auto"/>
            <w:noWrap/>
            <w:vAlign w:val="bottom"/>
            <w:hideMark/>
          </w:tcPr>
          <w:p w14:paraId="4CE9EF3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89F72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8DB7087" w14:textId="77777777" w:rsidR="00000000" w:rsidRDefault="00632532">
            <w:pPr>
              <w:pStyle w:val="a3"/>
              <w:spacing w:before="0" w:beforeAutospacing="0" w:after="0" w:afterAutospacing="0"/>
              <w:jc w:val="center"/>
              <w:rPr>
                <w:sz w:val="20"/>
                <w:szCs w:val="20"/>
              </w:rPr>
            </w:pPr>
            <w:r>
              <w:rPr>
                <w:sz w:val="20"/>
                <w:szCs w:val="20"/>
              </w:rPr>
              <w:t>  165</w:t>
            </w:r>
            <w:r>
              <w:rPr>
                <w:sz w:val="20"/>
                <w:szCs w:val="20"/>
              </w:rPr>
              <w:t>%</w:t>
            </w:r>
            <w:r>
              <w:rPr>
                <w:sz w:val="20"/>
                <w:szCs w:val="20"/>
              </w:rPr>
              <w:t xml:space="preserve"> </w:t>
            </w:r>
          </w:p>
        </w:tc>
        <w:tc>
          <w:tcPr>
            <w:tcW w:w="0" w:type="auto"/>
            <w:vAlign w:val="bottom"/>
            <w:hideMark/>
          </w:tcPr>
          <w:p w14:paraId="7578D151"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7030E4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B48A62C" w14:textId="77777777" w:rsidR="00000000" w:rsidRDefault="00632532">
            <w:pPr>
              <w:pStyle w:val="a3"/>
              <w:spacing w:before="0" w:beforeAutospacing="0" w:after="0" w:afterAutospacing="0"/>
              <w:jc w:val="right"/>
              <w:rPr>
                <w:sz w:val="20"/>
                <w:szCs w:val="20"/>
              </w:rPr>
            </w:pPr>
            <w:r>
              <w:rPr>
                <w:sz w:val="20"/>
                <w:szCs w:val="20"/>
              </w:rPr>
              <w:t>86</w:t>
            </w:r>
            <w:r>
              <w:rPr>
                <w:sz w:val="20"/>
                <w:szCs w:val="20"/>
              </w:rPr>
              <w:t>0</w:t>
            </w:r>
          </w:p>
        </w:tc>
        <w:tc>
          <w:tcPr>
            <w:tcW w:w="0" w:type="auto"/>
            <w:noWrap/>
            <w:vAlign w:val="bottom"/>
            <w:hideMark/>
          </w:tcPr>
          <w:p w14:paraId="7D1BA5A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AFA07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4AB94C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5775BD3" w14:textId="77777777" w:rsidR="00000000" w:rsidRDefault="00632532">
            <w:pPr>
              <w:pStyle w:val="a3"/>
              <w:spacing w:before="0" w:beforeAutospacing="0" w:after="0" w:afterAutospacing="0"/>
              <w:jc w:val="right"/>
              <w:rPr>
                <w:sz w:val="20"/>
                <w:szCs w:val="20"/>
              </w:rPr>
            </w:pPr>
            <w:r>
              <w:rPr>
                <w:sz w:val="20"/>
                <w:szCs w:val="20"/>
              </w:rPr>
              <w:t>16</w:t>
            </w:r>
            <w:r>
              <w:rPr>
                <w:sz w:val="20"/>
                <w:szCs w:val="20"/>
              </w:rPr>
              <w:t>5</w:t>
            </w:r>
          </w:p>
        </w:tc>
        <w:tc>
          <w:tcPr>
            <w:tcW w:w="0" w:type="auto"/>
            <w:noWrap/>
            <w:vAlign w:val="bottom"/>
            <w:hideMark/>
          </w:tcPr>
          <w:p w14:paraId="7F0A9D1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538994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75CF54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439D538" w14:textId="77777777" w:rsidR="00000000" w:rsidRDefault="00632532">
            <w:pPr>
              <w:pStyle w:val="a3"/>
              <w:spacing w:before="0" w:beforeAutospacing="0" w:after="0" w:afterAutospacing="0"/>
              <w:jc w:val="right"/>
              <w:rPr>
                <w:sz w:val="20"/>
                <w:szCs w:val="20"/>
              </w:rPr>
            </w:pPr>
            <w:r>
              <w:rPr>
                <w:sz w:val="20"/>
                <w:szCs w:val="20"/>
              </w:rPr>
              <w:t>69</w:t>
            </w:r>
            <w:r>
              <w:rPr>
                <w:sz w:val="20"/>
                <w:szCs w:val="20"/>
              </w:rPr>
              <w:t>5</w:t>
            </w:r>
          </w:p>
        </w:tc>
        <w:tc>
          <w:tcPr>
            <w:tcW w:w="0" w:type="auto"/>
            <w:noWrap/>
            <w:vAlign w:val="bottom"/>
            <w:hideMark/>
          </w:tcPr>
          <w:p w14:paraId="79B5A31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83E190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152BE3E" w14:textId="77777777" w:rsidR="00000000" w:rsidRDefault="00632532">
            <w:pPr>
              <w:pStyle w:val="a3"/>
              <w:spacing w:before="0" w:beforeAutospacing="0" w:after="0" w:afterAutospacing="0"/>
              <w:jc w:val="center"/>
              <w:rPr>
                <w:sz w:val="20"/>
                <w:szCs w:val="20"/>
              </w:rPr>
            </w:pPr>
            <w:r>
              <w:rPr>
                <w:sz w:val="20"/>
                <w:szCs w:val="20"/>
              </w:rPr>
              <w:t>  421</w:t>
            </w:r>
            <w:r>
              <w:rPr>
                <w:sz w:val="20"/>
                <w:szCs w:val="20"/>
              </w:rPr>
              <w:t>%</w:t>
            </w:r>
            <w:r>
              <w:rPr>
                <w:sz w:val="20"/>
                <w:szCs w:val="20"/>
              </w:rPr>
              <w:t xml:space="preserve"> </w:t>
            </w:r>
          </w:p>
        </w:tc>
      </w:tr>
      <w:tr w:rsidR="00000000" w14:paraId="4022869C" w14:textId="77777777">
        <w:trPr>
          <w:trHeight w:val="200"/>
          <w:tblCellSpacing w:w="15" w:type="dxa"/>
        </w:trPr>
        <w:tc>
          <w:tcPr>
            <w:tcW w:w="0" w:type="auto"/>
            <w:hideMark/>
          </w:tcPr>
          <w:p w14:paraId="2B3FC00A" w14:textId="77777777" w:rsidR="00000000" w:rsidRDefault="00632532">
            <w:pPr>
              <w:pStyle w:val="a3"/>
              <w:spacing w:before="0" w:beforeAutospacing="0" w:after="0" w:afterAutospacing="0"/>
              <w:rPr>
                <w:sz w:val="20"/>
                <w:szCs w:val="20"/>
              </w:rPr>
            </w:pPr>
            <w:r>
              <w:rPr>
                <w:sz w:val="20"/>
                <w:szCs w:val="20"/>
              </w:rPr>
              <w:t>Net income attributable to Fulgen</w:t>
            </w:r>
            <w:r>
              <w:rPr>
                <w:sz w:val="20"/>
                <w:szCs w:val="20"/>
              </w:rPr>
              <w:t>t</w:t>
            </w:r>
          </w:p>
        </w:tc>
        <w:tc>
          <w:tcPr>
            <w:tcW w:w="0" w:type="auto"/>
            <w:noWrap/>
            <w:vAlign w:val="bottom"/>
            <w:hideMark/>
          </w:tcPr>
          <w:p w14:paraId="47B70F0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4C97A9B" w14:textId="77777777" w:rsidR="00000000" w:rsidRDefault="00632532">
            <w:pPr>
              <w:pStyle w:val="a3"/>
              <w:spacing w:before="0" w:beforeAutospacing="0" w:after="0" w:afterAutospacing="0"/>
              <w:jc w:val="right"/>
              <w:rPr>
                <w:sz w:val="20"/>
                <w:szCs w:val="20"/>
              </w:rPr>
            </w:pPr>
            <w:r>
              <w:rPr>
                <w:sz w:val="20"/>
                <w:szCs w:val="20"/>
              </w:rPr>
              <w:t>11,53</w:t>
            </w:r>
            <w:r>
              <w:rPr>
                <w:sz w:val="20"/>
                <w:szCs w:val="20"/>
              </w:rPr>
              <w:t>7</w:t>
            </w:r>
          </w:p>
        </w:tc>
        <w:tc>
          <w:tcPr>
            <w:tcW w:w="0" w:type="auto"/>
            <w:noWrap/>
            <w:vAlign w:val="bottom"/>
            <w:hideMark/>
          </w:tcPr>
          <w:p w14:paraId="5071631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8F2B6C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25AD932"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24B1207" w14:textId="77777777" w:rsidR="00000000" w:rsidRDefault="00632532">
            <w:pPr>
              <w:pStyle w:val="a3"/>
              <w:spacing w:before="0" w:beforeAutospacing="0" w:after="0" w:afterAutospacing="0"/>
              <w:jc w:val="right"/>
              <w:rPr>
                <w:sz w:val="20"/>
                <w:szCs w:val="20"/>
              </w:rPr>
            </w:pPr>
            <w:r>
              <w:rPr>
                <w:sz w:val="20"/>
                <w:szCs w:val="20"/>
              </w:rPr>
              <w:t>79,81</w:t>
            </w:r>
            <w:r>
              <w:rPr>
                <w:sz w:val="20"/>
                <w:szCs w:val="20"/>
              </w:rPr>
              <w:t>2</w:t>
            </w:r>
          </w:p>
        </w:tc>
        <w:tc>
          <w:tcPr>
            <w:tcW w:w="0" w:type="auto"/>
            <w:noWrap/>
            <w:vAlign w:val="bottom"/>
            <w:hideMark/>
          </w:tcPr>
          <w:p w14:paraId="44FF7F9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8CECE1A"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0C573C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1F7FD00" w14:textId="77777777" w:rsidR="00000000" w:rsidRDefault="00632532">
            <w:pPr>
              <w:pStyle w:val="a3"/>
              <w:spacing w:before="0" w:beforeAutospacing="0" w:after="0" w:afterAutospacing="0"/>
              <w:jc w:val="right"/>
              <w:rPr>
                <w:sz w:val="20"/>
                <w:szCs w:val="20"/>
              </w:rPr>
            </w:pPr>
            <w:r>
              <w:rPr>
                <w:sz w:val="20"/>
                <w:szCs w:val="20"/>
              </w:rPr>
              <w:t>(68,27</w:t>
            </w:r>
            <w:r>
              <w:rPr>
                <w:sz w:val="20"/>
                <w:szCs w:val="20"/>
              </w:rPr>
              <w:t>5</w:t>
            </w:r>
          </w:p>
        </w:tc>
        <w:tc>
          <w:tcPr>
            <w:tcW w:w="0" w:type="auto"/>
            <w:noWrap/>
            <w:vAlign w:val="bottom"/>
            <w:hideMark/>
          </w:tcPr>
          <w:p w14:paraId="61B1C31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B95236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7B805B" w14:textId="77777777" w:rsidR="00000000" w:rsidRDefault="00632532">
            <w:pPr>
              <w:pStyle w:val="a3"/>
              <w:spacing w:before="0" w:beforeAutospacing="0" w:after="0" w:afterAutospacing="0"/>
              <w:jc w:val="center"/>
              <w:rPr>
                <w:sz w:val="20"/>
                <w:szCs w:val="20"/>
              </w:rPr>
            </w:pPr>
            <w:r>
              <w:rPr>
                <w:sz w:val="20"/>
                <w:szCs w:val="20"/>
              </w:rPr>
              <w:t>  (86%</w:t>
            </w:r>
            <w:r>
              <w:rPr>
                <w:sz w:val="20"/>
                <w:szCs w:val="20"/>
              </w:rPr>
              <w:t>)</w:t>
            </w:r>
          </w:p>
        </w:tc>
        <w:tc>
          <w:tcPr>
            <w:tcW w:w="0" w:type="auto"/>
            <w:vAlign w:val="bottom"/>
            <w:hideMark/>
          </w:tcPr>
          <w:p w14:paraId="53F7F26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A1B6754"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85802C5" w14:textId="77777777" w:rsidR="00000000" w:rsidRDefault="00632532">
            <w:pPr>
              <w:pStyle w:val="a3"/>
              <w:spacing w:before="0" w:beforeAutospacing="0" w:after="0" w:afterAutospacing="0"/>
              <w:jc w:val="right"/>
              <w:rPr>
                <w:sz w:val="20"/>
                <w:szCs w:val="20"/>
              </w:rPr>
            </w:pPr>
            <w:r>
              <w:rPr>
                <w:sz w:val="20"/>
                <w:szCs w:val="20"/>
              </w:rPr>
              <w:t>165,51</w:t>
            </w:r>
            <w:r>
              <w:rPr>
                <w:sz w:val="20"/>
                <w:szCs w:val="20"/>
              </w:rPr>
              <w:t>6</w:t>
            </w:r>
          </w:p>
        </w:tc>
        <w:tc>
          <w:tcPr>
            <w:tcW w:w="0" w:type="auto"/>
            <w:noWrap/>
            <w:vAlign w:val="bottom"/>
            <w:hideMark/>
          </w:tcPr>
          <w:p w14:paraId="236EFF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5488CF"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A11670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8AA853C" w14:textId="77777777" w:rsidR="00000000" w:rsidRDefault="00632532">
            <w:pPr>
              <w:pStyle w:val="a3"/>
              <w:spacing w:before="0" w:beforeAutospacing="0" w:after="0" w:afterAutospacing="0"/>
              <w:jc w:val="right"/>
              <w:rPr>
                <w:sz w:val="20"/>
                <w:szCs w:val="20"/>
              </w:rPr>
            </w:pPr>
            <w:r>
              <w:rPr>
                <w:sz w:val="20"/>
                <w:szCs w:val="20"/>
              </w:rPr>
              <w:t>280,50</w:t>
            </w:r>
            <w:r>
              <w:rPr>
                <w:sz w:val="20"/>
                <w:szCs w:val="20"/>
              </w:rPr>
              <w:t>3</w:t>
            </w:r>
          </w:p>
        </w:tc>
        <w:tc>
          <w:tcPr>
            <w:tcW w:w="0" w:type="auto"/>
            <w:noWrap/>
            <w:vAlign w:val="bottom"/>
            <w:hideMark/>
          </w:tcPr>
          <w:p w14:paraId="00C614C9"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A18092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7242ED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2256483" w14:textId="77777777" w:rsidR="00000000" w:rsidRDefault="00632532">
            <w:pPr>
              <w:pStyle w:val="a3"/>
              <w:spacing w:before="0" w:beforeAutospacing="0" w:after="0" w:afterAutospacing="0"/>
              <w:jc w:val="right"/>
              <w:rPr>
                <w:sz w:val="20"/>
                <w:szCs w:val="20"/>
              </w:rPr>
            </w:pPr>
            <w:r>
              <w:rPr>
                <w:sz w:val="20"/>
                <w:szCs w:val="20"/>
              </w:rPr>
              <w:t>(114,98</w:t>
            </w:r>
            <w:r>
              <w:rPr>
                <w:sz w:val="20"/>
                <w:szCs w:val="20"/>
              </w:rPr>
              <w:t>7</w:t>
            </w:r>
          </w:p>
        </w:tc>
        <w:tc>
          <w:tcPr>
            <w:tcW w:w="0" w:type="auto"/>
            <w:noWrap/>
            <w:vAlign w:val="bottom"/>
            <w:hideMark/>
          </w:tcPr>
          <w:p w14:paraId="4F8DEC3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2AB4EF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1017641" w14:textId="77777777" w:rsidR="00000000" w:rsidRDefault="00632532">
            <w:pPr>
              <w:pStyle w:val="a3"/>
              <w:spacing w:before="0" w:beforeAutospacing="0" w:after="0" w:afterAutospacing="0"/>
              <w:jc w:val="center"/>
              <w:rPr>
                <w:sz w:val="20"/>
                <w:szCs w:val="20"/>
              </w:rPr>
            </w:pPr>
            <w:r>
              <w:rPr>
                <w:sz w:val="20"/>
                <w:szCs w:val="20"/>
              </w:rPr>
              <w:t>  (41%</w:t>
            </w:r>
            <w:r>
              <w:rPr>
                <w:sz w:val="20"/>
                <w:szCs w:val="20"/>
              </w:rPr>
              <w:t>)</w:t>
            </w:r>
          </w:p>
        </w:tc>
      </w:tr>
      <w:tr w:rsidR="00000000" w14:paraId="4C329105" w14:textId="77777777">
        <w:trPr>
          <w:tblCellSpacing w:w="15" w:type="dxa"/>
        </w:trPr>
        <w:tc>
          <w:tcPr>
            <w:tcW w:w="0" w:type="auto"/>
            <w:vAlign w:val="bottom"/>
            <w:hideMark/>
          </w:tcPr>
          <w:p w14:paraId="0792F733"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2C2221EA"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347BE54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01885E7"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7D5BAF9"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D72A3F1"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32084B50"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33E1229"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F4B570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8579BB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FD8DFB"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513C8922"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A65CAF9"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E288254"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31CC27C"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15DCD17"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691AE1F"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DD19FAB"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DE7239E"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74E2ECD"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D66567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A103E4B" w14:textId="77777777" w:rsidR="00000000" w:rsidRDefault="00632532">
            <w:pPr>
              <w:pStyle w:val="a3"/>
              <w:spacing w:before="0" w:beforeAutospacing="0" w:after="0" w:afterAutospacing="0"/>
              <w:jc w:val="center"/>
              <w:rPr>
                <w:sz w:val="20"/>
                <w:szCs w:val="20"/>
              </w:rPr>
            </w:pPr>
            <w:r>
              <w:rPr>
                <w:sz w:val="20"/>
                <w:szCs w:val="20"/>
              </w:rPr>
              <w:t> </w:t>
            </w:r>
          </w:p>
        </w:tc>
      </w:tr>
      <w:tr w:rsidR="00000000" w14:paraId="27C04D97" w14:textId="77777777">
        <w:trPr>
          <w:trHeight w:val="200"/>
          <w:tblCellSpacing w:w="15" w:type="dxa"/>
        </w:trPr>
        <w:tc>
          <w:tcPr>
            <w:tcW w:w="0" w:type="auto"/>
            <w:vAlign w:val="bottom"/>
            <w:hideMark/>
          </w:tcPr>
          <w:p w14:paraId="4AF25B7C" w14:textId="77777777" w:rsidR="00000000" w:rsidRDefault="00632532">
            <w:pPr>
              <w:pStyle w:val="a3"/>
              <w:spacing w:before="0" w:beforeAutospacing="0" w:after="0" w:afterAutospacing="0"/>
              <w:rPr>
                <w:sz w:val="20"/>
                <w:szCs w:val="20"/>
              </w:rPr>
            </w:pPr>
            <w:r>
              <w:rPr>
                <w:b/>
                <w:bCs/>
                <w:sz w:val="20"/>
                <w:szCs w:val="20"/>
              </w:rPr>
              <w:t>Other Operating Data</w:t>
            </w:r>
            <w:r>
              <w:rPr>
                <w:b/>
                <w:bCs/>
                <w:sz w:val="20"/>
                <w:szCs w:val="20"/>
              </w:rPr>
              <w:t>:</w:t>
            </w:r>
          </w:p>
        </w:tc>
        <w:tc>
          <w:tcPr>
            <w:tcW w:w="0" w:type="auto"/>
            <w:gridSpan w:val="2"/>
            <w:vAlign w:val="bottom"/>
            <w:hideMark/>
          </w:tcPr>
          <w:p w14:paraId="4EAC88C0"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C070C62"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4572F540"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637766F"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78C76686"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4B51998"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2A399E4"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9535FBF"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6E8D0AC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3E2CCA8"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1ED21F93"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E121C5F"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7D75DC7"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3C35591C"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5A85B64"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06C6EB77"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843E96F" w14:textId="77777777" w:rsidR="00000000" w:rsidRDefault="00632532">
            <w:pPr>
              <w:pStyle w:val="a3"/>
              <w:spacing w:before="0" w:beforeAutospacing="0" w:after="0" w:afterAutospacing="0"/>
              <w:rPr>
                <w:sz w:val="20"/>
                <w:szCs w:val="20"/>
              </w:rPr>
            </w:pPr>
            <w:r>
              <w:rPr>
                <w:sz w:val="20"/>
                <w:szCs w:val="20"/>
              </w:rPr>
              <w:t> </w:t>
            </w:r>
          </w:p>
        </w:tc>
        <w:tc>
          <w:tcPr>
            <w:tcW w:w="0" w:type="auto"/>
            <w:gridSpan w:val="2"/>
            <w:vAlign w:val="bottom"/>
            <w:hideMark/>
          </w:tcPr>
          <w:p w14:paraId="005EF975"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56949E79" w14:textId="77777777" w:rsidR="00000000" w:rsidRDefault="00632532">
            <w:pPr>
              <w:pStyle w:val="a3"/>
              <w:spacing w:before="0" w:beforeAutospacing="0" w:after="0" w:afterAutospacing="0"/>
              <w:jc w:val="right"/>
              <w:rPr>
                <w:sz w:val="20"/>
                <w:szCs w:val="20"/>
              </w:rPr>
            </w:pPr>
            <w:r>
              <w:rPr>
                <w:sz w:val="20"/>
                <w:szCs w:val="20"/>
              </w:rPr>
              <w:t> </w:t>
            </w:r>
          </w:p>
        </w:tc>
        <w:tc>
          <w:tcPr>
            <w:tcW w:w="0" w:type="auto"/>
            <w:vAlign w:val="bottom"/>
            <w:hideMark/>
          </w:tcPr>
          <w:p w14:paraId="1E905EC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391B458" w14:textId="77777777" w:rsidR="00000000" w:rsidRDefault="00632532">
            <w:pPr>
              <w:pStyle w:val="a3"/>
              <w:spacing w:before="0" w:beforeAutospacing="0" w:after="0" w:afterAutospacing="0"/>
              <w:jc w:val="center"/>
              <w:rPr>
                <w:sz w:val="20"/>
                <w:szCs w:val="20"/>
              </w:rPr>
            </w:pPr>
            <w:r>
              <w:rPr>
                <w:sz w:val="20"/>
                <w:szCs w:val="20"/>
              </w:rPr>
              <w:t> </w:t>
            </w:r>
          </w:p>
        </w:tc>
      </w:tr>
      <w:tr w:rsidR="00000000" w14:paraId="1FBBF74A" w14:textId="77777777">
        <w:trPr>
          <w:trHeight w:val="200"/>
          <w:tblCellSpacing w:w="15" w:type="dxa"/>
        </w:trPr>
        <w:tc>
          <w:tcPr>
            <w:tcW w:w="0" w:type="auto"/>
            <w:vAlign w:val="bottom"/>
            <w:hideMark/>
          </w:tcPr>
          <w:p w14:paraId="176D677C" w14:textId="77777777" w:rsidR="00000000" w:rsidRDefault="00632532">
            <w:pPr>
              <w:pStyle w:val="a3"/>
              <w:spacing w:before="0" w:beforeAutospacing="0" w:after="0" w:afterAutospacing="0"/>
              <w:rPr>
                <w:sz w:val="20"/>
                <w:szCs w:val="20"/>
              </w:rPr>
            </w:pPr>
            <w:r>
              <w:rPr>
                <w:sz w:val="20"/>
                <w:szCs w:val="20"/>
              </w:rPr>
              <w:t>Billable tests delivere</w:t>
            </w:r>
            <w:r>
              <w:rPr>
                <w:sz w:val="20"/>
                <w:szCs w:val="20"/>
              </w:rPr>
              <w:t>d</w:t>
            </w:r>
            <w:r>
              <w:rPr>
                <w:sz w:val="13"/>
                <w:szCs w:val="13"/>
              </w:rPr>
              <w:t>(1</w:t>
            </w:r>
            <w:r>
              <w:rPr>
                <w:sz w:val="13"/>
                <w:szCs w:val="13"/>
              </w:rPr>
              <w:t>)</w:t>
            </w:r>
          </w:p>
        </w:tc>
        <w:tc>
          <w:tcPr>
            <w:tcW w:w="0" w:type="auto"/>
            <w:noWrap/>
            <w:vAlign w:val="bottom"/>
            <w:hideMark/>
          </w:tcPr>
          <w:p w14:paraId="5B27BA6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E276175" w14:textId="77777777" w:rsidR="00000000" w:rsidRDefault="00632532">
            <w:pPr>
              <w:pStyle w:val="a3"/>
              <w:spacing w:before="0" w:beforeAutospacing="0" w:after="0" w:afterAutospacing="0"/>
              <w:jc w:val="right"/>
              <w:rPr>
                <w:sz w:val="20"/>
                <w:szCs w:val="20"/>
              </w:rPr>
            </w:pPr>
            <w:r>
              <w:rPr>
                <w:sz w:val="20"/>
                <w:szCs w:val="20"/>
              </w:rPr>
              <w:t>1,33</w:t>
            </w:r>
            <w:r>
              <w:rPr>
                <w:sz w:val="20"/>
                <w:szCs w:val="20"/>
              </w:rPr>
              <w:t>5</w:t>
            </w:r>
          </w:p>
        </w:tc>
        <w:tc>
          <w:tcPr>
            <w:tcW w:w="0" w:type="auto"/>
            <w:noWrap/>
            <w:vAlign w:val="bottom"/>
            <w:hideMark/>
          </w:tcPr>
          <w:p w14:paraId="67D27D0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1133FE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A862F0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8C79B73" w14:textId="77777777" w:rsidR="00000000" w:rsidRDefault="00632532">
            <w:pPr>
              <w:pStyle w:val="a3"/>
              <w:spacing w:before="0" w:beforeAutospacing="0" w:after="0" w:afterAutospacing="0"/>
              <w:jc w:val="right"/>
              <w:rPr>
                <w:sz w:val="20"/>
                <w:szCs w:val="20"/>
              </w:rPr>
            </w:pPr>
            <w:r>
              <w:rPr>
                <w:sz w:val="20"/>
                <w:szCs w:val="20"/>
              </w:rPr>
              <w:t>1,55</w:t>
            </w:r>
            <w:r>
              <w:rPr>
                <w:sz w:val="20"/>
                <w:szCs w:val="20"/>
              </w:rPr>
              <w:t>9</w:t>
            </w:r>
          </w:p>
        </w:tc>
        <w:tc>
          <w:tcPr>
            <w:tcW w:w="0" w:type="auto"/>
            <w:noWrap/>
            <w:vAlign w:val="bottom"/>
            <w:hideMark/>
          </w:tcPr>
          <w:p w14:paraId="1CA37E8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73A6666"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67730F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9E72BC" w14:textId="77777777" w:rsidR="00000000" w:rsidRDefault="00632532">
            <w:pPr>
              <w:pStyle w:val="a3"/>
              <w:spacing w:before="0" w:beforeAutospacing="0" w:after="0" w:afterAutospacing="0"/>
              <w:jc w:val="right"/>
              <w:rPr>
                <w:sz w:val="20"/>
                <w:szCs w:val="20"/>
              </w:rPr>
            </w:pPr>
            <w:r>
              <w:rPr>
                <w:sz w:val="20"/>
                <w:szCs w:val="20"/>
              </w:rPr>
              <w:t>(22</w:t>
            </w:r>
            <w:r>
              <w:rPr>
                <w:sz w:val="20"/>
                <w:szCs w:val="20"/>
              </w:rPr>
              <w:t>4</w:t>
            </w:r>
          </w:p>
        </w:tc>
        <w:tc>
          <w:tcPr>
            <w:tcW w:w="0" w:type="auto"/>
            <w:noWrap/>
            <w:vAlign w:val="bottom"/>
            <w:hideMark/>
          </w:tcPr>
          <w:p w14:paraId="6AA46B9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0BF684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A103407" w14:textId="77777777" w:rsidR="00000000" w:rsidRDefault="00632532">
            <w:pPr>
              <w:pStyle w:val="a3"/>
              <w:spacing w:before="0" w:beforeAutospacing="0" w:after="0" w:afterAutospacing="0"/>
              <w:jc w:val="center"/>
              <w:rPr>
                <w:sz w:val="20"/>
                <w:szCs w:val="20"/>
              </w:rPr>
            </w:pPr>
            <w:r>
              <w:rPr>
                <w:sz w:val="20"/>
                <w:szCs w:val="20"/>
              </w:rPr>
              <w:t>  (14%</w:t>
            </w:r>
            <w:r>
              <w:rPr>
                <w:sz w:val="20"/>
                <w:szCs w:val="20"/>
              </w:rPr>
              <w:t>)</w:t>
            </w:r>
          </w:p>
        </w:tc>
        <w:tc>
          <w:tcPr>
            <w:tcW w:w="0" w:type="auto"/>
            <w:vAlign w:val="bottom"/>
            <w:hideMark/>
          </w:tcPr>
          <w:p w14:paraId="2AA8A7E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33E9EC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45D881D" w14:textId="77777777" w:rsidR="00000000" w:rsidRDefault="00632532">
            <w:pPr>
              <w:pStyle w:val="a3"/>
              <w:spacing w:before="0" w:beforeAutospacing="0" w:after="0" w:afterAutospacing="0"/>
              <w:jc w:val="right"/>
              <w:rPr>
                <w:sz w:val="20"/>
                <w:szCs w:val="20"/>
              </w:rPr>
            </w:pPr>
            <w:r>
              <w:rPr>
                <w:sz w:val="20"/>
                <w:szCs w:val="20"/>
              </w:rPr>
              <w:t>4,55</w:t>
            </w:r>
            <w:r>
              <w:rPr>
                <w:sz w:val="20"/>
                <w:szCs w:val="20"/>
              </w:rPr>
              <w:t>9</w:t>
            </w:r>
          </w:p>
        </w:tc>
        <w:tc>
          <w:tcPr>
            <w:tcW w:w="0" w:type="auto"/>
            <w:noWrap/>
            <w:vAlign w:val="bottom"/>
            <w:hideMark/>
          </w:tcPr>
          <w:p w14:paraId="033BA23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CBF8F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91B10C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E5F3BC6" w14:textId="77777777" w:rsidR="00000000" w:rsidRDefault="00632532">
            <w:pPr>
              <w:pStyle w:val="a3"/>
              <w:spacing w:before="0" w:beforeAutospacing="0" w:after="0" w:afterAutospacing="0"/>
              <w:jc w:val="right"/>
              <w:rPr>
                <w:sz w:val="20"/>
                <w:szCs w:val="20"/>
              </w:rPr>
            </w:pPr>
            <w:r>
              <w:rPr>
                <w:sz w:val="20"/>
                <w:szCs w:val="20"/>
              </w:rPr>
              <w:t>5,33</w:t>
            </w:r>
            <w:r>
              <w:rPr>
                <w:sz w:val="20"/>
                <w:szCs w:val="20"/>
              </w:rPr>
              <w:t>3</w:t>
            </w:r>
          </w:p>
        </w:tc>
        <w:tc>
          <w:tcPr>
            <w:tcW w:w="0" w:type="auto"/>
            <w:noWrap/>
            <w:vAlign w:val="bottom"/>
            <w:hideMark/>
          </w:tcPr>
          <w:p w14:paraId="7684C51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E8ACD7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0DFA1A3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ECD6A3B" w14:textId="77777777" w:rsidR="00000000" w:rsidRDefault="00632532">
            <w:pPr>
              <w:pStyle w:val="a3"/>
              <w:spacing w:before="0" w:beforeAutospacing="0" w:after="0" w:afterAutospacing="0"/>
              <w:jc w:val="right"/>
              <w:rPr>
                <w:sz w:val="20"/>
                <w:szCs w:val="20"/>
              </w:rPr>
            </w:pPr>
            <w:r>
              <w:rPr>
                <w:sz w:val="20"/>
                <w:szCs w:val="20"/>
              </w:rPr>
              <w:t>(77</w:t>
            </w:r>
            <w:r>
              <w:rPr>
                <w:sz w:val="20"/>
                <w:szCs w:val="20"/>
              </w:rPr>
              <w:t>4</w:t>
            </w:r>
          </w:p>
        </w:tc>
        <w:tc>
          <w:tcPr>
            <w:tcW w:w="0" w:type="auto"/>
            <w:noWrap/>
            <w:vAlign w:val="bottom"/>
            <w:hideMark/>
          </w:tcPr>
          <w:p w14:paraId="39712BA1"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5A3A34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BC4BFD" w14:textId="77777777" w:rsidR="00000000" w:rsidRDefault="00632532">
            <w:pPr>
              <w:pStyle w:val="a3"/>
              <w:spacing w:before="0" w:beforeAutospacing="0" w:after="0" w:afterAutospacing="0"/>
              <w:jc w:val="center"/>
              <w:rPr>
                <w:sz w:val="20"/>
                <w:szCs w:val="20"/>
              </w:rPr>
            </w:pPr>
            <w:r>
              <w:rPr>
                <w:sz w:val="20"/>
                <w:szCs w:val="20"/>
              </w:rPr>
              <w:t>  </w:t>
            </w:r>
            <w:r>
              <w:rPr>
                <w:sz w:val="20"/>
                <w:szCs w:val="20"/>
              </w:rPr>
              <w:t>(15%</w:t>
            </w:r>
            <w:r>
              <w:rPr>
                <w:sz w:val="20"/>
                <w:szCs w:val="20"/>
              </w:rPr>
              <w:t>)</w:t>
            </w:r>
          </w:p>
        </w:tc>
      </w:tr>
      <w:tr w:rsidR="00000000" w14:paraId="048E877F" w14:textId="77777777">
        <w:trPr>
          <w:trHeight w:val="200"/>
          <w:tblCellSpacing w:w="15" w:type="dxa"/>
        </w:trPr>
        <w:tc>
          <w:tcPr>
            <w:tcW w:w="0" w:type="auto"/>
            <w:vAlign w:val="bottom"/>
            <w:hideMark/>
          </w:tcPr>
          <w:p w14:paraId="090A8536" w14:textId="77777777" w:rsidR="00000000" w:rsidRDefault="00632532">
            <w:pPr>
              <w:pStyle w:val="a3"/>
              <w:spacing w:before="0" w:beforeAutospacing="0" w:after="0" w:afterAutospacing="0"/>
              <w:rPr>
                <w:sz w:val="20"/>
                <w:szCs w:val="20"/>
              </w:rPr>
            </w:pPr>
            <w:r>
              <w:rPr>
                <w:sz w:val="20"/>
                <w:szCs w:val="20"/>
              </w:rPr>
              <w:t>Average price per billable test delivere</w:t>
            </w:r>
            <w:r>
              <w:rPr>
                <w:sz w:val="20"/>
                <w:szCs w:val="20"/>
              </w:rPr>
              <w:t>d</w:t>
            </w:r>
            <w:r>
              <w:rPr>
                <w:sz w:val="13"/>
                <w:szCs w:val="13"/>
              </w:rPr>
              <w:t>(2</w:t>
            </w:r>
            <w:r>
              <w:rPr>
                <w:sz w:val="13"/>
                <w:szCs w:val="13"/>
              </w:rPr>
              <w:t>)</w:t>
            </w:r>
          </w:p>
        </w:tc>
        <w:tc>
          <w:tcPr>
            <w:tcW w:w="0" w:type="auto"/>
            <w:noWrap/>
            <w:vAlign w:val="bottom"/>
            <w:hideMark/>
          </w:tcPr>
          <w:p w14:paraId="73A52C5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2A35A54" w14:textId="77777777" w:rsidR="00000000" w:rsidRDefault="00632532">
            <w:pPr>
              <w:pStyle w:val="a3"/>
              <w:spacing w:before="0" w:beforeAutospacing="0" w:after="0" w:afterAutospacing="0"/>
              <w:jc w:val="right"/>
              <w:rPr>
                <w:sz w:val="20"/>
                <w:szCs w:val="20"/>
              </w:rPr>
            </w:pPr>
            <w:r>
              <w:rPr>
                <w:sz w:val="20"/>
                <w:szCs w:val="20"/>
              </w:rPr>
              <w:t>9</w:t>
            </w:r>
            <w:r>
              <w:rPr>
                <w:sz w:val="20"/>
                <w:szCs w:val="20"/>
              </w:rPr>
              <w:t>4</w:t>
            </w:r>
          </w:p>
        </w:tc>
        <w:tc>
          <w:tcPr>
            <w:tcW w:w="0" w:type="auto"/>
            <w:noWrap/>
            <w:vAlign w:val="bottom"/>
            <w:hideMark/>
          </w:tcPr>
          <w:p w14:paraId="6FCD161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9D463F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40ADF6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0295DDE" w14:textId="77777777" w:rsidR="00000000" w:rsidRDefault="00632532">
            <w:pPr>
              <w:pStyle w:val="a3"/>
              <w:spacing w:before="0" w:beforeAutospacing="0" w:after="0" w:afterAutospacing="0"/>
              <w:jc w:val="right"/>
              <w:rPr>
                <w:sz w:val="20"/>
                <w:szCs w:val="20"/>
              </w:rPr>
            </w:pPr>
            <w:r>
              <w:rPr>
                <w:sz w:val="20"/>
                <w:szCs w:val="20"/>
              </w:rPr>
              <w:t>9</w:t>
            </w:r>
            <w:r>
              <w:rPr>
                <w:sz w:val="20"/>
                <w:szCs w:val="20"/>
              </w:rPr>
              <w:t>9</w:t>
            </w:r>
          </w:p>
        </w:tc>
        <w:tc>
          <w:tcPr>
            <w:tcW w:w="0" w:type="auto"/>
            <w:noWrap/>
            <w:vAlign w:val="bottom"/>
            <w:hideMark/>
          </w:tcPr>
          <w:p w14:paraId="0E02D34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D6F5B01"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402E88A"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E9FD24C" w14:textId="77777777" w:rsidR="00000000" w:rsidRDefault="00632532">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14:paraId="2453711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30277EF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63F89BF" w14:textId="77777777" w:rsidR="00000000" w:rsidRDefault="00632532">
            <w:pPr>
              <w:pStyle w:val="a3"/>
              <w:spacing w:before="0" w:beforeAutospacing="0" w:after="0" w:afterAutospacing="0"/>
              <w:jc w:val="center"/>
              <w:rPr>
                <w:sz w:val="20"/>
                <w:szCs w:val="20"/>
              </w:rPr>
            </w:pPr>
            <w:r>
              <w:rPr>
                <w:sz w:val="20"/>
                <w:szCs w:val="20"/>
              </w:rPr>
              <w:t>  (5%</w:t>
            </w:r>
            <w:r>
              <w:rPr>
                <w:sz w:val="20"/>
                <w:szCs w:val="20"/>
              </w:rPr>
              <w:t>)</w:t>
            </w:r>
          </w:p>
        </w:tc>
        <w:tc>
          <w:tcPr>
            <w:tcW w:w="0" w:type="auto"/>
            <w:vAlign w:val="bottom"/>
            <w:hideMark/>
          </w:tcPr>
          <w:p w14:paraId="7E945C6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1CAA74C7"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24EAC2A" w14:textId="77777777" w:rsidR="00000000" w:rsidRDefault="00632532">
            <w:pPr>
              <w:pStyle w:val="a3"/>
              <w:spacing w:before="0" w:beforeAutospacing="0" w:after="0" w:afterAutospacing="0"/>
              <w:jc w:val="right"/>
              <w:rPr>
                <w:sz w:val="20"/>
                <w:szCs w:val="20"/>
              </w:rPr>
            </w:pPr>
            <w:r>
              <w:rPr>
                <w:sz w:val="20"/>
                <w:szCs w:val="20"/>
              </w:rPr>
              <w:t>9</w:t>
            </w:r>
            <w:r>
              <w:rPr>
                <w:sz w:val="20"/>
                <w:szCs w:val="20"/>
              </w:rPr>
              <w:t>8</w:t>
            </w:r>
          </w:p>
        </w:tc>
        <w:tc>
          <w:tcPr>
            <w:tcW w:w="0" w:type="auto"/>
            <w:noWrap/>
            <w:vAlign w:val="bottom"/>
            <w:hideMark/>
          </w:tcPr>
          <w:p w14:paraId="2F2FB81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4B6860D"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9417AEF"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0161756" w14:textId="77777777" w:rsidR="00000000" w:rsidRDefault="00632532">
            <w:pPr>
              <w:pStyle w:val="a3"/>
              <w:spacing w:before="0" w:beforeAutospacing="0" w:after="0" w:afterAutospacing="0"/>
              <w:jc w:val="right"/>
              <w:rPr>
                <w:sz w:val="20"/>
                <w:szCs w:val="20"/>
              </w:rPr>
            </w:pPr>
            <w:r>
              <w:rPr>
                <w:sz w:val="20"/>
                <w:szCs w:val="20"/>
              </w:rPr>
              <w:t>9</w:t>
            </w:r>
            <w:r>
              <w:rPr>
                <w:sz w:val="20"/>
                <w:szCs w:val="20"/>
              </w:rPr>
              <w:t>6</w:t>
            </w:r>
          </w:p>
        </w:tc>
        <w:tc>
          <w:tcPr>
            <w:tcW w:w="0" w:type="auto"/>
            <w:noWrap/>
            <w:vAlign w:val="bottom"/>
            <w:hideMark/>
          </w:tcPr>
          <w:p w14:paraId="4A8A297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165914C"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083ED00"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027CB0E" w14:textId="77777777" w:rsidR="00000000" w:rsidRDefault="00632532">
            <w:pPr>
              <w:pStyle w:val="a3"/>
              <w:spacing w:before="0" w:beforeAutospacing="0" w:after="0" w:afterAutospacing="0"/>
              <w:jc w:val="right"/>
              <w:rPr>
                <w:sz w:val="20"/>
                <w:szCs w:val="20"/>
              </w:rPr>
            </w:pPr>
            <w:r>
              <w:rPr>
                <w:sz w:val="20"/>
                <w:szCs w:val="20"/>
              </w:rPr>
              <w:t>2</w:t>
            </w:r>
          </w:p>
        </w:tc>
        <w:tc>
          <w:tcPr>
            <w:tcW w:w="0" w:type="auto"/>
            <w:noWrap/>
            <w:vAlign w:val="bottom"/>
            <w:hideMark/>
          </w:tcPr>
          <w:p w14:paraId="11A5987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8D64EB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097A47F" w14:textId="77777777" w:rsidR="00000000" w:rsidRDefault="00632532">
            <w:pPr>
              <w:pStyle w:val="a3"/>
              <w:spacing w:before="0" w:beforeAutospacing="0" w:after="0" w:afterAutospacing="0"/>
              <w:jc w:val="center"/>
              <w:rPr>
                <w:sz w:val="20"/>
                <w:szCs w:val="20"/>
              </w:rPr>
            </w:pPr>
            <w:r>
              <w:rPr>
                <w:sz w:val="20"/>
                <w:szCs w:val="20"/>
              </w:rPr>
              <w:t>  2</w:t>
            </w:r>
            <w:r>
              <w:rPr>
                <w:sz w:val="20"/>
                <w:szCs w:val="20"/>
              </w:rPr>
              <w:t>%</w:t>
            </w:r>
            <w:r>
              <w:rPr>
                <w:sz w:val="20"/>
                <w:szCs w:val="20"/>
              </w:rPr>
              <w:t xml:space="preserve"> </w:t>
            </w:r>
          </w:p>
        </w:tc>
      </w:tr>
      <w:tr w:rsidR="00000000" w14:paraId="2A47847F" w14:textId="77777777">
        <w:trPr>
          <w:trHeight w:val="200"/>
          <w:tblCellSpacing w:w="15" w:type="dxa"/>
        </w:trPr>
        <w:tc>
          <w:tcPr>
            <w:tcW w:w="0" w:type="auto"/>
            <w:vAlign w:val="bottom"/>
            <w:hideMark/>
          </w:tcPr>
          <w:p w14:paraId="6AF0B347" w14:textId="77777777" w:rsidR="00000000" w:rsidRDefault="00632532">
            <w:pPr>
              <w:pStyle w:val="a3"/>
              <w:spacing w:before="0" w:beforeAutospacing="0" w:after="0" w:afterAutospacing="0"/>
              <w:rPr>
                <w:sz w:val="20"/>
                <w:szCs w:val="20"/>
              </w:rPr>
            </w:pPr>
            <w:r>
              <w:rPr>
                <w:sz w:val="20"/>
                <w:szCs w:val="20"/>
              </w:rPr>
              <w:t>Cost per billable test delivere</w:t>
            </w:r>
            <w:r>
              <w:rPr>
                <w:sz w:val="20"/>
                <w:szCs w:val="20"/>
              </w:rPr>
              <w:t>d</w:t>
            </w:r>
            <w:r>
              <w:rPr>
                <w:sz w:val="13"/>
                <w:szCs w:val="13"/>
              </w:rPr>
              <w:t>(3</w:t>
            </w:r>
            <w:r>
              <w:rPr>
                <w:sz w:val="13"/>
                <w:szCs w:val="13"/>
              </w:rPr>
              <w:t>)</w:t>
            </w:r>
          </w:p>
        </w:tc>
        <w:tc>
          <w:tcPr>
            <w:tcW w:w="0" w:type="auto"/>
            <w:noWrap/>
            <w:vAlign w:val="bottom"/>
            <w:hideMark/>
          </w:tcPr>
          <w:p w14:paraId="2F1AA81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CAEAF5B" w14:textId="77777777" w:rsidR="00000000" w:rsidRDefault="00632532">
            <w:pPr>
              <w:pStyle w:val="a3"/>
              <w:spacing w:before="0" w:beforeAutospacing="0" w:after="0" w:afterAutospacing="0"/>
              <w:jc w:val="right"/>
              <w:rPr>
                <w:sz w:val="20"/>
                <w:szCs w:val="20"/>
              </w:rPr>
            </w:pPr>
            <w:r>
              <w:rPr>
                <w:sz w:val="20"/>
                <w:szCs w:val="20"/>
              </w:rPr>
              <w:t>4</w:t>
            </w:r>
            <w:r>
              <w:rPr>
                <w:sz w:val="20"/>
                <w:szCs w:val="20"/>
              </w:rPr>
              <w:t>5</w:t>
            </w:r>
          </w:p>
        </w:tc>
        <w:tc>
          <w:tcPr>
            <w:tcW w:w="0" w:type="auto"/>
            <w:noWrap/>
            <w:vAlign w:val="bottom"/>
            <w:hideMark/>
          </w:tcPr>
          <w:p w14:paraId="4489F05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AD692AB"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4C5B27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F5D55B9" w14:textId="77777777" w:rsidR="00000000" w:rsidRDefault="00632532">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14:paraId="3AAEA52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9018D7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B9D346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48F0E86D" w14:textId="77777777" w:rsidR="00000000" w:rsidRDefault="00632532">
            <w:pPr>
              <w:pStyle w:val="a3"/>
              <w:spacing w:before="0" w:beforeAutospacing="0" w:after="0" w:afterAutospacing="0"/>
              <w:jc w:val="right"/>
              <w:rPr>
                <w:sz w:val="20"/>
                <w:szCs w:val="20"/>
              </w:rPr>
            </w:pPr>
            <w:r>
              <w:rPr>
                <w:sz w:val="20"/>
                <w:szCs w:val="20"/>
              </w:rPr>
              <w:t>2</w:t>
            </w:r>
            <w:r>
              <w:rPr>
                <w:sz w:val="20"/>
                <w:szCs w:val="20"/>
              </w:rPr>
              <w:t>2</w:t>
            </w:r>
          </w:p>
        </w:tc>
        <w:tc>
          <w:tcPr>
            <w:tcW w:w="0" w:type="auto"/>
            <w:noWrap/>
            <w:vAlign w:val="bottom"/>
            <w:hideMark/>
          </w:tcPr>
          <w:p w14:paraId="5D118B97"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525129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A464865" w14:textId="77777777" w:rsidR="00000000" w:rsidRDefault="00632532">
            <w:pPr>
              <w:pStyle w:val="a3"/>
              <w:spacing w:before="0" w:beforeAutospacing="0" w:after="0" w:afterAutospacing="0"/>
              <w:jc w:val="center"/>
              <w:rPr>
                <w:sz w:val="20"/>
                <w:szCs w:val="20"/>
              </w:rPr>
            </w:pPr>
            <w:r>
              <w:rPr>
                <w:sz w:val="20"/>
                <w:szCs w:val="20"/>
              </w:rPr>
              <w:t>  96</w:t>
            </w:r>
            <w:r>
              <w:rPr>
                <w:sz w:val="20"/>
                <w:szCs w:val="20"/>
              </w:rPr>
              <w:t>%</w:t>
            </w:r>
            <w:r>
              <w:rPr>
                <w:sz w:val="20"/>
                <w:szCs w:val="20"/>
              </w:rPr>
              <w:t xml:space="preserve"> </w:t>
            </w:r>
          </w:p>
        </w:tc>
        <w:tc>
          <w:tcPr>
            <w:tcW w:w="0" w:type="auto"/>
            <w:vAlign w:val="bottom"/>
            <w:hideMark/>
          </w:tcPr>
          <w:p w14:paraId="75545754"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3FA72F7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BD4F579" w14:textId="77777777" w:rsidR="00000000" w:rsidRDefault="00632532">
            <w:pPr>
              <w:pStyle w:val="a3"/>
              <w:spacing w:before="0" w:beforeAutospacing="0" w:after="0" w:afterAutospacing="0"/>
              <w:jc w:val="right"/>
              <w:rPr>
                <w:sz w:val="20"/>
                <w:szCs w:val="20"/>
              </w:rPr>
            </w:pPr>
            <w:r>
              <w:rPr>
                <w:sz w:val="20"/>
                <w:szCs w:val="20"/>
              </w:rPr>
              <w:t>3</w:t>
            </w:r>
            <w:r>
              <w:rPr>
                <w:sz w:val="20"/>
                <w:szCs w:val="20"/>
              </w:rPr>
              <w:t>0</w:t>
            </w:r>
          </w:p>
        </w:tc>
        <w:tc>
          <w:tcPr>
            <w:tcW w:w="0" w:type="auto"/>
            <w:noWrap/>
            <w:vAlign w:val="bottom"/>
            <w:hideMark/>
          </w:tcPr>
          <w:p w14:paraId="03D9E57F"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5945F800"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6C48010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215D1C87" w14:textId="77777777" w:rsidR="00000000" w:rsidRDefault="00632532">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14:paraId="0C1C2191"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E4065D5"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778F7205"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5161B42" w14:textId="77777777" w:rsidR="00000000" w:rsidRDefault="00632532">
            <w:pPr>
              <w:pStyle w:val="a3"/>
              <w:spacing w:before="0" w:beforeAutospacing="0" w:after="0" w:afterAutospacing="0"/>
              <w:jc w:val="right"/>
              <w:rPr>
                <w:sz w:val="20"/>
                <w:szCs w:val="20"/>
              </w:rPr>
            </w:pPr>
            <w:r>
              <w:rPr>
                <w:sz w:val="20"/>
                <w:szCs w:val="20"/>
              </w:rPr>
              <w:t>9</w:t>
            </w:r>
          </w:p>
        </w:tc>
        <w:tc>
          <w:tcPr>
            <w:tcW w:w="0" w:type="auto"/>
            <w:noWrap/>
            <w:vAlign w:val="bottom"/>
            <w:hideMark/>
          </w:tcPr>
          <w:p w14:paraId="4C208D1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7D27F1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162118A" w14:textId="77777777" w:rsidR="00000000" w:rsidRDefault="00632532">
            <w:pPr>
              <w:pStyle w:val="a3"/>
              <w:spacing w:before="0" w:beforeAutospacing="0" w:after="0" w:afterAutospacing="0"/>
              <w:jc w:val="center"/>
              <w:rPr>
                <w:sz w:val="20"/>
                <w:szCs w:val="20"/>
              </w:rPr>
            </w:pPr>
            <w:r>
              <w:rPr>
                <w:sz w:val="20"/>
                <w:szCs w:val="20"/>
              </w:rPr>
              <w:t>  43</w:t>
            </w:r>
            <w:r>
              <w:rPr>
                <w:sz w:val="20"/>
                <w:szCs w:val="20"/>
              </w:rPr>
              <w:t>%</w:t>
            </w:r>
            <w:r>
              <w:rPr>
                <w:sz w:val="20"/>
                <w:szCs w:val="20"/>
              </w:rPr>
              <w:t xml:space="preserve"> </w:t>
            </w:r>
          </w:p>
        </w:tc>
      </w:tr>
    </w:tbl>
    <w:p w14:paraId="14B2B9CF" w14:textId="77777777" w:rsidR="00000000" w:rsidRDefault="00632532">
      <w:pPr>
        <w:pStyle w:val="a3"/>
        <w:spacing w:before="120" w:beforeAutospacing="0" w:after="0" w:afterAutospacing="0"/>
        <w:ind w:hanging="422"/>
        <w:rPr>
          <w:sz w:val="20"/>
          <w:szCs w:val="20"/>
        </w:rPr>
      </w:pPr>
      <w:r>
        <w:rPr>
          <w:sz w:val="20"/>
          <w:szCs w:val="20"/>
        </w:rPr>
        <w:t>* Percentage not meaningful</w:t>
      </w:r>
      <w:r>
        <w:rPr>
          <w:sz w:val="20"/>
          <w:szCs w:val="20"/>
        </w:rPr>
        <w:t>.</w:t>
      </w:r>
    </w:p>
    <w:p w14:paraId="278EE59F" w14:textId="77777777" w:rsidR="00000000" w:rsidRDefault="00632532">
      <w:pPr>
        <w:pStyle w:val="a3"/>
        <w:spacing w:before="120" w:beforeAutospacing="0" w:after="0" w:afterAutospacing="0"/>
        <w:ind w:hanging="422"/>
        <w:rPr>
          <w:sz w:val="20"/>
          <w:szCs w:val="20"/>
        </w:rPr>
      </w:pPr>
      <w:r>
        <w:rPr>
          <w:sz w:val="20"/>
          <w:szCs w:val="20"/>
        </w:rPr>
        <w:t>(1) We determine the number of billable tests delivered in a period by counting the number of tests which are delivered to our customers and for which we bill our customers and recognize some amount of revenue in the period</w:t>
      </w:r>
      <w:r>
        <w:rPr>
          <w:sz w:val="20"/>
          <w:szCs w:val="20"/>
        </w:rPr>
        <w:t>.</w:t>
      </w:r>
    </w:p>
    <w:p w14:paraId="300BD56C" w14:textId="77777777" w:rsidR="00000000" w:rsidRDefault="00632532">
      <w:pPr>
        <w:pStyle w:val="a3"/>
        <w:spacing w:before="120" w:beforeAutospacing="0" w:after="0" w:afterAutospacing="0"/>
        <w:ind w:hanging="422"/>
        <w:rPr>
          <w:sz w:val="20"/>
          <w:szCs w:val="20"/>
        </w:rPr>
      </w:pPr>
      <w:r>
        <w:rPr>
          <w:sz w:val="20"/>
          <w:szCs w:val="20"/>
        </w:rPr>
        <w:t>(2</w:t>
      </w:r>
      <w:r>
        <w:rPr>
          <w:sz w:val="20"/>
          <w:szCs w:val="20"/>
        </w:rPr>
        <w:t>) We calculate the average price per billable test delivered by dividing the amount of revenue we recognized from the billable tests delivered in a period by the number of billable tests delivered in the same period</w:t>
      </w:r>
      <w:r>
        <w:rPr>
          <w:sz w:val="20"/>
          <w:szCs w:val="20"/>
        </w:rPr>
        <w:t>.</w:t>
      </w:r>
      <w:r>
        <w:rPr>
          <w:sz w:val="20"/>
          <w:szCs w:val="20"/>
        </w:rPr>
        <w:t xml:space="preserve"> </w:t>
      </w:r>
    </w:p>
    <w:p w14:paraId="51076B75" w14:textId="77777777" w:rsidR="00000000" w:rsidRDefault="00632532">
      <w:pPr>
        <w:pStyle w:val="a3"/>
        <w:spacing w:before="120" w:beforeAutospacing="0" w:after="0" w:afterAutospacing="0"/>
        <w:ind w:hanging="422"/>
        <w:rPr>
          <w:sz w:val="20"/>
          <w:szCs w:val="20"/>
        </w:rPr>
      </w:pPr>
      <w:r>
        <w:rPr>
          <w:sz w:val="20"/>
          <w:szCs w:val="20"/>
        </w:rPr>
        <w:t>(3) We calculate cost per billable tes</w:t>
      </w:r>
      <w:r>
        <w:rPr>
          <w:sz w:val="20"/>
          <w:szCs w:val="20"/>
        </w:rPr>
        <w:t>t delivered by dividing our cost of revenue in a period by the number of billable tests delivered in the same period</w:t>
      </w:r>
      <w:r>
        <w:rPr>
          <w:sz w:val="20"/>
          <w:szCs w:val="20"/>
        </w:rPr>
        <w:t>.</w:t>
      </w:r>
    </w:p>
    <w:p w14:paraId="24B25A2F" w14:textId="77777777" w:rsidR="00000000" w:rsidRDefault="00632532">
      <w:pPr>
        <w:pStyle w:val="a3"/>
        <w:spacing w:before="240" w:beforeAutospacing="0" w:after="0" w:afterAutospacing="0"/>
        <w:jc w:val="center"/>
        <w:rPr>
          <w:sz w:val="20"/>
          <w:szCs w:val="20"/>
        </w:rPr>
      </w:pPr>
      <w:r>
        <w:rPr>
          <w:sz w:val="20"/>
          <w:szCs w:val="20"/>
        </w:rPr>
        <w:t>2</w:t>
      </w:r>
      <w:r>
        <w:rPr>
          <w:sz w:val="20"/>
          <w:szCs w:val="20"/>
        </w:rPr>
        <w:t>5</w:t>
      </w:r>
    </w:p>
    <w:p w14:paraId="693A83CE" w14:textId="77777777" w:rsidR="00000000" w:rsidRDefault="00632532">
      <w:pPr>
        <w:rPr>
          <w:rFonts w:eastAsia="Times New Roman"/>
        </w:rPr>
      </w:pPr>
      <w:r>
        <w:rPr>
          <w:rFonts w:eastAsia="Times New Roman"/>
        </w:rPr>
        <w:pict w14:anchorId="12380EEA">
          <v:rect id="_x0000_i1051" style="width:0;height:1.5pt" o:hralign="center" o:hrstd="t" o:hr="t" fillcolor="#a0a0a0" stroked="f"/>
        </w:pict>
      </w:r>
    </w:p>
    <w:p w14:paraId="04DF61A9" w14:textId="77777777" w:rsidR="00000000" w:rsidRDefault="00632532">
      <w:pPr>
        <w:pStyle w:val="a3"/>
        <w:spacing w:before="360" w:beforeAutospacing="0" w:after="0" w:afterAutospacing="0"/>
        <w:rPr>
          <w:sz w:val="20"/>
          <w:szCs w:val="20"/>
        </w:rPr>
      </w:pPr>
      <w:r>
        <w:rPr>
          <w:b/>
          <w:bCs/>
          <w:sz w:val="20"/>
          <w:szCs w:val="20"/>
        </w:rPr>
        <w:t>Revenu</w:t>
      </w:r>
      <w:r>
        <w:rPr>
          <w:b/>
          <w:bCs/>
          <w:sz w:val="20"/>
          <w:szCs w:val="20"/>
        </w:rPr>
        <w:t>e</w:t>
      </w:r>
    </w:p>
    <w:p w14:paraId="08B2527C" w14:textId="77777777" w:rsidR="00000000" w:rsidRDefault="00632532">
      <w:pPr>
        <w:pStyle w:val="a3"/>
        <w:spacing w:before="120" w:beforeAutospacing="0" w:after="0" w:afterAutospacing="0"/>
        <w:ind w:firstLine="555"/>
        <w:rPr>
          <w:sz w:val="20"/>
          <w:szCs w:val="20"/>
        </w:rPr>
      </w:pPr>
      <w:r>
        <w:rPr>
          <w:sz w:val="20"/>
          <w:szCs w:val="20"/>
        </w:rPr>
        <w:t>Revenue decreased $28.3 million, or 18%, from $153.6 million in the three months ended June 30, 2021 to $125.3 million in the three months ended June 30, 2022, and decreased $67.4 million, or 13%, from $513.0 mil</w:t>
      </w:r>
      <w:r>
        <w:rPr>
          <w:sz w:val="20"/>
          <w:szCs w:val="20"/>
        </w:rPr>
        <w:t>lion in the six months ended June 30, 2021 to $445.6 million in the six months ended June 30, 2022. The decreases in revenue between periods were primarily due to decreases in the number of billable tests delivered, primarily related to decreased orders fo</w:t>
      </w:r>
      <w:r>
        <w:rPr>
          <w:sz w:val="20"/>
          <w:szCs w:val="20"/>
        </w:rPr>
        <w:t>r our COVID-19 tests</w:t>
      </w:r>
      <w:r>
        <w:rPr>
          <w:sz w:val="20"/>
          <w:szCs w:val="20"/>
        </w:rPr>
        <w:t>.</w:t>
      </w:r>
      <w:r>
        <w:rPr>
          <w:sz w:val="20"/>
          <w:szCs w:val="20"/>
        </w:rPr>
        <w:t xml:space="preserve"> </w:t>
      </w:r>
    </w:p>
    <w:p w14:paraId="3C131A77" w14:textId="77777777" w:rsidR="00000000" w:rsidRDefault="00632532">
      <w:pPr>
        <w:pStyle w:val="a3"/>
        <w:spacing w:before="240" w:beforeAutospacing="0" w:after="0" w:afterAutospacing="0"/>
        <w:ind w:firstLine="555"/>
        <w:rPr>
          <w:sz w:val="20"/>
          <w:szCs w:val="20"/>
        </w:rPr>
      </w:pPr>
      <w:r>
        <w:rPr>
          <w:sz w:val="20"/>
          <w:szCs w:val="20"/>
        </w:rPr>
        <w:t>The average price of the billable tests we delivered decreased from $99 in the three months ended June 30, 2021 to $94 in the three months ended June 30, 2022, and increased from $96 in the six months ended June 30, 2021 to $98 in th</w:t>
      </w:r>
      <w:r>
        <w:rPr>
          <w:sz w:val="20"/>
          <w:szCs w:val="20"/>
        </w:rPr>
        <w:t>e six months ended June 30, 2022. The change in average price between periods was due to the mix of tests delivered and the mix of customers ordering tests in these periods, who may order tests at different rates depending on the arrangements we have negot</w:t>
      </w:r>
      <w:r>
        <w:rPr>
          <w:sz w:val="20"/>
          <w:szCs w:val="20"/>
        </w:rPr>
        <w:t>iated with them</w:t>
      </w:r>
      <w:r>
        <w:rPr>
          <w:sz w:val="20"/>
          <w:szCs w:val="20"/>
        </w:rPr>
        <w:t>.</w:t>
      </w:r>
    </w:p>
    <w:p w14:paraId="43EB22A5" w14:textId="77777777" w:rsidR="00000000" w:rsidRDefault="00632532">
      <w:pPr>
        <w:pStyle w:val="a3"/>
        <w:spacing w:before="240" w:beforeAutospacing="0" w:after="0" w:afterAutospacing="0"/>
        <w:ind w:firstLine="555"/>
        <w:rPr>
          <w:sz w:val="20"/>
          <w:szCs w:val="20"/>
        </w:rPr>
      </w:pPr>
      <w:r>
        <w:rPr>
          <w:sz w:val="20"/>
          <w:szCs w:val="20"/>
        </w:rPr>
        <w:t>Revenue from non-U.S. sources decreased $509,000, or 14%, from $3.8 million in the three months ended June 30, 2021 to $3.2 million in the three months ended June 30, 2022, and increased $677,000, or 12%, from $5.6 million in six months en</w:t>
      </w:r>
      <w:r>
        <w:rPr>
          <w:sz w:val="20"/>
          <w:szCs w:val="20"/>
        </w:rPr>
        <w:t>ded June 30, 2021 to $6.3 million in the six months ended June 30, 2022. The changes in revenue from non-U.S. sources between periods were due to timing of sales of core genetic testing services to customers in China and other non-US countries</w:t>
      </w:r>
      <w:r>
        <w:rPr>
          <w:sz w:val="20"/>
          <w:szCs w:val="20"/>
        </w:rPr>
        <w:t>.</w:t>
      </w:r>
    </w:p>
    <w:p w14:paraId="2E9CDE7F" w14:textId="77777777" w:rsidR="00000000" w:rsidRDefault="00632532">
      <w:pPr>
        <w:pStyle w:val="a3"/>
        <w:spacing w:before="240" w:beforeAutospacing="0" w:after="0" w:afterAutospacing="0"/>
        <w:ind w:firstLine="555"/>
        <w:rPr>
          <w:sz w:val="20"/>
          <w:szCs w:val="20"/>
        </w:rPr>
      </w:pPr>
      <w:r>
        <w:rPr>
          <w:sz w:val="20"/>
          <w:szCs w:val="20"/>
        </w:rPr>
        <w:t xml:space="preserve">The number </w:t>
      </w:r>
      <w:r>
        <w:rPr>
          <w:sz w:val="20"/>
          <w:szCs w:val="20"/>
        </w:rPr>
        <w:t xml:space="preserve">of billable tests we delivered decreased 224,000, from 1.6 million in the three months ended June 30, 2021 to 1.3 million in the three months ended June 30, 2022, and decreased 774,000, from 5.3 million in the six months ended June 30, 2021 to 4.6 million </w:t>
      </w:r>
      <w:r>
        <w:rPr>
          <w:sz w:val="20"/>
          <w:szCs w:val="20"/>
        </w:rPr>
        <w:t>in the six months ended June 30, 2022. The decrease was primarily attributable to the decrease of COVID-19 tests</w:t>
      </w:r>
      <w:r>
        <w:rPr>
          <w:sz w:val="20"/>
          <w:szCs w:val="20"/>
        </w:rPr>
        <w:t>.</w:t>
      </w:r>
    </w:p>
    <w:p w14:paraId="53107DB6" w14:textId="77777777" w:rsidR="00000000" w:rsidRDefault="00632532">
      <w:pPr>
        <w:pStyle w:val="a3"/>
        <w:spacing w:before="240" w:beforeAutospacing="0" w:after="0" w:afterAutospacing="0"/>
        <w:ind w:firstLine="555"/>
        <w:rPr>
          <w:sz w:val="20"/>
          <w:szCs w:val="20"/>
        </w:rPr>
      </w:pPr>
      <w:r>
        <w:rPr>
          <w:sz w:val="20"/>
          <w:szCs w:val="20"/>
        </w:rPr>
        <w:t>After aggregating customers that are under common control or affiliation, two customers contributed 15% and 12% of the Company’s revenue in th</w:t>
      </w:r>
      <w:r>
        <w:rPr>
          <w:sz w:val="20"/>
          <w:szCs w:val="20"/>
        </w:rPr>
        <w:t>e three months ended June 30, 2022, respectively, and one customer contributed 23% of the Company’s revenue in the six months ended June 30, 2022. Two customers contributed 20% and 16% of the Company’s revenue for the three months ended June 30, 2021, resp</w:t>
      </w:r>
      <w:r>
        <w:rPr>
          <w:sz w:val="20"/>
          <w:szCs w:val="20"/>
        </w:rPr>
        <w:t>ectively, and two customers contributed 24% and 11% of the Company’s revenue for the six months ended June 30, 2021, respectivel</w:t>
      </w:r>
      <w:r>
        <w:rPr>
          <w:sz w:val="20"/>
          <w:szCs w:val="20"/>
        </w:rPr>
        <w:t>y</w:t>
      </w:r>
    </w:p>
    <w:p w14:paraId="3AB38536" w14:textId="77777777" w:rsidR="00000000" w:rsidRDefault="00632532">
      <w:pPr>
        <w:pStyle w:val="a3"/>
        <w:spacing w:before="360" w:beforeAutospacing="0" w:after="0" w:afterAutospacing="0"/>
        <w:rPr>
          <w:sz w:val="20"/>
          <w:szCs w:val="20"/>
        </w:rPr>
      </w:pPr>
      <w:r>
        <w:rPr>
          <w:b/>
          <w:bCs/>
          <w:sz w:val="20"/>
          <w:szCs w:val="20"/>
        </w:rPr>
        <w:t>Cost of Revenu</w:t>
      </w:r>
      <w:r>
        <w:rPr>
          <w:b/>
          <w:bCs/>
          <w:sz w:val="20"/>
          <w:szCs w:val="20"/>
        </w:rPr>
        <w:t>e</w:t>
      </w:r>
    </w:p>
    <w:p w14:paraId="140A3725" w14:textId="77777777" w:rsidR="00000000" w:rsidRDefault="00632532">
      <w:pPr>
        <w:pStyle w:val="a3"/>
        <w:spacing w:before="120" w:beforeAutospacing="0" w:after="0" w:afterAutospacing="0"/>
        <w:ind w:firstLine="555"/>
        <w:rPr>
          <w:sz w:val="20"/>
          <w:szCs w:val="20"/>
        </w:rPr>
      </w:pPr>
      <w:r>
        <w:rPr>
          <w:sz w:val="20"/>
          <w:szCs w:val="20"/>
        </w:rPr>
        <w:t>Cost of revenue increased $24.2 million, or 68%, from $35.9 million in the three months ended June 30, 2021 to</w:t>
      </w:r>
      <w:r>
        <w:rPr>
          <w:sz w:val="20"/>
          <w:szCs w:val="20"/>
        </w:rPr>
        <w:t xml:space="preserve"> $60.1 million in the three months ended June 30, 2022. The increase was primarily due to increases of $14.1 million in personnel costs including equity-based compensation expense related to increased headcount, $3.9 million in depreciation expenses relate</w:t>
      </w:r>
      <w:r>
        <w:rPr>
          <w:sz w:val="20"/>
          <w:szCs w:val="20"/>
        </w:rPr>
        <w:t>d to medical lab equipment purchased and additional depreciation expense from the entity recent acquired, $2.5 million related to allocated facility expenses, $1.9 million in consulting and outside labor costs for production, and $1.2 million in shipping a</w:t>
      </w:r>
      <w:r>
        <w:rPr>
          <w:sz w:val="20"/>
          <w:szCs w:val="20"/>
        </w:rPr>
        <w:t>nd handling expense from the entity recently acquired, and partially offset by a decrease of $1.4 million in software expense related to usage of COVID-19 testing software</w:t>
      </w:r>
      <w:r>
        <w:rPr>
          <w:sz w:val="20"/>
          <w:szCs w:val="20"/>
        </w:rPr>
        <w:t>.</w:t>
      </w:r>
    </w:p>
    <w:p w14:paraId="66F247B4" w14:textId="77777777" w:rsidR="00000000" w:rsidRDefault="00632532">
      <w:pPr>
        <w:pStyle w:val="a3"/>
        <w:spacing w:before="240" w:beforeAutospacing="0" w:after="0" w:afterAutospacing="0"/>
        <w:ind w:firstLine="555"/>
        <w:rPr>
          <w:sz w:val="20"/>
          <w:szCs w:val="20"/>
        </w:rPr>
      </w:pPr>
      <w:r>
        <w:rPr>
          <w:sz w:val="20"/>
          <w:szCs w:val="20"/>
        </w:rPr>
        <w:t>Cost of revenue increased $27.9 million, or 25%, from $109.9 million in the six mon</w:t>
      </w:r>
      <w:r>
        <w:rPr>
          <w:sz w:val="20"/>
          <w:szCs w:val="20"/>
        </w:rPr>
        <w:t>ths ended June 30, 2021 to $137.8 million in the six months ended June 30, 2022. The increase was primarily due to increases of $18.3 million in personnel costs including equity-based compensation expense related to increased headcount, $9.0 million in con</w:t>
      </w:r>
      <w:r>
        <w:rPr>
          <w:sz w:val="20"/>
          <w:szCs w:val="20"/>
        </w:rPr>
        <w:t>sulting and outside labor costs for production, $5.6 million in depreciation expenses related to medical lab equipment purchased and additional depreciation expense from the entity recently acquired, and $2.4 million related to allocated facility expenses,</w:t>
      </w:r>
      <w:r>
        <w:rPr>
          <w:sz w:val="20"/>
          <w:szCs w:val="20"/>
        </w:rPr>
        <w:t xml:space="preserve"> and partially offset by decreases of $6.0 million in reagent and supply expenses related to decreased billable tests delivered, and $3.1 million in software expense related to usage of COVID-19 testing software</w:t>
      </w:r>
      <w:r>
        <w:rPr>
          <w:sz w:val="20"/>
          <w:szCs w:val="20"/>
        </w:rPr>
        <w:t>.</w:t>
      </w:r>
    </w:p>
    <w:p w14:paraId="77B5A63E" w14:textId="77777777" w:rsidR="00000000" w:rsidRDefault="00632532">
      <w:pPr>
        <w:pStyle w:val="a3"/>
        <w:spacing w:before="240" w:beforeAutospacing="0" w:after="0" w:afterAutospacing="0"/>
        <w:ind w:firstLine="555"/>
        <w:rPr>
          <w:sz w:val="20"/>
          <w:szCs w:val="20"/>
        </w:rPr>
      </w:pPr>
      <w:r>
        <w:rPr>
          <w:sz w:val="20"/>
          <w:szCs w:val="20"/>
        </w:rPr>
        <w:t xml:space="preserve">Cost per billable test delivered increased </w:t>
      </w:r>
      <w:r>
        <w:rPr>
          <w:sz w:val="20"/>
          <w:szCs w:val="20"/>
        </w:rPr>
        <w:t>$22, or 96%, from $23 in the three months ended June 30, 2021 to $45 in the three months ended June 30, 2022, and increased $9, or 43%, from $21 in the six months ended June 30, 2021 to $30 in the six months ended June 30, 2022. The increase in cost per bi</w:t>
      </w:r>
      <w:r>
        <w:rPr>
          <w:sz w:val="20"/>
          <w:szCs w:val="20"/>
        </w:rPr>
        <w:t>llable tests was primarily due to the mix of tests we delivered in 2022 and different cost structure of the recently acquired entity</w:t>
      </w:r>
      <w:r>
        <w:rPr>
          <w:sz w:val="20"/>
          <w:szCs w:val="20"/>
        </w:rPr>
        <w:t>.</w:t>
      </w:r>
    </w:p>
    <w:p w14:paraId="0EB7A145" w14:textId="77777777" w:rsidR="00000000" w:rsidRDefault="00632532">
      <w:pPr>
        <w:pStyle w:val="a3"/>
        <w:spacing w:before="240" w:beforeAutospacing="0" w:after="0" w:afterAutospacing="0"/>
        <w:jc w:val="center"/>
        <w:rPr>
          <w:sz w:val="20"/>
          <w:szCs w:val="20"/>
        </w:rPr>
      </w:pPr>
      <w:r>
        <w:rPr>
          <w:sz w:val="20"/>
          <w:szCs w:val="20"/>
        </w:rPr>
        <w:t>2</w:t>
      </w:r>
      <w:r>
        <w:rPr>
          <w:sz w:val="20"/>
          <w:szCs w:val="20"/>
        </w:rPr>
        <w:t>6</w:t>
      </w:r>
    </w:p>
    <w:p w14:paraId="35B29A93" w14:textId="77777777" w:rsidR="00000000" w:rsidRDefault="00632532">
      <w:pPr>
        <w:rPr>
          <w:rFonts w:eastAsia="Times New Roman"/>
        </w:rPr>
      </w:pPr>
      <w:r>
        <w:rPr>
          <w:rFonts w:eastAsia="Times New Roman"/>
        </w:rPr>
        <w:pict w14:anchorId="0BA0D086">
          <v:rect id="_x0000_i1052" style="width:0;height:1.5pt" o:hralign="center" o:hrstd="t" o:hr="t" fillcolor="#a0a0a0" stroked="f"/>
        </w:pict>
      </w:r>
    </w:p>
    <w:p w14:paraId="1FE0D052" w14:textId="77777777" w:rsidR="00000000" w:rsidRDefault="00632532">
      <w:pPr>
        <w:pStyle w:val="a3"/>
        <w:spacing w:before="240" w:beforeAutospacing="0" w:after="0" w:afterAutospacing="0"/>
        <w:ind w:firstLine="555"/>
        <w:rPr>
          <w:sz w:val="20"/>
          <w:szCs w:val="20"/>
        </w:rPr>
      </w:pPr>
      <w:r>
        <w:rPr>
          <w:sz w:val="20"/>
          <w:szCs w:val="20"/>
        </w:rPr>
        <w:t xml:space="preserve">Our gross profit decreased $52.5 million, from $117.8 million in the three months </w:t>
      </w:r>
      <w:r>
        <w:rPr>
          <w:sz w:val="20"/>
          <w:szCs w:val="20"/>
        </w:rPr>
        <w:t>ended June 30, 2021 to $65.3 million in the three months ended June 30, 2022, and decreased $95.3 million, from $403.1 million in the six months ended June 30, 2021 to $307.8 million in the six months ended June 30, 2022. Our gross profit as a percentage o</w:t>
      </w:r>
      <w:r>
        <w:rPr>
          <w:sz w:val="20"/>
          <w:szCs w:val="20"/>
        </w:rPr>
        <w:t>f revenue, or gross margin, decreased from 76.7% to 52.1% between three months ended June 30, 2021 and 2022, and decreased from 78.6% to 69.1% between six months ended June 30, 2021 and 2022, due to the decrease in revenue and increases in our cost per bil</w:t>
      </w:r>
      <w:r>
        <w:rPr>
          <w:sz w:val="20"/>
          <w:szCs w:val="20"/>
        </w:rPr>
        <w:t>lable test and cost of revenue for reasons described above</w:t>
      </w:r>
      <w:r>
        <w:rPr>
          <w:sz w:val="20"/>
          <w:szCs w:val="20"/>
        </w:rPr>
        <w:t>.</w:t>
      </w:r>
    </w:p>
    <w:p w14:paraId="0EA4A83E" w14:textId="77777777" w:rsidR="00000000" w:rsidRDefault="00632532">
      <w:pPr>
        <w:pStyle w:val="a3"/>
        <w:spacing w:before="360" w:beforeAutospacing="0" w:after="0" w:afterAutospacing="0"/>
        <w:rPr>
          <w:sz w:val="20"/>
          <w:szCs w:val="20"/>
        </w:rPr>
      </w:pPr>
      <w:r>
        <w:rPr>
          <w:b/>
          <w:bCs/>
          <w:sz w:val="20"/>
          <w:szCs w:val="20"/>
        </w:rPr>
        <w:t>Research and Developmen</w:t>
      </w:r>
      <w:r>
        <w:rPr>
          <w:b/>
          <w:bCs/>
          <w:sz w:val="20"/>
          <w:szCs w:val="20"/>
        </w:rPr>
        <w:t>t</w:t>
      </w:r>
    </w:p>
    <w:p w14:paraId="5DD70CD1" w14:textId="77777777" w:rsidR="00000000" w:rsidRDefault="00632532">
      <w:pPr>
        <w:pStyle w:val="a3"/>
        <w:spacing w:before="120" w:beforeAutospacing="0" w:after="0" w:afterAutospacing="0"/>
        <w:ind w:firstLine="555"/>
        <w:rPr>
          <w:sz w:val="20"/>
          <w:szCs w:val="20"/>
        </w:rPr>
      </w:pPr>
      <w:r>
        <w:rPr>
          <w:sz w:val="20"/>
          <w:szCs w:val="20"/>
        </w:rPr>
        <w:t xml:space="preserve">Research and development expenses increased $1.6 million, or 30%, from $5.3 million in the three months ended June 30, 2021 to $6.9 million in the three months ended June </w:t>
      </w:r>
      <w:r>
        <w:rPr>
          <w:sz w:val="20"/>
          <w:szCs w:val="20"/>
        </w:rPr>
        <w:t>30, 2022. The increase was primarily due to increases of $1.7 million in personnel costs including equity-based compensation expense related to increased headcount, and $386,000 in reagent and supply expenses related to increased reagent usage for research</w:t>
      </w:r>
      <w:r>
        <w:rPr>
          <w:sz w:val="20"/>
          <w:szCs w:val="20"/>
        </w:rPr>
        <w:t>, partially offset by a decrease of $750,000 in donations to COVID-19 research fund and colorectal cancer research made in the prior year but not in the current year</w:t>
      </w:r>
      <w:r>
        <w:rPr>
          <w:sz w:val="20"/>
          <w:szCs w:val="20"/>
        </w:rPr>
        <w:t>.</w:t>
      </w:r>
    </w:p>
    <w:p w14:paraId="1E1393E8" w14:textId="77777777" w:rsidR="00000000" w:rsidRDefault="00632532">
      <w:pPr>
        <w:pStyle w:val="a3"/>
        <w:spacing w:before="240" w:beforeAutospacing="0" w:after="0" w:afterAutospacing="0"/>
        <w:ind w:firstLine="555"/>
        <w:rPr>
          <w:sz w:val="20"/>
          <w:szCs w:val="20"/>
        </w:rPr>
      </w:pPr>
      <w:r>
        <w:rPr>
          <w:sz w:val="20"/>
          <w:szCs w:val="20"/>
        </w:rPr>
        <w:t>Research and development expenses increased $2.2 million, or 20%, from $10.7 million in t</w:t>
      </w:r>
      <w:r>
        <w:rPr>
          <w:sz w:val="20"/>
          <w:szCs w:val="20"/>
        </w:rPr>
        <w:t>he six months ended June 30, 2021 to $12.9 million in the six months ended June 30, 2022. The increase was primarily due to increases of $3.0 million in personnel costs including equity-based compensation expense related to increased headcount, partially o</w:t>
      </w:r>
      <w:r>
        <w:rPr>
          <w:sz w:val="20"/>
          <w:szCs w:val="20"/>
        </w:rPr>
        <w:t>ffset by a decrease of $750,000 in donations to COVID-19 research fund and colorectal cancer research made in the prior year but not in the current year</w:t>
      </w:r>
      <w:r>
        <w:rPr>
          <w:sz w:val="20"/>
          <w:szCs w:val="20"/>
        </w:rPr>
        <w:t>.</w:t>
      </w:r>
    </w:p>
    <w:p w14:paraId="701DE6EC" w14:textId="77777777" w:rsidR="00000000" w:rsidRDefault="00632532">
      <w:pPr>
        <w:pStyle w:val="a3"/>
        <w:spacing w:before="360" w:beforeAutospacing="0" w:after="0" w:afterAutospacing="0"/>
        <w:rPr>
          <w:sz w:val="20"/>
          <w:szCs w:val="20"/>
        </w:rPr>
      </w:pPr>
      <w:r>
        <w:rPr>
          <w:b/>
          <w:bCs/>
          <w:sz w:val="20"/>
          <w:szCs w:val="20"/>
        </w:rPr>
        <w:t>Selling and Marketin</w:t>
      </w:r>
      <w:r>
        <w:rPr>
          <w:b/>
          <w:bCs/>
          <w:sz w:val="20"/>
          <w:szCs w:val="20"/>
        </w:rPr>
        <w:t>g</w:t>
      </w:r>
    </w:p>
    <w:p w14:paraId="4630DC0D" w14:textId="77777777" w:rsidR="00000000" w:rsidRDefault="00632532">
      <w:pPr>
        <w:pStyle w:val="a3"/>
        <w:spacing w:before="120" w:beforeAutospacing="0" w:after="0" w:afterAutospacing="0"/>
        <w:ind w:firstLine="555"/>
        <w:rPr>
          <w:sz w:val="20"/>
          <w:szCs w:val="20"/>
        </w:rPr>
      </w:pPr>
      <w:r>
        <w:rPr>
          <w:sz w:val="20"/>
          <w:szCs w:val="20"/>
        </w:rPr>
        <w:t>Selling and marketing expenses increased $5.6 million, or 108% from $5.2 million</w:t>
      </w:r>
      <w:r>
        <w:rPr>
          <w:sz w:val="20"/>
          <w:szCs w:val="20"/>
        </w:rPr>
        <w:t xml:space="preserve"> in the three months ended June 30, 2021 to $10.9 million in the three months ended June 30, 2022. The increase was primarily due to increases of $3.5 million in personnel costs including equity-based compensation expense related to increased headcount, $1</w:t>
      </w:r>
      <w:r>
        <w:rPr>
          <w:sz w:val="20"/>
          <w:szCs w:val="20"/>
        </w:rPr>
        <w:t>.1 million in software expense from the entity recently acquired, and $356,000 related to allocated facility expenses</w:t>
      </w:r>
      <w:r>
        <w:rPr>
          <w:sz w:val="20"/>
          <w:szCs w:val="20"/>
        </w:rPr>
        <w:t>.</w:t>
      </w:r>
    </w:p>
    <w:p w14:paraId="5B76C35A" w14:textId="77777777" w:rsidR="00000000" w:rsidRDefault="00632532">
      <w:pPr>
        <w:pStyle w:val="a3"/>
        <w:spacing w:before="240" w:beforeAutospacing="0" w:after="0" w:afterAutospacing="0"/>
        <w:ind w:firstLine="555"/>
        <w:rPr>
          <w:sz w:val="20"/>
          <w:szCs w:val="20"/>
        </w:rPr>
      </w:pPr>
      <w:r>
        <w:rPr>
          <w:sz w:val="20"/>
          <w:szCs w:val="20"/>
        </w:rPr>
        <w:t>Selling and marketing expenses increased $8.6 million, or 84% from $10.2 million in the six months ended June 30, 2021 to $18.8 million i</w:t>
      </w:r>
      <w:r>
        <w:rPr>
          <w:sz w:val="20"/>
          <w:szCs w:val="20"/>
        </w:rPr>
        <w:t>n the six months ended June 30, 2022. The increase was primarily due to increases of $5.4 million in personnel costs including equity-based compensation expense related to increased headcount, $1.1 million in software expense from the entity recently acqui</w:t>
      </w:r>
      <w:r>
        <w:rPr>
          <w:sz w:val="20"/>
          <w:szCs w:val="20"/>
        </w:rPr>
        <w:t>red, $1.0 million in consulting and outside labor related to marketing projects in the current period, $463,000 in travel expenses, and $385,000 related to allocated facility expenses</w:t>
      </w:r>
      <w:r>
        <w:rPr>
          <w:sz w:val="20"/>
          <w:szCs w:val="20"/>
        </w:rPr>
        <w:t>.</w:t>
      </w:r>
    </w:p>
    <w:p w14:paraId="76312B5C" w14:textId="77777777" w:rsidR="00000000" w:rsidRDefault="00632532">
      <w:pPr>
        <w:pStyle w:val="a3"/>
        <w:spacing w:before="360" w:beforeAutospacing="0" w:after="0" w:afterAutospacing="0"/>
        <w:rPr>
          <w:sz w:val="20"/>
          <w:szCs w:val="20"/>
        </w:rPr>
      </w:pPr>
      <w:r>
        <w:rPr>
          <w:b/>
          <w:bCs/>
          <w:sz w:val="20"/>
          <w:szCs w:val="20"/>
        </w:rPr>
        <w:t>General and Administrativ</w:t>
      </w:r>
      <w:r>
        <w:rPr>
          <w:b/>
          <w:bCs/>
          <w:sz w:val="20"/>
          <w:szCs w:val="20"/>
        </w:rPr>
        <w:t>e</w:t>
      </w:r>
    </w:p>
    <w:p w14:paraId="57595631" w14:textId="77777777" w:rsidR="00000000" w:rsidRDefault="00632532">
      <w:pPr>
        <w:pStyle w:val="a3"/>
        <w:spacing w:before="120" w:beforeAutospacing="0" w:after="0" w:afterAutospacing="0"/>
        <w:ind w:firstLine="555"/>
        <w:rPr>
          <w:sz w:val="20"/>
          <w:szCs w:val="20"/>
        </w:rPr>
      </w:pPr>
      <w:r>
        <w:rPr>
          <w:sz w:val="20"/>
          <w:szCs w:val="20"/>
        </w:rPr>
        <w:t>General and administrative expenses increase</w:t>
      </w:r>
      <w:r>
        <w:rPr>
          <w:sz w:val="20"/>
          <w:szCs w:val="20"/>
        </w:rPr>
        <w:t xml:space="preserve">d $21.9 million, or 263% from $8.3 million in the three months ended June 30, 2021 to $30.2 million in the three months ended June 30, 2022. The increase was primarily due to increases of $6.4 million in personnel costs including equity-based compensation </w:t>
      </w:r>
      <w:r>
        <w:rPr>
          <w:sz w:val="20"/>
          <w:szCs w:val="20"/>
        </w:rPr>
        <w:t>expense related to increased headcount, $5.2 million in acquisition related costs, $5.0 million in additional provision for credit losses, $1.0 million in consulting and outside labor costs, $929,000 related to allocated facility expenses, $882,000 in busi</w:t>
      </w:r>
      <w:r>
        <w:rPr>
          <w:sz w:val="20"/>
          <w:szCs w:val="20"/>
        </w:rPr>
        <w:t>ness insurance expenses, and $748,000 in software expenses due to increases in software and licensing related to COVID-19 tests</w:t>
      </w:r>
      <w:r>
        <w:rPr>
          <w:sz w:val="20"/>
          <w:szCs w:val="20"/>
        </w:rPr>
        <w:t>.</w:t>
      </w:r>
    </w:p>
    <w:p w14:paraId="194C73B0" w14:textId="77777777" w:rsidR="00000000" w:rsidRDefault="00632532">
      <w:pPr>
        <w:pStyle w:val="a3"/>
        <w:spacing w:before="240" w:beforeAutospacing="0" w:after="0" w:afterAutospacing="0"/>
        <w:ind w:firstLine="555"/>
        <w:rPr>
          <w:sz w:val="20"/>
          <w:szCs w:val="20"/>
        </w:rPr>
      </w:pPr>
      <w:r>
        <w:rPr>
          <w:sz w:val="20"/>
          <w:szCs w:val="20"/>
        </w:rPr>
        <w:t>General and administrative expenses increased $39.7 million, or 243% from $16.3 million in the six months ended June 30, 2021 t</w:t>
      </w:r>
      <w:r>
        <w:rPr>
          <w:sz w:val="20"/>
          <w:szCs w:val="20"/>
        </w:rPr>
        <w:t>o $56.0 million in the six months ended June 30, 2022. The increase was primarily due to $15.5 million in additional provision for credit losses, $9.3 million in personnel costs including equity-based compensation expense related to increased headcount, $6</w:t>
      </w:r>
      <w:r>
        <w:rPr>
          <w:sz w:val="20"/>
          <w:szCs w:val="20"/>
        </w:rPr>
        <w:t>.4 million in acquisition related costs, $1.8 million in legal and professional fees primarily related to general corporate matters, $1.4 million in consulting and outside labor costs, $1.3 million in business insurance expenses, $976,000 related to alloca</w:t>
      </w:r>
      <w:r>
        <w:rPr>
          <w:sz w:val="20"/>
          <w:szCs w:val="20"/>
        </w:rPr>
        <w:t>ted facility expenses, and $958,000 in accounting fees related to financial statement and internal control audits</w:t>
      </w:r>
      <w:r>
        <w:rPr>
          <w:sz w:val="20"/>
          <w:szCs w:val="20"/>
        </w:rPr>
        <w:t>.</w:t>
      </w:r>
    </w:p>
    <w:p w14:paraId="24FEF145" w14:textId="77777777" w:rsidR="00000000" w:rsidRDefault="00632532">
      <w:pPr>
        <w:pStyle w:val="a3"/>
        <w:spacing w:before="360" w:beforeAutospacing="0" w:after="0" w:afterAutospacing="0"/>
        <w:rPr>
          <w:sz w:val="20"/>
          <w:szCs w:val="20"/>
        </w:rPr>
      </w:pPr>
      <w:r>
        <w:rPr>
          <w:b/>
          <w:bCs/>
          <w:sz w:val="20"/>
          <w:szCs w:val="20"/>
        </w:rPr>
        <w:t>Amortization of Intangible Asset</w:t>
      </w:r>
      <w:r>
        <w:rPr>
          <w:b/>
          <w:bCs/>
          <w:sz w:val="20"/>
          <w:szCs w:val="20"/>
        </w:rPr>
        <w:t>s</w:t>
      </w:r>
    </w:p>
    <w:p w14:paraId="637A9EBC" w14:textId="77777777" w:rsidR="00000000" w:rsidRDefault="00632532">
      <w:pPr>
        <w:pStyle w:val="a3"/>
        <w:spacing w:before="120" w:beforeAutospacing="0" w:after="0" w:afterAutospacing="0"/>
        <w:ind w:firstLine="555"/>
        <w:rPr>
          <w:sz w:val="20"/>
          <w:szCs w:val="20"/>
        </w:rPr>
      </w:pPr>
      <w:r>
        <w:rPr>
          <w:sz w:val="20"/>
          <w:szCs w:val="20"/>
        </w:rPr>
        <w:t>Amortization of intangible assets represents amortization expenses on the intangible assets arising from the business combinations and a purchased patent</w:t>
      </w:r>
      <w:r>
        <w:rPr>
          <w:sz w:val="20"/>
          <w:szCs w:val="20"/>
        </w:rPr>
        <w:t>.</w:t>
      </w:r>
    </w:p>
    <w:p w14:paraId="722874C0" w14:textId="77777777" w:rsidR="00000000" w:rsidRDefault="00632532">
      <w:pPr>
        <w:pStyle w:val="a3"/>
        <w:spacing w:before="360" w:beforeAutospacing="0" w:after="0" w:afterAutospacing="0"/>
        <w:rPr>
          <w:sz w:val="20"/>
          <w:szCs w:val="20"/>
        </w:rPr>
      </w:pPr>
      <w:r>
        <w:rPr>
          <w:b/>
          <w:bCs/>
          <w:sz w:val="20"/>
          <w:szCs w:val="20"/>
        </w:rPr>
        <w:t>Restructuring Cost</w:t>
      </w:r>
      <w:r>
        <w:rPr>
          <w:b/>
          <w:bCs/>
          <w:sz w:val="20"/>
          <w:szCs w:val="20"/>
        </w:rPr>
        <w:t>s</w:t>
      </w:r>
    </w:p>
    <w:p w14:paraId="1513DD84" w14:textId="77777777" w:rsidR="00000000" w:rsidRDefault="00632532">
      <w:pPr>
        <w:pStyle w:val="a3"/>
        <w:spacing w:before="120" w:beforeAutospacing="0" w:after="0" w:afterAutospacing="0"/>
        <w:ind w:firstLine="555"/>
        <w:rPr>
          <w:sz w:val="20"/>
          <w:szCs w:val="20"/>
        </w:rPr>
      </w:pPr>
      <w:r>
        <w:rPr>
          <w:sz w:val="20"/>
          <w:szCs w:val="20"/>
        </w:rPr>
        <w:t xml:space="preserve">Restructuring expenses represent one-time employee termination benefits provided </w:t>
      </w:r>
      <w:r>
        <w:rPr>
          <w:sz w:val="20"/>
          <w:szCs w:val="20"/>
        </w:rPr>
        <w:t>to employees associated with an entity newly acquired that are involuntarily terminated</w:t>
      </w:r>
      <w:r>
        <w:rPr>
          <w:sz w:val="20"/>
          <w:szCs w:val="20"/>
        </w:rPr>
        <w:t>.</w:t>
      </w:r>
      <w:r>
        <w:rPr>
          <w:sz w:val="20"/>
          <w:szCs w:val="20"/>
        </w:rPr>
        <w:t xml:space="preserve"> </w:t>
      </w:r>
    </w:p>
    <w:p w14:paraId="3625DCDB" w14:textId="77777777" w:rsidR="00000000" w:rsidRDefault="00632532">
      <w:pPr>
        <w:pStyle w:val="a3"/>
        <w:spacing w:before="240" w:beforeAutospacing="0" w:after="0" w:afterAutospacing="0"/>
        <w:jc w:val="center"/>
        <w:rPr>
          <w:sz w:val="20"/>
          <w:szCs w:val="20"/>
        </w:rPr>
      </w:pPr>
      <w:r>
        <w:rPr>
          <w:sz w:val="20"/>
          <w:szCs w:val="20"/>
        </w:rPr>
        <w:t>2</w:t>
      </w:r>
      <w:r>
        <w:rPr>
          <w:sz w:val="20"/>
          <w:szCs w:val="20"/>
        </w:rPr>
        <w:t>7</w:t>
      </w:r>
    </w:p>
    <w:p w14:paraId="65969778" w14:textId="77777777" w:rsidR="00000000" w:rsidRDefault="00632532">
      <w:pPr>
        <w:rPr>
          <w:rFonts w:eastAsia="Times New Roman"/>
        </w:rPr>
      </w:pPr>
      <w:r>
        <w:rPr>
          <w:rFonts w:eastAsia="Times New Roman"/>
        </w:rPr>
        <w:pict w14:anchorId="336C49EC">
          <v:rect id="_x0000_i1053" style="width:0;height:1.5pt" o:hralign="center" o:hrstd="t" o:hr="t" fillcolor="#a0a0a0" stroked="f"/>
        </w:pict>
      </w:r>
    </w:p>
    <w:p w14:paraId="5D3DD599" w14:textId="77777777" w:rsidR="00000000" w:rsidRDefault="00632532">
      <w:pPr>
        <w:pStyle w:val="a3"/>
        <w:spacing w:before="360" w:beforeAutospacing="0" w:after="0" w:afterAutospacing="0"/>
        <w:rPr>
          <w:sz w:val="20"/>
          <w:szCs w:val="20"/>
        </w:rPr>
      </w:pPr>
      <w:r>
        <w:rPr>
          <w:b/>
          <w:bCs/>
          <w:sz w:val="20"/>
          <w:szCs w:val="20"/>
        </w:rPr>
        <w:t>Interest and Other Income, ne</w:t>
      </w:r>
      <w:r>
        <w:rPr>
          <w:b/>
          <w:bCs/>
          <w:sz w:val="20"/>
          <w:szCs w:val="20"/>
        </w:rPr>
        <w:t>t</w:t>
      </w:r>
    </w:p>
    <w:p w14:paraId="283823DA" w14:textId="77777777" w:rsidR="00000000" w:rsidRDefault="00632532">
      <w:pPr>
        <w:pStyle w:val="a3"/>
        <w:spacing w:before="120" w:beforeAutospacing="0" w:after="0" w:afterAutospacing="0"/>
        <w:ind w:firstLine="555"/>
        <w:rPr>
          <w:sz w:val="20"/>
          <w:szCs w:val="20"/>
        </w:rPr>
      </w:pPr>
      <w:r>
        <w:rPr>
          <w:sz w:val="20"/>
          <w:szCs w:val="20"/>
        </w:rPr>
        <w:t>Net interest income was $874,000 and $566,000 in the three months ended June 30, 2022 and 2021, respectively, and $824,000 and $796,000 in the six months ended June 30, 2022 and 2021, respectively. This interest income related to interest earned on various</w:t>
      </w:r>
      <w:r>
        <w:rPr>
          <w:sz w:val="20"/>
          <w:szCs w:val="20"/>
        </w:rPr>
        <w:t xml:space="preserve"> investments in marketable securities including realized and holding gain (loss) on marketable equity securities, net of interest expenses incurred for our notes payable and margin loan</w:t>
      </w:r>
      <w:r>
        <w:rPr>
          <w:sz w:val="20"/>
          <w:szCs w:val="20"/>
        </w:rPr>
        <w:t>.</w:t>
      </w:r>
      <w:r>
        <w:rPr>
          <w:sz w:val="20"/>
          <w:szCs w:val="20"/>
        </w:rPr>
        <w:t xml:space="preserve"> </w:t>
      </w:r>
    </w:p>
    <w:p w14:paraId="0CC430CC" w14:textId="77777777" w:rsidR="00000000" w:rsidRDefault="00632532">
      <w:pPr>
        <w:pStyle w:val="a3"/>
        <w:spacing w:before="240" w:beforeAutospacing="0" w:after="0" w:afterAutospacing="0"/>
        <w:ind w:firstLine="555"/>
        <w:rPr>
          <w:sz w:val="20"/>
          <w:szCs w:val="20"/>
        </w:rPr>
      </w:pPr>
      <w:r>
        <w:rPr>
          <w:sz w:val="20"/>
          <w:szCs w:val="20"/>
        </w:rPr>
        <w:t>Other income (expense) was not significant in the three or six month</w:t>
      </w:r>
      <w:r>
        <w:rPr>
          <w:sz w:val="20"/>
          <w:szCs w:val="20"/>
        </w:rPr>
        <w:t>s ended June 30, 2022 and 2021, respectively. The primary components of other income (expense) were rental income net of rental expenses and foreign currency exchange gain (loss)</w:t>
      </w:r>
      <w:r>
        <w:rPr>
          <w:sz w:val="20"/>
          <w:szCs w:val="20"/>
        </w:rPr>
        <w:t>.</w:t>
      </w:r>
      <w:r>
        <w:rPr>
          <w:sz w:val="20"/>
          <w:szCs w:val="20"/>
        </w:rPr>
        <w:t xml:space="preserve"> </w:t>
      </w:r>
    </w:p>
    <w:p w14:paraId="5D90CA57" w14:textId="77777777" w:rsidR="00000000" w:rsidRDefault="00632532">
      <w:pPr>
        <w:pStyle w:val="a3"/>
        <w:spacing w:before="360" w:beforeAutospacing="0" w:after="0" w:afterAutospacing="0"/>
        <w:rPr>
          <w:sz w:val="20"/>
          <w:szCs w:val="20"/>
        </w:rPr>
      </w:pPr>
      <w:r>
        <w:rPr>
          <w:b/>
          <w:bCs/>
          <w:sz w:val="20"/>
          <w:szCs w:val="20"/>
        </w:rPr>
        <w:t>Provision for Income Taxe</w:t>
      </w:r>
      <w:r>
        <w:rPr>
          <w:b/>
          <w:bCs/>
          <w:sz w:val="20"/>
          <w:szCs w:val="20"/>
        </w:rPr>
        <w:t>s</w:t>
      </w:r>
    </w:p>
    <w:p w14:paraId="16AF4958" w14:textId="77777777" w:rsidR="00000000" w:rsidRDefault="00632532">
      <w:pPr>
        <w:pStyle w:val="a3"/>
        <w:spacing w:before="120" w:beforeAutospacing="0" w:after="0" w:afterAutospacing="0"/>
        <w:ind w:firstLine="555"/>
        <w:rPr>
          <w:sz w:val="20"/>
          <w:szCs w:val="20"/>
        </w:rPr>
      </w:pPr>
      <w:r>
        <w:rPr>
          <w:sz w:val="20"/>
          <w:szCs w:val="20"/>
        </w:rPr>
        <w:t>Provision for income taxes were $2.7 million and</w:t>
      </w:r>
      <w:r>
        <w:rPr>
          <w:sz w:val="20"/>
          <w:szCs w:val="20"/>
        </w:rPr>
        <w:t xml:space="preserve"> $51.1 million for the three and six months ended June 30, 2022, respectively, and $23.6 million and $90.1 million for the three and six months ended June 30, 2021, respectively. The effective tax rate was 19% and 24% for the three months ended June 30, 20</w:t>
      </w:r>
      <w:r>
        <w:rPr>
          <w:sz w:val="20"/>
          <w:szCs w:val="20"/>
        </w:rPr>
        <w:t>22 and 2021, respectively. The effective tax rate was 24% and 25% for the six months ended June 30, 2022 and 2021, respectively. The decrease in the effective tax rate for the three months and six months ended June 30, 2022, relative to 2021, was primarily</w:t>
      </w:r>
      <w:r>
        <w:rPr>
          <w:sz w:val="20"/>
          <w:szCs w:val="20"/>
        </w:rPr>
        <w:t xml:space="preserve"> attributable to international restructuring</w:t>
      </w:r>
      <w:r>
        <w:rPr>
          <w:sz w:val="20"/>
          <w:szCs w:val="20"/>
        </w:rPr>
        <w:t>.</w:t>
      </w:r>
    </w:p>
    <w:p w14:paraId="5D9D715C" w14:textId="77777777" w:rsidR="00000000" w:rsidRDefault="00632532">
      <w:pPr>
        <w:pStyle w:val="a3"/>
        <w:spacing w:before="360" w:beforeAutospacing="0" w:after="0" w:afterAutospacing="0"/>
        <w:rPr>
          <w:sz w:val="20"/>
          <w:szCs w:val="20"/>
        </w:rPr>
      </w:pPr>
      <w:r>
        <w:rPr>
          <w:b/>
          <w:bCs/>
          <w:sz w:val="20"/>
          <w:szCs w:val="20"/>
        </w:rPr>
        <w:t>Net Loss Attributable to Noncontrolling Interes</w:t>
      </w:r>
      <w:r>
        <w:rPr>
          <w:b/>
          <w:bCs/>
          <w:sz w:val="20"/>
          <w:szCs w:val="20"/>
        </w:rPr>
        <w:t>t</w:t>
      </w:r>
    </w:p>
    <w:p w14:paraId="7C12BFB1" w14:textId="77777777" w:rsidR="00000000" w:rsidRDefault="00632532">
      <w:pPr>
        <w:pStyle w:val="a3"/>
        <w:spacing w:before="120" w:beforeAutospacing="0" w:after="0" w:afterAutospacing="0"/>
        <w:ind w:firstLine="555"/>
        <w:rPr>
          <w:sz w:val="20"/>
          <w:szCs w:val="20"/>
        </w:rPr>
      </w:pPr>
      <w:r>
        <w:rPr>
          <w:sz w:val="20"/>
          <w:szCs w:val="20"/>
        </w:rPr>
        <w:t>Net loss attributable to noncontrolling interest represents net loss attributable to the minority shareholders from entities not wholly owned</w:t>
      </w:r>
      <w:r>
        <w:rPr>
          <w:sz w:val="20"/>
          <w:szCs w:val="20"/>
        </w:rPr>
        <w:t>.</w:t>
      </w:r>
    </w:p>
    <w:p w14:paraId="7650F15E" w14:textId="77777777" w:rsidR="00000000" w:rsidRDefault="00632532">
      <w:pPr>
        <w:pStyle w:val="a3"/>
        <w:spacing w:before="120" w:beforeAutospacing="0" w:after="0" w:afterAutospacing="0"/>
        <w:ind w:firstLine="555"/>
        <w:rPr>
          <w:sz w:val="20"/>
          <w:szCs w:val="20"/>
        </w:rPr>
      </w:pPr>
      <w:r>
        <w:rPr>
          <w:sz w:val="20"/>
          <w:szCs w:val="20"/>
        </w:rPr>
        <w:t> </w:t>
      </w:r>
    </w:p>
    <w:p w14:paraId="1A489DF5" w14:textId="77777777" w:rsidR="00000000" w:rsidRDefault="00632532">
      <w:pPr>
        <w:pStyle w:val="a3"/>
        <w:spacing w:before="360" w:beforeAutospacing="0" w:after="0" w:afterAutospacing="0"/>
        <w:jc w:val="center"/>
        <w:rPr>
          <w:sz w:val="20"/>
          <w:szCs w:val="20"/>
        </w:rPr>
      </w:pPr>
      <w:r>
        <w:rPr>
          <w:b/>
          <w:bCs/>
          <w:sz w:val="20"/>
          <w:szCs w:val="20"/>
        </w:rPr>
        <w:t>Liquidity and Ca</w:t>
      </w:r>
      <w:r>
        <w:rPr>
          <w:b/>
          <w:bCs/>
          <w:sz w:val="20"/>
          <w:szCs w:val="20"/>
        </w:rPr>
        <w:t>pital Resource</w:t>
      </w:r>
      <w:r>
        <w:rPr>
          <w:b/>
          <w:bCs/>
          <w:sz w:val="20"/>
          <w:szCs w:val="20"/>
        </w:rPr>
        <w:t>s</w:t>
      </w:r>
    </w:p>
    <w:p w14:paraId="6EE08EC0" w14:textId="77777777" w:rsidR="00000000" w:rsidRDefault="00632532">
      <w:pPr>
        <w:pStyle w:val="a3"/>
        <w:spacing w:before="360" w:beforeAutospacing="0" w:after="0" w:afterAutospacing="0"/>
        <w:rPr>
          <w:sz w:val="20"/>
          <w:szCs w:val="20"/>
        </w:rPr>
      </w:pPr>
      <w:r>
        <w:rPr>
          <w:b/>
          <w:bCs/>
          <w:sz w:val="20"/>
          <w:szCs w:val="20"/>
        </w:rPr>
        <w:t>Liquidity and Sources of Cas</w:t>
      </w:r>
      <w:r>
        <w:rPr>
          <w:b/>
          <w:bCs/>
          <w:sz w:val="20"/>
          <w:szCs w:val="20"/>
        </w:rPr>
        <w:t>h</w:t>
      </w:r>
    </w:p>
    <w:p w14:paraId="37D15848" w14:textId="77777777" w:rsidR="00000000" w:rsidRDefault="00632532">
      <w:pPr>
        <w:pStyle w:val="a3"/>
        <w:spacing w:before="240" w:beforeAutospacing="0" w:after="0" w:afterAutospacing="0"/>
        <w:ind w:firstLine="555"/>
        <w:rPr>
          <w:sz w:val="20"/>
          <w:szCs w:val="20"/>
        </w:rPr>
      </w:pPr>
      <w:r>
        <w:rPr>
          <w:sz w:val="20"/>
          <w:szCs w:val="20"/>
        </w:rPr>
        <w:t>We had $931.0 million and $935.5 million in cash, cash equivalents and marketable securities as of June 30, 2022 and December 31, 2021, respectively. Our marketable securities primarily consist of corporate bon</w:t>
      </w:r>
      <w:r>
        <w:rPr>
          <w:sz w:val="20"/>
          <w:szCs w:val="20"/>
        </w:rPr>
        <w:t>ds, municipal bonds, and U.S. government, U.S. agency debt securities, and U.S. treasury bills as of June 30, 2022 and December 31, 2021</w:t>
      </w:r>
      <w:r>
        <w:rPr>
          <w:sz w:val="20"/>
          <w:szCs w:val="20"/>
        </w:rPr>
        <w:t>.</w:t>
      </w:r>
    </w:p>
    <w:p w14:paraId="753497CC" w14:textId="77777777" w:rsidR="00000000" w:rsidRDefault="00632532">
      <w:pPr>
        <w:pStyle w:val="a3"/>
        <w:spacing w:before="240" w:beforeAutospacing="0" w:after="0" w:afterAutospacing="0"/>
        <w:ind w:firstLine="555"/>
        <w:rPr>
          <w:sz w:val="20"/>
          <w:szCs w:val="20"/>
        </w:rPr>
      </w:pPr>
      <w:r>
        <w:rPr>
          <w:sz w:val="20"/>
          <w:szCs w:val="20"/>
        </w:rPr>
        <w:t>Our primary uses of cash are to fund our operations as we continue to invest in and seek to grow our business. Cash us</w:t>
      </w:r>
      <w:r>
        <w:rPr>
          <w:sz w:val="20"/>
          <w:szCs w:val="20"/>
        </w:rPr>
        <w:t>ed to fund operating expenses is impacted by the timing of our expense payments, as reflected in the changes in our outstanding accounts payable and accrued expenses</w:t>
      </w:r>
      <w:r>
        <w:rPr>
          <w:sz w:val="20"/>
          <w:szCs w:val="20"/>
        </w:rPr>
        <w:t>.</w:t>
      </w:r>
      <w:r>
        <w:rPr>
          <w:sz w:val="20"/>
          <w:szCs w:val="20"/>
        </w:rPr>
        <w:t xml:space="preserve"> </w:t>
      </w:r>
    </w:p>
    <w:p w14:paraId="7DB05E8C" w14:textId="77777777" w:rsidR="00000000" w:rsidRDefault="00632532">
      <w:pPr>
        <w:pStyle w:val="a3"/>
        <w:spacing w:before="240" w:beforeAutospacing="0" w:after="0" w:afterAutospacing="0"/>
        <w:ind w:firstLine="555"/>
        <w:rPr>
          <w:sz w:val="20"/>
          <w:szCs w:val="20"/>
        </w:rPr>
      </w:pPr>
      <w:r>
        <w:rPr>
          <w:sz w:val="20"/>
          <w:szCs w:val="20"/>
        </w:rPr>
        <w:t>We believe our existing cash, cash equivalent, short-term marketable securities, along w</w:t>
      </w:r>
      <w:r>
        <w:rPr>
          <w:sz w:val="20"/>
          <w:szCs w:val="20"/>
        </w:rPr>
        <w:t>ith cash from operations, will be sufficient to meet our anticipated cash requirements for at least the next 12 months. Cash provided by operations has significantly contributed to our ability to meet our liquidity needs, including paying for capital expen</w:t>
      </w:r>
      <w:r>
        <w:rPr>
          <w:sz w:val="20"/>
          <w:szCs w:val="20"/>
        </w:rPr>
        <w:t>ditures, and we anticipate that cash from our operations will continue to play a meaningful role in our ability to meet our liquidity requirements and pursue our business plans and strategies during the next 12 months and in the longer term</w:t>
      </w:r>
      <w:r>
        <w:rPr>
          <w:sz w:val="20"/>
          <w:szCs w:val="20"/>
        </w:rPr>
        <w:t>.</w:t>
      </w:r>
      <w:r>
        <w:rPr>
          <w:sz w:val="20"/>
          <w:szCs w:val="20"/>
        </w:rPr>
        <w:t xml:space="preserve"> </w:t>
      </w:r>
    </w:p>
    <w:p w14:paraId="7228215C" w14:textId="77777777" w:rsidR="00000000" w:rsidRDefault="00632532">
      <w:pPr>
        <w:pStyle w:val="a3"/>
        <w:spacing w:before="240" w:beforeAutospacing="0" w:after="0" w:afterAutospacing="0"/>
        <w:ind w:firstLine="555"/>
        <w:rPr>
          <w:sz w:val="20"/>
          <w:szCs w:val="20"/>
        </w:rPr>
      </w:pPr>
      <w:r>
        <w:rPr>
          <w:sz w:val="20"/>
          <w:szCs w:val="20"/>
        </w:rPr>
        <w:t xml:space="preserve">However, our </w:t>
      </w:r>
      <w:r>
        <w:rPr>
          <w:sz w:val="20"/>
          <w:szCs w:val="20"/>
        </w:rPr>
        <w:t>expectations regarding the cash that may be provided by our operations and our cash needs in future periods could turn out to be wrong. For instance, cash provided by our operations has in the past experienced fluctuations from period to period, which we e</w:t>
      </w:r>
      <w:r>
        <w:rPr>
          <w:sz w:val="20"/>
          <w:szCs w:val="20"/>
        </w:rPr>
        <w:t xml:space="preserve">xpect may continue in the future. These fluctuations can occur because of a variety of factors, including, among others, factors relating to the ongoing COVID-19 pandemic, including demand for our COVID-19 tests, the amount and timing of sales of billable </w:t>
      </w:r>
      <w:r>
        <w:rPr>
          <w:sz w:val="20"/>
          <w:szCs w:val="20"/>
        </w:rPr>
        <w:t>tests, the prices we charge for our tests due to changes in product mix, customer mix, general price degradation for tests, funding of government programs from which we receive government funding, or other factors, the rate and timing of our billing and co</w:t>
      </w:r>
      <w:r>
        <w:rPr>
          <w:sz w:val="20"/>
          <w:szCs w:val="20"/>
        </w:rPr>
        <w:t>llections cycles and the timing and amount of our commitments and other payments. Moreover, even if our liquidity expectations are correct, we may still seek to raise additional capital through securities offerings, credit facilities or other debt financin</w:t>
      </w:r>
      <w:r>
        <w:rPr>
          <w:sz w:val="20"/>
          <w:szCs w:val="20"/>
        </w:rPr>
        <w:t>gs, asset sales or collaborations or licensing arrangements</w:t>
      </w:r>
      <w:r>
        <w:rPr>
          <w:sz w:val="20"/>
          <w:szCs w:val="20"/>
        </w:rPr>
        <w:t>.</w:t>
      </w:r>
    </w:p>
    <w:p w14:paraId="0894B40C" w14:textId="77777777" w:rsidR="00000000" w:rsidRDefault="00632532">
      <w:pPr>
        <w:pStyle w:val="a3"/>
        <w:spacing w:before="240" w:beforeAutospacing="0" w:after="0" w:afterAutospacing="0"/>
        <w:jc w:val="center"/>
        <w:rPr>
          <w:sz w:val="20"/>
          <w:szCs w:val="20"/>
        </w:rPr>
      </w:pPr>
      <w:r>
        <w:rPr>
          <w:sz w:val="20"/>
          <w:szCs w:val="20"/>
        </w:rPr>
        <w:t>2</w:t>
      </w:r>
      <w:r>
        <w:rPr>
          <w:sz w:val="20"/>
          <w:szCs w:val="20"/>
        </w:rPr>
        <w:t>8</w:t>
      </w:r>
    </w:p>
    <w:p w14:paraId="4BCBD9F2" w14:textId="77777777" w:rsidR="00000000" w:rsidRDefault="00632532">
      <w:pPr>
        <w:rPr>
          <w:rFonts w:eastAsia="Times New Roman"/>
        </w:rPr>
      </w:pPr>
      <w:r>
        <w:rPr>
          <w:rFonts w:eastAsia="Times New Roman"/>
        </w:rPr>
        <w:pict w14:anchorId="5C5CA0C6">
          <v:rect id="_x0000_i1054" style="width:0;height:1.5pt" o:hralign="center" o:hrstd="t" o:hr="t" fillcolor="#a0a0a0" stroked="f"/>
        </w:pict>
      </w:r>
    </w:p>
    <w:p w14:paraId="6674EB7C" w14:textId="77777777" w:rsidR="00000000" w:rsidRDefault="00632532">
      <w:pPr>
        <w:pStyle w:val="a3"/>
        <w:spacing w:before="240" w:beforeAutospacing="0" w:after="0" w:afterAutospacing="0"/>
        <w:ind w:firstLine="555"/>
        <w:rPr>
          <w:sz w:val="20"/>
          <w:szCs w:val="20"/>
        </w:rPr>
      </w:pPr>
      <w:r>
        <w:rPr>
          <w:sz w:val="20"/>
          <w:szCs w:val="20"/>
        </w:rPr>
        <w:t>If we raise additional funds by issuing equity securities, our existing stockholders could experience substantial dilution. Additionally, any preferred stoc</w:t>
      </w:r>
      <w:r>
        <w:rPr>
          <w:sz w:val="20"/>
          <w:szCs w:val="20"/>
        </w:rPr>
        <w:t>k we issue could provide for rights, preferences or privileges senior to those of our common stock, and our issuance of any additional equity securities, or the possibility of such an issuance, could cause the market price of our common stock to decline. T</w:t>
      </w:r>
      <w:r>
        <w:rPr>
          <w:sz w:val="20"/>
          <w:szCs w:val="20"/>
        </w:rPr>
        <w:t xml:space="preserve">he terms of any debt securities we issue or borrowings we incur, if available, could impose significant restrictions on our operations, such as limitations on our ability to incur additional debt or issue additional equity or other restrictions that could </w:t>
      </w:r>
      <w:r>
        <w:rPr>
          <w:sz w:val="20"/>
          <w:szCs w:val="20"/>
        </w:rPr>
        <w:t>adversely affect our ability to conduct our business, and would result in increased fixed payment obligations. If we seek to sell assets or enter into collaborations or licensing arrangements to raise capital, we may be required to accept unfavorable terms</w:t>
      </w:r>
      <w:r>
        <w:rPr>
          <w:sz w:val="20"/>
          <w:szCs w:val="20"/>
        </w:rPr>
        <w:t xml:space="preserve"> or relinquish or license to a third party our rights to important or valuable technologies or tests we may otherwise seek to develop ourselves. Moreover, we may incur substantial costs in pursuing future capital, including investment banking, legal and ac</w:t>
      </w:r>
      <w:r>
        <w:rPr>
          <w:sz w:val="20"/>
          <w:szCs w:val="20"/>
        </w:rPr>
        <w:t xml:space="preserve">counting fees, printing and distribution expenses and other similar costs. Additional funding may not be available to us when needed, on acceptable terms or at all. If we are not able to secure funding if and when needed and on reasonable terms, we may be </w:t>
      </w:r>
      <w:r>
        <w:rPr>
          <w:sz w:val="20"/>
          <w:szCs w:val="20"/>
        </w:rPr>
        <w:t>forced to delay, reduce the scope of or eliminate one or more sales and marketing initiatives, research and development programs or other growth plans or strategies. In addition, we may be forced to work with a partner on one or more aspects of our tests o</w:t>
      </w:r>
      <w:r>
        <w:rPr>
          <w:sz w:val="20"/>
          <w:szCs w:val="20"/>
        </w:rPr>
        <w:t>r market development programs or initiatives, which could lower the economic value to us of these tests, programs or initiatives. Any such outcome could significantly harm our business, performance and prospects</w:t>
      </w:r>
      <w:r>
        <w:rPr>
          <w:sz w:val="20"/>
          <w:szCs w:val="20"/>
        </w:rPr>
        <w:t>.</w:t>
      </w:r>
    </w:p>
    <w:p w14:paraId="2E7AD455" w14:textId="77777777" w:rsidR="00000000" w:rsidRDefault="00632532">
      <w:pPr>
        <w:pStyle w:val="a3"/>
        <w:spacing w:before="360" w:beforeAutospacing="0" w:after="0" w:afterAutospacing="0"/>
        <w:rPr>
          <w:sz w:val="20"/>
          <w:szCs w:val="20"/>
        </w:rPr>
      </w:pPr>
      <w:r>
        <w:rPr>
          <w:b/>
          <w:bCs/>
          <w:sz w:val="20"/>
          <w:szCs w:val="20"/>
        </w:rPr>
        <w:t>Cash Flow</w:t>
      </w:r>
      <w:r>
        <w:rPr>
          <w:b/>
          <w:bCs/>
          <w:sz w:val="20"/>
          <w:szCs w:val="20"/>
        </w:rPr>
        <w:t>s</w:t>
      </w:r>
    </w:p>
    <w:p w14:paraId="39308404" w14:textId="77777777" w:rsidR="00000000" w:rsidRDefault="00632532">
      <w:pPr>
        <w:pStyle w:val="a3"/>
        <w:spacing w:before="120" w:beforeAutospacing="0" w:after="0" w:afterAutospacing="0"/>
        <w:ind w:firstLine="555"/>
        <w:rPr>
          <w:sz w:val="20"/>
          <w:szCs w:val="20"/>
        </w:rPr>
      </w:pPr>
      <w:r>
        <w:rPr>
          <w:sz w:val="20"/>
          <w:szCs w:val="20"/>
        </w:rPr>
        <w:t>The following table summarizes our cash flows for each of the periods indicated</w:t>
      </w:r>
      <w:r>
        <w:rPr>
          <w:sz w:val="20"/>
          <w:szCs w:val="20"/>
        </w:rPr>
        <w:t>:</w:t>
      </w:r>
    </w:p>
    <w:p w14:paraId="15455DB4"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42"/>
        <w:gridCol w:w="160"/>
        <w:gridCol w:w="1300"/>
        <w:gridCol w:w="127"/>
        <w:gridCol w:w="158"/>
        <w:gridCol w:w="160"/>
        <w:gridCol w:w="1417"/>
        <w:gridCol w:w="142"/>
      </w:tblGrid>
      <w:tr w:rsidR="00000000" w14:paraId="7A89E6CF" w14:textId="77777777">
        <w:trPr>
          <w:tblCellSpacing w:w="15" w:type="dxa"/>
        </w:trPr>
        <w:tc>
          <w:tcPr>
            <w:tcW w:w="3004" w:type="pct"/>
            <w:vAlign w:val="center"/>
            <w:hideMark/>
          </w:tcPr>
          <w:p w14:paraId="21288A79" w14:textId="77777777" w:rsidR="00000000" w:rsidRDefault="00632532">
            <w:pPr>
              <w:rPr>
                <w:sz w:val="20"/>
                <w:szCs w:val="20"/>
              </w:rPr>
            </w:pPr>
          </w:p>
        </w:tc>
        <w:tc>
          <w:tcPr>
            <w:tcW w:w="50" w:type="pct"/>
            <w:vAlign w:val="center"/>
            <w:hideMark/>
          </w:tcPr>
          <w:p w14:paraId="2B5513C2" w14:textId="77777777" w:rsidR="00000000" w:rsidRDefault="00632532">
            <w:pPr>
              <w:rPr>
                <w:rFonts w:eastAsia="Times New Roman"/>
                <w:sz w:val="20"/>
                <w:szCs w:val="20"/>
              </w:rPr>
            </w:pPr>
          </w:p>
        </w:tc>
        <w:tc>
          <w:tcPr>
            <w:tcW w:w="811" w:type="pct"/>
            <w:vAlign w:val="center"/>
            <w:hideMark/>
          </w:tcPr>
          <w:p w14:paraId="79E3BE1C" w14:textId="77777777" w:rsidR="00000000" w:rsidRDefault="00632532">
            <w:pPr>
              <w:rPr>
                <w:rFonts w:eastAsia="Times New Roman"/>
                <w:sz w:val="20"/>
                <w:szCs w:val="20"/>
              </w:rPr>
            </w:pPr>
          </w:p>
        </w:tc>
        <w:tc>
          <w:tcPr>
            <w:tcW w:w="50" w:type="pct"/>
            <w:vAlign w:val="center"/>
            <w:hideMark/>
          </w:tcPr>
          <w:p w14:paraId="310120B3" w14:textId="77777777" w:rsidR="00000000" w:rsidRDefault="00632532">
            <w:pPr>
              <w:rPr>
                <w:rFonts w:eastAsia="Times New Roman"/>
                <w:sz w:val="20"/>
                <w:szCs w:val="20"/>
              </w:rPr>
            </w:pPr>
          </w:p>
        </w:tc>
        <w:tc>
          <w:tcPr>
            <w:tcW w:w="100" w:type="pct"/>
            <w:vAlign w:val="center"/>
            <w:hideMark/>
          </w:tcPr>
          <w:p w14:paraId="1350357E" w14:textId="77777777" w:rsidR="00000000" w:rsidRDefault="00632532">
            <w:pPr>
              <w:rPr>
                <w:rFonts w:eastAsia="Times New Roman"/>
                <w:sz w:val="20"/>
                <w:szCs w:val="20"/>
              </w:rPr>
            </w:pPr>
          </w:p>
        </w:tc>
        <w:tc>
          <w:tcPr>
            <w:tcW w:w="50" w:type="pct"/>
            <w:vAlign w:val="center"/>
            <w:hideMark/>
          </w:tcPr>
          <w:p w14:paraId="0720DAAC" w14:textId="77777777" w:rsidR="00000000" w:rsidRDefault="00632532">
            <w:pPr>
              <w:rPr>
                <w:rFonts w:eastAsia="Times New Roman"/>
                <w:sz w:val="20"/>
                <w:szCs w:val="20"/>
              </w:rPr>
            </w:pPr>
          </w:p>
        </w:tc>
        <w:tc>
          <w:tcPr>
            <w:tcW w:w="883" w:type="pct"/>
            <w:vAlign w:val="center"/>
            <w:hideMark/>
          </w:tcPr>
          <w:p w14:paraId="1271BF4B" w14:textId="77777777" w:rsidR="00000000" w:rsidRDefault="00632532">
            <w:pPr>
              <w:rPr>
                <w:rFonts w:eastAsia="Times New Roman"/>
                <w:sz w:val="20"/>
                <w:szCs w:val="20"/>
              </w:rPr>
            </w:pPr>
          </w:p>
        </w:tc>
        <w:tc>
          <w:tcPr>
            <w:tcW w:w="50" w:type="pct"/>
            <w:vAlign w:val="center"/>
            <w:hideMark/>
          </w:tcPr>
          <w:p w14:paraId="30C46CAD" w14:textId="77777777" w:rsidR="00000000" w:rsidRDefault="00632532">
            <w:pPr>
              <w:rPr>
                <w:rFonts w:eastAsia="Times New Roman"/>
                <w:sz w:val="20"/>
                <w:szCs w:val="20"/>
              </w:rPr>
            </w:pPr>
          </w:p>
        </w:tc>
      </w:tr>
      <w:tr w:rsidR="00000000" w14:paraId="1AE92EE7" w14:textId="77777777">
        <w:trPr>
          <w:trHeight w:val="160"/>
          <w:tblCellSpacing w:w="15" w:type="dxa"/>
        </w:trPr>
        <w:tc>
          <w:tcPr>
            <w:tcW w:w="0" w:type="auto"/>
            <w:vAlign w:val="bottom"/>
            <w:hideMark/>
          </w:tcPr>
          <w:p w14:paraId="17689BB9"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6"/>
            <w:vAlign w:val="bottom"/>
            <w:hideMark/>
          </w:tcPr>
          <w:p w14:paraId="232AB9E3" w14:textId="77777777" w:rsidR="00000000" w:rsidRDefault="00632532">
            <w:pPr>
              <w:pStyle w:val="a3"/>
              <w:spacing w:before="0" w:beforeAutospacing="0" w:after="0" w:afterAutospacing="0"/>
              <w:jc w:val="center"/>
              <w:rPr>
                <w:sz w:val="16"/>
                <w:szCs w:val="16"/>
              </w:rPr>
            </w:pPr>
            <w:r>
              <w:rPr>
                <w:b/>
                <w:bCs/>
                <w:sz w:val="16"/>
                <w:szCs w:val="16"/>
              </w:rPr>
              <w:t>Six Months Ended June 30</w:t>
            </w:r>
            <w:r>
              <w:rPr>
                <w:b/>
                <w:bCs/>
                <w:sz w:val="16"/>
                <w:szCs w:val="16"/>
              </w:rPr>
              <w:t>,</w:t>
            </w:r>
          </w:p>
        </w:tc>
        <w:tc>
          <w:tcPr>
            <w:tcW w:w="0" w:type="auto"/>
            <w:vAlign w:val="bottom"/>
            <w:hideMark/>
          </w:tcPr>
          <w:p w14:paraId="3929FD5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2E368D16" w14:textId="77777777">
        <w:trPr>
          <w:trHeight w:val="160"/>
          <w:tblCellSpacing w:w="15" w:type="dxa"/>
        </w:trPr>
        <w:tc>
          <w:tcPr>
            <w:tcW w:w="0" w:type="auto"/>
            <w:vAlign w:val="bottom"/>
            <w:hideMark/>
          </w:tcPr>
          <w:p w14:paraId="7EB91926"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1E06C0B7"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14:paraId="041BF457"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F796880"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FAAC780" w14:textId="77777777" w:rsidR="00000000" w:rsidRDefault="00632532">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5B43A8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726D5E62" w14:textId="77777777">
        <w:trPr>
          <w:trHeight w:val="160"/>
          <w:tblCellSpacing w:w="15" w:type="dxa"/>
        </w:trPr>
        <w:tc>
          <w:tcPr>
            <w:tcW w:w="0" w:type="auto"/>
            <w:vAlign w:val="bottom"/>
            <w:hideMark/>
          </w:tcPr>
          <w:p w14:paraId="7DCF4D5F" w14:textId="77777777" w:rsidR="00000000" w:rsidRDefault="00632532">
            <w:pPr>
              <w:pStyle w:val="a3"/>
              <w:spacing w:before="0" w:beforeAutospacing="0" w:after="0" w:afterAutospacing="0"/>
              <w:jc w:val="center"/>
              <w:rPr>
                <w:sz w:val="20"/>
                <w:szCs w:val="20"/>
              </w:rPr>
            </w:pPr>
            <w:r>
              <w:rPr>
                <w:sz w:val="20"/>
                <w:szCs w:val="20"/>
              </w:rPr>
              <w:t> </w:t>
            </w:r>
          </w:p>
        </w:tc>
        <w:tc>
          <w:tcPr>
            <w:tcW w:w="0" w:type="auto"/>
            <w:gridSpan w:val="6"/>
            <w:vAlign w:val="bottom"/>
            <w:hideMark/>
          </w:tcPr>
          <w:p w14:paraId="14D82130" w14:textId="77777777" w:rsidR="00000000" w:rsidRDefault="00632532">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14:paraId="427DE2A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258102A" w14:textId="77777777">
        <w:trPr>
          <w:trHeight w:val="200"/>
          <w:tblCellSpacing w:w="15" w:type="dxa"/>
        </w:trPr>
        <w:tc>
          <w:tcPr>
            <w:tcW w:w="0" w:type="auto"/>
            <w:hideMark/>
          </w:tcPr>
          <w:p w14:paraId="68CAD281" w14:textId="77777777" w:rsidR="00000000" w:rsidRDefault="00632532">
            <w:pPr>
              <w:pStyle w:val="a3"/>
              <w:spacing w:before="0" w:beforeAutospacing="0" w:after="0" w:afterAutospacing="0"/>
              <w:rPr>
                <w:sz w:val="20"/>
                <w:szCs w:val="20"/>
              </w:rPr>
            </w:pPr>
            <w:r>
              <w:rPr>
                <w:sz w:val="20"/>
                <w:szCs w:val="20"/>
              </w:rPr>
              <w:t>Net cash provided by operating activitie</w:t>
            </w:r>
            <w:r>
              <w:rPr>
                <w:sz w:val="20"/>
                <w:szCs w:val="20"/>
              </w:rPr>
              <w:t>s</w:t>
            </w:r>
          </w:p>
        </w:tc>
        <w:tc>
          <w:tcPr>
            <w:tcW w:w="0" w:type="auto"/>
            <w:noWrap/>
            <w:vAlign w:val="bottom"/>
            <w:hideMark/>
          </w:tcPr>
          <w:p w14:paraId="47FA9746"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38A2E4B" w14:textId="77777777" w:rsidR="00000000" w:rsidRDefault="00632532">
            <w:pPr>
              <w:pStyle w:val="a3"/>
              <w:spacing w:before="0" w:beforeAutospacing="0" w:after="0" w:afterAutospacing="0"/>
              <w:jc w:val="right"/>
              <w:rPr>
                <w:sz w:val="20"/>
                <w:szCs w:val="20"/>
              </w:rPr>
            </w:pPr>
            <w:r>
              <w:rPr>
                <w:sz w:val="20"/>
                <w:szCs w:val="20"/>
              </w:rPr>
              <w:t>199,53</w:t>
            </w:r>
            <w:r>
              <w:rPr>
                <w:sz w:val="20"/>
                <w:szCs w:val="20"/>
              </w:rPr>
              <w:t>7</w:t>
            </w:r>
          </w:p>
        </w:tc>
        <w:tc>
          <w:tcPr>
            <w:tcW w:w="0" w:type="auto"/>
            <w:noWrap/>
            <w:vAlign w:val="bottom"/>
            <w:hideMark/>
          </w:tcPr>
          <w:p w14:paraId="171EF99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A5A09EC"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B3B641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07AEF5E" w14:textId="77777777" w:rsidR="00000000" w:rsidRDefault="00632532">
            <w:pPr>
              <w:pStyle w:val="a3"/>
              <w:spacing w:before="0" w:beforeAutospacing="0" w:after="0" w:afterAutospacing="0"/>
              <w:jc w:val="right"/>
              <w:rPr>
                <w:sz w:val="20"/>
                <w:szCs w:val="20"/>
              </w:rPr>
            </w:pPr>
            <w:r>
              <w:rPr>
                <w:sz w:val="20"/>
                <w:szCs w:val="20"/>
              </w:rPr>
              <w:t>309,29</w:t>
            </w:r>
            <w:r>
              <w:rPr>
                <w:sz w:val="20"/>
                <w:szCs w:val="20"/>
              </w:rPr>
              <w:t>0</w:t>
            </w:r>
          </w:p>
        </w:tc>
        <w:tc>
          <w:tcPr>
            <w:tcW w:w="0" w:type="auto"/>
            <w:noWrap/>
            <w:vAlign w:val="bottom"/>
            <w:hideMark/>
          </w:tcPr>
          <w:p w14:paraId="073DA10C" w14:textId="77777777" w:rsidR="00000000" w:rsidRDefault="00632532">
            <w:pPr>
              <w:pStyle w:val="a3"/>
              <w:spacing w:before="0" w:beforeAutospacing="0" w:after="0" w:afterAutospacing="0"/>
              <w:rPr>
                <w:sz w:val="20"/>
                <w:szCs w:val="20"/>
              </w:rPr>
            </w:pPr>
            <w:r>
              <w:rPr>
                <w:sz w:val="20"/>
                <w:szCs w:val="20"/>
              </w:rPr>
              <w:t> </w:t>
            </w:r>
          </w:p>
        </w:tc>
      </w:tr>
      <w:tr w:rsidR="00000000" w14:paraId="36FC223D" w14:textId="77777777">
        <w:trPr>
          <w:trHeight w:val="200"/>
          <w:tblCellSpacing w:w="15" w:type="dxa"/>
        </w:trPr>
        <w:tc>
          <w:tcPr>
            <w:tcW w:w="0" w:type="auto"/>
            <w:hideMark/>
          </w:tcPr>
          <w:p w14:paraId="6771198C" w14:textId="77777777" w:rsidR="00000000" w:rsidRDefault="00632532">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noWrap/>
            <w:vAlign w:val="bottom"/>
            <w:hideMark/>
          </w:tcPr>
          <w:p w14:paraId="78EE02C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5DEE3E60" w14:textId="77777777" w:rsidR="00000000" w:rsidRDefault="00632532">
            <w:pPr>
              <w:pStyle w:val="a3"/>
              <w:spacing w:before="0" w:beforeAutospacing="0" w:after="0" w:afterAutospacing="0"/>
              <w:jc w:val="right"/>
              <w:rPr>
                <w:sz w:val="20"/>
                <w:szCs w:val="20"/>
              </w:rPr>
            </w:pPr>
            <w:r>
              <w:rPr>
                <w:sz w:val="20"/>
                <w:szCs w:val="20"/>
              </w:rPr>
              <w:t>(213,00</w:t>
            </w:r>
            <w:r>
              <w:rPr>
                <w:sz w:val="20"/>
                <w:szCs w:val="20"/>
              </w:rPr>
              <w:t>4</w:t>
            </w:r>
          </w:p>
        </w:tc>
        <w:tc>
          <w:tcPr>
            <w:tcW w:w="0" w:type="auto"/>
            <w:noWrap/>
            <w:vAlign w:val="bottom"/>
            <w:hideMark/>
          </w:tcPr>
          <w:p w14:paraId="17DBC2D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4CF77E4"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6375D5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504A195" w14:textId="77777777" w:rsidR="00000000" w:rsidRDefault="00632532">
            <w:pPr>
              <w:pStyle w:val="a3"/>
              <w:spacing w:before="0" w:beforeAutospacing="0" w:after="0" w:afterAutospacing="0"/>
              <w:jc w:val="right"/>
              <w:rPr>
                <w:sz w:val="20"/>
                <w:szCs w:val="20"/>
              </w:rPr>
            </w:pPr>
            <w:r>
              <w:rPr>
                <w:sz w:val="20"/>
                <w:szCs w:val="20"/>
              </w:rPr>
              <w:t>(371,49</w:t>
            </w:r>
            <w:r>
              <w:rPr>
                <w:sz w:val="20"/>
                <w:szCs w:val="20"/>
              </w:rPr>
              <w:t>6</w:t>
            </w:r>
          </w:p>
        </w:tc>
        <w:tc>
          <w:tcPr>
            <w:tcW w:w="0" w:type="auto"/>
            <w:noWrap/>
            <w:vAlign w:val="bottom"/>
            <w:hideMark/>
          </w:tcPr>
          <w:p w14:paraId="6DB795D6" w14:textId="77777777" w:rsidR="00000000" w:rsidRDefault="00632532">
            <w:pPr>
              <w:pStyle w:val="a3"/>
              <w:spacing w:before="0" w:beforeAutospacing="0" w:after="0" w:afterAutospacing="0"/>
              <w:rPr>
                <w:sz w:val="20"/>
                <w:szCs w:val="20"/>
              </w:rPr>
            </w:pPr>
            <w:r>
              <w:rPr>
                <w:sz w:val="20"/>
                <w:szCs w:val="20"/>
              </w:rPr>
              <w:t>)</w:t>
            </w:r>
          </w:p>
        </w:tc>
      </w:tr>
      <w:tr w:rsidR="00000000" w14:paraId="11DA6CFF" w14:textId="77777777">
        <w:trPr>
          <w:trHeight w:val="200"/>
          <w:tblCellSpacing w:w="15" w:type="dxa"/>
        </w:trPr>
        <w:tc>
          <w:tcPr>
            <w:tcW w:w="0" w:type="auto"/>
            <w:hideMark/>
          </w:tcPr>
          <w:p w14:paraId="01BA3C6E" w14:textId="77777777" w:rsidR="00000000" w:rsidRDefault="00632532">
            <w:pPr>
              <w:pStyle w:val="a3"/>
              <w:spacing w:before="0" w:beforeAutospacing="0" w:after="0" w:afterAutospacing="0"/>
              <w:rPr>
                <w:sz w:val="20"/>
                <w:szCs w:val="20"/>
              </w:rPr>
            </w:pPr>
            <w:r>
              <w:rPr>
                <w:sz w:val="20"/>
                <w:szCs w:val="20"/>
              </w:rPr>
              <w:t>Net cash (used in) provided by financing activitie</w:t>
            </w:r>
            <w:r>
              <w:rPr>
                <w:sz w:val="20"/>
                <w:szCs w:val="20"/>
              </w:rPr>
              <w:t>s</w:t>
            </w:r>
          </w:p>
        </w:tc>
        <w:tc>
          <w:tcPr>
            <w:tcW w:w="0" w:type="auto"/>
            <w:noWrap/>
            <w:vAlign w:val="bottom"/>
            <w:hideMark/>
          </w:tcPr>
          <w:p w14:paraId="60ACF94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6E36D1C" w14:textId="77777777" w:rsidR="00000000" w:rsidRDefault="00632532">
            <w:pPr>
              <w:pStyle w:val="a3"/>
              <w:spacing w:before="0" w:beforeAutospacing="0" w:after="0" w:afterAutospacing="0"/>
              <w:jc w:val="right"/>
              <w:rPr>
                <w:sz w:val="20"/>
                <w:szCs w:val="20"/>
              </w:rPr>
            </w:pPr>
            <w:r>
              <w:rPr>
                <w:sz w:val="20"/>
                <w:szCs w:val="20"/>
              </w:rPr>
              <w:t>(12,08</w:t>
            </w:r>
            <w:r>
              <w:rPr>
                <w:sz w:val="20"/>
                <w:szCs w:val="20"/>
              </w:rPr>
              <w:t>6</w:t>
            </w:r>
          </w:p>
        </w:tc>
        <w:tc>
          <w:tcPr>
            <w:tcW w:w="0" w:type="auto"/>
            <w:noWrap/>
            <w:vAlign w:val="bottom"/>
            <w:hideMark/>
          </w:tcPr>
          <w:p w14:paraId="3DDDBFF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F1B0733"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AF03BD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D3595BA" w14:textId="77777777" w:rsidR="00000000" w:rsidRDefault="00632532">
            <w:pPr>
              <w:pStyle w:val="a3"/>
              <w:spacing w:before="0" w:beforeAutospacing="0" w:after="0" w:afterAutospacing="0"/>
              <w:jc w:val="right"/>
              <w:rPr>
                <w:sz w:val="20"/>
                <w:szCs w:val="20"/>
              </w:rPr>
            </w:pPr>
            <w:r>
              <w:rPr>
                <w:sz w:val="20"/>
                <w:szCs w:val="20"/>
              </w:rPr>
              <w:t>75,24</w:t>
            </w:r>
            <w:r>
              <w:rPr>
                <w:sz w:val="20"/>
                <w:szCs w:val="20"/>
              </w:rPr>
              <w:t>0</w:t>
            </w:r>
          </w:p>
        </w:tc>
        <w:tc>
          <w:tcPr>
            <w:tcW w:w="0" w:type="auto"/>
            <w:noWrap/>
            <w:vAlign w:val="bottom"/>
            <w:hideMark/>
          </w:tcPr>
          <w:p w14:paraId="0BBDF7DC" w14:textId="77777777" w:rsidR="00000000" w:rsidRDefault="00632532">
            <w:pPr>
              <w:pStyle w:val="a3"/>
              <w:spacing w:before="0" w:beforeAutospacing="0" w:after="0" w:afterAutospacing="0"/>
              <w:rPr>
                <w:sz w:val="20"/>
                <w:szCs w:val="20"/>
              </w:rPr>
            </w:pPr>
            <w:r>
              <w:rPr>
                <w:sz w:val="20"/>
                <w:szCs w:val="20"/>
              </w:rPr>
              <w:t> </w:t>
            </w:r>
          </w:p>
        </w:tc>
      </w:tr>
    </w:tbl>
    <w:p w14:paraId="03941D5A" w14:textId="77777777" w:rsidR="00000000" w:rsidRDefault="00632532">
      <w:pPr>
        <w:pStyle w:val="a3"/>
        <w:spacing w:before="0" w:beforeAutospacing="0" w:after="0" w:afterAutospacing="0"/>
        <w:rPr>
          <w:sz w:val="20"/>
          <w:szCs w:val="20"/>
        </w:rPr>
      </w:pPr>
      <w:r>
        <w:rPr>
          <w:sz w:val="20"/>
          <w:szCs w:val="20"/>
        </w:rPr>
        <w:t> </w:t>
      </w:r>
    </w:p>
    <w:p w14:paraId="6436A756" w14:textId="77777777" w:rsidR="00000000" w:rsidRDefault="00632532">
      <w:pPr>
        <w:pStyle w:val="a3"/>
        <w:spacing w:before="120" w:beforeAutospacing="0" w:after="0" w:afterAutospacing="0"/>
        <w:rPr>
          <w:sz w:val="20"/>
          <w:szCs w:val="20"/>
        </w:rPr>
      </w:pPr>
      <w:r>
        <w:rPr>
          <w:i/>
          <w:iCs/>
          <w:sz w:val="20"/>
          <w:szCs w:val="20"/>
        </w:rPr>
        <w:t>Operating Activitie</w:t>
      </w:r>
      <w:r>
        <w:rPr>
          <w:i/>
          <w:iCs/>
          <w:sz w:val="20"/>
          <w:szCs w:val="20"/>
        </w:rPr>
        <w:t>s</w:t>
      </w:r>
    </w:p>
    <w:p w14:paraId="1FBE7D70" w14:textId="77777777" w:rsidR="00000000" w:rsidRDefault="00632532">
      <w:pPr>
        <w:pStyle w:val="a3"/>
        <w:spacing w:before="120" w:beforeAutospacing="0" w:after="0" w:afterAutospacing="0"/>
        <w:ind w:firstLine="555"/>
        <w:rPr>
          <w:sz w:val="20"/>
          <w:szCs w:val="20"/>
        </w:rPr>
      </w:pPr>
      <w:r>
        <w:rPr>
          <w:sz w:val="20"/>
          <w:szCs w:val="20"/>
        </w:rPr>
        <w:t>Cash provided by operating activities in the six months ended June 30, 2022 was $199.5 million. The difference between net income and cash provided by operating activities for the period was primarily due to the effects of $18.7 million in provision for cr</w:t>
      </w:r>
      <w:r>
        <w:rPr>
          <w:sz w:val="20"/>
          <w:szCs w:val="20"/>
        </w:rPr>
        <w:t xml:space="preserve">edit losses, $13.6 million in equity-based compensation expenses, $13.0 million in the depreciation and amortization, $3.2 million in amortization of premium of marketable securities, $1.7 million in noncash lease expense, $1.0 million in unrecognized tax </w:t>
      </w:r>
      <w:r>
        <w:rPr>
          <w:sz w:val="20"/>
          <w:szCs w:val="20"/>
        </w:rPr>
        <w:t>benefits, and partially offset by a negative impact of $7.6 million increased deferred tax assets. Cash provided by operating activities decreased between periods primarily due to decreases of $10.3 million in accounts payable related to timing of payments</w:t>
      </w:r>
      <w:r>
        <w:rPr>
          <w:sz w:val="20"/>
          <w:szCs w:val="20"/>
        </w:rPr>
        <w:t>, $1.7 million in operating and finance lease liabilities, and an increase of $1.9 million in other current and long-term assets primary related to increased prepaid insurance premium, and partially offset by an increase of $2.0 million in income tax payab</w:t>
      </w:r>
      <w:r>
        <w:rPr>
          <w:sz w:val="20"/>
          <w:szCs w:val="20"/>
        </w:rPr>
        <w:t>le due to the timing of the payment and a decrease of $1.8 million in trade accounts receivable due to timing of collections</w:t>
      </w:r>
      <w:r>
        <w:rPr>
          <w:sz w:val="20"/>
          <w:szCs w:val="20"/>
        </w:rPr>
        <w:t>.</w:t>
      </w:r>
    </w:p>
    <w:p w14:paraId="69DEFA71" w14:textId="77777777" w:rsidR="00000000" w:rsidRDefault="00632532">
      <w:pPr>
        <w:pStyle w:val="a3"/>
        <w:spacing w:before="240" w:beforeAutospacing="0" w:after="0" w:afterAutospacing="0"/>
        <w:ind w:firstLine="555"/>
        <w:rPr>
          <w:sz w:val="20"/>
          <w:szCs w:val="20"/>
        </w:rPr>
      </w:pPr>
      <w:r>
        <w:rPr>
          <w:sz w:val="20"/>
          <w:szCs w:val="20"/>
        </w:rPr>
        <w:t>Cash provided by operating activities in the six months ended June 30, 2021 was $309.3 million. The difference between net income and cash provided by operating activities for the period was primarily due to the effects of $6.5 million in equity-based comp</w:t>
      </w:r>
      <w:r>
        <w:rPr>
          <w:sz w:val="20"/>
          <w:szCs w:val="20"/>
        </w:rPr>
        <w:t xml:space="preserve">ensation expenses and $4.3 million in the depreciation and amortization. Cash provided by operating activities increased between periods primarily due to an increase of $44.7 million in customer deposit due to payments received from customers in excess of </w:t>
      </w:r>
      <w:r>
        <w:rPr>
          <w:sz w:val="20"/>
          <w:szCs w:val="20"/>
        </w:rPr>
        <w:t>their outstanding trade accounts receivable balances, and a decrease of $32.5 million in trade receivable due to timing of payments, and partially offset by the negative impact of decreases of $26.9 million in income tax payable due to the estimated tax pa</w:t>
      </w:r>
      <w:r>
        <w:rPr>
          <w:sz w:val="20"/>
          <w:szCs w:val="20"/>
        </w:rPr>
        <w:t>yments made during the current period, $19.7 million in contract liabilities due to timing of payments, $10.3 million in accounts payable due to the timing of payments, and an increase of $6.0 million in other current and long-term assets related to additi</w:t>
      </w:r>
      <w:r>
        <w:rPr>
          <w:sz w:val="20"/>
          <w:szCs w:val="20"/>
        </w:rPr>
        <w:t>ons in reagents and supplies</w:t>
      </w:r>
      <w:r>
        <w:rPr>
          <w:sz w:val="20"/>
          <w:szCs w:val="20"/>
        </w:rPr>
        <w:t>.</w:t>
      </w:r>
    </w:p>
    <w:p w14:paraId="2A3AA934" w14:textId="77777777" w:rsidR="00000000" w:rsidRDefault="00632532">
      <w:pPr>
        <w:pStyle w:val="a3"/>
        <w:spacing w:before="360" w:beforeAutospacing="0" w:after="0" w:afterAutospacing="0"/>
        <w:rPr>
          <w:sz w:val="20"/>
          <w:szCs w:val="20"/>
        </w:rPr>
      </w:pPr>
      <w:r>
        <w:rPr>
          <w:i/>
          <w:iCs/>
          <w:sz w:val="20"/>
          <w:szCs w:val="20"/>
        </w:rPr>
        <w:t>Investing Activitie</w:t>
      </w:r>
      <w:r>
        <w:rPr>
          <w:i/>
          <w:iCs/>
          <w:sz w:val="20"/>
          <w:szCs w:val="20"/>
        </w:rPr>
        <w:t>s</w:t>
      </w:r>
    </w:p>
    <w:p w14:paraId="2779F5CD" w14:textId="77777777" w:rsidR="00000000" w:rsidRDefault="00632532">
      <w:pPr>
        <w:pStyle w:val="a3"/>
        <w:spacing w:before="120" w:beforeAutospacing="0" w:after="0" w:afterAutospacing="0"/>
        <w:ind w:firstLine="555"/>
        <w:rPr>
          <w:sz w:val="20"/>
          <w:szCs w:val="20"/>
        </w:rPr>
      </w:pPr>
      <w:r>
        <w:rPr>
          <w:sz w:val="20"/>
          <w:szCs w:val="20"/>
        </w:rPr>
        <w:t>Cash used in investing activities in the six months ended June 30, 2022 was $213.0 million, which primarily related to $245.5 million on purchase of marketable securities and $137.8 million payment related</w:t>
      </w:r>
      <w:r>
        <w:rPr>
          <w:sz w:val="20"/>
          <w:szCs w:val="20"/>
        </w:rPr>
        <w:t xml:space="preserve"> to acquisition of Inform Diagnostics, $15.0 million investment in private equity securities, $10.0 million contingent consideration payment made in current period related to a business combination in 2021, purchase of $8.6 million of fixed assets, and par</w:t>
      </w:r>
      <w:r>
        <w:rPr>
          <w:sz w:val="20"/>
          <w:szCs w:val="20"/>
        </w:rPr>
        <w:t>tially offset by proceeds of $133.4 million from sale of marketable securities and $70.4 million related to maturities of marketable securities</w:t>
      </w:r>
      <w:r>
        <w:rPr>
          <w:sz w:val="20"/>
          <w:szCs w:val="20"/>
        </w:rPr>
        <w:t>.</w:t>
      </w:r>
      <w:r>
        <w:rPr>
          <w:sz w:val="20"/>
          <w:szCs w:val="20"/>
        </w:rPr>
        <w:t xml:space="preserve"> </w:t>
      </w:r>
    </w:p>
    <w:p w14:paraId="0CD77F02" w14:textId="77777777" w:rsidR="00000000" w:rsidRDefault="00632532">
      <w:pPr>
        <w:pStyle w:val="a3"/>
        <w:spacing w:before="240" w:beforeAutospacing="0" w:after="0" w:afterAutospacing="0"/>
        <w:ind w:firstLine="555"/>
        <w:rPr>
          <w:sz w:val="20"/>
          <w:szCs w:val="20"/>
        </w:rPr>
      </w:pPr>
      <w:r>
        <w:rPr>
          <w:sz w:val="20"/>
          <w:szCs w:val="20"/>
        </w:rPr>
        <w:t>Cash used in investing activities in the six months ended June 30, 2021 was $371.5 million, which primarily re</w:t>
      </w:r>
      <w:r>
        <w:rPr>
          <w:sz w:val="20"/>
          <w:szCs w:val="20"/>
        </w:rPr>
        <w:t>lated to purchases of $424.8 million of marketable securities, $18.5 million related to a business acquisition, and purchase of $14.4 million of fixed assets consisting mainly of medical laboratory equipment and building construction, partially offset by $</w:t>
      </w:r>
      <w:r>
        <w:rPr>
          <w:sz w:val="20"/>
          <w:szCs w:val="20"/>
        </w:rPr>
        <w:t>51.7 million related to sales of marketable securities and proceeds of $34.5 million related to maturities of marketable securities</w:t>
      </w:r>
      <w:r>
        <w:rPr>
          <w:sz w:val="20"/>
          <w:szCs w:val="20"/>
        </w:rPr>
        <w:t>.</w:t>
      </w:r>
    </w:p>
    <w:p w14:paraId="423038C8" w14:textId="77777777" w:rsidR="00000000" w:rsidRDefault="00632532">
      <w:pPr>
        <w:pStyle w:val="a3"/>
        <w:spacing w:before="240" w:beforeAutospacing="0" w:after="0" w:afterAutospacing="0"/>
        <w:jc w:val="center"/>
        <w:rPr>
          <w:sz w:val="20"/>
          <w:szCs w:val="20"/>
        </w:rPr>
      </w:pPr>
      <w:r>
        <w:rPr>
          <w:sz w:val="20"/>
          <w:szCs w:val="20"/>
        </w:rPr>
        <w:t>2</w:t>
      </w:r>
      <w:r>
        <w:rPr>
          <w:sz w:val="20"/>
          <w:szCs w:val="20"/>
        </w:rPr>
        <w:t>9</w:t>
      </w:r>
    </w:p>
    <w:p w14:paraId="4EFF2E51" w14:textId="77777777" w:rsidR="00000000" w:rsidRDefault="00632532">
      <w:pPr>
        <w:rPr>
          <w:rFonts w:eastAsia="Times New Roman"/>
        </w:rPr>
      </w:pPr>
      <w:r>
        <w:rPr>
          <w:rFonts w:eastAsia="Times New Roman"/>
        </w:rPr>
        <w:pict w14:anchorId="6890B50D">
          <v:rect id="_x0000_i1055" style="width:0;height:1.5pt" o:hralign="center" o:hrstd="t" o:hr="t" fillcolor="#a0a0a0" stroked="f"/>
        </w:pict>
      </w:r>
    </w:p>
    <w:p w14:paraId="2EA0B537" w14:textId="77777777" w:rsidR="00000000" w:rsidRDefault="00632532">
      <w:pPr>
        <w:pStyle w:val="a3"/>
        <w:spacing w:before="360" w:beforeAutospacing="0" w:after="0" w:afterAutospacing="0"/>
        <w:rPr>
          <w:sz w:val="20"/>
          <w:szCs w:val="20"/>
        </w:rPr>
      </w:pPr>
      <w:r>
        <w:rPr>
          <w:i/>
          <w:iCs/>
          <w:sz w:val="20"/>
          <w:szCs w:val="20"/>
        </w:rPr>
        <w:t>Financing Activitie</w:t>
      </w:r>
      <w:r>
        <w:rPr>
          <w:i/>
          <w:iCs/>
          <w:sz w:val="20"/>
          <w:szCs w:val="20"/>
        </w:rPr>
        <w:t>s</w:t>
      </w:r>
    </w:p>
    <w:p w14:paraId="6654C603" w14:textId="77777777" w:rsidR="00000000" w:rsidRDefault="00632532">
      <w:pPr>
        <w:pStyle w:val="a3"/>
        <w:spacing w:before="120" w:beforeAutospacing="0" w:after="0" w:afterAutospacing="0"/>
        <w:ind w:firstLine="555"/>
        <w:rPr>
          <w:sz w:val="20"/>
          <w:szCs w:val="20"/>
        </w:rPr>
      </w:pPr>
      <w:r>
        <w:rPr>
          <w:sz w:val="20"/>
          <w:szCs w:val="20"/>
        </w:rPr>
        <w:t xml:space="preserve">Cash used in financing activities in the six months ended June </w:t>
      </w:r>
      <w:r>
        <w:rPr>
          <w:sz w:val="20"/>
          <w:szCs w:val="20"/>
        </w:rPr>
        <w:t>30, 2022 was $12.1 million, which primarily related to $10.6 million repurchase of common stock and $930,000 related to common stock withholding for employee tax obligations</w:t>
      </w:r>
      <w:r>
        <w:rPr>
          <w:sz w:val="20"/>
          <w:szCs w:val="20"/>
        </w:rPr>
        <w:t>.</w:t>
      </w:r>
    </w:p>
    <w:p w14:paraId="5D3D426C" w14:textId="77777777" w:rsidR="00000000" w:rsidRDefault="00632532">
      <w:pPr>
        <w:pStyle w:val="a3"/>
        <w:spacing w:before="240" w:beforeAutospacing="0" w:after="0" w:afterAutospacing="0"/>
        <w:ind w:firstLine="555"/>
        <w:rPr>
          <w:sz w:val="20"/>
          <w:szCs w:val="20"/>
        </w:rPr>
      </w:pPr>
      <w:r>
        <w:rPr>
          <w:sz w:val="20"/>
          <w:szCs w:val="20"/>
        </w:rPr>
        <w:t>Cash provided by financing activities in the six months ended June 30, 2021 was $</w:t>
      </w:r>
      <w:r>
        <w:rPr>
          <w:sz w:val="20"/>
          <w:szCs w:val="20"/>
        </w:rPr>
        <w:t>75.2 million, which primarily represents net proceeds from an equity distribution agreement we entered in 2020</w:t>
      </w:r>
      <w:r>
        <w:rPr>
          <w:sz w:val="20"/>
          <w:szCs w:val="20"/>
        </w:rPr>
        <w:t>.</w:t>
      </w:r>
    </w:p>
    <w:p w14:paraId="122A0134" w14:textId="77777777" w:rsidR="00000000" w:rsidRDefault="00632532">
      <w:pPr>
        <w:pStyle w:val="a3"/>
        <w:spacing w:before="360" w:beforeAutospacing="0" w:after="0" w:afterAutospacing="0"/>
        <w:rPr>
          <w:sz w:val="20"/>
          <w:szCs w:val="20"/>
        </w:rPr>
      </w:pPr>
      <w:r>
        <w:rPr>
          <w:b/>
          <w:bCs/>
          <w:sz w:val="20"/>
          <w:szCs w:val="20"/>
        </w:rPr>
        <w:t>Stock Repurchase Progra</w:t>
      </w:r>
      <w:r>
        <w:rPr>
          <w:b/>
          <w:bCs/>
          <w:sz w:val="20"/>
          <w:szCs w:val="20"/>
        </w:rPr>
        <w:t>m</w:t>
      </w:r>
    </w:p>
    <w:p w14:paraId="707CE4CE" w14:textId="77777777" w:rsidR="00000000" w:rsidRDefault="00632532">
      <w:pPr>
        <w:pStyle w:val="a3"/>
        <w:spacing w:before="120" w:beforeAutospacing="0" w:after="0" w:afterAutospacing="0"/>
        <w:ind w:firstLine="555"/>
        <w:rPr>
          <w:sz w:val="20"/>
          <w:szCs w:val="20"/>
        </w:rPr>
      </w:pPr>
      <w:r>
        <w:rPr>
          <w:sz w:val="20"/>
          <w:szCs w:val="20"/>
        </w:rPr>
        <w:t>In March 2022, our Board authorized a $250.0 million stock repurchase program. The stock repurchase program has no expi</w:t>
      </w:r>
      <w:r>
        <w:rPr>
          <w:sz w:val="20"/>
          <w:szCs w:val="20"/>
        </w:rPr>
        <w:t>ration from the date of authorization. Under the stock repurchase program, the Company may repurchase shares from time to time in the open market or in privately negotiated transactions</w:t>
      </w:r>
      <w:r>
        <w:rPr>
          <w:sz w:val="20"/>
          <w:szCs w:val="20"/>
        </w:rPr>
        <w:t>.</w:t>
      </w:r>
    </w:p>
    <w:p w14:paraId="0262A688" w14:textId="77777777" w:rsidR="00000000" w:rsidRDefault="00632532">
      <w:pPr>
        <w:pStyle w:val="a3"/>
        <w:spacing w:before="240" w:beforeAutospacing="0" w:after="0" w:afterAutospacing="0"/>
        <w:ind w:firstLine="555"/>
        <w:rPr>
          <w:sz w:val="20"/>
          <w:szCs w:val="20"/>
        </w:rPr>
      </w:pPr>
      <w:r>
        <w:rPr>
          <w:sz w:val="20"/>
          <w:szCs w:val="20"/>
        </w:rPr>
        <w:t>During the three months ended June 30, 2022, we repurchased approxima</w:t>
      </w:r>
      <w:r>
        <w:rPr>
          <w:sz w:val="20"/>
          <w:szCs w:val="20"/>
        </w:rPr>
        <w:t>tely $10.6 million of our common stock under our stock repurchase programs. As of June 30, 2022, a total of approximately $239.4 million remained available for future repurchases of our common stock under our stock repurchase programs</w:t>
      </w:r>
      <w:r>
        <w:rPr>
          <w:sz w:val="20"/>
          <w:szCs w:val="20"/>
        </w:rPr>
        <w:t>.</w:t>
      </w:r>
    </w:p>
    <w:p w14:paraId="1D9B4DE8" w14:textId="77777777" w:rsidR="00000000" w:rsidRDefault="00632532">
      <w:pPr>
        <w:pStyle w:val="a3"/>
        <w:spacing w:before="360" w:beforeAutospacing="0" w:after="0" w:afterAutospacing="0"/>
        <w:ind w:firstLine="555"/>
        <w:jc w:val="center"/>
        <w:rPr>
          <w:sz w:val="20"/>
          <w:szCs w:val="20"/>
        </w:rPr>
      </w:pPr>
      <w:r>
        <w:rPr>
          <w:b/>
          <w:bCs/>
          <w:sz w:val="20"/>
          <w:szCs w:val="20"/>
        </w:rPr>
        <w:t xml:space="preserve">Critical Accounting </w:t>
      </w:r>
      <w:r>
        <w:rPr>
          <w:b/>
          <w:bCs/>
          <w:sz w:val="20"/>
          <w:szCs w:val="20"/>
        </w:rPr>
        <w:t>Policies and Use of Estimate</w:t>
      </w:r>
      <w:r>
        <w:rPr>
          <w:b/>
          <w:bCs/>
          <w:sz w:val="20"/>
          <w:szCs w:val="20"/>
        </w:rPr>
        <w:t>s</w:t>
      </w:r>
    </w:p>
    <w:p w14:paraId="6A086DFC" w14:textId="77777777" w:rsidR="00000000" w:rsidRDefault="00632532">
      <w:pPr>
        <w:pStyle w:val="a3"/>
        <w:spacing w:before="120" w:beforeAutospacing="0" w:after="0" w:afterAutospacing="0"/>
        <w:ind w:firstLine="555"/>
        <w:rPr>
          <w:sz w:val="20"/>
          <w:szCs w:val="20"/>
        </w:rPr>
      </w:pPr>
      <w:r>
        <w:rPr>
          <w:sz w:val="20"/>
          <w:szCs w:val="20"/>
        </w:rPr>
        <w:t>There have been no material changes to our critical accounting policies or estimates from the information provided in Item 7, “Management’s Discussion and Analysis of Financial Condition and Results of Operations”, included in</w:t>
      </w:r>
      <w:r>
        <w:rPr>
          <w:sz w:val="20"/>
          <w:szCs w:val="20"/>
        </w:rPr>
        <w:t xml:space="preserve"> the 2021 Annual Report</w:t>
      </w:r>
      <w:r>
        <w:rPr>
          <w:sz w:val="20"/>
          <w:szCs w:val="20"/>
        </w:rPr>
        <w:t>.</w:t>
      </w:r>
    </w:p>
    <w:p w14:paraId="60704FEF" w14:textId="77777777" w:rsidR="00000000" w:rsidRDefault="00632532">
      <w:pPr>
        <w:pStyle w:val="a3"/>
        <w:spacing w:before="360" w:beforeAutospacing="0" w:after="0" w:afterAutospacing="0"/>
        <w:ind w:firstLine="555"/>
        <w:jc w:val="center"/>
        <w:rPr>
          <w:sz w:val="20"/>
          <w:szCs w:val="20"/>
        </w:rPr>
      </w:pPr>
      <w:r>
        <w:rPr>
          <w:b/>
          <w:bCs/>
          <w:sz w:val="20"/>
          <w:szCs w:val="20"/>
        </w:rPr>
        <w:t>Recent Accounting Pronouncement</w:t>
      </w:r>
      <w:r>
        <w:rPr>
          <w:b/>
          <w:bCs/>
          <w:sz w:val="20"/>
          <w:szCs w:val="20"/>
        </w:rPr>
        <w:t>s</w:t>
      </w:r>
    </w:p>
    <w:p w14:paraId="4FB77989" w14:textId="77777777" w:rsidR="00000000" w:rsidRDefault="00632532">
      <w:pPr>
        <w:pStyle w:val="a3"/>
        <w:spacing w:before="120" w:beforeAutospacing="0" w:after="0" w:afterAutospacing="0"/>
        <w:ind w:firstLine="555"/>
        <w:rPr>
          <w:sz w:val="20"/>
          <w:szCs w:val="20"/>
        </w:rPr>
      </w:pPr>
      <w:r>
        <w:rPr>
          <w:sz w:val="20"/>
          <w:szCs w:val="20"/>
        </w:rPr>
        <w:t>See Note 2, Summary of Significant Accounting Policies, to our condensed consolidated financial statements included in this report for information about recent accounting pronouncements</w:t>
      </w:r>
      <w:r>
        <w:rPr>
          <w:sz w:val="20"/>
          <w:szCs w:val="20"/>
        </w:rPr>
        <w:t>.</w:t>
      </w:r>
      <w:r>
        <w:rPr>
          <w:sz w:val="20"/>
          <w:szCs w:val="20"/>
        </w:rPr>
        <w:t xml:space="preserve"> </w:t>
      </w:r>
    </w:p>
    <w:p w14:paraId="4CBE6452" w14:textId="77777777" w:rsidR="00000000" w:rsidRDefault="00632532">
      <w:pPr>
        <w:pStyle w:val="a3"/>
        <w:spacing w:before="360" w:beforeAutospacing="0" w:after="0" w:afterAutospacing="0"/>
        <w:ind w:firstLine="555"/>
        <w:jc w:val="center"/>
        <w:rPr>
          <w:sz w:val="20"/>
          <w:szCs w:val="20"/>
        </w:rPr>
      </w:pPr>
      <w:r>
        <w:rPr>
          <w:b/>
          <w:bCs/>
          <w:sz w:val="20"/>
          <w:szCs w:val="20"/>
        </w:rPr>
        <w:t>Off-Balanc</w:t>
      </w:r>
      <w:r>
        <w:rPr>
          <w:b/>
          <w:bCs/>
          <w:sz w:val="20"/>
          <w:szCs w:val="20"/>
        </w:rPr>
        <w:t>e Sheet Arrangement</w:t>
      </w:r>
      <w:r>
        <w:rPr>
          <w:b/>
          <w:bCs/>
          <w:sz w:val="20"/>
          <w:szCs w:val="20"/>
        </w:rPr>
        <w:t>s</w:t>
      </w:r>
    </w:p>
    <w:p w14:paraId="3F1B78AD" w14:textId="77777777" w:rsidR="00000000" w:rsidRDefault="00632532">
      <w:pPr>
        <w:pStyle w:val="a3"/>
        <w:spacing w:before="120" w:beforeAutospacing="0" w:after="0" w:afterAutospacing="0"/>
        <w:ind w:firstLine="555"/>
        <w:rPr>
          <w:sz w:val="20"/>
          <w:szCs w:val="20"/>
        </w:rPr>
      </w:pPr>
      <w:r>
        <w:rPr>
          <w:sz w:val="20"/>
          <w:szCs w:val="20"/>
        </w:rPr>
        <w:t>We did not have during the periods presented, and do not currently have, any off-balance sheet arrangements, as defined in the rules and regulations of the SEC, that have or are reasonably likely to have a current or future effect on o</w:t>
      </w:r>
      <w:r>
        <w:rPr>
          <w:sz w:val="20"/>
          <w:szCs w:val="20"/>
        </w:rPr>
        <w:t>ur financial condition, changes in financial condition, revenue or expenses, results of operations, liquidity, capital expenditures or capital resources that is material to investors</w:t>
      </w:r>
      <w:r>
        <w:rPr>
          <w:sz w:val="20"/>
          <w:szCs w:val="20"/>
        </w:rPr>
        <w:t>.</w:t>
      </w:r>
    </w:p>
    <w:p w14:paraId="1BF16B5A" w14:textId="77777777" w:rsidR="00000000" w:rsidRDefault="00632532">
      <w:pPr>
        <w:pStyle w:val="a3"/>
        <w:spacing w:before="360" w:beforeAutospacing="0" w:after="0" w:afterAutospacing="0"/>
        <w:rPr>
          <w:sz w:val="20"/>
          <w:szCs w:val="20"/>
        </w:rPr>
      </w:pPr>
      <w:r>
        <w:rPr>
          <w:b/>
          <w:bCs/>
          <w:sz w:val="20"/>
          <w:szCs w:val="20"/>
        </w:rPr>
        <w:t>Item 3. Quantitative and Qualitati</w:t>
      </w:r>
      <w:r>
        <w:rPr>
          <w:b/>
          <w:bCs/>
          <w:sz w:val="20"/>
          <w:szCs w:val="20"/>
        </w:rPr>
        <w:t>v</w:t>
      </w:r>
      <w:r>
        <w:rPr>
          <w:b/>
          <w:bCs/>
          <w:sz w:val="20"/>
          <w:szCs w:val="20"/>
        </w:rPr>
        <w:t>e Disclosures About Market Risk</w:t>
      </w:r>
      <w:r>
        <w:rPr>
          <w:b/>
          <w:bCs/>
          <w:sz w:val="20"/>
          <w:szCs w:val="20"/>
        </w:rPr>
        <w:t>.</w:t>
      </w:r>
    </w:p>
    <w:p w14:paraId="17B021C2" w14:textId="77777777" w:rsidR="00000000" w:rsidRDefault="00632532">
      <w:pPr>
        <w:pStyle w:val="a3"/>
        <w:spacing w:before="120" w:beforeAutospacing="0" w:after="0" w:afterAutospacing="0"/>
        <w:ind w:firstLine="539"/>
        <w:rPr>
          <w:sz w:val="20"/>
          <w:szCs w:val="20"/>
        </w:rPr>
      </w:pPr>
      <w:r>
        <w:rPr>
          <w:sz w:val="20"/>
          <w:szCs w:val="20"/>
        </w:rPr>
        <w:t xml:space="preserve">Not </w:t>
      </w:r>
      <w:r>
        <w:rPr>
          <w:sz w:val="20"/>
          <w:szCs w:val="20"/>
        </w:rPr>
        <w:t>required</w:t>
      </w:r>
      <w:r>
        <w:rPr>
          <w:sz w:val="20"/>
          <w:szCs w:val="20"/>
        </w:rPr>
        <w:t>.</w:t>
      </w:r>
    </w:p>
    <w:p w14:paraId="5B0BBC95" w14:textId="77777777" w:rsidR="00000000" w:rsidRDefault="00632532">
      <w:pPr>
        <w:pStyle w:val="a3"/>
        <w:spacing w:before="360" w:beforeAutospacing="0" w:after="0" w:afterAutospacing="0"/>
        <w:rPr>
          <w:sz w:val="20"/>
          <w:szCs w:val="20"/>
        </w:rPr>
      </w:pPr>
      <w:r>
        <w:rPr>
          <w:b/>
          <w:bCs/>
          <w:sz w:val="20"/>
          <w:szCs w:val="20"/>
        </w:rPr>
        <w:t>Item 4. Cont</w:t>
      </w:r>
      <w:r>
        <w:rPr>
          <w:b/>
          <w:bCs/>
          <w:sz w:val="20"/>
          <w:szCs w:val="20"/>
        </w:rPr>
        <w:t>r</w:t>
      </w:r>
      <w:r>
        <w:rPr>
          <w:b/>
          <w:bCs/>
          <w:sz w:val="20"/>
          <w:szCs w:val="20"/>
        </w:rPr>
        <w:t>ols and Procedures</w:t>
      </w:r>
      <w:r>
        <w:rPr>
          <w:b/>
          <w:bCs/>
          <w:sz w:val="20"/>
          <w:szCs w:val="20"/>
        </w:rPr>
        <w:t>.</w:t>
      </w:r>
    </w:p>
    <w:p w14:paraId="6C4E874E" w14:textId="77777777" w:rsidR="00000000" w:rsidRDefault="00632532">
      <w:pPr>
        <w:pStyle w:val="a3"/>
        <w:spacing w:before="360" w:beforeAutospacing="0" w:after="0" w:afterAutospacing="0"/>
        <w:jc w:val="center"/>
        <w:rPr>
          <w:sz w:val="20"/>
          <w:szCs w:val="20"/>
        </w:rPr>
      </w:pPr>
      <w:r>
        <w:rPr>
          <w:b/>
          <w:bCs/>
          <w:sz w:val="20"/>
          <w:szCs w:val="20"/>
        </w:rPr>
        <w:t>Evaluation of Disclosure Controls and Procedure</w:t>
      </w:r>
      <w:r>
        <w:rPr>
          <w:b/>
          <w:bCs/>
          <w:sz w:val="20"/>
          <w:szCs w:val="20"/>
        </w:rPr>
        <w:t>s</w:t>
      </w:r>
    </w:p>
    <w:p w14:paraId="1BA999C0" w14:textId="77777777" w:rsidR="00000000" w:rsidRDefault="00632532">
      <w:pPr>
        <w:pStyle w:val="a3"/>
        <w:spacing w:before="120" w:beforeAutospacing="0" w:after="0" w:afterAutospacing="0"/>
        <w:ind w:firstLine="555"/>
        <w:rPr>
          <w:sz w:val="20"/>
          <w:szCs w:val="20"/>
        </w:rPr>
      </w:pPr>
      <w:r>
        <w:rPr>
          <w:sz w:val="20"/>
          <w:szCs w:val="20"/>
        </w:rPr>
        <w:t>Disclosure controls and procedures are controls and other procedures of a company that are designed to ensure that information required to be disclosed by the company in the reports that it files or submits under the Exchange Act is recorded, processed, su</w:t>
      </w:r>
      <w:r>
        <w:rPr>
          <w:sz w:val="20"/>
          <w:szCs w:val="20"/>
        </w:rPr>
        <w:t>mmarized and reported within the time periods specified in the SEC’s rules and forms. Disclosure controls and procedures include, without limitation, controls and procedures designed to ensure that information required to be disclosed by a company in the r</w:t>
      </w:r>
      <w:r>
        <w:rPr>
          <w:sz w:val="20"/>
          <w:szCs w:val="20"/>
        </w:rPr>
        <w:t xml:space="preserve">eports that it files or submits under the Exchange Act is accumulated and communicated to the company’s management, including its principal executive and principal financial officers, or persons performing similar functions, as appropriate to allow timely </w:t>
      </w:r>
      <w:r>
        <w:rPr>
          <w:sz w:val="20"/>
          <w:szCs w:val="20"/>
        </w:rPr>
        <w:t>decisions regarding required disclosure. As required by Rule 13a-15(b) under the Exchange Act, our management, with the participation of our Chief Executive Officer and Chief Financial Officer, conducted an evaluation of the effectiveness of our disclosure</w:t>
      </w:r>
      <w:r>
        <w:rPr>
          <w:sz w:val="20"/>
          <w:szCs w:val="20"/>
        </w:rPr>
        <w:t xml:space="preserve"> controls and procedures as of June 30, 2022. Based on this evaluation, our Chief Executive Officer and Chief Financial Officer concluded that our disclosure controls and procedures were effective as of June 30, 2022</w:t>
      </w:r>
      <w:r>
        <w:rPr>
          <w:sz w:val="20"/>
          <w:szCs w:val="20"/>
        </w:rPr>
        <w:t>.</w:t>
      </w:r>
    </w:p>
    <w:p w14:paraId="547C0921" w14:textId="77777777" w:rsidR="00000000" w:rsidRDefault="00632532">
      <w:pPr>
        <w:pStyle w:val="a3"/>
        <w:spacing w:before="360" w:beforeAutospacing="0" w:after="0" w:afterAutospacing="0"/>
        <w:jc w:val="center"/>
        <w:rPr>
          <w:sz w:val="20"/>
          <w:szCs w:val="20"/>
        </w:rPr>
      </w:pPr>
      <w:r>
        <w:rPr>
          <w:b/>
          <w:bCs/>
          <w:sz w:val="20"/>
          <w:szCs w:val="20"/>
        </w:rPr>
        <w:t>Changes in Internal Control over Finan</w:t>
      </w:r>
      <w:r>
        <w:rPr>
          <w:b/>
          <w:bCs/>
          <w:sz w:val="20"/>
          <w:szCs w:val="20"/>
        </w:rPr>
        <w:t>cial Reportin</w:t>
      </w:r>
      <w:r>
        <w:rPr>
          <w:b/>
          <w:bCs/>
          <w:sz w:val="20"/>
          <w:szCs w:val="20"/>
        </w:rPr>
        <w:t>g</w:t>
      </w:r>
    </w:p>
    <w:p w14:paraId="3577218A" w14:textId="77777777" w:rsidR="00000000" w:rsidRDefault="00632532">
      <w:pPr>
        <w:pStyle w:val="a3"/>
        <w:spacing w:before="120" w:beforeAutospacing="0" w:after="0" w:afterAutospacing="0"/>
        <w:ind w:firstLine="555"/>
        <w:rPr>
          <w:sz w:val="20"/>
          <w:szCs w:val="20"/>
        </w:rPr>
      </w:pPr>
      <w:r>
        <w:rPr>
          <w:sz w:val="20"/>
          <w:szCs w:val="20"/>
        </w:rPr>
        <w:t>There have not been any changes in our internal control (as required by Rule 13a-15(b) under the Exchange Act) over the financial reporting during the three months ended June 30, 2022 that have materially affected or are reasonably likely to</w:t>
      </w:r>
      <w:r>
        <w:rPr>
          <w:sz w:val="20"/>
          <w:szCs w:val="20"/>
        </w:rPr>
        <w:t xml:space="preserve"> materially affect our internal control over financial reporting</w:t>
      </w:r>
      <w:r>
        <w:rPr>
          <w:sz w:val="20"/>
          <w:szCs w:val="20"/>
        </w:rPr>
        <w:t>.</w:t>
      </w:r>
      <w:r>
        <w:rPr>
          <w:sz w:val="20"/>
          <w:szCs w:val="20"/>
        </w:rPr>
        <w:t xml:space="preserve"> </w:t>
      </w:r>
    </w:p>
    <w:p w14:paraId="364E69D9" w14:textId="77777777" w:rsidR="00000000" w:rsidRDefault="00632532">
      <w:pPr>
        <w:pStyle w:val="a3"/>
        <w:spacing w:before="240" w:beforeAutospacing="0" w:after="0" w:afterAutospacing="0"/>
        <w:jc w:val="center"/>
        <w:rPr>
          <w:sz w:val="20"/>
          <w:szCs w:val="20"/>
        </w:rPr>
      </w:pPr>
      <w:r>
        <w:rPr>
          <w:sz w:val="20"/>
          <w:szCs w:val="20"/>
        </w:rPr>
        <w:t>3</w:t>
      </w:r>
      <w:r>
        <w:rPr>
          <w:sz w:val="20"/>
          <w:szCs w:val="20"/>
        </w:rPr>
        <w:t>0</w:t>
      </w:r>
    </w:p>
    <w:p w14:paraId="793F84F1" w14:textId="77777777" w:rsidR="00000000" w:rsidRDefault="00632532">
      <w:pPr>
        <w:rPr>
          <w:rFonts w:eastAsia="Times New Roman"/>
        </w:rPr>
      </w:pPr>
      <w:r>
        <w:rPr>
          <w:rFonts w:eastAsia="Times New Roman"/>
        </w:rPr>
        <w:pict w14:anchorId="127EADDC">
          <v:rect id="_x0000_i1056" style="width:0;height:1.5pt" o:hralign="center" o:hrstd="t" o:hr="t" fillcolor="#a0a0a0" stroked="f"/>
        </w:pict>
      </w:r>
    </w:p>
    <w:p w14:paraId="14DC0CF6" w14:textId="77777777" w:rsidR="00000000" w:rsidRDefault="00632532">
      <w:pPr>
        <w:pStyle w:val="a3"/>
        <w:spacing w:before="360" w:beforeAutospacing="0" w:after="0" w:afterAutospacing="0"/>
        <w:jc w:val="center"/>
        <w:rPr>
          <w:sz w:val="20"/>
          <w:szCs w:val="20"/>
        </w:rPr>
      </w:pPr>
      <w:r>
        <w:rPr>
          <w:b/>
          <w:bCs/>
          <w:sz w:val="20"/>
          <w:szCs w:val="20"/>
        </w:rPr>
        <w:t>Inherent Limitations on Disclosure Controls and Procedures and Internal Control over Financial Reportin</w:t>
      </w:r>
      <w:r>
        <w:rPr>
          <w:b/>
          <w:bCs/>
          <w:sz w:val="20"/>
          <w:szCs w:val="20"/>
        </w:rPr>
        <w:t>g</w:t>
      </w:r>
    </w:p>
    <w:p w14:paraId="58E9F323" w14:textId="77777777" w:rsidR="00000000" w:rsidRDefault="00632532">
      <w:pPr>
        <w:pStyle w:val="a3"/>
        <w:spacing w:before="120" w:beforeAutospacing="0" w:after="0" w:afterAutospacing="0"/>
        <w:ind w:firstLine="555"/>
        <w:rPr>
          <w:sz w:val="20"/>
          <w:szCs w:val="20"/>
        </w:rPr>
      </w:pPr>
      <w:r>
        <w:rPr>
          <w:sz w:val="20"/>
          <w:szCs w:val="20"/>
        </w:rPr>
        <w:t>Management recognizes that any controls and procedures, no matter how well-designed and operated, can provide only reasonable assurance of achieving th</w:t>
      </w:r>
      <w:r>
        <w:rPr>
          <w:sz w:val="20"/>
          <w:szCs w:val="20"/>
        </w:rPr>
        <w:t>eir objectives, and management necessarily applies its judgment in evaluating the benefits of possible controls and procedures relative to their costs. Because of these inherent limitations, our disclosure and internal controls may not prevent or detect al</w:t>
      </w:r>
      <w:r>
        <w:rPr>
          <w:sz w:val="20"/>
          <w:szCs w:val="20"/>
        </w:rPr>
        <w:t>l instances of fraud, misstatements or other control issues. In addition, projections of any evaluation of the effectiveness of disclosure or internal controls to future periods are subject to risks, including, among others, that controls may become inadeq</w:t>
      </w:r>
      <w:r>
        <w:rPr>
          <w:sz w:val="20"/>
          <w:szCs w:val="20"/>
        </w:rPr>
        <w:t>uate because of changes in conditions or that the degree of compliance with policies or procedures may deteriorate</w:t>
      </w:r>
      <w:r>
        <w:rPr>
          <w:sz w:val="20"/>
          <w:szCs w:val="20"/>
        </w:rPr>
        <w:t>.</w:t>
      </w:r>
    </w:p>
    <w:p w14:paraId="22216148" w14:textId="77777777" w:rsidR="00000000" w:rsidRDefault="00632532">
      <w:pPr>
        <w:pStyle w:val="a3"/>
        <w:spacing w:before="240" w:beforeAutospacing="0" w:after="0" w:afterAutospacing="0"/>
        <w:jc w:val="center"/>
        <w:rPr>
          <w:sz w:val="20"/>
          <w:szCs w:val="20"/>
        </w:rPr>
      </w:pPr>
      <w:r>
        <w:rPr>
          <w:sz w:val="20"/>
          <w:szCs w:val="20"/>
        </w:rPr>
        <w:t>3</w:t>
      </w:r>
      <w:r>
        <w:rPr>
          <w:sz w:val="20"/>
          <w:szCs w:val="20"/>
        </w:rPr>
        <w:t>1</w:t>
      </w:r>
    </w:p>
    <w:p w14:paraId="759DB948" w14:textId="77777777" w:rsidR="00000000" w:rsidRDefault="00632532">
      <w:pPr>
        <w:rPr>
          <w:rFonts w:eastAsia="Times New Roman"/>
        </w:rPr>
      </w:pPr>
      <w:r>
        <w:rPr>
          <w:rFonts w:eastAsia="Times New Roman"/>
        </w:rPr>
        <w:pict w14:anchorId="20E0873F">
          <v:rect id="_x0000_i1057" style="width:0;height:1.5pt" o:hralign="center" o:hrstd="t" o:hr="t" fillcolor="#a0a0a0" stroked="f"/>
        </w:pict>
      </w:r>
    </w:p>
    <w:p w14:paraId="3ED9ECDA" w14:textId="77777777" w:rsidR="00000000" w:rsidRDefault="00632532">
      <w:pPr>
        <w:pStyle w:val="a3"/>
        <w:spacing w:before="0" w:beforeAutospacing="0" w:after="0" w:afterAutospacing="0"/>
        <w:jc w:val="center"/>
        <w:rPr>
          <w:sz w:val="20"/>
          <w:szCs w:val="20"/>
        </w:rPr>
      </w:pPr>
      <w:r>
        <w:rPr>
          <w:b/>
          <w:bCs/>
          <w:sz w:val="20"/>
          <w:szCs w:val="20"/>
        </w:rPr>
        <w:t>PART II—OTHE</w:t>
      </w:r>
      <w:r>
        <w:rPr>
          <w:b/>
          <w:bCs/>
          <w:sz w:val="20"/>
          <w:szCs w:val="20"/>
        </w:rPr>
        <w:t>R</w:t>
      </w:r>
      <w:r>
        <w:rPr>
          <w:b/>
          <w:bCs/>
          <w:sz w:val="20"/>
          <w:szCs w:val="20"/>
        </w:rPr>
        <w:t xml:space="preserve"> INFORMATIO</w:t>
      </w:r>
      <w:r>
        <w:rPr>
          <w:b/>
          <w:bCs/>
          <w:sz w:val="20"/>
          <w:szCs w:val="20"/>
        </w:rPr>
        <w:t>N</w:t>
      </w:r>
    </w:p>
    <w:p w14:paraId="49603E09" w14:textId="77777777" w:rsidR="00000000" w:rsidRDefault="00632532">
      <w:pPr>
        <w:pStyle w:val="a3"/>
        <w:spacing w:before="240" w:beforeAutospacing="0" w:after="0" w:afterAutospacing="0"/>
        <w:rPr>
          <w:sz w:val="20"/>
          <w:szCs w:val="20"/>
        </w:rPr>
      </w:pPr>
      <w:r>
        <w:rPr>
          <w:b/>
          <w:bCs/>
          <w:sz w:val="20"/>
          <w:szCs w:val="20"/>
        </w:rPr>
        <w:t>Item 1. Legal</w:t>
      </w:r>
      <w:r>
        <w:rPr>
          <w:b/>
          <w:bCs/>
          <w:sz w:val="20"/>
          <w:szCs w:val="20"/>
        </w:rPr>
        <w:t xml:space="preserve"> </w:t>
      </w:r>
      <w:r>
        <w:rPr>
          <w:b/>
          <w:bCs/>
          <w:sz w:val="20"/>
          <w:szCs w:val="20"/>
        </w:rPr>
        <w:t>Proceedings</w:t>
      </w:r>
      <w:r>
        <w:rPr>
          <w:b/>
          <w:bCs/>
          <w:sz w:val="20"/>
          <w:szCs w:val="20"/>
        </w:rPr>
        <w:t>.</w:t>
      </w:r>
    </w:p>
    <w:p w14:paraId="0C38CD1E" w14:textId="77777777" w:rsidR="00000000" w:rsidRDefault="00632532">
      <w:pPr>
        <w:pStyle w:val="a3"/>
        <w:spacing w:before="120" w:beforeAutospacing="0" w:after="0" w:afterAutospacing="0"/>
        <w:ind w:firstLine="555"/>
        <w:rPr>
          <w:sz w:val="20"/>
          <w:szCs w:val="20"/>
        </w:rPr>
      </w:pPr>
      <w:r>
        <w:rPr>
          <w:sz w:val="20"/>
          <w:szCs w:val="20"/>
        </w:rPr>
        <w:t xml:space="preserve">From time to time, we may be involved in legal </w:t>
      </w:r>
      <w:r>
        <w:rPr>
          <w:sz w:val="20"/>
          <w:szCs w:val="20"/>
        </w:rPr>
        <w:t>proceedings arising in the ordinary course of our business. We are not presently a party, and our properties are not presently subject, to any legal proceedings that, in the opinion of management, would have a material effect on our business. Regardless of</w:t>
      </w:r>
      <w:r>
        <w:rPr>
          <w:sz w:val="20"/>
          <w:szCs w:val="20"/>
        </w:rPr>
        <w:t xml:space="preserve"> outcome, litigation can have an adverse impact on us due to defense and settlement costs, diversion of management resources, negative publicity and reputational harm, among other factors</w:t>
      </w:r>
      <w:r>
        <w:rPr>
          <w:sz w:val="20"/>
          <w:szCs w:val="20"/>
        </w:rPr>
        <w:t>.</w:t>
      </w:r>
    </w:p>
    <w:p w14:paraId="7A21B64F" w14:textId="77777777" w:rsidR="00000000" w:rsidRDefault="00632532">
      <w:pPr>
        <w:pStyle w:val="a3"/>
        <w:spacing w:before="360" w:beforeAutospacing="0" w:after="0" w:afterAutospacing="0"/>
        <w:rPr>
          <w:sz w:val="20"/>
          <w:szCs w:val="20"/>
        </w:rPr>
      </w:pPr>
      <w:r>
        <w:rPr>
          <w:b/>
          <w:bCs/>
          <w:sz w:val="20"/>
          <w:szCs w:val="20"/>
        </w:rPr>
        <w:t>Item 1A.</w:t>
      </w:r>
      <w:r>
        <w:rPr>
          <w:b/>
          <w:bCs/>
          <w:sz w:val="20"/>
          <w:szCs w:val="20"/>
        </w:rPr>
        <w:t xml:space="preserve"> </w:t>
      </w:r>
      <w:r>
        <w:rPr>
          <w:b/>
          <w:bCs/>
          <w:sz w:val="20"/>
          <w:szCs w:val="20"/>
        </w:rPr>
        <w:t>Risk Factors</w:t>
      </w:r>
      <w:r>
        <w:rPr>
          <w:b/>
          <w:bCs/>
          <w:sz w:val="20"/>
          <w:szCs w:val="20"/>
        </w:rPr>
        <w:t>.</w:t>
      </w:r>
    </w:p>
    <w:p w14:paraId="7A5C00A9" w14:textId="77777777" w:rsidR="00000000" w:rsidRDefault="00632532">
      <w:pPr>
        <w:pStyle w:val="a3"/>
        <w:spacing w:before="120" w:beforeAutospacing="0" w:after="0" w:afterAutospacing="0"/>
        <w:ind w:firstLine="555"/>
        <w:rPr>
          <w:sz w:val="20"/>
          <w:szCs w:val="20"/>
        </w:rPr>
      </w:pPr>
      <w:r>
        <w:rPr>
          <w:sz w:val="20"/>
          <w:szCs w:val="20"/>
        </w:rPr>
        <w:t>Except as set forth below, there have been n</w:t>
      </w:r>
      <w:r>
        <w:rPr>
          <w:sz w:val="20"/>
          <w:szCs w:val="20"/>
        </w:rPr>
        <w:t>o material changes to the risk factors set forth in Part I, Item 1A of the 2021 Annual Report</w:t>
      </w:r>
      <w:r>
        <w:rPr>
          <w:sz w:val="20"/>
          <w:szCs w:val="20"/>
        </w:rPr>
        <w:t>.</w:t>
      </w:r>
    </w:p>
    <w:p w14:paraId="36925F49" w14:textId="77777777" w:rsidR="00000000" w:rsidRDefault="00632532">
      <w:pPr>
        <w:pStyle w:val="a3"/>
        <w:spacing w:before="360" w:beforeAutospacing="0" w:after="0" w:afterAutospacing="0"/>
        <w:rPr>
          <w:sz w:val="20"/>
          <w:szCs w:val="20"/>
        </w:rPr>
      </w:pPr>
      <w:r>
        <w:rPr>
          <w:b/>
          <w:bCs/>
          <w:sz w:val="20"/>
          <w:szCs w:val="20"/>
        </w:rPr>
        <w:t>We may be required to modify our business practices, pay fines, incur significant expenses or experience losses due to litigation and/or governmental investigati</w:t>
      </w:r>
      <w:r>
        <w:rPr>
          <w:b/>
          <w:bCs/>
          <w:sz w:val="20"/>
          <w:szCs w:val="20"/>
        </w:rPr>
        <w:t>ons</w:t>
      </w:r>
      <w:r>
        <w:rPr>
          <w:b/>
          <w:bCs/>
          <w:sz w:val="20"/>
          <w:szCs w:val="20"/>
        </w:rPr>
        <w:t>.</w:t>
      </w:r>
    </w:p>
    <w:p w14:paraId="285E5228" w14:textId="77777777" w:rsidR="00000000" w:rsidRDefault="00632532">
      <w:pPr>
        <w:pStyle w:val="a3"/>
        <w:spacing w:before="120" w:beforeAutospacing="0" w:after="0" w:afterAutospacing="0"/>
        <w:ind w:firstLine="555"/>
        <w:rPr>
          <w:sz w:val="20"/>
          <w:szCs w:val="20"/>
        </w:rPr>
      </w:pPr>
      <w:r>
        <w:rPr>
          <w:sz w:val="20"/>
          <w:szCs w:val="20"/>
        </w:rPr>
        <w:t xml:space="preserve">From time to time and in the ordinary course of our business, we may be subject to litigation or governmental investigation on a variety of matters in the United States or foreign jurisdictions, including, without limitation, regulatory, intellectual </w:t>
      </w:r>
      <w:r>
        <w:rPr>
          <w:sz w:val="20"/>
          <w:szCs w:val="20"/>
        </w:rPr>
        <w:t>property, product liability, antitrust, consumer, false claims, whistleblower, Qui Tam, privacy, anti-kickback, anti-bribery, environmental, commercial, securities and employment litigation and claims and other legal proceedings that may arise from the con</w:t>
      </w:r>
      <w:r>
        <w:rPr>
          <w:sz w:val="20"/>
          <w:szCs w:val="20"/>
        </w:rPr>
        <w:t>duct of our business. Our activities relating to our products and services are subject to extensive regulation in the United States and foreign jurisdictions. Like many companies in our industry, we have in the ordinary course of business received inquirie</w:t>
      </w:r>
      <w:r>
        <w:rPr>
          <w:sz w:val="20"/>
          <w:szCs w:val="20"/>
        </w:rPr>
        <w:t>s, subpoenas, civil investigative demand, or CIDs, and other types of information requests from government authorities. We have received a CID issued by the U.S. Department of Justice pursuant to the False Claims Act related to its investigation of allegat</w:t>
      </w:r>
      <w:r>
        <w:rPr>
          <w:sz w:val="20"/>
          <w:szCs w:val="20"/>
        </w:rPr>
        <w:t>ions of medically unnecessary laboratory testing, improper billing for laboratory testing, and remuneration received or provided in violation of the Anti-Kickback Statute and the Stark Law. This CID requests information and records relating to certain of o</w:t>
      </w:r>
      <w:r>
        <w:rPr>
          <w:sz w:val="20"/>
          <w:szCs w:val="20"/>
        </w:rPr>
        <w:t xml:space="preserve">ur customers named in the CID which represent a small portion of our revenues. On June 29, 2022, we became aware that the SEC is conducting a non-public investigation when we received a subpoena requesting information regarding certain of our Exchange Act </w:t>
      </w:r>
      <w:r>
        <w:rPr>
          <w:sz w:val="20"/>
          <w:szCs w:val="20"/>
        </w:rPr>
        <w:t>reports for 2018 through the first quarter of 2020. We are fully cooperating with both the SEC and the U.S. Department of Justice to promptly respond to the requests for information in the CID and the SEC subpoena, and do not presently expect this CID, the</w:t>
      </w:r>
      <w:r>
        <w:rPr>
          <w:sz w:val="20"/>
          <w:szCs w:val="20"/>
        </w:rPr>
        <w:t xml:space="preserve"> SEC subpoena or any resulting or related investigations to have a material adverse impact on our business. However, we cannot predict when the investigations will be resolved, the outcome of the investigations or its potential impact on our business which</w:t>
      </w:r>
      <w:r>
        <w:rPr>
          <w:sz w:val="20"/>
          <w:szCs w:val="20"/>
        </w:rPr>
        <w:t xml:space="preserve"> may ultimately be greater than we expect. In addition, responding to this CID and SEC subpoena, and any litigation or government investigation generally, diverts the attention of our management team and diverts resources from our core business. As such, t</w:t>
      </w:r>
      <w:r>
        <w:rPr>
          <w:sz w:val="20"/>
          <w:szCs w:val="20"/>
        </w:rPr>
        <w:t>he time and attention of our management team in responding to these matters may limit their time available to devote to our business, and we may also incur significant expenses or experience losses in relation to these matters. As a result of these matters</w:t>
      </w:r>
      <w:r>
        <w:rPr>
          <w:sz w:val="20"/>
          <w:szCs w:val="20"/>
        </w:rPr>
        <w:t>, we may also be required to alter the conduct of our operations or be subject to other penalties. Any of these circumstances may adversely affect our business, prospects, reputation and results of operations</w:t>
      </w:r>
      <w:r>
        <w:rPr>
          <w:sz w:val="20"/>
          <w:szCs w:val="20"/>
        </w:rPr>
        <w:t>.</w:t>
      </w:r>
    </w:p>
    <w:p w14:paraId="45828BD1" w14:textId="77777777" w:rsidR="00000000" w:rsidRDefault="00632532">
      <w:pPr>
        <w:pStyle w:val="a3"/>
        <w:spacing w:before="240" w:beforeAutospacing="0" w:after="0" w:afterAutospacing="0"/>
        <w:jc w:val="center"/>
        <w:rPr>
          <w:sz w:val="20"/>
          <w:szCs w:val="20"/>
        </w:rPr>
      </w:pPr>
      <w:r>
        <w:rPr>
          <w:sz w:val="20"/>
          <w:szCs w:val="20"/>
        </w:rPr>
        <w:t>3</w:t>
      </w:r>
      <w:r>
        <w:rPr>
          <w:sz w:val="20"/>
          <w:szCs w:val="20"/>
        </w:rPr>
        <w:t>2</w:t>
      </w:r>
    </w:p>
    <w:p w14:paraId="3C3AAF1C" w14:textId="77777777" w:rsidR="00000000" w:rsidRDefault="00632532">
      <w:pPr>
        <w:rPr>
          <w:rFonts w:eastAsia="Times New Roman"/>
        </w:rPr>
      </w:pPr>
      <w:r>
        <w:rPr>
          <w:rFonts w:eastAsia="Times New Roman"/>
        </w:rPr>
        <w:pict w14:anchorId="60B149CF">
          <v:rect id="_x0000_i1058" style="width:0;height:1.5pt" o:hralign="center" o:hrstd="t" o:hr="t" fillcolor="#a0a0a0" stroked="f"/>
        </w:pict>
      </w:r>
    </w:p>
    <w:p w14:paraId="325CAB60" w14:textId="77777777" w:rsidR="00000000" w:rsidRDefault="00632532">
      <w:pPr>
        <w:pStyle w:val="a3"/>
        <w:spacing w:before="360" w:beforeAutospacing="0" w:after="0" w:afterAutospacing="0"/>
        <w:rPr>
          <w:sz w:val="20"/>
          <w:szCs w:val="20"/>
        </w:rPr>
      </w:pPr>
      <w:r>
        <w:rPr>
          <w:b/>
          <w:bCs/>
          <w:sz w:val="20"/>
          <w:szCs w:val="20"/>
        </w:rPr>
        <w:t>Item 2. Unregistered Sales of Equi</w:t>
      </w:r>
      <w:r>
        <w:rPr>
          <w:b/>
          <w:bCs/>
          <w:sz w:val="20"/>
          <w:szCs w:val="20"/>
        </w:rPr>
        <w:t>t</w:t>
      </w:r>
      <w:r>
        <w:rPr>
          <w:b/>
          <w:bCs/>
          <w:sz w:val="20"/>
          <w:szCs w:val="20"/>
        </w:rPr>
        <w:t>y Securities and Use of Proceeds</w:t>
      </w:r>
      <w:r>
        <w:rPr>
          <w:b/>
          <w:bCs/>
          <w:sz w:val="20"/>
          <w:szCs w:val="20"/>
        </w:rPr>
        <w:t>.</w:t>
      </w:r>
    </w:p>
    <w:p w14:paraId="2827526D" w14:textId="77777777" w:rsidR="00000000" w:rsidRDefault="00632532">
      <w:pPr>
        <w:pStyle w:val="a3"/>
        <w:spacing w:before="360" w:beforeAutospacing="0" w:after="0" w:afterAutospacing="0"/>
        <w:jc w:val="center"/>
        <w:rPr>
          <w:sz w:val="20"/>
          <w:szCs w:val="20"/>
        </w:rPr>
      </w:pPr>
      <w:r>
        <w:rPr>
          <w:b/>
          <w:bCs/>
          <w:sz w:val="20"/>
          <w:szCs w:val="20"/>
        </w:rPr>
        <w:t>Use of Proceeds from Registered Securitie</w:t>
      </w:r>
      <w:r>
        <w:rPr>
          <w:b/>
          <w:bCs/>
          <w:sz w:val="20"/>
          <w:szCs w:val="20"/>
        </w:rPr>
        <w:t>s</w:t>
      </w:r>
    </w:p>
    <w:p w14:paraId="0791DD31" w14:textId="77777777" w:rsidR="00000000" w:rsidRDefault="00632532">
      <w:pPr>
        <w:pStyle w:val="a3"/>
        <w:spacing w:before="240" w:beforeAutospacing="0" w:after="0" w:afterAutospacing="0"/>
        <w:ind w:firstLine="555"/>
        <w:rPr>
          <w:sz w:val="20"/>
          <w:szCs w:val="20"/>
        </w:rPr>
      </w:pPr>
      <w:r>
        <w:rPr>
          <w:sz w:val="20"/>
          <w:szCs w:val="20"/>
        </w:rPr>
        <w:t xml:space="preserve">To date, we have used $43.9 million of the net proceeds from sales of our common stock, of which, $4.5 million was used for contributions to FF </w:t>
      </w:r>
      <w:r>
        <w:rPr>
          <w:sz w:val="20"/>
          <w:szCs w:val="20"/>
        </w:rPr>
        <w:t>Gene Biotech prior to the FF Gene Biotech acquisition and $39.4 million was used to fund the Company’s operations. All other net proceeds from sales of our common stock are invested in investment-grade and interest-bearing securities, such as corporate bon</w:t>
      </w:r>
      <w:r>
        <w:rPr>
          <w:sz w:val="20"/>
          <w:szCs w:val="20"/>
        </w:rPr>
        <w:t>ds, municipal bonds, and U.S. government and U.S. agency debt securities. There has been no material change in the planned use of proceeds from the sales of our common stock from that described in the Prospectus</w:t>
      </w:r>
      <w:r>
        <w:rPr>
          <w:sz w:val="20"/>
          <w:szCs w:val="20"/>
        </w:rPr>
        <w:t>.</w:t>
      </w:r>
    </w:p>
    <w:p w14:paraId="01DF601F" w14:textId="77777777" w:rsidR="00000000" w:rsidRDefault="00632532">
      <w:pPr>
        <w:pStyle w:val="a3"/>
        <w:spacing w:before="360" w:beforeAutospacing="0" w:after="0" w:afterAutospacing="0"/>
        <w:jc w:val="center"/>
        <w:rPr>
          <w:sz w:val="20"/>
          <w:szCs w:val="20"/>
        </w:rPr>
      </w:pPr>
      <w:r>
        <w:rPr>
          <w:b/>
          <w:bCs/>
          <w:sz w:val="20"/>
          <w:szCs w:val="20"/>
        </w:rPr>
        <w:t>Information on Share Repurchase</w:t>
      </w:r>
      <w:r>
        <w:rPr>
          <w:b/>
          <w:bCs/>
          <w:sz w:val="20"/>
          <w:szCs w:val="20"/>
        </w:rPr>
        <w:t>s</w:t>
      </w:r>
    </w:p>
    <w:p w14:paraId="71772507" w14:textId="77777777" w:rsidR="00000000" w:rsidRDefault="00632532">
      <w:pPr>
        <w:pStyle w:val="a3"/>
        <w:spacing w:before="120" w:beforeAutospacing="0" w:after="0" w:afterAutospacing="0"/>
        <w:ind w:firstLine="555"/>
        <w:rPr>
          <w:sz w:val="20"/>
          <w:szCs w:val="20"/>
        </w:rPr>
      </w:pPr>
      <w:r>
        <w:rPr>
          <w:sz w:val="20"/>
          <w:szCs w:val="20"/>
        </w:rPr>
        <w:t>The number</w:t>
      </w:r>
      <w:r>
        <w:rPr>
          <w:sz w:val="20"/>
          <w:szCs w:val="20"/>
        </w:rPr>
        <w:t xml:space="preserve"> of shares of common stock repurchased by the Company during the second quarter of 2022 and the average price paid per share are as follows</w:t>
      </w:r>
      <w:r>
        <w:rPr>
          <w:sz w:val="20"/>
          <w:szCs w:val="20"/>
        </w:rPr>
        <w:t>:</w:t>
      </w:r>
    </w:p>
    <w:p w14:paraId="02D47E5A" w14:textId="77777777" w:rsidR="00000000" w:rsidRDefault="00632532">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1"/>
        <w:gridCol w:w="110"/>
        <w:gridCol w:w="110"/>
        <w:gridCol w:w="878"/>
        <w:gridCol w:w="110"/>
        <w:gridCol w:w="110"/>
        <w:gridCol w:w="160"/>
        <w:gridCol w:w="887"/>
        <w:gridCol w:w="110"/>
        <w:gridCol w:w="110"/>
        <w:gridCol w:w="111"/>
        <w:gridCol w:w="884"/>
        <w:gridCol w:w="110"/>
        <w:gridCol w:w="110"/>
        <w:gridCol w:w="160"/>
        <w:gridCol w:w="1060"/>
        <w:gridCol w:w="125"/>
      </w:tblGrid>
      <w:tr w:rsidR="00000000" w14:paraId="30146A47" w14:textId="77777777">
        <w:trPr>
          <w:tblCellSpacing w:w="15" w:type="dxa"/>
        </w:trPr>
        <w:tc>
          <w:tcPr>
            <w:tcW w:w="2027" w:type="pct"/>
            <w:vAlign w:val="center"/>
            <w:hideMark/>
          </w:tcPr>
          <w:p w14:paraId="2CFFF007" w14:textId="77777777" w:rsidR="00000000" w:rsidRDefault="00632532">
            <w:pPr>
              <w:rPr>
                <w:sz w:val="20"/>
                <w:szCs w:val="20"/>
              </w:rPr>
            </w:pPr>
          </w:p>
        </w:tc>
        <w:tc>
          <w:tcPr>
            <w:tcW w:w="70" w:type="pct"/>
            <w:vAlign w:val="center"/>
            <w:hideMark/>
          </w:tcPr>
          <w:p w14:paraId="71A81243" w14:textId="77777777" w:rsidR="00000000" w:rsidRDefault="00632532">
            <w:pPr>
              <w:rPr>
                <w:rFonts w:eastAsia="Times New Roman"/>
                <w:sz w:val="20"/>
                <w:szCs w:val="20"/>
              </w:rPr>
            </w:pPr>
          </w:p>
        </w:tc>
        <w:tc>
          <w:tcPr>
            <w:tcW w:w="50" w:type="pct"/>
            <w:vAlign w:val="center"/>
            <w:hideMark/>
          </w:tcPr>
          <w:p w14:paraId="57D17D63" w14:textId="77777777" w:rsidR="00000000" w:rsidRDefault="00632532">
            <w:pPr>
              <w:rPr>
                <w:rFonts w:eastAsia="Times New Roman"/>
                <w:sz w:val="20"/>
                <w:szCs w:val="20"/>
              </w:rPr>
            </w:pPr>
          </w:p>
        </w:tc>
        <w:tc>
          <w:tcPr>
            <w:tcW w:w="572" w:type="pct"/>
            <w:vAlign w:val="center"/>
            <w:hideMark/>
          </w:tcPr>
          <w:p w14:paraId="1AC43248" w14:textId="77777777" w:rsidR="00000000" w:rsidRDefault="00632532">
            <w:pPr>
              <w:rPr>
                <w:rFonts w:eastAsia="Times New Roman"/>
                <w:sz w:val="20"/>
                <w:szCs w:val="20"/>
              </w:rPr>
            </w:pPr>
          </w:p>
        </w:tc>
        <w:tc>
          <w:tcPr>
            <w:tcW w:w="50" w:type="pct"/>
            <w:vAlign w:val="center"/>
            <w:hideMark/>
          </w:tcPr>
          <w:p w14:paraId="73C9BC89" w14:textId="77777777" w:rsidR="00000000" w:rsidRDefault="00632532">
            <w:pPr>
              <w:rPr>
                <w:rFonts w:eastAsia="Times New Roman"/>
                <w:sz w:val="20"/>
                <w:szCs w:val="20"/>
              </w:rPr>
            </w:pPr>
          </w:p>
        </w:tc>
        <w:tc>
          <w:tcPr>
            <w:tcW w:w="70" w:type="pct"/>
            <w:vAlign w:val="center"/>
            <w:hideMark/>
          </w:tcPr>
          <w:p w14:paraId="1D52BF72" w14:textId="77777777" w:rsidR="00000000" w:rsidRDefault="00632532">
            <w:pPr>
              <w:rPr>
                <w:rFonts w:eastAsia="Times New Roman"/>
                <w:sz w:val="20"/>
                <w:szCs w:val="20"/>
              </w:rPr>
            </w:pPr>
          </w:p>
        </w:tc>
        <w:tc>
          <w:tcPr>
            <w:tcW w:w="50" w:type="pct"/>
            <w:vAlign w:val="center"/>
            <w:hideMark/>
          </w:tcPr>
          <w:p w14:paraId="0A872CA5" w14:textId="77777777" w:rsidR="00000000" w:rsidRDefault="00632532">
            <w:pPr>
              <w:rPr>
                <w:rFonts w:eastAsia="Times New Roman"/>
                <w:sz w:val="20"/>
                <w:szCs w:val="20"/>
              </w:rPr>
            </w:pPr>
          </w:p>
        </w:tc>
        <w:tc>
          <w:tcPr>
            <w:tcW w:w="577" w:type="pct"/>
            <w:vAlign w:val="center"/>
            <w:hideMark/>
          </w:tcPr>
          <w:p w14:paraId="7EC85A34" w14:textId="77777777" w:rsidR="00000000" w:rsidRDefault="00632532">
            <w:pPr>
              <w:rPr>
                <w:rFonts w:eastAsia="Times New Roman"/>
                <w:sz w:val="20"/>
                <w:szCs w:val="20"/>
              </w:rPr>
            </w:pPr>
          </w:p>
        </w:tc>
        <w:tc>
          <w:tcPr>
            <w:tcW w:w="50" w:type="pct"/>
            <w:vAlign w:val="center"/>
            <w:hideMark/>
          </w:tcPr>
          <w:p w14:paraId="673979CB" w14:textId="77777777" w:rsidR="00000000" w:rsidRDefault="00632532">
            <w:pPr>
              <w:rPr>
                <w:rFonts w:eastAsia="Times New Roman"/>
                <w:sz w:val="20"/>
                <w:szCs w:val="20"/>
              </w:rPr>
            </w:pPr>
          </w:p>
        </w:tc>
        <w:tc>
          <w:tcPr>
            <w:tcW w:w="70" w:type="pct"/>
            <w:vAlign w:val="center"/>
            <w:hideMark/>
          </w:tcPr>
          <w:p w14:paraId="23025928" w14:textId="77777777" w:rsidR="00000000" w:rsidRDefault="00632532">
            <w:pPr>
              <w:rPr>
                <w:rFonts w:eastAsia="Times New Roman"/>
                <w:sz w:val="20"/>
                <w:szCs w:val="20"/>
              </w:rPr>
            </w:pPr>
          </w:p>
        </w:tc>
        <w:tc>
          <w:tcPr>
            <w:tcW w:w="50" w:type="pct"/>
            <w:vAlign w:val="center"/>
            <w:hideMark/>
          </w:tcPr>
          <w:p w14:paraId="2C232967" w14:textId="77777777" w:rsidR="00000000" w:rsidRDefault="00632532">
            <w:pPr>
              <w:rPr>
                <w:rFonts w:eastAsia="Times New Roman"/>
                <w:sz w:val="20"/>
                <w:szCs w:val="20"/>
              </w:rPr>
            </w:pPr>
          </w:p>
        </w:tc>
        <w:tc>
          <w:tcPr>
            <w:tcW w:w="574" w:type="pct"/>
            <w:vAlign w:val="center"/>
            <w:hideMark/>
          </w:tcPr>
          <w:p w14:paraId="5BF80E09" w14:textId="77777777" w:rsidR="00000000" w:rsidRDefault="00632532">
            <w:pPr>
              <w:rPr>
                <w:rFonts w:eastAsia="Times New Roman"/>
                <w:sz w:val="20"/>
                <w:szCs w:val="20"/>
              </w:rPr>
            </w:pPr>
          </w:p>
        </w:tc>
        <w:tc>
          <w:tcPr>
            <w:tcW w:w="50" w:type="pct"/>
            <w:vAlign w:val="center"/>
            <w:hideMark/>
          </w:tcPr>
          <w:p w14:paraId="563F6342" w14:textId="77777777" w:rsidR="00000000" w:rsidRDefault="00632532">
            <w:pPr>
              <w:rPr>
                <w:rFonts w:eastAsia="Times New Roman"/>
                <w:sz w:val="20"/>
                <w:szCs w:val="20"/>
              </w:rPr>
            </w:pPr>
          </w:p>
        </w:tc>
        <w:tc>
          <w:tcPr>
            <w:tcW w:w="70" w:type="pct"/>
            <w:vAlign w:val="center"/>
            <w:hideMark/>
          </w:tcPr>
          <w:p w14:paraId="58CFBBB5" w14:textId="77777777" w:rsidR="00000000" w:rsidRDefault="00632532">
            <w:pPr>
              <w:rPr>
                <w:rFonts w:eastAsia="Times New Roman"/>
                <w:sz w:val="20"/>
                <w:szCs w:val="20"/>
              </w:rPr>
            </w:pPr>
          </w:p>
        </w:tc>
        <w:tc>
          <w:tcPr>
            <w:tcW w:w="50" w:type="pct"/>
            <w:vAlign w:val="center"/>
            <w:hideMark/>
          </w:tcPr>
          <w:p w14:paraId="3460FBB3" w14:textId="77777777" w:rsidR="00000000" w:rsidRDefault="00632532">
            <w:pPr>
              <w:rPr>
                <w:rFonts w:eastAsia="Times New Roman"/>
                <w:sz w:val="20"/>
                <w:szCs w:val="20"/>
              </w:rPr>
            </w:pPr>
          </w:p>
        </w:tc>
        <w:tc>
          <w:tcPr>
            <w:tcW w:w="566" w:type="pct"/>
            <w:vAlign w:val="center"/>
            <w:hideMark/>
          </w:tcPr>
          <w:p w14:paraId="07A4DFEB" w14:textId="77777777" w:rsidR="00000000" w:rsidRDefault="00632532">
            <w:pPr>
              <w:rPr>
                <w:rFonts w:eastAsia="Times New Roman"/>
                <w:sz w:val="20"/>
                <w:szCs w:val="20"/>
              </w:rPr>
            </w:pPr>
          </w:p>
        </w:tc>
        <w:tc>
          <w:tcPr>
            <w:tcW w:w="50" w:type="pct"/>
            <w:vAlign w:val="center"/>
            <w:hideMark/>
          </w:tcPr>
          <w:p w14:paraId="5B2EDE56" w14:textId="77777777" w:rsidR="00000000" w:rsidRDefault="00632532">
            <w:pPr>
              <w:rPr>
                <w:rFonts w:eastAsia="Times New Roman"/>
                <w:sz w:val="20"/>
                <w:szCs w:val="20"/>
              </w:rPr>
            </w:pPr>
          </w:p>
        </w:tc>
      </w:tr>
      <w:tr w:rsidR="00000000" w14:paraId="345155E3" w14:textId="77777777">
        <w:trPr>
          <w:trHeight w:val="160"/>
          <w:tblCellSpacing w:w="15" w:type="dxa"/>
        </w:trPr>
        <w:tc>
          <w:tcPr>
            <w:tcW w:w="0" w:type="auto"/>
            <w:vAlign w:val="center"/>
            <w:hideMark/>
          </w:tcPr>
          <w:p w14:paraId="1A3DE1E3" w14:textId="77777777" w:rsidR="00000000" w:rsidRDefault="00632532">
            <w:pPr>
              <w:pStyle w:val="a3"/>
              <w:spacing w:before="0" w:beforeAutospacing="0" w:after="0" w:afterAutospacing="0"/>
              <w:jc w:val="center"/>
              <w:rPr>
                <w:sz w:val="16"/>
                <w:szCs w:val="16"/>
              </w:rPr>
            </w:pPr>
            <w:r>
              <w:rPr>
                <w:b/>
                <w:bCs/>
                <w:sz w:val="16"/>
                <w:szCs w:val="16"/>
              </w:rPr>
              <w:t>Perio</w:t>
            </w:r>
            <w:r>
              <w:rPr>
                <w:b/>
                <w:bCs/>
                <w:sz w:val="16"/>
                <w:szCs w:val="16"/>
              </w:rPr>
              <w:t>d</w:t>
            </w:r>
          </w:p>
        </w:tc>
        <w:tc>
          <w:tcPr>
            <w:tcW w:w="0" w:type="auto"/>
            <w:vAlign w:val="center"/>
            <w:hideMark/>
          </w:tcPr>
          <w:p w14:paraId="530F8EDD"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center"/>
            <w:hideMark/>
          </w:tcPr>
          <w:p w14:paraId="16E8A67B" w14:textId="77777777" w:rsidR="00000000" w:rsidRDefault="00632532">
            <w:pPr>
              <w:pStyle w:val="a3"/>
              <w:spacing w:before="0" w:beforeAutospacing="0" w:after="0" w:afterAutospacing="0"/>
              <w:jc w:val="center"/>
              <w:rPr>
                <w:sz w:val="16"/>
                <w:szCs w:val="16"/>
              </w:rPr>
            </w:pPr>
            <w:r>
              <w:rPr>
                <w:b/>
                <w:bCs/>
                <w:sz w:val="16"/>
                <w:szCs w:val="16"/>
              </w:rPr>
              <w:t>(a) Total Number of Shares Purchase</w:t>
            </w:r>
            <w:r>
              <w:rPr>
                <w:b/>
                <w:bCs/>
                <w:sz w:val="16"/>
                <w:szCs w:val="16"/>
              </w:rPr>
              <w:t>d</w:t>
            </w:r>
          </w:p>
        </w:tc>
        <w:tc>
          <w:tcPr>
            <w:tcW w:w="0" w:type="auto"/>
            <w:vAlign w:val="center"/>
            <w:hideMark/>
          </w:tcPr>
          <w:p w14:paraId="76476943"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center"/>
            <w:hideMark/>
          </w:tcPr>
          <w:p w14:paraId="2C9E3277"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center"/>
            <w:hideMark/>
          </w:tcPr>
          <w:p w14:paraId="4C02D446" w14:textId="77777777" w:rsidR="00000000" w:rsidRDefault="00632532">
            <w:pPr>
              <w:pStyle w:val="a3"/>
              <w:spacing w:before="0" w:beforeAutospacing="0" w:after="0" w:afterAutospacing="0"/>
              <w:jc w:val="center"/>
              <w:rPr>
                <w:sz w:val="16"/>
                <w:szCs w:val="16"/>
              </w:rPr>
            </w:pPr>
            <w:r>
              <w:rPr>
                <w:b/>
                <w:bCs/>
                <w:sz w:val="16"/>
                <w:szCs w:val="16"/>
              </w:rPr>
              <w:t>(b) Average Price Paid Per Share (1</w:t>
            </w:r>
            <w:r>
              <w:rPr>
                <w:b/>
                <w:bCs/>
                <w:sz w:val="16"/>
                <w:szCs w:val="16"/>
              </w:rPr>
              <w:t>)</w:t>
            </w:r>
          </w:p>
        </w:tc>
        <w:tc>
          <w:tcPr>
            <w:tcW w:w="0" w:type="auto"/>
            <w:vAlign w:val="center"/>
            <w:hideMark/>
          </w:tcPr>
          <w:p w14:paraId="2396617D"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center"/>
            <w:hideMark/>
          </w:tcPr>
          <w:p w14:paraId="5B26CD01"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center"/>
            <w:hideMark/>
          </w:tcPr>
          <w:p w14:paraId="7A937BF9" w14:textId="77777777" w:rsidR="00000000" w:rsidRDefault="00632532">
            <w:pPr>
              <w:pStyle w:val="a3"/>
              <w:spacing w:before="0" w:beforeAutospacing="0" w:after="0" w:afterAutospacing="0"/>
              <w:jc w:val="center"/>
              <w:rPr>
                <w:sz w:val="16"/>
                <w:szCs w:val="16"/>
              </w:rPr>
            </w:pPr>
            <w:r>
              <w:rPr>
                <w:b/>
                <w:bCs/>
                <w:sz w:val="16"/>
                <w:szCs w:val="16"/>
              </w:rPr>
              <w:t>(c) Total Number of Shares Purchased As Part of Publicly Announced Plans or Program</w:t>
            </w:r>
            <w:r>
              <w:rPr>
                <w:b/>
                <w:bCs/>
                <w:sz w:val="16"/>
                <w:szCs w:val="16"/>
              </w:rPr>
              <w:t>s</w:t>
            </w:r>
          </w:p>
        </w:tc>
        <w:tc>
          <w:tcPr>
            <w:tcW w:w="0" w:type="auto"/>
            <w:vAlign w:val="center"/>
            <w:hideMark/>
          </w:tcPr>
          <w:p w14:paraId="0707ECC8"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center"/>
            <w:hideMark/>
          </w:tcPr>
          <w:p w14:paraId="561368BB"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2"/>
            <w:vAlign w:val="center"/>
            <w:hideMark/>
          </w:tcPr>
          <w:p w14:paraId="41A5B0FD" w14:textId="77777777" w:rsidR="00000000" w:rsidRDefault="00632532">
            <w:pPr>
              <w:pStyle w:val="a3"/>
              <w:spacing w:before="0" w:beforeAutospacing="0" w:after="0" w:afterAutospacing="0"/>
              <w:jc w:val="center"/>
              <w:rPr>
                <w:sz w:val="16"/>
                <w:szCs w:val="16"/>
              </w:rPr>
            </w:pPr>
            <w:r>
              <w:rPr>
                <w:b/>
                <w:bCs/>
                <w:sz w:val="16"/>
                <w:szCs w:val="16"/>
              </w:rPr>
              <w:t>(d) Maximum Dollar Value that May Yet Be Purchased Under the Plans or Program</w:t>
            </w:r>
            <w:r>
              <w:rPr>
                <w:b/>
                <w:bCs/>
                <w:sz w:val="16"/>
                <w:szCs w:val="16"/>
              </w:rPr>
              <w:t>s</w:t>
            </w:r>
          </w:p>
        </w:tc>
        <w:tc>
          <w:tcPr>
            <w:tcW w:w="0" w:type="auto"/>
            <w:vAlign w:val="center"/>
            <w:hideMark/>
          </w:tcPr>
          <w:p w14:paraId="0C83B8B3"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676063AA" w14:textId="77777777">
        <w:trPr>
          <w:trHeight w:val="200"/>
          <w:tblCellSpacing w:w="15" w:type="dxa"/>
        </w:trPr>
        <w:tc>
          <w:tcPr>
            <w:tcW w:w="0" w:type="auto"/>
            <w:hideMark/>
          </w:tcPr>
          <w:p w14:paraId="2F58BB69" w14:textId="77777777" w:rsidR="00000000" w:rsidRDefault="00632532">
            <w:pPr>
              <w:pStyle w:val="a3"/>
              <w:spacing w:before="0" w:beforeAutospacing="0" w:after="0" w:afterAutospacing="0"/>
              <w:rPr>
                <w:sz w:val="20"/>
                <w:szCs w:val="20"/>
              </w:rPr>
            </w:pPr>
            <w:r>
              <w:rPr>
                <w:sz w:val="20"/>
                <w:szCs w:val="20"/>
              </w:rPr>
              <w:t>May 2022 (5/1/2022 - 5/31/2022</w:t>
            </w:r>
            <w:r>
              <w:rPr>
                <w:sz w:val="20"/>
                <w:szCs w:val="20"/>
              </w:rPr>
              <w:t>)</w:t>
            </w:r>
          </w:p>
        </w:tc>
        <w:tc>
          <w:tcPr>
            <w:tcW w:w="0" w:type="auto"/>
            <w:vAlign w:val="bottom"/>
            <w:hideMark/>
          </w:tcPr>
          <w:p w14:paraId="7A1A6BBB"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2A3D4CD"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279DA8" w14:textId="77777777" w:rsidR="00000000" w:rsidRDefault="00632532">
            <w:pPr>
              <w:pStyle w:val="a3"/>
              <w:spacing w:before="0" w:beforeAutospacing="0" w:after="0" w:afterAutospacing="0"/>
              <w:jc w:val="right"/>
              <w:rPr>
                <w:sz w:val="20"/>
                <w:szCs w:val="20"/>
              </w:rPr>
            </w:pPr>
            <w:r>
              <w:rPr>
                <w:sz w:val="20"/>
                <w:szCs w:val="20"/>
              </w:rPr>
              <w:t>30,00</w:t>
            </w:r>
            <w:r>
              <w:rPr>
                <w:sz w:val="20"/>
                <w:szCs w:val="20"/>
              </w:rPr>
              <w:t>0</w:t>
            </w:r>
          </w:p>
        </w:tc>
        <w:tc>
          <w:tcPr>
            <w:tcW w:w="0" w:type="auto"/>
            <w:noWrap/>
            <w:vAlign w:val="bottom"/>
            <w:hideMark/>
          </w:tcPr>
          <w:p w14:paraId="04D8001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D872AF8"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5885F08"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BB2A853" w14:textId="77777777" w:rsidR="00000000" w:rsidRDefault="00632532">
            <w:pPr>
              <w:pStyle w:val="a3"/>
              <w:spacing w:before="0" w:beforeAutospacing="0" w:after="0" w:afterAutospacing="0"/>
              <w:jc w:val="right"/>
              <w:rPr>
                <w:sz w:val="20"/>
                <w:szCs w:val="20"/>
              </w:rPr>
            </w:pPr>
            <w:r>
              <w:rPr>
                <w:sz w:val="20"/>
                <w:szCs w:val="20"/>
              </w:rPr>
              <w:t>49.5</w:t>
            </w:r>
            <w:r>
              <w:rPr>
                <w:sz w:val="20"/>
                <w:szCs w:val="20"/>
              </w:rPr>
              <w:t>6</w:t>
            </w:r>
          </w:p>
        </w:tc>
        <w:tc>
          <w:tcPr>
            <w:tcW w:w="0" w:type="auto"/>
            <w:noWrap/>
            <w:vAlign w:val="bottom"/>
            <w:hideMark/>
          </w:tcPr>
          <w:p w14:paraId="5FF039B7"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1DE2F8D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27716EB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5B1C3DD" w14:textId="77777777" w:rsidR="00000000" w:rsidRDefault="00632532">
            <w:pPr>
              <w:pStyle w:val="a3"/>
              <w:spacing w:before="0" w:beforeAutospacing="0" w:after="0" w:afterAutospacing="0"/>
              <w:jc w:val="right"/>
              <w:rPr>
                <w:sz w:val="20"/>
                <w:szCs w:val="20"/>
              </w:rPr>
            </w:pPr>
            <w:r>
              <w:rPr>
                <w:sz w:val="20"/>
                <w:szCs w:val="20"/>
              </w:rPr>
              <w:t>30,00</w:t>
            </w:r>
            <w:r>
              <w:rPr>
                <w:sz w:val="20"/>
                <w:szCs w:val="20"/>
              </w:rPr>
              <w:t>0</w:t>
            </w:r>
          </w:p>
        </w:tc>
        <w:tc>
          <w:tcPr>
            <w:tcW w:w="0" w:type="auto"/>
            <w:noWrap/>
            <w:vAlign w:val="bottom"/>
            <w:hideMark/>
          </w:tcPr>
          <w:p w14:paraId="4FB3DD83"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245B777"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79C3803"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0F1D6E29" w14:textId="77777777" w:rsidR="00000000" w:rsidRDefault="00632532">
            <w:pPr>
              <w:pStyle w:val="a3"/>
              <w:spacing w:before="0" w:beforeAutospacing="0" w:after="0" w:afterAutospacing="0"/>
              <w:jc w:val="right"/>
              <w:rPr>
                <w:sz w:val="20"/>
                <w:szCs w:val="20"/>
              </w:rPr>
            </w:pPr>
            <w:r>
              <w:rPr>
                <w:sz w:val="20"/>
                <w:szCs w:val="20"/>
              </w:rPr>
              <w:t>248,515,00</w:t>
            </w:r>
            <w:r>
              <w:rPr>
                <w:sz w:val="20"/>
                <w:szCs w:val="20"/>
              </w:rPr>
              <w:t>0</w:t>
            </w:r>
          </w:p>
        </w:tc>
        <w:tc>
          <w:tcPr>
            <w:tcW w:w="0" w:type="auto"/>
            <w:noWrap/>
            <w:vAlign w:val="bottom"/>
            <w:hideMark/>
          </w:tcPr>
          <w:p w14:paraId="7717CEAB" w14:textId="77777777" w:rsidR="00000000" w:rsidRDefault="00632532">
            <w:pPr>
              <w:pStyle w:val="a3"/>
              <w:spacing w:before="0" w:beforeAutospacing="0" w:after="0" w:afterAutospacing="0"/>
              <w:rPr>
                <w:sz w:val="20"/>
                <w:szCs w:val="20"/>
              </w:rPr>
            </w:pPr>
            <w:r>
              <w:rPr>
                <w:sz w:val="20"/>
                <w:szCs w:val="20"/>
              </w:rPr>
              <w:t> </w:t>
            </w:r>
          </w:p>
        </w:tc>
      </w:tr>
      <w:tr w:rsidR="00000000" w14:paraId="11B11D59" w14:textId="77777777">
        <w:trPr>
          <w:trHeight w:val="200"/>
          <w:tblCellSpacing w:w="15" w:type="dxa"/>
        </w:trPr>
        <w:tc>
          <w:tcPr>
            <w:tcW w:w="0" w:type="auto"/>
            <w:hideMark/>
          </w:tcPr>
          <w:p w14:paraId="77DC602C" w14:textId="77777777" w:rsidR="00000000" w:rsidRDefault="00632532">
            <w:pPr>
              <w:pStyle w:val="a3"/>
              <w:spacing w:before="0" w:beforeAutospacing="0" w:after="0" w:afterAutospacing="0"/>
              <w:rPr>
                <w:sz w:val="20"/>
                <w:szCs w:val="20"/>
              </w:rPr>
            </w:pPr>
            <w:r>
              <w:rPr>
                <w:sz w:val="20"/>
                <w:szCs w:val="20"/>
              </w:rPr>
              <w:t>June 2022 (6/1/2022 - 6/30/2022</w:t>
            </w:r>
            <w:r>
              <w:rPr>
                <w:sz w:val="20"/>
                <w:szCs w:val="20"/>
              </w:rPr>
              <w:t>)</w:t>
            </w:r>
          </w:p>
        </w:tc>
        <w:tc>
          <w:tcPr>
            <w:tcW w:w="0" w:type="auto"/>
            <w:vAlign w:val="bottom"/>
            <w:hideMark/>
          </w:tcPr>
          <w:p w14:paraId="5C627C02"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493C34AA"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5BD32BA" w14:textId="77777777" w:rsidR="00000000" w:rsidRDefault="00632532">
            <w:pPr>
              <w:pStyle w:val="a3"/>
              <w:spacing w:before="0" w:beforeAutospacing="0" w:after="0" w:afterAutospacing="0"/>
              <w:jc w:val="right"/>
              <w:rPr>
                <w:sz w:val="20"/>
                <w:szCs w:val="20"/>
              </w:rPr>
            </w:pPr>
            <w:r>
              <w:rPr>
                <w:sz w:val="20"/>
                <w:szCs w:val="20"/>
              </w:rPr>
              <w:t>185,00</w:t>
            </w:r>
            <w:r>
              <w:rPr>
                <w:sz w:val="20"/>
                <w:szCs w:val="20"/>
              </w:rPr>
              <w:t>0</w:t>
            </w:r>
          </w:p>
        </w:tc>
        <w:tc>
          <w:tcPr>
            <w:tcW w:w="0" w:type="auto"/>
            <w:noWrap/>
            <w:vAlign w:val="bottom"/>
            <w:hideMark/>
          </w:tcPr>
          <w:p w14:paraId="664FE2A8"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1B7461D"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0F097C69"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79F6929F" w14:textId="77777777" w:rsidR="00000000" w:rsidRDefault="00632532">
            <w:pPr>
              <w:pStyle w:val="a3"/>
              <w:spacing w:before="0" w:beforeAutospacing="0" w:after="0" w:afterAutospacing="0"/>
              <w:jc w:val="right"/>
              <w:rPr>
                <w:sz w:val="20"/>
                <w:szCs w:val="20"/>
              </w:rPr>
            </w:pPr>
            <w:r>
              <w:rPr>
                <w:sz w:val="20"/>
                <w:szCs w:val="20"/>
              </w:rPr>
              <w:t>48.9</w:t>
            </w:r>
            <w:r>
              <w:rPr>
                <w:sz w:val="20"/>
                <w:szCs w:val="20"/>
              </w:rPr>
              <w:t>7</w:t>
            </w:r>
          </w:p>
        </w:tc>
        <w:tc>
          <w:tcPr>
            <w:tcW w:w="0" w:type="auto"/>
            <w:noWrap/>
            <w:vAlign w:val="bottom"/>
            <w:hideMark/>
          </w:tcPr>
          <w:p w14:paraId="0363CCBC"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26B1FC39"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1525EBD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AD4E4AD" w14:textId="77777777" w:rsidR="00000000" w:rsidRDefault="00632532">
            <w:pPr>
              <w:pStyle w:val="a3"/>
              <w:spacing w:before="0" w:beforeAutospacing="0" w:after="0" w:afterAutospacing="0"/>
              <w:jc w:val="right"/>
              <w:rPr>
                <w:sz w:val="20"/>
                <w:szCs w:val="20"/>
              </w:rPr>
            </w:pPr>
            <w:r>
              <w:rPr>
                <w:sz w:val="20"/>
                <w:szCs w:val="20"/>
              </w:rPr>
              <w:t>185,00</w:t>
            </w:r>
            <w:r>
              <w:rPr>
                <w:sz w:val="20"/>
                <w:szCs w:val="20"/>
              </w:rPr>
              <w:t>0</w:t>
            </w:r>
          </w:p>
        </w:tc>
        <w:tc>
          <w:tcPr>
            <w:tcW w:w="0" w:type="auto"/>
            <w:noWrap/>
            <w:vAlign w:val="bottom"/>
            <w:hideMark/>
          </w:tcPr>
          <w:p w14:paraId="0455B7B0"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77491B5"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7E06C47C"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64ACD34A" w14:textId="77777777" w:rsidR="00000000" w:rsidRDefault="00632532">
            <w:pPr>
              <w:pStyle w:val="a3"/>
              <w:spacing w:before="0" w:beforeAutospacing="0" w:after="0" w:afterAutospacing="0"/>
              <w:jc w:val="right"/>
              <w:rPr>
                <w:sz w:val="20"/>
                <w:szCs w:val="20"/>
              </w:rPr>
            </w:pPr>
            <w:r>
              <w:rPr>
                <w:sz w:val="20"/>
                <w:szCs w:val="20"/>
              </w:rPr>
              <w:t>239,429,00</w:t>
            </w:r>
            <w:r>
              <w:rPr>
                <w:sz w:val="20"/>
                <w:szCs w:val="20"/>
              </w:rPr>
              <w:t>0</w:t>
            </w:r>
          </w:p>
        </w:tc>
        <w:tc>
          <w:tcPr>
            <w:tcW w:w="0" w:type="auto"/>
            <w:noWrap/>
            <w:vAlign w:val="bottom"/>
            <w:hideMark/>
          </w:tcPr>
          <w:p w14:paraId="55329CAB" w14:textId="77777777" w:rsidR="00000000" w:rsidRDefault="00632532">
            <w:pPr>
              <w:pStyle w:val="a3"/>
              <w:spacing w:before="0" w:beforeAutospacing="0" w:after="0" w:afterAutospacing="0"/>
              <w:rPr>
                <w:sz w:val="20"/>
                <w:szCs w:val="20"/>
              </w:rPr>
            </w:pPr>
            <w:r>
              <w:rPr>
                <w:sz w:val="20"/>
                <w:szCs w:val="20"/>
              </w:rPr>
              <w:t> </w:t>
            </w:r>
          </w:p>
        </w:tc>
      </w:tr>
      <w:tr w:rsidR="00000000" w14:paraId="5FC6E1B1" w14:textId="77777777">
        <w:trPr>
          <w:trHeight w:val="200"/>
          <w:tblCellSpacing w:w="15" w:type="dxa"/>
        </w:trPr>
        <w:tc>
          <w:tcPr>
            <w:tcW w:w="0" w:type="auto"/>
            <w:hideMark/>
          </w:tcPr>
          <w:p w14:paraId="52BF8EE9" w14:textId="77777777" w:rsidR="00000000" w:rsidRDefault="00632532">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14:paraId="19DA6799"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6AC52216"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27B9871A" w14:textId="77777777" w:rsidR="00000000" w:rsidRDefault="00632532">
            <w:pPr>
              <w:pStyle w:val="a3"/>
              <w:spacing w:before="0" w:beforeAutospacing="0" w:after="0" w:afterAutospacing="0"/>
              <w:jc w:val="right"/>
              <w:rPr>
                <w:sz w:val="20"/>
                <w:szCs w:val="20"/>
              </w:rPr>
            </w:pPr>
            <w:r>
              <w:rPr>
                <w:sz w:val="20"/>
                <w:szCs w:val="20"/>
              </w:rPr>
              <w:t>215,00</w:t>
            </w:r>
            <w:r>
              <w:rPr>
                <w:sz w:val="20"/>
                <w:szCs w:val="20"/>
              </w:rPr>
              <w:t>0</w:t>
            </w:r>
          </w:p>
        </w:tc>
        <w:tc>
          <w:tcPr>
            <w:tcW w:w="0" w:type="auto"/>
            <w:noWrap/>
            <w:vAlign w:val="bottom"/>
            <w:hideMark/>
          </w:tcPr>
          <w:p w14:paraId="1380B382"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4B734B82" w14:textId="77777777" w:rsidR="00000000" w:rsidRDefault="00632532">
            <w:pPr>
              <w:pStyle w:val="a3"/>
              <w:spacing w:before="0" w:beforeAutospacing="0" w:after="0" w:afterAutospacing="0"/>
              <w:jc w:val="right"/>
              <w:rPr>
                <w:sz w:val="20"/>
                <w:szCs w:val="20"/>
              </w:rPr>
            </w:pPr>
            <w:r>
              <w:rPr>
                <w:sz w:val="20"/>
                <w:szCs w:val="20"/>
              </w:rPr>
              <w:t> </w:t>
            </w:r>
          </w:p>
        </w:tc>
        <w:tc>
          <w:tcPr>
            <w:tcW w:w="0" w:type="auto"/>
            <w:noWrap/>
            <w:vAlign w:val="bottom"/>
            <w:hideMark/>
          </w:tcPr>
          <w:p w14:paraId="2124866E" w14:textId="77777777" w:rsidR="00000000" w:rsidRDefault="00632532">
            <w:pPr>
              <w:pStyle w:val="a3"/>
              <w:spacing w:before="0" w:beforeAutospacing="0" w:after="0" w:afterAutospacing="0"/>
              <w:rPr>
                <w:sz w:val="20"/>
                <w:szCs w:val="20"/>
              </w:rPr>
            </w:pPr>
            <w:r>
              <w:rPr>
                <w:sz w:val="20"/>
                <w:szCs w:val="20"/>
              </w:rPr>
              <w:t>$</w:t>
            </w:r>
          </w:p>
        </w:tc>
        <w:tc>
          <w:tcPr>
            <w:tcW w:w="0" w:type="auto"/>
            <w:vAlign w:val="bottom"/>
            <w:hideMark/>
          </w:tcPr>
          <w:p w14:paraId="1145F963" w14:textId="77777777" w:rsidR="00000000" w:rsidRDefault="00632532">
            <w:pPr>
              <w:pStyle w:val="a3"/>
              <w:spacing w:before="0" w:beforeAutospacing="0" w:after="0" w:afterAutospacing="0"/>
              <w:jc w:val="right"/>
              <w:rPr>
                <w:sz w:val="20"/>
                <w:szCs w:val="20"/>
              </w:rPr>
            </w:pPr>
            <w:r>
              <w:rPr>
                <w:sz w:val="20"/>
                <w:szCs w:val="20"/>
              </w:rPr>
              <w:t>49.0</w:t>
            </w:r>
            <w:r>
              <w:rPr>
                <w:sz w:val="20"/>
                <w:szCs w:val="20"/>
              </w:rPr>
              <w:t>5</w:t>
            </w:r>
          </w:p>
        </w:tc>
        <w:tc>
          <w:tcPr>
            <w:tcW w:w="0" w:type="auto"/>
            <w:noWrap/>
            <w:vAlign w:val="bottom"/>
            <w:hideMark/>
          </w:tcPr>
          <w:p w14:paraId="447D131F"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0D536308" w14:textId="77777777" w:rsidR="00000000" w:rsidRDefault="00632532">
            <w:pPr>
              <w:pStyle w:val="a3"/>
              <w:spacing w:before="0" w:beforeAutospacing="0" w:after="0" w:afterAutospacing="0"/>
              <w:rPr>
                <w:sz w:val="20"/>
                <w:szCs w:val="20"/>
              </w:rPr>
            </w:pPr>
            <w:r>
              <w:rPr>
                <w:sz w:val="20"/>
                <w:szCs w:val="20"/>
              </w:rPr>
              <w:t> </w:t>
            </w:r>
          </w:p>
        </w:tc>
        <w:tc>
          <w:tcPr>
            <w:tcW w:w="0" w:type="auto"/>
            <w:noWrap/>
            <w:vAlign w:val="bottom"/>
            <w:hideMark/>
          </w:tcPr>
          <w:p w14:paraId="530AEA6B"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64CFF3C5" w14:textId="77777777" w:rsidR="00000000" w:rsidRDefault="00632532">
            <w:pPr>
              <w:pStyle w:val="a3"/>
              <w:spacing w:before="0" w:beforeAutospacing="0" w:after="0" w:afterAutospacing="0"/>
              <w:jc w:val="right"/>
              <w:rPr>
                <w:sz w:val="20"/>
                <w:szCs w:val="20"/>
              </w:rPr>
            </w:pPr>
            <w:r>
              <w:rPr>
                <w:sz w:val="20"/>
                <w:szCs w:val="20"/>
              </w:rPr>
              <w:t>215,00</w:t>
            </w:r>
            <w:r>
              <w:rPr>
                <w:sz w:val="20"/>
                <w:szCs w:val="20"/>
              </w:rPr>
              <w:t>0</w:t>
            </w:r>
          </w:p>
        </w:tc>
        <w:tc>
          <w:tcPr>
            <w:tcW w:w="0" w:type="auto"/>
            <w:noWrap/>
            <w:vAlign w:val="bottom"/>
            <w:hideMark/>
          </w:tcPr>
          <w:p w14:paraId="18C7B1CC"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3FFCA1CC" w14:textId="77777777" w:rsidR="00000000" w:rsidRDefault="00632532">
            <w:pPr>
              <w:pStyle w:val="a3"/>
              <w:spacing w:before="0" w:beforeAutospacing="0" w:after="0" w:afterAutospacing="0"/>
              <w:jc w:val="right"/>
              <w:rPr>
                <w:sz w:val="20"/>
                <w:szCs w:val="20"/>
              </w:rPr>
            </w:pPr>
            <w:r>
              <w:rPr>
                <w:sz w:val="20"/>
                <w:szCs w:val="20"/>
              </w:rPr>
              <w:t> </w:t>
            </w:r>
          </w:p>
        </w:tc>
        <w:tc>
          <w:tcPr>
            <w:tcW w:w="0" w:type="auto"/>
            <w:gridSpan w:val="2"/>
            <w:hideMark/>
          </w:tcPr>
          <w:p w14:paraId="59D7DBE9" w14:textId="77777777" w:rsidR="00000000" w:rsidRDefault="00632532">
            <w:pPr>
              <w:pStyle w:val="a3"/>
              <w:spacing w:before="0" w:beforeAutospacing="0" w:after="0" w:afterAutospacing="0"/>
              <w:rPr>
                <w:sz w:val="20"/>
                <w:szCs w:val="20"/>
              </w:rPr>
            </w:pPr>
            <w:r>
              <w:rPr>
                <w:sz w:val="20"/>
                <w:szCs w:val="20"/>
              </w:rPr>
              <w:t> </w:t>
            </w:r>
          </w:p>
        </w:tc>
        <w:tc>
          <w:tcPr>
            <w:tcW w:w="0" w:type="auto"/>
            <w:hideMark/>
          </w:tcPr>
          <w:p w14:paraId="491C5A74" w14:textId="77777777" w:rsidR="00000000" w:rsidRDefault="00632532">
            <w:pPr>
              <w:pStyle w:val="a3"/>
              <w:spacing w:before="0" w:beforeAutospacing="0" w:after="0" w:afterAutospacing="0"/>
              <w:rPr>
                <w:sz w:val="20"/>
                <w:szCs w:val="20"/>
              </w:rPr>
            </w:pPr>
            <w:r>
              <w:rPr>
                <w:sz w:val="20"/>
                <w:szCs w:val="20"/>
              </w:rPr>
              <w:t> </w:t>
            </w:r>
          </w:p>
        </w:tc>
      </w:tr>
    </w:tbl>
    <w:p w14:paraId="6BCD1D10" w14:textId="77777777" w:rsidR="00000000" w:rsidRDefault="00632532">
      <w:pPr>
        <w:pStyle w:val="a3"/>
        <w:spacing w:before="240" w:beforeAutospacing="0" w:after="0" w:afterAutospacing="0"/>
        <w:ind w:firstLine="555"/>
        <w:rPr>
          <w:sz w:val="20"/>
          <w:szCs w:val="20"/>
        </w:rPr>
      </w:pPr>
      <w:r>
        <w:rPr>
          <w:sz w:val="20"/>
          <w:szCs w:val="20"/>
        </w:rPr>
        <w:t>(1) Includes commissions for the shares repurchased under the stock repurchase program</w:t>
      </w:r>
      <w:r>
        <w:rPr>
          <w:sz w:val="20"/>
          <w:szCs w:val="20"/>
        </w:rPr>
        <w:t>.</w:t>
      </w:r>
    </w:p>
    <w:p w14:paraId="36E0DFE1" w14:textId="77777777" w:rsidR="00000000" w:rsidRDefault="00632532">
      <w:pPr>
        <w:pStyle w:val="a3"/>
        <w:spacing w:before="0" w:beforeAutospacing="0" w:after="0" w:afterAutospacing="0"/>
        <w:rPr>
          <w:sz w:val="20"/>
          <w:szCs w:val="20"/>
        </w:rPr>
      </w:pPr>
      <w:r>
        <w:rPr>
          <w:sz w:val="20"/>
          <w:szCs w:val="20"/>
        </w:rPr>
        <w:br/>
      </w:r>
      <w:r>
        <w:rPr>
          <w:sz w:val="20"/>
          <w:szCs w:val="20"/>
        </w:rPr>
        <w:t> </w:t>
      </w:r>
    </w:p>
    <w:p w14:paraId="6BF99852" w14:textId="77777777" w:rsidR="00000000" w:rsidRDefault="00632532">
      <w:pPr>
        <w:pStyle w:val="a3"/>
        <w:spacing w:before="360" w:beforeAutospacing="0" w:after="0" w:afterAutospacing="0"/>
        <w:rPr>
          <w:sz w:val="20"/>
          <w:szCs w:val="20"/>
        </w:rPr>
      </w:pPr>
      <w:r>
        <w:rPr>
          <w:b/>
          <w:bCs/>
          <w:sz w:val="20"/>
          <w:szCs w:val="20"/>
        </w:rPr>
        <w:t>Item 5. Other Informatio</w:t>
      </w:r>
      <w:r>
        <w:rPr>
          <w:b/>
          <w:bCs/>
          <w:sz w:val="20"/>
          <w:szCs w:val="20"/>
        </w:rPr>
        <w:t>n</w:t>
      </w:r>
    </w:p>
    <w:p w14:paraId="61557CF8" w14:textId="77777777" w:rsidR="00000000" w:rsidRDefault="00632532">
      <w:pPr>
        <w:pStyle w:val="a3"/>
        <w:spacing w:before="120" w:beforeAutospacing="0" w:after="0" w:afterAutospacing="0"/>
        <w:ind w:firstLine="555"/>
        <w:rPr>
          <w:sz w:val="20"/>
          <w:szCs w:val="20"/>
        </w:rPr>
      </w:pPr>
      <w:r>
        <w:rPr>
          <w:sz w:val="20"/>
          <w:szCs w:val="20"/>
        </w:rPr>
        <w:t>On August 1, 2022, the board of directors of the Company appointed Dr. Michael Nohaile and Dr. Leonard E. Post to serve as members of the b</w:t>
      </w:r>
      <w:r>
        <w:rPr>
          <w:sz w:val="20"/>
          <w:szCs w:val="20"/>
        </w:rPr>
        <w:t>oard of directors. Following the appointments of Dr. Nohaile and Dr. Post to the board of directors, the Company reconstituted its committees as set indicated in the chart below</w:t>
      </w:r>
      <w:r>
        <w:rPr>
          <w:sz w:val="20"/>
          <w:szCs w:val="20"/>
        </w:rPr>
        <w:t>:</w:t>
      </w:r>
    </w:p>
    <w:p w14:paraId="27A8279D" w14:textId="77777777" w:rsidR="00000000" w:rsidRDefault="00632532">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09"/>
        <w:gridCol w:w="234"/>
        <w:gridCol w:w="1894"/>
        <w:gridCol w:w="234"/>
        <w:gridCol w:w="1894"/>
        <w:gridCol w:w="233"/>
        <w:gridCol w:w="1908"/>
      </w:tblGrid>
      <w:tr w:rsidR="00000000" w14:paraId="02575CC2" w14:textId="77777777">
        <w:trPr>
          <w:tblCellSpacing w:w="15" w:type="dxa"/>
        </w:trPr>
        <w:tc>
          <w:tcPr>
            <w:tcW w:w="1155" w:type="pct"/>
            <w:vAlign w:val="center"/>
            <w:hideMark/>
          </w:tcPr>
          <w:p w14:paraId="79046CA0" w14:textId="77777777" w:rsidR="00000000" w:rsidRDefault="00632532">
            <w:pPr>
              <w:rPr>
                <w:sz w:val="20"/>
                <w:szCs w:val="20"/>
              </w:rPr>
            </w:pPr>
          </w:p>
        </w:tc>
        <w:tc>
          <w:tcPr>
            <w:tcW w:w="126" w:type="pct"/>
            <w:vAlign w:val="center"/>
            <w:hideMark/>
          </w:tcPr>
          <w:p w14:paraId="39C837FA" w14:textId="77777777" w:rsidR="00000000" w:rsidRDefault="00632532">
            <w:pPr>
              <w:rPr>
                <w:rFonts w:eastAsia="Times New Roman"/>
                <w:sz w:val="20"/>
                <w:szCs w:val="20"/>
              </w:rPr>
            </w:pPr>
          </w:p>
        </w:tc>
        <w:tc>
          <w:tcPr>
            <w:tcW w:w="1155" w:type="pct"/>
            <w:vAlign w:val="center"/>
            <w:hideMark/>
          </w:tcPr>
          <w:p w14:paraId="5118436B" w14:textId="77777777" w:rsidR="00000000" w:rsidRDefault="00632532">
            <w:pPr>
              <w:rPr>
                <w:rFonts w:eastAsia="Times New Roman"/>
                <w:sz w:val="20"/>
                <w:szCs w:val="20"/>
              </w:rPr>
            </w:pPr>
          </w:p>
        </w:tc>
        <w:tc>
          <w:tcPr>
            <w:tcW w:w="126" w:type="pct"/>
            <w:vAlign w:val="center"/>
            <w:hideMark/>
          </w:tcPr>
          <w:p w14:paraId="2ADF324B" w14:textId="77777777" w:rsidR="00000000" w:rsidRDefault="00632532">
            <w:pPr>
              <w:rPr>
                <w:rFonts w:eastAsia="Times New Roman"/>
                <w:sz w:val="20"/>
                <w:szCs w:val="20"/>
              </w:rPr>
            </w:pPr>
          </w:p>
        </w:tc>
        <w:tc>
          <w:tcPr>
            <w:tcW w:w="1155" w:type="pct"/>
            <w:vAlign w:val="center"/>
            <w:hideMark/>
          </w:tcPr>
          <w:p w14:paraId="4F993997" w14:textId="77777777" w:rsidR="00000000" w:rsidRDefault="00632532">
            <w:pPr>
              <w:rPr>
                <w:rFonts w:eastAsia="Times New Roman"/>
                <w:sz w:val="20"/>
                <w:szCs w:val="20"/>
              </w:rPr>
            </w:pPr>
          </w:p>
        </w:tc>
        <w:tc>
          <w:tcPr>
            <w:tcW w:w="126" w:type="pct"/>
            <w:vAlign w:val="center"/>
            <w:hideMark/>
          </w:tcPr>
          <w:p w14:paraId="44434799" w14:textId="77777777" w:rsidR="00000000" w:rsidRDefault="00632532">
            <w:pPr>
              <w:rPr>
                <w:rFonts w:eastAsia="Times New Roman"/>
                <w:sz w:val="20"/>
                <w:szCs w:val="20"/>
              </w:rPr>
            </w:pPr>
          </w:p>
        </w:tc>
        <w:tc>
          <w:tcPr>
            <w:tcW w:w="1155" w:type="pct"/>
            <w:vAlign w:val="center"/>
            <w:hideMark/>
          </w:tcPr>
          <w:p w14:paraId="641E8814" w14:textId="77777777" w:rsidR="00000000" w:rsidRDefault="00632532">
            <w:pPr>
              <w:rPr>
                <w:rFonts w:eastAsia="Times New Roman"/>
                <w:sz w:val="20"/>
                <w:szCs w:val="20"/>
              </w:rPr>
            </w:pPr>
          </w:p>
        </w:tc>
      </w:tr>
      <w:tr w:rsidR="00000000" w14:paraId="1472A2E2" w14:textId="77777777">
        <w:trPr>
          <w:trHeight w:val="160"/>
          <w:tblCellSpacing w:w="15" w:type="dxa"/>
        </w:trPr>
        <w:tc>
          <w:tcPr>
            <w:tcW w:w="0" w:type="auto"/>
            <w:vAlign w:val="bottom"/>
            <w:hideMark/>
          </w:tcPr>
          <w:p w14:paraId="6C8E2AC2" w14:textId="77777777" w:rsidR="00000000" w:rsidRDefault="00632532">
            <w:pPr>
              <w:pStyle w:val="a3"/>
              <w:spacing w:before="0" w:beforeAutospacing="0" w:after="0" w:afterAutospacing="0"/>
              <w:jc w:val="center"/>
              <w:rPr>
                <w:sz w:val="16"/>
                <w:szCs w:val="16"/>
              </w:rPr>
            </w:pPr>
            <w:r>
              <w:rPr>
                <w:b/>
                <w:bCs/>
                <w:sz w:val="16"/>
                <w:szCs w:val="16"/>
              </w:rPr>
              <w:t>Directo</w:t>
            </w:r>
            <w:r>
              <w:rPr>
                <w:b/>
                <w:bCs/>
                <w:sz w:val="16"/>
                <w:szCs w:val="16"/>
              </w:rPr>
              <w:t>r</w:t>
            </w:r>
          </w:p>
        </w:tc>
        <w:tc>
          <w:tcPr>
            <w:tcW w:w="0" w:type="auto"/>
            <w:vAlign w:val="bottom"/>
            <w:hideMark/>
          </w:tcPr>
          <w:p w14:paraId="250B3BBB" w14:textId="77777777" w:rsidR="00000000" w:rsidRDefault="00632532">
            <w:pPr>
              <w:pStyle w:val="a3"/>
              <w:spacing w:before="0" w:beforeAutospacing="0" w:after="0" w:afterAutospacing="0"/>
              <w:jc w:val="center"/>
              <w:rPr>
                <w:sz w:val="18"/>
                <w:szCs w:val="18"/>
              </w:rPr>
            </w:pPr>
            <w:r>
              <w:rPr>
                <w:sz w:val="18"/>
                <w:szCs w:val="18"/>
              </w:rPr>
              <w:t> </w:t>
            </w:r>
          </w:p>
        </w:tc>
        <w:tc>
          <w:tcPr>
            <w:tcW w:w="0" w:type="auto"/>
            <w:vAlign w:val="bottom"/>
            <w:hideMark/>
          </w:tcPr>
          <w:p w14:paraId="3AFF4B07" w14:textId="77777777" w:rsidR="00000000" w:rsidRDefault="00632532">
            <w:pPr>
              <w:pStyle w:val="a3"/>
              <w:spacing w:before="0" w:beforeAutospacing="0" w:after="0" w:afterAutospacing="0"/>
              <w:jc w:val="center"/>
              <w:rPr>
                <w:sz w:val="16"/>
                <w:szCs w:val="16"/>
              </w:rPr>
            </w:pPr>
            <w:r>
              <w:rPr>
                <w:b/>
                <w:bCs/>
                <w:sz w:val="16"/>
                <w:szCs w:val="16"/>
              </w:rPr>
              <w:t>Audi</w:t>
            </w:r>
            <w:r>
              <w:rPr>
                <w:b/>
                <w:bCs/>
                <w:sz w:val="16"/>
                <w:szCs w:val="16"/>
              </w:rPr>
              <w:t>t</w:t>
            </w:r>
          </w:p>
        </w:tc>
        <w:tc>
          <w:tcPr>
            <w:tcW w:w="0" w:type="auto"/>
            <w:vAlign w:val="bottom"/>
            <w:hideMark/>
          </w:tcPr>
          <w:p w14:paraId="6EEE1A11"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3F6AE5CD" w14:textId="77777777" w:rsidR="00000000" w:rsidRDefault="00632532">
            <w:pPr>
              <w:pStyle w:val="a3"/>
              <w:spacing w:before="0" w:beforeAutospacing="0" w:after="0" w:afterAutospacing="0"/>
              <w:jc w:val="center"/>
              <w:rPr>
                <w:sz w:val="16"/>
                <w:szCs w:val="16"/>
              </w:rPr>
            </w:pPr>
            <w:r>
              <w:rPr>
                <w:b/>
                <w:bCs/>
                <w:sz w:val="16"/>
                <w:szCs w:val="16"/>
              </w:rPr>
              <w:t>Compensatio</w:t>
            </w:r>
            <w:r>
              <w:rPr>
                <w:b/>
                <w:bCs/>
                <w:sz w:val="16"/>
                <w:szCs w:val="16"/>
              </w:rPr>
              <w:t>n</w:t>
            </w:r>
          </w:p>
        </w:tc>
        <w:tc>
          <w:tcPr>
            <w:tcW w:w="0" w:type="auto"/>
            <w:vAlign w:val="bottom"/>
            <w:hideMark/>
          </w:tcPr>
          <w:p w14:paraId="02FECB68" w14:textId="77777777" w:rsidR="00000000" w:rsidRDefault="00632532">
            <w:pPr>
              <w:pStyle w:val="a3"/>
              <w:spacing w:before="0" w:beforeAutospacing="0" w:after="0" w:afterAutospacing="0"/>
              <w:jc w:val="center"/>
              <w:rPr>
                <w:sz w:val="16"/>
                <w:szCs w:val="16"/>
              </w:rPr>
            </w:pPr>
            <w:r>
              <w:rPr>
                <w:sz w:val="16"/>
                <w:szCs w:val="16"/>
              </w:rPr>
              <w:t> </w:t>
            </w:r>
          </w:p>
        </w:tc>
        <w:tc>
          <w:tcPr>
            <w:tcW w:w="0" w:type="auto"/>
            <w:vAlign w:val="bottom"/>
            <w:hideMark/>
          </w:tcPr>
          <w:p w14:paraId="03CE17C5" w14:textId="77777777" w:rsidR="00000000" w:rsidRDefault="00632532">
            <w:pPr>
              <w:pStyle w:val="a3"/>
              <w:spacing w:before="0" w:beforeAutospacing="0" w:after="0" w:afterAutospacing="0"/>
              <w:jc w:val="center"/>
              <w:rPr>
                <w:sz w:val="16"/>
                <w:szCs w:val="16"/>
              </w:rPr>
            </w:pPr>
            <w:r>
              <w:rPr>
                <w:b/>
                <w:bCs/>
                <w:sz w:val="16"/>
                <w:szCs w:val="16"/>
              </w:rPr>
              <w:t>Nominating &amp; Governanc</w:t>
            </w:r>
            <w:r>
              <w:rPr>
                <w:b/>
                <w:bCs/>
                <w:sz w:val="16"/>
                <w:szCs w:val="16"/>
              </w:rPr>
              <w:t>e</w:t>
            </w:r>
          </w:p>
        </w:tc>
      </w:tr>
      <w:tr w:rsidR="00000000" w14:paraId="78CD50CA" w14:textId="77777777">
        <w:trPr>
          <w:trHeight w:val="200"/>
          <w:tblCellSpacing w:w="15" w:type="dxa"/>
        </w:trPr>
        <w:tc>
          <w:tcPr>
            <w:tcW w:w="0" w:type="auto"/>
            <w:vAlign w:val="bottom"/>
            <w:hideMark/>
          </w:tcPr>
          <w:p w14:paraId="0CDF790F" w14:textId="77777777" w:rsidR="00000000" w:rsidRDefault="00632532">
            <w:pPr>
              <w:pStyle w:val="a3"/>
              <w:spacing w:before="0" w:beforeAutospacing="0" w:after="0" w:afterAutospacing="0"/>
              <w:rPr>
                <w:sz w:val="20"/>
                <w:szCs w:val="20"/>
              </w:rPr>
            </w:pPr>
            <w:r>
              <w:rPr>
                <w:sz w:val="20"/>
                <w:szCs w:val="20"/>
              </w:rPr>
              <w:t>John Bolge</w:t>
            </w:r>
            <w:r>
              <w:rPr>
                <w:sz w:val="20"/>
                <w:szCs w:val="20"/>
              </w:rPr>
              <w:t>r</w:t>
            </w:r>
          </w:p>
        </w:tc>
        <w:tc>
          <w:tcPr>
            <w:tcW w:w="0" w:type="auto"/>
            <w:vAlign w:val="bottom"/>
            <w:hideMark/>
          </w:tcPr>
          <w:p w14:paraId="7433EB2E"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06D24B26" w14:textId="77777777" w:rsidR="00000000" w:rsidRDefault="00632532">
            <w:pPr>
              <w:pStyle w:val="a3"/>
              <w:spacing w:before="0" w:beforeAutospacing="0" w:after="0" w:afterAutospacing="0"/>
              <w:jc w:val="center"/>
              <w:rPr>
                <w:sz w:val="20"/>
                <w:szCs w:val="20"/>
              </w:rPr>
            </w:pPr>
            <w:r>
              <w:rPr>
                <w:sz w:val="20"/>
                <w:szCs w:val="20"/>
              </w:rPr>
              <w:t>Chai</w:t>
            </w:r>
            <w:r>
              <w:rPr>
                <w:sz w:val="20"/>
                <w:szCs w:val="20"/>
              </w:rPr>
              <w:t>r</w:t>
            </w:r>
          </w:p>
        </w:tc>
        <w:tc>
          <w:tcPr>
            <w:tcW w:w="0" w:type="auto"/>
            <w:vAlign w:val="bottom"/>
            <w:hideMark/>
          </w:tcPr>
          <w:p w14:paraId="4C999D3D"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3C31FBFC" w14:textId="77777777" w:rsidR="00000000" w:rsidRDefault="00632532">
            <w:pPr>
              <w:pStyle w:val="a3"/>
              <w:spacing w:before="0" w:beforeAutospacing="0" w:after="0" w:afterAutospacing="0"/>
              <w:jc w:val="center"/>
              <w:rPr>
                <w:sz w:val="20"/>
                <w:szCs w:val="20"/>
              </w:rPr>
            </w:pPr>
            <w:r>
              <w:rPr>
                <w:sz w:val="20"/>
                <w:szCs w:val="20"/>
              </w:rPr>
              <w:t>X</w:t>
            </w:r>
          </w:p>
        </w:tc>
        <w:tc>
          <w:tcPr>
            <w:tcW w:w="0" w:type="auto"/>
            <w:vAlign w:val="bottom"/>
            <w:hideMark/>
          </w:tcPr>
          <w:p w14:paraId="649CCFAE"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6ED83DF2" w14:textId="77777777" w:rsidR="00000000" w:rsidRDefault="00632532">
            <w:pPr>
              <w:pStyle w:val="a3"/>
              <w:spacing w:before="0" w:beforeAutospacing="0" w:after="0" w:afterAutospacing="0"/>
              <w:jc w:val="center"/>
              <w:rPr>
                <w:sz w:val="20"/>
                <w:szCs w:val="20"/>
              </w:rPr>
            </w:pPr>
            <w:r>
              <w:rPr>
                <w:sz w:val="20"/>
                <w:szCs w:val="20"/>
              </w:rPr>
              <w:t>X</w:t>
            </w:r>
          </w:p>
        </w:tc>
      </w:tr>
      <w:tr w:rsidR="00000000" w14:paraId="621B14B2" w14:textId="77777777">
        <w:trPr>
          <w:trHeight w:val="200"/>
          <w:tblCellSpacing w:w="15" w:type="dxa"/>
        </w:trPr>
        <w:tc>
          <w:tcPr>
            <w:tcW w:w="0" w:type="auto"/>
            <w:vAlign w:val="bottom"/>
            <w:hideMark/>
          </w:tcPr>
          <w:p w14:paraId="77A15A87" w14:textId="77777777" w:rsidR="00000000" w:rsidRDefault="00632532">
            <w:pPr>
              <w:pStyle w:val="a3"/>
              <w:spacing w:before="0" w:beforeAutospacing="0" w:after="0" w:afterAutospacing="0"/>
              <w:rPr>
                <w:sz w:val="20"/>
                <w:szCs w:val="20"/>
              </w:rPr>
            </w:pPr>
            <w:r>
              <w:rPr>
                <w:sz w:val="20"/>
                <w:szCs w:val="20"/>
              </w:rPr>
              <w:t>Linda Mars</w:t>
            </w:r>
            <w:r>
              <w:rPr>
                <w:sz w:val="20"/>
                <w:szCs w:val="20"/>
              </w:rPr>
              <w:t>h</w:t>
            </w:r>
          </w:p>
        </w:tc>
        <w:tc>
          <w:tcPr>
            <w:tcW w:w="0" w:type="auto"/>
            <w:vAlign w:val="bottom"/>
            <w:hideMark/>
          </w:tcPr>
          <w:p w14:paraId="041AE4B5"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16C4AA61" w14:textId="77777777" w:rsidR="00000000" w:rsidRDefault="00632532">
            <w:pPr>
              <w:pStyle w:val="a3"/>
              <w:spacing w:before="0" w:beforeAutospacing="0" w:after="0" w:afterAutospacing="0"/>
              <w:jc w:val="center"/>
              <w:rPr>
                <w:sz w:val="20"/>
                <w:szCs w:val="20"/>
              </w:rPr>
            </w:pPr>
            <w:r>
              <w:rPr>
                <w:sz w:val="20"/>
                <w:szCs w:val="20"/>
              </w:rPr>
              <w:t>X</w:t>
            </w:r>
          </w:p>
        </w:tc>
        <w:tc>
          <w:tcPr>
            <w:tcW w:w="0" w:type="auto"/>
            <w:vAlign w:val="bottom"/>
            <w:hideMark/>
          </w:tcPr>
          <w:p w14:paraId="11C90EAD"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6944C89B" w14:textId="77777777" w:rsidR="00000000" w:rsidRDefault="00632532">
            <w:pPr>
              <w:pStyle w:val="a3"/>
              <w:spacing w:before="0" w:beforeAutospacing="0" w:after="0" w:afterAutospacing="0"/>
              <w:jc w:val="center"/>
              <w:rPr>
                <w:sz w:val="20"/>
                <w:szCs w:val="20"/>
              </w:rPr>
            </w:pPr>
            <w:r>
              <w:rPr>
                <w:sz w:val="20"/>
                <w:szCs w:val="20"/>
              </w:rPr>
              <w:t>Chai</w:t>
            </w:r>
            <w:r>
              <w:rPr>
                <w:sz w:val="20"/>
                <w:szCs w:val="20"/>
              </w:rPr>
              <w:t>r</w:t>
            </w:r>
          </w:p>
        </w:tc>
        <w:tc>
          <w:tcPr>
            <w:tcW w:w="0" w:type="auto"/>
            <w:vAlign w:val="bottom"/>
            <w:hideMark/>
          </w:tcPr>
          <w:p w14:paraId="0ED0C046"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796CE85C" w14:textId="77777777" w:rsidR="00000000" w:rsidRDefault="00632532">
            <w:pPr>
              <w:pStyle w:val="a3"/>
              <w:spacing w:before="0" w:beforeAutospacing="0" w:after="0" w:afterAutospacing="0"/>
              <w:jc w:val="center"/>
              <w:rPr>
                <w:sz w:val="20"/>
                <w:szCs w:val="20"/>
              </w:rPr>
            </w:pPr>
            <w:r>
              <w:rPr>
                <w:sz w:val="20"/>
                <w:szCs w:val="20"/>
              </w:rPr>
              <w:t>X</w:t>
            </w:r>
          </w:p>
        </w:tc>
      </w:tr>
      <w:tr w:rsidR="00000000" w14:paraId="5F70A7C2" w14:textId="77777777">
        <w:trPr>
          <w:trHeight w:val="200"/>
          <w:tblCellSpacing w:w="15" w:type="dxa"/>
        </w:trPr>
        <w:tc>
          <w:tcPr>
            <w:tcW w:w="0" w:type="auto"/>
            <w:vAlign w:val="bottom"/>
            <w:hideMark/>
          </w:tcPr>
          <w:p w14:paraId="43F5D37F" w14:textId="77777777" w:rsidR="00000000" w:rsidRDefault="00632532">
            <w:pPr>
              <w:pStyle w:val="a3"/>
              <w:spacing w:before="0" w:beforeAutospacing="0" w:after="0" w:afterAutospacing="0"/>
              <w:rPr>
                <w:sz w:val="20"/>
                <w:szCs w:val="20"/>
              </w:rPr>
            </w:pPr>
            <w:r>
              <w:rPr>
                <w:sz w:val="20"/>
                <w:szCs w:val="20"/>
              </w:rPr>
              <w:t>Michael Nohail</w:t>
            </w:r>
            <w:r>
              <w:rPr>
                <w:sz w:val="20"/>
                <w:szCs w:val="20"/>
              </w:rPr>
              <w:t>e</w:t>
            </w:r>
          </w:p>
        </w:tc>
        <w:tc>
          <w:tcPr>
            <w:tcW w:w="0" w:type="auto"/>
            <w:vAlign w:val="bottom"/>
            <w:hideMark/>
          </w:tcPr>
          <w:p w14:paraId="48BF7904" w14:textId="77777777" w:rsidR="00000000" w:rsidRDefault="00632532">
            <w:pPr>
              <w:pStyle w:val="a3"/>
              <w:spacing w:before="0" w:beforeAutospacing="0" w:after="0" w:afterAutospacing="0"/>
              <w:rPr>
                <w:sz w:val="20"/>
                <w:szCs w:val="20"/>
              </w:rPr>
            </w:pPr>
            <w:r>
              <w:rPr>
                <w:sz w:val="20"/>
                <w:szCs w:val="20"/>
              </w:rPr>
              <w:t> </w:t>
            </w:r>
          </w:p>
        </w:tc>
        <w:tc>
          <w:tcPr>
            <w:tcW w:w="0" w:type="auto"/>
            <w:vAlign w:val="bottom"/>
            <w:hideMark/>
          </w:tcPr>
          <w:p w14:paraId="74926C09" w14:textId="77777777" w:rsidR="00000000" w:rsidRDefault="00632532">
            <w:pPr>
              <w:pStyle w:val="a3"/>
              <w:spacing w:before="0" w:beforeAutospacing="0" w:after="0" w:afterAutospacing="0"/>
              <w:jc w:val="center"/>
              <w:rPr>
                <w:sz w:val="20"/>
                <w:szCs w:val="20"/>
              </w:rPr>
            </w:pPr>
            <w:r>
              <w:rPr>
                <w:sz w:val="20"/>
                <w:szCs w:val="20"/>
              </w:rPr>
              <w:t>X</w:t>
            </w:r>
          </w:p>
        </w:tc>
        <w:tc>
          <w:tcPr>
            <w:tcW w:w="0" w:type="auto"/>
            <w:vAlign w:val="bottom"/>
            <w:hideMark/>
          </w:tcPr>
          <w:p w14:paraId="30479074"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447D7D4B" w14:textId="77777777" w:rsidR="00000000" w:rsidRDefault="00632532">
            <w:pPr>
              <w:pStyle w:val="a3"/>
              <w:spacing w:before="0" w:beforeAutospacing="0" w:after="0" w:afterAutospacing="0"/>
              <w:jc w:val="center"/>
              <w:rPr>
                <w:sz w:val="20"/>
                <w:szCs w:val="20"/>
              </w:rPr>
            </w:pPr>
            <w:r>
              <w:rPr>
                <w:sz w:val="20"/>
                <w:szCs w:val="20"/>
              </w:rPr>
              <w:t>X</w:t>
            </w:r>
          </w:p>
        </w:tc>
        <w:tc>
          <w:tcPr>
            <w:tcW w:w="0" w:type="auto"/>
            <w:vAlign w:val="bottom"/>
            <w:hideMark/>
          </w:tcPr>
          <w:p w14:paraId="1D3C8735"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361BB161" w14:textId="77777777" w:rsidR="00000000" w:rsidRDefault="00632532">
            <w:pPr>
              <w:pStyle w:val="a3"/>
              <w:spacing w:before="0" w:beforeAutospacing="0" w:after="0" w:afterAutospacing="0"/>
              <w:jc w:val="center"/>
              <w:rPr>
                <w:sz w:val="20"/>
                <w:szCs w:val="20"/>
              </w:rPr>
            </w:pPr>
            <w:r>
              <w:rPr>
                <w:sz w:val="20"/>
                <w:szCs w:val="20"/>
              </w:rPr>
              <w:t>X</w:t>
            </w:r>
          </w:p>
        </w:tc>
      </w:tr>
      <w:tr w:rsidR="00000000" w14:paraId="1A39AD26" w14:textId="77777777">
        <w:trPr>
          <w:trHeight w:val="200"/>
          <w:tblCellSpacing w:w="15" w:type="dxa"/>
        </w:trPr>
        <w:tc>
          <w:tcPr>
            <w:tcW w:w="0" w:type="auto"/>
            <w:vAlign w:val="bottom"/>
            <w:hideMark/>
          </w:tcPr>
          <w:p w14:paraId="7FE0AF4A" w14:textId="77777777" w:rsidR="00000000" w:rsidRDefault="00632532">
            <w:pPr>
              <w:pStyle w:val="a3"/>
              <w:spacing w:before="0" w:beforeAutospacing="0" w:after="0" w:afterAutospacing="0"/>
              <w:rPr>
                <w:sz w:val="20"/>
                <w:szCs w:val="20"/>
              </w:rPr>
            </w:pPr>
            <w:r>
              <w:rPr>
                <w:sz w:val="20"/>
                <w:szCs w:val="20"/>
              </w:rPr>
              <w:t>Leonard Pos</w:t>
            </w:r>
            <w:r>
              <w:rPr>
                <w:sz w:val="20"/>
                <w:szCs w:val="20"/>
              </w:rPr>
              <w:t>t</w:t>
            </w:r>
          </w:p>
        </w:tc>
        <w:tc>
          <w:tcPr>
            <w:tcW w:w="0" w:type="auto"/>
            <w:vAlign w:val="bottom"/>
            <w:hideMark/>
          </w:tcPr>
          <w:p w14:paraId="69B1A6B6" w14:textId="77777777" w:rsidR="00000000" w:rsidRDefault="00632532">
            <w:pPr>
              <w:pStyle w:val="a3"/>
              <w:spacing w:before="0" w:beforeAutospacing="0" w:after="0" w:afterAutospacing="0"/>
              <w:rPr>
                <w:sz w:val="22"/>
                <w:szCs w:val="22"/>
              </w:rPr>
            </w:pPr>
            <w:r>
              <w:rPr>
                <w:sz w:val="22"/>
                <w:szCs w:val="22"/>
              </w:rPr>
              <w:t> </w:t>
            </w:r>
          </w:p>
        </w:tc>
        <w:tc>
          <w:tcPr>
            <w:tcW w:w="0" w:type="auto"/>
            <w:vAlign w:val="bottom"/>
            <w:hideMark/>
          </w:tcPr>
          <w:p w14:paraId="5F5585A2"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6EF478CE"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33CB78B0"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1FE1C989" w14:textId="77777777" w:rsidR="00000000" w:rsidRDefault="00632532">
            <w:pPr>
              <w:pStyle w:val="a3"/>
              <w:spacing w:before="0" w:beforeAutospacing="0" w:after="0" w:afterAutospacing="0"/>
              <w:jc w:val="center"/>
              <w:rPr>
                <w:sz w:val="20"/>
                <w:szCs w:val="20"/>
              </w:rPr>
            </w:pPr>
            <w:r>
              <w:rPr>
                <w:sz w:val="20"/>
                <w:szCs w:val="20"/>
              </w:rPr>
              <w:t> </w:t>
            </w:r>
          </w:p>
        </w:tc>
        <w:tc>
          <w:tcPr>
            <w:tcW w:w="0" w:type="auto"/>
            <w:vAlign w:val="bottom"/>
            <w:hideMark/>
          </w:tcPr>
          <w:p w14:paraId="33FD5F31" w14:textId="77777777" w:rsidR="00000000" w:rsidRDefault="00632532">
            <w:pPr>
              <w:pStyle w:val="a3"/>
              <w:spacing w:before="0" w:beforeAutospacing="0" w:after="0" w:afterAutospacing="0"/>
              <w:jc w:val="center"/>
              <w:rPr>
                <w:sz w:val="20"/>
                <w:szCs w:val="20"/>
              </w:rPr>
            </w:pPr>
            <w:r>
              <w:rPr>
                <w:sz w:val="20"/>
                <w:szCs w:val="20"/>
              </w:rPr>
              <w:t>Chai</w:t>
            </w:r>
            <w:r>
              <w:rPr>
                <w:sz w:val="20"/>
                <w:szCs w:val="20"/>
              </w:rPr>
              <w:t>r</w:t>
            </w:r>
          </w:p>
        </w:tc>
      </w:tr>
    </w:tbl>
    <w:p w14:paraId="31B4562F" w14:textId="77777777" w:rsidR="00000000" w:rsidRDefault="00632532">
      <w:pPr>
        <w:pStyle w:val="a3"/>
        <w:spacing w:before="240" w:beforeAutospacing="0" w:after="0" w:afterAutospacing="0"/>
        <w:ind w:firstLine="555"/>
        <w:rPr>
          <w:sz w:val="20"/>
          <w:szCs w:val="20"/>
        </w:rPr>
      </w:pPr>
      <w:r>
        <w:rPr>
          <w:sz w:val="20"/>
          <w:szCs w:val="20"/>
        </w:rPr>
        <w:t>Dr. Nohaile and Dr. Post will receive compensation for their service as members of the Company’s board of directors in accordance with the Company’s Amended and Restated Non-Employee Director Compensation Policy filed as Exhibit 10.39 of the 2021 Annual Re</w:t>
      </w:r>
      <w:r>
        <w:rPr>
          <w:sz w:val="20"/>
          <w:szCs w:val="20"/>
        </w:rPr>
        <w:t>port, as may be amended from time to time</w:t>
      </w:r>
      <w:r>
        <w:rPr>
          <w:sz w:val="20"/>
          <w:szCs w:val="20"/>
        </w:rPr>
        <w:t>.</w:t>
      </w:r>
    </w:p>
    <w:p w14:paraId="6E5B1892" w14:textId="77777777" w:rsidR="00000000" w:rsidRDefault="00632532">
      <w:pPr>
        <w:pStyle w:val="a3"/>
        <w:spacing w:before="240" w:beforeAutospacing="0" w:after="0" w:afterAutospacing="0"/>
        <w:ind w:firstLine="555"/>
        <w:rPr>
          <w:sz w:val="20"/>
          <w:szCs w:val="20"/>
        </w:rPr>
      </w:pPr>
      <w:r>
        <w:rPr>
          <w:sz w:val="20"/>
          <w:szCs w:val="20"/>
        </w:rPr>
        <w:t>Also, in connection with their appointments to the board of directors, Dr. Nohaile and Dr. Post, each, entered into an indemnification agreement, or the Indemnification Agreement, with the Company. The Indemnifica</w:t>
      </w:r>
      <w:r>
        <w:rPr>
          <w:sz w:val="20"/>
          <w:szCs w:val="20"/>
        </w:rPr>
        <w:t>tion Agreement is substantially the same as the form of indemnification agreement that the Company has entered into with its other directors, a copy of which was filed as Exhibit 10.1 to the Company’s Registration Statement on Form S-1 (File No. 333-213469</w:t>
      </w:r>
      <w:r>
        <w:rPr>
          <w:sz w:val="20"/>
          <w:szCs w:val="20"/>
        </w:rPr>
        <w:t xml:space="preserve">), filed with the SEC on September 2, 2016. The Indemnification Agreement provides that the Company will indemnify the relevant director for certain expenses, including attorneys’ fees, judgments, fines and settlement amounts incurred by him in any action </w:t>
      </w:r>
      <w:r>
        <w:rPr>
          <w:sz w:val="20"/>
          <w:szCs w:val="20"/>
        </w:rPr>
        <w:t>or proceeding arising out of his service as a director</w:t>
      </w:r>
      <w:r>
        <w:rPr>
          <w:sz w:val="20"/>
          <w:szCs w:val="20"/>
        </w:rPr>
        <w:t>.</w:t>
      </w:r>
    </w:p>
    <w:p w14:paraId="37CA8E87" w14:textId="77777777" w:rsidR="00000000" w:rsidRDefault="00632532">
      <w:pPr>
        <w:pStyle w:val="a3"/>
        <w:spacing w:before="240" w:beforeAutospacing="0" w:after="0" w:afterAutospacing="0"/>
        <w:ind w:firstLine="555"/>
        <w:rPr>
          <w:sz w:val="20"/>
          <w:szCs w:val="20"/>
        </w:rPr>
      </w:pPr>
      <w:r>
        <w:rPr>
          <w:sz w:val="20"/>
          <w:szCs w:val="20"/>
        </w:rPr>
        <w:t>There are no arrangements or understandings between Dr. Nohaile and any other persons pursuant to which Dr. Nohaile was elected as a director of the Company, and there are no arrangements or understan</w:t>
      </w:r>
      <w:r>
        <w:rPr>
          <w:sz w:val="20"/>
          <w:szCs w:val="20"/>
        </w:rPr>
        <w:t>dings between Dr. Post and any other persons pursuant to which Dr. Post was elected as a director of the Company. Dr. Nohaile and Dr. Post will serve as directors of the Company until the next annual meeting of stockholders of the Company or until the earl</w:t>
      </w:r>
      <w:r>
        <w:rPr>
          <w:sz w:val="20"/>
          <w:szCs w:val="20"/>
        </w:rPr>
        <w:t>ier of their respective death, resignation removal or election or appointment of their respective successors</w:t>
      </w:r>
      <w:r>
        <w:rPr>
          <w:sz w:val="20"/>
          <w:szCs w:val="20"/>
        </w:rPr>
        <w:t>.</w:t>
      </w:r>
    </w:p>
    <w:p w14:paraId="70CAA3B0" w14:textId="77777777" w:rsidR="00000000" w:rsidRDefault="00632532">
      <w:pPr>
        <w:pStyle w:val="a3"/>
        <w:spacing w:before="240" w:beforeAutospacing="0" w:after="0" w:afterAutospacing="0"/>
        <w:jc w:val="center"/>
        <w:rPr>
          <w:sz w:val="20"/>
          <w:szCs w:val="20"/>
        </w:rPr>
      </w:pPr>
      <w:r>
        <w:rPr>
          <w:sz w:val="20"/>
          <w:szCs w:val="20"/>
        </w:rPr>
        <w:t>3</w:t>
      </w:r>
      <w:r>
        <w:rPr>
          <w:sz w:val="20"/>
          <w:szCs w:val="20"/>
        </w:rPr>
        <w:t>3</w:t>
      </w:r>
    </w:p>
    <w:p w14:paraId="28F67E31" w14:textId="77777777" w:rsidR="00000000" w:rsidRDefault="00632532">
      <w:pPr>
        <w:rPr>
          <w:rFonts w:eastAsia="Times New Roman"/>
        </w:rPr>
      </w:pPr>
      <w:r>
        <w:rPr>
          <w:rFonts w:eastAsia="Times New Roman"/>
        </w:rPr>
        <w:pict w14:anchorId="0C6986CF">
          <v:rect id="_x0000_i1059" style="width:0;height:1.5pt" o:hralign="center" o:hrstd="t" o:hr="t" fillcolor="#a0a0a0" stroked="f"/>
        </w:pict>
      </w:r>
    </w:p>
    <w:p w14:paraId="1353DCF8" w14:textId="77777777" w:rsidR="00000000" w:rsidRDefault="00632532">
      <w:pPr>
        <w:pStyle w:val="a3"/>
        <w:spacing w:before="360" w:beforeAutospacing="0" w:after="0" w:afterAutospacing="0"/>
        <w:rPr>
          <w:sz w:val="20"/>
          <w:szCs w:val="20"/>
        </w:rPr>
      </w:pPr>
      <w:r>
        <w:rPr>
          <w:b/>
          <w:bCs/>
          <w:sz w:val="20"/>
          <w:szCs w:val="20"/>
        </w:rPr>
        <w:t>Item 6. E</w:t>
      </w:r>
      <w:r>
        <w:rPr>
          <w:b/>
          <w:bCs/>
          <w:sz w:val="20"/>
          <w:szCs w:val="20"/>
        </w:rPr>
        <w:t>x</w:t>
      </w:r>
      <w:r>
        <w:rPr>
          <w:b/>
          <w:bCs/>
          <w:sz w:val="20"/>
          <w:szCs w:val="20"/>
        </w:rPr>
        <w:t>hibits</w:t>
      </w:r>
      <w:r>
        <w:rPr>
          <w:b/>
          <w:bCs/>
          <w:sz w:val="20"/>
          <w:szCs w:val="20"/>
        </w:rPr>
        <w:t>.</w:t>
      </w:r>
    </w:p>
    <w:p w14:paraId="1350CE4B" w14:textId="77777777" w:rsidR="00000000" w:rsidRDefault="00632532">
      <w:pPr>
        <w:pStyle w:val="a3"/>
        <w:spacing w:before="120" w:beforeAutospacing="0" w:after="0" w:afterAutospacing="0"/>
        <w:ind w:firstLine="555"/>
        <w:rPr>
          <w:sz w:val="20"/>
          <w:szCs w:val="20"/>
        </w:rPr>
      </w:pPr>
      <w:r>
        <w:rPr>
          <w:sz w:val="20"/>
          <w:szCs w:val="20"/>
        </w:rPr>
        <w:t>The information required by this Item 6 is set forth on the Exhibit Index that immediately precedes the signature page to this report and is incorporated herein by reference</w:t>
      </w:r>
      <w:r>
        <w:rPr>
          <w:sz w:val="20"/>
          <w:szCs w:val="20"/>
        </w:rPr>
        <w:t>.</w:t>
      </w:r>
    </w:p>
    <w:p w14:paraId="1E06CF91" w14:textId="77777777" w:rsidR="00000000" w:rsidRDefault="00632532">
      <w:pPr>
        <w:pStyle w:val="a3"/>
        <w:spacing w:before="240" w:beforeAutospacing="0" w:after="0" w:afterAutospacing="0"/>
        <w:jc w:val="center"/>
        <w:rPr>
          <w:sz w:val="20"/>
          <w:szCs w:val="20"/>
        </w:rPr>
      </w:pPr>
      <w:r>
        <w:rPr>
          <w:sz w:val="20"/>
          <w:szCs w:val="20"/>
        </w:rPr>
        <w:t>3</w:t>
      </w:r>
      <w:r>
        <w:rPr>
          <w:sz w:val="20"/>
          <w:szCs w:val="20"/>
        </w:rPr>
        <w:t>4</w:t>
      </w:r>
    </w:p>
    <w:p w14:paraId="0655A99F" w14:textId="77777777" w:rsidR="00000000" w:rsidRDefault="00632532">
      <w:pPr>
        <w:rPr>
          <w:rFonts w:eastAsia="Times New Roman"/>
        </w:rPr>
      </w:pPr>
      <w:r>
        <w:rPr>
          <w:rFonts w:eastAsia="Times New Roman"/>
        </w:rPr>
        <w:pict w14:anchorId="4765694C">
          <v:rect id="_x0000_i1060" style="width:0;height:1.5pt" o:hralign="center" o:hrstd="t" o:hr="t" fillcolor="#a0a0a0" stroked="f"/>
        </w:pict>
      </w:r>
    </w:p>
    <w:p w14:paraId="1F58F83A" w14:textId="77777777" w:rsidR="00000000" w:rsidRDefault="00632532">
      <w:pPr>
        <w:pStyle w:val="a3"/>
        <w:spacing w:before="0" w:beforeAutospacing="0" w:after="0" w:afterAutospacing="0"/>
        <w:jc w:val="center"/>
        <w:rPr>
          <w:sz w:val="20"/>
          <w:szCs w:val="20"/>
        </w:rPr>
      </w:pPr>
      <w:r>
        <w:rPr>
          <w:b/>
          <w:bCs/>
          <w:sz w:val="20"/>
          <w:szCs w:val="20"/>
        </w:rPr>
        <w:t>EXHIB</w:t>
      </w:r>
      <w:r>
        <w:rPr>
          <w:b/>
          <w:bCs/>
          <w:sz w:val="20"/>
          <w:szCs w:val="20"/>
        </w:rPr>
        <w:t>I</w:t>
      </w:r>
      <w:r>
        <w:rPr>
          <w:b/>
          <w:bCs/>
          <w:sz w:val="20"/>
          <w:szCs w:val="20"/>
        </w:rPr>
        <w:t>T INDE</w:t>
      </w:r>
      <w:r>
        <w:rPr>
          <w:b/>
          <w:bCs/>
          <w:sz w:val="20"/>
          <w:szCs w:val="20"/>
        </w:rPr>
        <w:t>X</w:t>
      </w:r>
    </w:p>
    <w:p w14:paraId="33379D24"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4"/>
        <w:gridCol w:w="4351"/>
        <w:gridCol w:w="865"/>
        <w:gridCol w:w="669"/>
        <w:gridCol w:w="145"/>
        <w:gridCol w:w="723"/>
        <w:gridCol w:w="145"/>
        <w:gridCol w:w="724"/>
      </w:tblGrid>
      <w:tr w:rsidR="00000000" w14:paraId="7EDE4757" w14:textId="77777777">
        <w:trPr>
          <w:tblCellSpacing w:w="15" w:type="dxa"/>
        </w:trPr>
        <w:tc>
          <w:tcPr>
            <w:tcW w:w="411" w:type="pct"/>
            <w:vAlign w:val="center"/>
            <w:hideMark/>
          </w:tcPr>
          <w:p w14:paraId="77944045" w14:textId="77777777" w:rsidR="00000000" w:rsidRDefault="00632532">
            <w:pPr>
              <w:rPr>
                <w:sz w:val="20"/>
                <w:szCs w:val="20"/>
              </w:rPr>
            </w:pPr>
          </w:p>
        </w:tc>
        <w:tc>
          <w:tcPr>
            <w:tcW w:w="2700" w:type="pct"/>
            <w:vAlign w:val="center"/>
            <w:hideMark/>
          </w:tcPr>
          <w:p w14:paraId="0D72A13D" w14:textId="77777777" w:rsidR="00000000" w:rsidRDefault="00632532">
            <w:pPr>
              <w:rPr>
                <w:rFonts w:eastAsia="Times New Roman"/>
                <w:sz w:val="20"/>
                <w:szCs w:val="20"/>
              </w:rPr>
            </w:pPr>
          </w:p>
        </w:tc>
        <w:tc>
          <w:tcPr>
            <w:tcW w:w="533" w:type="pct"/>
            <w:vAlign w:val="center"/>
            <w:hideMark/>
          </w:tcPr>
          <w:p w14:paraId="01A0528B" w14:textId="77777777" w:rsidR="00000000" w:rsidRDefault="00632532">
            <w:pPr>
              <w:rPr>
                <w:rFonts w:eastAsia="Times New Roman"/>
                <w:sz w:val="20"/>
                <w:szCs w:val="20"/>
              </w:rPr>
            </w:pPr>
          </w:p>
        </w:tc>
        <w:tc>
          <w:tcPr>
            <w:tcW w:w="411" w:type="pct"/>
            <w:vAlign w:val="center"/>
            <w:hideMark/>
          </w:tcPr>
          <w:p w14:paraId="7E8B4681" w14:textId="77777777" w:rsidR="00000000" w:rsidRDefault="00632532">
            <w:pPr>
              <w:rPr>
                <w:rFonts w:eastAsia="Times New Roman"/>
                <w:sz w:val="20"/>
                <w:szCs w:val="20"/>
              </w:rPr>
            </w:pPr>
          </w:p>
        </w:tc>
        <w:tc>
          <w:tcPr>
            <w:tcW w:w="56" w:type="pct"/>
            <w:vAlign w:val="center"/>
            <w:hideMark/>
          </w:tcPr>
          <w:p w14:paraId="401CC2EB" w14:textId="77777777" w:rsidR="00000000" w:rsidRDefault="00632532">
            <w:pPr>
              <w:rPr>
                <w:rFonts w:eastAsia="Times New Roman"/>
                <w:sz w:val="20"/>
                <w:szCs w:val="20"/>
              </w:rPr>
            </w:pPr>
          </w:p>
        </w:tc>
        <w:tc>
          <w:tcPr>
            <w:tcW w:w="444" w:type="pct"/>
            <w:vAlign w:val="center"/>
            <w:hideMark/>
          </w:tcPr>
          <w:p w14:paraId="2A6E80B9" w14:textId="77777777" w:rsidR="00000000" w:rsidRDefault="00632532">
            <w:pPr>
              <w:rPr>
                <w:rFonts w:eastAsia="Times New Roman"/>
                <w:sz w:val="20"/>
                <w:szCs w:val="20"/>
              </w:rPr>
            </w:pPr>
          </w:p>
        </w:tc>
        <w:tc>
          <w:tcPr>
            <w:tcW w:w="56" w:type="pct"/>
            <w:vAlign w:val="center"/>
            <w:hideMark/>
          </w:tcPr>
          <w:p w14:paraId="6C4CFA64" w14:textId="77777777" w:rsidR="00000000" w:rsidRDefault="00632532">
            <w:pPr>
              <w:rPr>
                <w:rFonts w:eastAsia="Times New Roman"/>
                <w:sz w:val="20"/>
                <w:szCs w:val="20"/>
              </w:rPr>
            </w:pPr>
          </w:p>
        </w:tc>
        <w:tc>
          <w:tcPr>
            <w:tcW w:w="385" w:type="pct"/>
            <w:vAlign w:val="center"/>
            <w:hideMark/>
          </w:tcPr>
          <w:p w14:paraId="602ECF94" w14:textId="77777777" w:rsidR="00000000" w:rsidRDefault="00632532">
            <w:pPr>
              <w:rPr>
                <w:rFonts w:eastAsia="Times New Roman"/>
                <w:sz w:val="20"/>
                <w:szCs w:val="20"/>
              </w:rPr>
            </w:pPr>
          </w:p>
        </w:tc>
      </w:tr>
      <w:tr w:rsidR="00000000" w14:paraId="486A3856" w14:textId="77777777">
        <w:trPr>
          <w:trHeight w:val="160"/>
          <w:tblCellSpacing w:w="15" w:type="dxa"/>
        </w:trPr>
        <w:tc>
          <w:tcPr>
            <w:tcW w:w="0" w:type="auto"/>
            <w:hideMark/>
          </w:tcPr>
          <w:p w14:paraId="3063C7FF"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40" w:type="dxa"/>
            </w:tcMar>
            <w:hideMark/>
          </w:tcPr>
          <w:p w14:paraId="7EFC50FB" w14:textId="77777777" w:rsidR="00000000" w:rsidRDefault="00632532">
            <w:pPr>
              <w:pStyle w:val="a3"/>
              <w:spacing w:before="0" w:beforeAutospacing="0" w:after="0" w:afterAutospacing="0"/>
              <w:rPr>
                <w:sz w:val="16"/>
                <w:szCs w:val="16"/>
              </w:rPr>
            </w:pPr>
            <w:r>
              <w:rPr>
                <w:sz w:val="16"/>
                <w:szCs w:val="16"/>
              </w:rPr>
              <w:t> </w:t>
            </w:r>
          </w:p>
        </w:tc>
        <w:tc>
          <w:tcPr>
            <w:tcW w:w="0" w:type="auto"/>
            <w:tcMar>
              <w:top w:w="15" w:type="dxa"/>
              <w:left w:w="60" w:type="dxa"/>
              <w:bottom w:w="15" w:type="dxa"/>
              <w:right w:w="15" w:type="dxa"/>
            </w:tcMar>
            <w:hideMark/>
          </w:tcPr>
          <w:p w14:paraId="30BBBB19" w14:textId="77777777" w:rsidR="00000000" w:rsidRDefault="00632532">
            <w:pPr>
              <w:pStyle w:val="a3"/>
              <w:spacing w:before="0" w:beforeAutospacing="0" w:after="0" w:afterAutospacing="0"/>
              <w:jc w:val="center"/>
              <w:rPr>
                <w:sz w:val="16"/>
                <w:szCs w:val="16"/>
              </w:rPr>
            </w:pPr>
            <w:r>
              <w:rPr>
                <w:sz w:val="16"/>
                <w:szCs w:val="16"/>
              </w:rPr>
              <w:t> </w:t>
            </w:r>
          </w:p>
        </w:tc>
        <w:tc>
          <w:tcPr>
            <w:tcW w:w="0" w:type="auto"/>
            <w:gridSpan w:val="5"/>
            <w:hideMark/>
          </w:tcPr>
          <w:p w14:paraId="2D05891F" w14:textId="77777777" w:rsidR="00000000" w:rsidRDefault="00632532">
            <w:pPr>
              <w:pStyle w:val="a3"/>
              <w:spacing w:before="0" w:beforeAutospacing="0" w:after="0" w:afterAutospacing="0"/>
              <w:jc w:val="center"/>
              <w:rPr>
                <w:sz w:val="16"/>
                <w:szCs w:val="16"/>
              </w:rPr>
            </w:pPr>
            <w:r>
              <w:rPr>
                <w:b/>
                <w:bCs/>
                <w:sz w:val="16"/>
                <w:szCs w:val="16"/>
              </w:rPr>
              <w:t>Incorporated by Referenc</w:t>
            </w:r>
            <w:r>
              <w:rPr>
                <w:b/>
                <w:bCs/>
                <w:sz w:val="16"/>
                <w:szCs w:val="16"/>
              </w:rPr>
              <w:t>e</w:t>
            </w:r>
          </w:p>
        </w:tc>
      </w:tr>
      <w:tr w:rsidR="00000000" w14:paraId="60D558D3" w14:textId="77777777">
        <w:trPr>
          <w:trHeight w:val="160"/>
          <w:tblCellSpacing w:w="15" w:type="dxa"/>
        </w:trPr>
        <w:tc>
          <w:tcPr>
            <w:tcW w:w="0" w:type="auto"/>
            <w:hideMark/>
          </w:tcPr>
          <w:p w14:paraId="2E001F6C" w14:textId="77777777" w:rsidR="00000000" w:rsidRDefault="00632532">
            <w:pPr>
              <w:pStyle w:val="a3"/>
              <w:spacing w:before="0" w:beforeAutospacing="0" w:after="0" w:afterAutospacing="0"/>
              <w:jc w:val="center"/>
              <w:rPr>
                <w:sz w:val="16"/>
                <w:szCs w:val="16"/>
              </w:rPr>
            </w:pPr>
            <w:r>
              <w:rPr>
                <w:b/>
                <w:bCs/>
                <w:sz w:val="16"/>
                <w:szCs w:val="16"/>
              </w:rPr>
              <w:t>Exhibit No</w:t>
            </w:r>
            <w:r>
              <w:rPr>
                <w:b/>
                <w:bCs/>
                <w:sz w:val="16"/>
                <w:szCs w:val="16"/>
              </w:rPr>
              <w:t>.</w:t>
            </w:r>
          </w:p>
        </w:tc>
        <w:tc>
          <w:tcPr>
            <w:tcW w:w="0" w:type="auto"/>
            <w:tcMar>
              <w:top w:w="15" w:type="dxa"/>
              <w:left w:w="60" w:type="dxa"/>
              <w:bottom w:w="15" w:type="dxa"/>
              <w:right w:w="40" w:type="dxa"/>
            </w:tcMar>
            <w:hideMark/>
          </w:tcPr>
          <w:p w14:paraId="55C24674" w14:textId="77777777" w:rsidR="00000000" w:rsidRDefault="00632532">
            <w:pPr>
              <w:pStyle w:val="a3"/>
              <w:spacing w:before="0" w:beforeAutospacing="0" w:after="0" w:afterAutospacing="0"/>
              <w:jc w:val="center"/>
              <w:rPr>
                <w:sz w:val="16"/>
                <w:szCs w:val="16"/>
              </w:rPr>
            </w:pPr>
            <w:r>
              <w:rPr>
                <w:b/>
                <w:bCs/>
                <w:sz w:val="16"/>
                <w:szCs w:val="16"/>
              </w:rPr>
              <w:t>Exhibit Titl</w:t>
            </w:r>
            <w:r>
              <w:rPr>
                <w:b/>
                <w:bCs/>
                <w:sz w:val="16"/>
                <w:szCs w:val="16"/>
              </w:rPr>
              <w:t>e</w:t>
            </w:r>
          </w:p>
        </w:tc>
        <w:tc>
          <w:tcPr>
            <w:tcW w:w="0" w:type="auto"/>
            <w:tcMar>
              <w:top w:w="15" w:type="dxa"/>
              <w:left w:w="60" w:type="dxa"/>
              <w:bottom w:w="15" w:type="dxa"/>
              <w:right w:w="15" w:type="dxa"/>
            </w:tcMar>
            <w:hideMark/>
          </w:tcPr>
          <w:p w14:paraId="1915B047" w14:textId="77777777" w:rsidR="00000000" w:rsidRDefault="00632532">
            <w:pPr>
              <w:pStyle w:val="a3"/>
              <w:spacing w:before="0" w:beforeAutospacing="0" w:after="0" w:afterAutospacing="0"/>
              <w:jc w:val="center"/>
              <w:rPr>
                <w:sz w:val="16"/>
                <w:szCs w:val="16"/>
              </w:rPr>
            </w:pPr>
            <w:r>
              <w:rPr>
                <w:b/>
                <w:bCs/>
                <w:sz w:val="16"/>
                <w:szCs w:val="16"/>
              </w:rPr>
              <w:t>Filed with this Form 10-</w:t>
            </w:r>
            <w:r>
              <w:rPr>
                <w:b/>
                <w:bCs/>
                <w:sz w:val="16"/>
                <w:szCs w:val="16"/>
              </w:rPr>
              <w:t>Q</w:t>
            </w:r>
          </w:p>
        </w:tc>
        <w:tc>
          <w:tcPr>
            <w:tcW w:w="0" w:type="auto"/>
            <w:hideMark/>
          </w:tcPr>
          <w:p w14:paraId="701848FD" w14:textId="77777777" w:rsidR="00000000" w:rsidRDefault="00632532">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tcMar>
              <w:top w:w="15" w:type="dxa"/>
              <w:left w:w="60" w:type="dxa"/>
              <w:bottom w:w="15" w:type="dxa"/>
              <w:right w:w="15" w:type="dxa"/>
            </w:tcMar>
            <w:vAlign w:val="bottom"/>
            <w:hideMark/>
          </w:tcPr>
          <w:p w14:paraId="6EB510C3"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3350F69C" w14:textId="77777777" w:rsidR="00000000" w:rsidRDefault="00632532">
            <w:pPr>
              <w:pStyle w:val="a3"/>
              <w:spacing w:before="0" w:beforeAutospacing="0" w:after="0" w:afterAutospacing="0"/>
              <w:jc w:val="center"/>
              <w:rPr>
                <w:sz w:val="16"/>
                <w:szCs w:val="16"/>
              </w:rPr>
            </w:pPr>
            <w:r>
              <w:rPr>
                <w:b/>
                <w:bCs/>
                <w:sz w:val="16"/>
                <w:szCs w:val="16"/>
              </w:rPr>
              <w:t>Form No</w:t>
            </w:r>
            <w:r>
              <w:rPr>
                <w:b/>
                <w:bCs/>
                <w:sz w:val="16"/>
                <w:szCs w:val="16"/>
              </w:rPr>
              <w:t>.</w:t>
            </w:r>
          </w:p>
        </w:tc>
        <w:tc>
          <w:tcPr>
            <w:tcW w:w="0" w:type="auto"/>
            <w:tcMar>
              <w:top w:w="15" w:type="dxa"/>
              <w:left w:w="60" w:type="dxa"/>
              <w:bottom w:w="15" w:type="dxa"/>
              <w:right w:w="15" w:type="dxa"/>
            </w:tcMar>
            <w:vAlign w:val="bottom"/>
            <w:hideMark/>
          </w:tcPr>
          <w:p w14:paraId="44119C8F"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72AFE446" w14:textId="77777777" w:rsidR="00000000" w:rsidRDefault="00632532">
            <w:pPr>
              <w:pStyle w:val="a3"/>
              <w:spacing w:before="0" w:beforeAutospacing="0" w:after="0" w:afterAutospacing="0"/>
              <w:jc w:val="center"/>
              <w:rPr>
                <w:sz w:val="16"/>
                <w:szCs w:val="16"/>
              </w:rPr>
            </w:pPr>
            <w:r>
              <w:rPr>
                <w:b/>
                <w:bCs/>
                <w:sz w:val="16"/>
                <w:szCs w:val="16"/>
              </w:rPr>
              <w:t>Date File</w:t>
            </w:r>
            <w:r>
              <w:rPr>
                <w:b/>
                <w:bCs/>
                <w:sz w:val="16"/>
                <w:szCs w:val="16"/>
              </w:rPr>
              <w:t>d</w:t>
            </w:r>
          </w:p>
        </w:tc>
      </w:tr>
      <w:tr w:rsidR="00000000" w14:paraId="7A6D0334" w14:textId="77777777">
        <w:trPr>
          <w:tblCellSpacing w:w="15" w:type="dxa"/>
        </w:trPr>
        <w:tc>
          <w:tcPr>
            <w:tcW w:w="0" w:type="auto"/>
            <w:hideMark/>
          </w:tcPr>
          <w:p w14:paraId="73BD792E"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40" w:type="dxa"/>
            </w:tcMar>
            <w:hideMark/>
          </w:tcPr>
          <w:p w14:paraId="46DED472" w14:textId="77777777" w:rsidR="00000000" w:rsidRDefault="00632532">
            <w:pPr>
              <w:pStyle w:val="a3"/>
              <w:spacing w:before="0" w:beforeAutospacing="0" w:after="0" w:afterAutospacing="0"/>
              <w:rPr>
                <w:sz w:val="16"/>
                <w:szCs w:val="16"/>
              </w:rPr>
            </w:pPr>
            <w:r>
              <w:rPr>
                <w:sz w:val="16"/>
                <w:szCs w:val="16"/>
              </w:rPr>
              <w:t> </w:t>
            </w:r>
          </w:p>
        </w:tc>
        <w:tc>
          <w:tcPr>
            <w:tcW w:w="0" w:type="auto"/>
            <w:tcMar>
              <w:top w:w="15" w:type="dxa"/>
              <w:left w:w="60" w:type="dxa"/>
              <w:bottom w:w="15" w:type="dxa"/>
              <w:right w:w="15" w:type="dxa"/>
            </w:tcMar>
            <w:hideMark/>
          </w:tcPr>
          <w:p w14:paraId="6D88E145" w14:textId="77777777" w:rsidR="00000000" w:rsidRDefault="00632532">
            <w:pPr>
              <w:pStyle w:val="a3"/>
              <w:spacing w:before="0" w:beforeAutospacing="0" w:after="0" w:afterAutospacing="0"/>
              <w:jc w:val="center"/>
              <w:rPr>
                <w:sz w:val="16"/>
                <w:szCs w:val="16"/>
              </w:rPr>
            </w:pPr>
            <w:r>
              <w:rPr>
                <w:sz w:val="16"/>
                <w:szCs w:val="16"/>
              </w:rPr>
              <w:t> </w:t>
            </w:r>
          </w:p>
        </w:tc>
        <w:tc>
          <w:tcPr>
            <w:tcW w:w="0" w:type="auto"/>
            <w:hideMark/>
          </w:tcPr>
          <w:p w14:paraId="3736F553"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526E424D"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6AF252F2"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6D64F8FC"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55B0CB1D"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0629376" w14:textId="77777777">
        <w:trPr>
          <w:trHeight w:val="160"/>
          <w:tblCellSpacing w:w="15" w:type="dxa"/>
        </w:trPr>
        <w:tc>
          <w:tcPr>
            <w:tcW w:w="0" w:type="auto"/>
            <w:hideMark/>
          </w:tcPr>
          <w:p w14:paraId="4320E2C4" w14:textId="77777777" w:rsidR="00000000" w:rsidRDefault="00632532">
            <w:pPr>
              <w:pStyle w:val="a3"/>
              <w:spacing w:before="0" w:beforeAutospacing="0" w:after="0" w:afterAutospacing="0"/>
              <w:rPr>
                <w:sz w:val="16"/>
                <w:szCs w:val="16"/>
              </w:rPr>
            </w:pPr>
            <w:r>
              <w:rPr>
                <w:sz w:val="16"/>
                <w:szCs w:val="16"/>
              </w:rPr>
              <w:t>3.</w:t>
            </w:r>
            <w:r>
              <w:rPr>
                <w:sz w:val="16"/>
                <w:szCs w:val="16"/>
              </w:rPr>
              <w:t>1</w:t>
            </w:r>
          </w:p>
        </w:tc>
        <w:tc>
          <w:tcPr>
            <w:tcW w:w="0" w:type="auto"/>
            <w:hideMark/>
          </w:tcPr>
          <w:p w14:paraId="5FA8633A" w14:textId="77777777" w:rsidR="00000000" w:rsidRDefault="00632532">
            <w:pPr>
              <w:pStyle w:val="a3"/>
              <w:spacing w:before="0" w:beforeAutospacing="0" w:after="0" w:afterAutospacing="0"/>
              <w:rPr>
                <w:sz w:val="16"/>
                <w:szCs w:val="16"/>
              </w:rPr>
            </w:pPr>
            <w:hyperlink r:id="rId4" w:history="1">
              <w:r>
                <w:rPr>
                  <w:rStyle w:val="a4"/>
                  <w:sz w:val="16"/>
                  <w:szCs w:val="16"/>
                </w:rPr>
                <w:t>Certificate of Incorporation of the registrant, dated May 13, 2016</w:t>
              </w:r>
              <w:r>
                <w:rPr>
                  <w:rStyle w:val="a4"/>
                  <w:sz w:val="16"/>
                  <w:szCs w:val="16"/>
                </w:rPr>
                <w:t>.</w:t>
              </w:r>
            </w:hyperlink>
          </w:p>
        </w:tc>
        <w:tc>
          <w:tcPr>
            <w:tcW w:w="0" w:type="auto"/>
            <w:hideMark/>
          </w:tcPr>
          <w:p w14:paraId="59F382BB" w14:textId="77777777" w:rsidR="00000000" w:rsidRDefault="00632532">
            <w:pPr>
              <w:pStyle w:val="a3"/>
              <w:spacing w:before="0" w:beforeAutospacing="0" w:after="0" w:afterAutospacing="0"/>
              <w:jc w:val="center"/>
              <w:rPr>
                <w:sz w:val="16"/>
                <w:szCs w:val="16"/>
              </w:rPr>
            </w:pPr>
            <w:r>
              <w:rPr>
                <w:sz w:val="16"/>
                <w:szCs w:val="16"/>
              </w:rPr>
              <w:t> </w:t>
            </w:r>
          </w:p>
        </w:tc>
        <w:tc>
          <w:tcPr>
            <w:tcW w:w="0" w:type="auto"/>
            <w:hideMark/>
          </w:tcPr>
          <w:p w14:paraId="6DEB37E4" w14:textId="77777777" w:rsidR="00000000" w:rsidRDefault="00632532">
            <w:pPr>
              <w:pStyle w:val="a3"/>
              <w:spacing w:before="0" w:beforeAutospacing="0" w:after="0" w:afterAutospacing="0"/>
              <w:jc w:val="center"/>
              <w:rPr>
                <w:sz w:val="16"/>
                <w:szCs w:val="16"/>
              </w:rPr>
            </w:pPr>
            <w:r>
              <w:rPr>
                <w:sz w:val="16"/>
                <w:szCs w:val="16"/>
              </w:rPr>
              <w:t>10-</w:t>
            </w:r>
            <w:r>
              <w:rPr>
                <w:sz w:val="16"/>
                <w:szCs w:val="16"/>
              </w:rPr>
              <w:t>Q</w:t>
            </w:r>
          </w:p>
        </w:tc>
        <w:tc>
          <w:tcPr>
            <w:tcW w:w="0" w:type="auto"/>
            <w:tcMar>
              <w:top w:w="15" w:type="dxa"/>
              <w:left w:w="60" w:type="dxa"/>
              <w:bottom w:w="15" w:type="dxa"/>
              <w:right w:w="15" w:type="dxa"/>
            </w:tcMar>
            <w:vAlign w:val="bottom"/>
            <w:hideMark/>
          </w:tcPr>
          <w:p w14:paraId="73CC1E9C"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78BF3F61" w14:textId="77777777" w:rsidR="00000000" w:rsidRDefault="00632532">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14:paraId="5BEF5E0E"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08F815A2" w14:textId="77777777" w:rsidR="00000000" w:rsidRDefault="00632532">
            <w:pPr>
              <w:pStyle w:val="a3"/>
              <w:spacing w:before="0" w:beforeAutospacing="0" w:after="0" w:afterAutospacing="0"/>
              <w:jc w:val="center"/>
              <w:rPr>
                <w:sz w:val="16"/>
                <w:szCs w:val="16"/>
              </w:rPr>
            </w:pPr>
            <w:r>
              <w:rPr>
                <w:sz w:val="16"/>
                <w:szCs w:val="16"/>
              </w:rPr>
              <w:t>8/14/201</w:t>
            </w:r>
            <w:r>
              <w:rPr>
                <w:sz w:val="16"/>
                <w:szCs w:val="16"/>
              </w:rPr>
              <w:t>7</w:t>
            </w:r>
          </w:p>
        </w:tc>
      </w:tr>
      <w:tr w:rsidR="00000000" w14:paraId="53FA490C" w14:textId="77777777">
        <w:trPr>
          <w:tblCellSpacing w:w="15" w:type="dxa"/>
        </w:trPr>
        <w:tc>
          <w:tcPr>
            <w:tcW w:w="0" w:type="auto"/>
            <w:hideMark/>
          </w:tcPr>
          <w:p w14:paraId="50BFE4C4"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6CB8174E"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6D62FEF3"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09DB949C"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47E0E08A"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1912ECFF"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061AA478"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47243B0D"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4466AF90" w14:textId="77777777">
        <w:trPr>
          <w:trHeight w:val="160"/>
          <w:tblCellSpacing w:w="15" w:type="dxa"/>
        </w:trPr>
        <w:tc>
          <w:tcPr>
            <w:tcW w:w="0" w:type="auto"/>
            <w:hideMark/>
          </w:tcPr>
          <w:p w14:paraId="43D13DB5" w14:textId="77777777" w:rsidR="00000000" w:rsidRDefault="00632532">
            <w:pPr>
              <w:pStyle w:val="a3"/>
              <w:spacing w:before="0" w:beforeAutospacing="0" w:after="0" w:afterAutospacing="0"/>
              <w:rPr>
                <w:sz w:val="16"/>
                <w:szCs w:val="16"/>
              </w:rPr>
            </w:pPr>
            <w:r>
              <w:rPr>
                <w:sz w:val="16"/>
                <w:szCs w:val="16"/>
              </w:rPr>
              <w:t>3.1.</w:t>
            </w:r>
            <w:r>
              <w:rPr>
                <w:sz w:val="16"/>
                <w:szCs w:val="16"/>
              </w:rPr>
              <w:t>1</w:t>
            </w:r>
          </w:p>
        </w:tc>
        <w:tc>
          <w:tcPr>
            <w:tcW w:w="0" w:type="auto"/>
            <w:hideMark/>
          </w:tcPr>
          <w:p w14:paraId="4D391541" w14:textId="77777777" w:rsidR="00000000" w:rsidRDefault="00632532">
            <w:pPr>
              <w:pStyle w:val="a3"/>
              <w:spacing w:before="0" w:beforeAutospacing="0" w:after="0" w:afterAutospacing="0"/>
              <w:rPr>
                <w:sz w:val="16"/>
                <w:szCs w:val="16"/>
              </w:rPr>
            </w:pPr>
            <w:hyperlink r:id="rId5" w:history="1">
              <w:r>
                <w:rPr>
                  <w:rStyle w:val="a4"/>
                  <w:sz w:val="16"/>
                  <w:szCs w:val="16"/>
                </w:rPr>
                <w:t>Certificate of Amendment to Certificate of Incorporation of the registrant, dated August 2, 2016</w:t>
              </w:r>
              <w:r>
                <w:rPr>
                  <w:rStyle w:val="a4"/>
                  <w:sz w:val="16"/>
                  <w:szCs w:val="16"/>
                </w:rPr>
                <w:t>.</w:t>
              </w:r>
            </w:hyperlink>
          </w:p>
        </w:tc>
        <w:tc>
          <w:tcPr>
            <w:tcW w:w="0" w:type="auto"/>
            <w:hideMark/>
          </w:tcPr>
          <w:p w14:paraId="21F149EA" w14:textId="77777777" w:rsidR="00000000" w:rsidRDefault="00632532">
            <w:pPr>
              <w:pStyle w:val="a3"/>
              <w:spacing w:before="0" w:beforeAutospacing="0" w:after="0" w:afterAutospacing="0"/>
              <w:jc w:val="center"/>
              <w:rPr>
                <w:sz w:val="16"/>
                <w:szCs w:val="16"/>
              </w:rPr>
            </w:pPr>
            <w:r>
              <w:rPr>
                <w:sz w:val="16"/>
                <w:szCs w:val="16"/>
              </w:rPr>
              <w:t> </w:t>
            </w:r>
          </w:p>
        </w:tc>
        <w:tc>
          <w:tcPr>
            <w:tcW w:w="0" w:type="auto"/>
            <w:hideMark/>
          </w:tcPr>
          <w:p w14:paraId="40AD4DAE" w14:textId="77777777" w:rsidR="00000000" w:rsidRDefault="00632532">
            <w:pPr>
              <w:pStyle w:val="a3"/>
              <w:spacing w:before="0" w:beforeAutospacing="0" w:after="0" w:afterAutospacing="0"/>
              <w:jc w:val="center"/>
              <w:rPr>
                <w:sz w:val="16"/>
                <w:szCs w:val="16"/>
              </w:rPr>
            </w:pPr>
            <w:r>
              <w:rPr>
                <w:sz w:val="16"/>
                <w:szCs w:val="16"/>
              </w:rPr>
              <w:t>10-</w:t>
            </w:r>
            <w:r>
              <w:rPr>
                <w:sz w:val="16"/>
                <w:szCs w:val="16"/>
              </w:rPr>
              <w:t>Q</w:t>
            </w:r>
          </w:p>
        </w:tc>
        <w:tc>
          <w:tcPr>
            <w:tcW w:w="0" w:type="auto"/>
            <w:tcMar>
              <w:top w:w="15" w:type="dxa"/>
              <w:left w:w="60" w:type="dxa"/>
              <w:bottom w:w="15" w:type="dxa"/>
              <w:right w:w="15" w:type="dxa"/>
            </w:tcMar>
            <w:vAlign w:val="bottom"/>
            <w:hideMark/>
          </w:tcPr>
          <w:p w14:paraId="5389E47A"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6C0EF51C" w14:textId="77777777" w:rsidR="00000000" w:rsidRDefault="00632532">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14:paraId="14DE1661"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270D4D99" w14:textId="77777777" w:rsidR="00000000" w:rsidRDefault="00632532">
            <w:pPr>
              <w:pStyle w:val="a3"/>
              <w:spacing w:before="0" w:beforeAutospacing="0" w:after="0" w:afterAutospacing="0"/>
              <w:jc w:val="center"/>
              <w:rPr>
                <w:sz w:val="16"/>
                <w:szCs w:val="16"/>
              </w:rPr>
            </w:pPr>
            <w:r>
              <w:rPr>
                <w:sz w:val="16"/>
                <w:szCs w:val="16"/>
              </w:rPr>
              <w:t>8/14/201</w:t>
            </w:r>
            <w:r>
              <w:rPr>
                <w:sz w:val="16"/>
                <w:szCs w:val="16"/>
              </w:rPr>
              <w:t>7</w:t>
            </w:r>
          </w:p>
        </w:tc>
      </w:tr>
      <w:tr w:rsidR="00000000" w14:paraId="33FFB272" w14:textId="77777777">
        <w:trPr>
          <w:tblCellSpacing w:w="15" w:type="dxa"/>
        </w:trPr>
        <w:tc>
          <w:tcPr>
            <w:tcW w:w="0" w:type="auto"/>
            <w:hideMark/>
          </w:tcPr>
          <w:p w14:paraId="3269FE01"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27424C46"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574E017"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5FC590D8"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39529B0A"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112B00A"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34F84E91"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4EAEFD6"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024B3692" w14:textId="77777777">
        <w:trPr>
          <w:trHeight w:val="160"/>
          <w:tblCellSpacing w:w="15" w:type="dxa"/>
        </w:trPr>
        <w:tc>
          <w:tcPr>
            <w:tcW w:w="0" w:type="auto"/>
            <w:hideMark/>
          </w:tcPr>
          <w:p w14:paraId="736D80C0" w14:textId="77777777" w:rsidR="00000000" w:rsidRDefault="00632532">
            <w:pPr>
              <w:pStyle w:val="a3"/>
              <w:spacing w:before="0" w:beforeAutospacing="0" w:after="0" w:afterAutospacing="0"/>
              <w:rPr>
                <w:sz w:val="16"/>
                <w:szCs w:val="16"/>
              </w:rPr>
            </w:pPr>
            <w:r>
              <w:rPr>
                <w:sz w:val="16"/>
                <w:szCs w:val="16"/>
              </w:rPr>
              <w:t>3.1.</w:t>
            </w:r>
            <w:r>
              <w:rPr>
                <w:sz w:val="16"/>
                <w:szCs w:val="16"/>
              </w:rPr>
              <w:t>2</w:t>
            </w:r>
          </w:p>
        </w:tc>
        <w:tc>
          <w:tcPr>
            <w:tcW w:w="0" w:type="auto"/>
            <w:hideMark/>
          </w:tcPr>
          <w:p w14:paraId="4AF12E93" w14:textId="77777777" w:rsidR="00000000" w:rsidRDefault="00632532">
            <w:pPr>
              <w:pStyle w:val="a3"/>
              <w:spacing w:before="0" w:beforeAutospacing="0" w:after="0" w:afterAutospacing="0"/>
              <w:rPr>
                <w:sz w:val="16"/>
                <w:szCs w:val="16"/>
              </w:rPr>
            </w:pPr>
            <w:hyperlink r:id="rId6" w:history="1">
              <w:r>
                <w:rPr>
                  <w:rStyle w:val="a4"/>
                  <w:sz w:val="16"/>
                  <w:szCs w:val="16"/>
                </w:rPr>
                <w:t>Certificate of Amendment to Certificate of Incorporation of the registrant, dated May 17, 2017</w:t>
              </w:r>
              <w:r>
                <w:rPr>
                  <w:rStyle w:val="a4"/>
                  <w:sz w:val="16"/>
                  <w:szCs w:val="16"/>
                </w:rPr>
                <w:t>.</w:t>
              </w:r>
            </w:hyperlink>
          </w:p>
        </w:tc>
        <w:tc>
          <w:tcPr>
            <w:tcW w:w="0" w:type="auto"/>
            <w:hideMark/>
          </w:tcPr>
          <w:p w14:paraId="21949BBD" w14:textId="77777777" w:rsidR="00000000" w:rsidRDefault="00632532">
            <w:pPr>
              <w:pStyle w:val="a3"/>
              <w:spacing w:before="0" w:beforeAutospacing="0" w:after="0" w:afterAutospacing="0"/>
              <w:jc w:val="center"/>
              <w:rPr>
                <w:sz w:val="16"/>
                <w:szCs w:val="16"/>
              </w:rPr>
            </w:pPr>
            <w:r>
              <w:rPr>
                <w:sz w:val="16"/>
                <w:szCs w:val="16"/>
              </w:rPr>
              <w:t> </w:t>
            </w:r>
          </w:p>
        </w:tc>
        <w:tc>
          <w:tcPr>
            <w:tcW w:w="0" w:type="auto"/>
            <w:hideMark/>
          </w:tcPr>
          <w:p w14:paraId="5D276F6F" w14:textId="77777777" w:rsidR="00000000" w:rsidRDefault="00632532">
            <w:pPr>
              <w:pStyle w:val="a3"/>
              <w:spacing w:before="0" w:beforeAutospacing="0" w:after="0" w:afterAutospacing="0"/>
              <w:jc w:val="center"/>
              <w:rPr>
                <w:sz w:val="16"/>
                <w:szCs w:val="16"/>
              </w:rPr>
            </w:pPr>
            <w:r>
              <w:rPr>
                <w:sz w:val="16"/>
                <w:szCs w:val="16"/>
              </w:rPr>
              <w:t>10-</w:t>
            </w:r>
            <w:r>
              <w:rPr>
                <w:sz w:val="16"/>
                <w:szCs w:val="16"/>
              </w:rPr>
              <w:t>Q</w:t>
            </w:r>
          </w:p>
        </w:tc>
        <w:tc>
          <w:tcPr>
            <w:tcW w:w="0" w:type="auto"/>
            <w:tcMar>
              <w:top w:w="15" w:type="dxa"/>
              <w:left w:w="60" w:type="dxa"/>
              <w:bottom w:w="15" w:type="dxa"/>
              <w:right w:w="15" w:type="dxa"/>
            </w:tcMar>
            <w:vAlign w:val="bottom"/>
            <w:hideMark/>
          </w:tcPr>
          <w:p w14:paraId="4CEAE3FE"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6A396BFA" w14:textId="77777777" w:rsidR="00000000" w:rsidRDefault="00632532">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14:paraId="37F03475"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15192FCB" w14:textId="77777777" w:rsidR="00000000" w:rsidRDefault="00632532">
            <w:pPr>
              <w:pStyle w:val="a3"/>
              <w:spacing w:before="0" w:beforeAutospacing="0" w:after="0" w:afterAutospacing="0"/>
              <w:jc w:val="center"/>
              <w:rPr>
                <w:sz w:val="16"/>
                <w:szCs w:val="16"/>
              </w:rPr>
            </w:pPr>
            <w:r>
              <w:rPr>
                <w:sz w:val="16"/>
                <w:szCs w:val="16"/>
              </w:rPr>
              <w:t>8/14/201</w:t>
            </w:r>
            <w:r>
              <w:rPr>
                <w:sz w:val="16"/>
                <w:szCs w:val="16"/>
              </w:rPr>
              <w:t>7</w:t>
            </w:r>
          </w:p>
        </w:tc>
      </w:tr>
      <w:tr w:rsidR="00000000" w14:paraId="06E528D1" w14:textId="77777777">
        <w:trPr>
          <w:tblCellSpacing w:w="15" w:type="dxa"/>
        </w:trPr>
        <w:tc>
          <w:tcPr>
            <w:tcW w:w="0" w:type="auto"/>
            <w:hideMark/>
          </w:tcPr>
          <w:p w14:paraId="1A793EE1"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86E0E4A"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71270179"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007081F0"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773574C7"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58CDF705"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708A6271"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07EF6AE9"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3CD7B35E" w14:textId="77777777">
        <w:trPr>
          <w:trHeight w:val="160"/>
          <w:tblCellSpacing w:w="15" w:type="dxa"/>
        </w:trPr>
        <w:tc>
          <w:tcPr>
            <w:tcW w:w="0" w:type="auto"/>
            <w:hideMark/>
          </w:tcPr>
          <w:p w14:paraId="205B87EF" w14:textId="77777777" w:rsidR="00000000" w:rsidRDefault="00632532">
            <w:pPr>
              <w:pStyle w:val="a3"/>
              <w:spacing w:before="0" w:beforeAutospacing="0" w:after="0" w:afterAutospacing="0"/>
              <w:rPr>
                <w:sz w:val="16"/>
                <w:szCs w:val="16"/>
              </w:rPr>
            </w:pPr>
            <w:r>
              <w:rPr>
                <w:sz w:val="16"/>
                <w:szCs w:val="16"/>
              </w:rPr>
              <w:t>3.</w:t>
            </w:r>
            <w:r>
              <w:rPr>
                <w:sz w:val="16"/>
                <w:szCs w:val="16"/>
              </w:rPr>
              <w:t>2</w:t>
            </w:r>
          </w:p>
        </w:tc>
        <w:tc>
          <w:tcPr>
            <w:tcW w:w="0" w:type="auto"/>
            <w:hideMark/>
          </w:tcPr>
          <w:p w14:paraId="727AA387" w14:textId="77777777" w:rsidR="00000000" w:rsidRDefault="00632532">
            <w:pPr>
              <w:pStyle w:val="a3"/>
              <w:spacing w:before="0" w:beforeAutospacing="0" w:after="0" w:afterAutospacing="0"/>
              <w:rPr>
                <w:sz w:val="16"/>
                <w:szCs w:val="16"/>
              </w:rPr>
            </w:pPr>
            <w:hyperlink r:id="rId7" w:history="1">
              <w:r>
                <w:rPr>
                  <w:rStyle w:val="a4"/>
                  <w:sz w:val="16"/>
                  <w:szCs w:val="16"/>
                </w:rPr>
                <w:t>Bylaws of the registrant</w:t>
              </w:r>
              <w:r>
                <w:rPr>
                  <w:rStyle w:val="a4"/>
                  <w:sz w:val="16"/>
                  <w:szCs w:val="16"/>
                </w:rPr>
                <w:t>.</w:t>
              </w:r>
            </w:hyperlink>
          </w:p>
        </w:tc>
        <w:tc>
          <w:tcPr>
            <w:tcW w:w="0" w:type="auto"/>
            <w:hideMark/>
          </w:tcPr>
          <w:p w14:paraId="65E06BB9" w14:textId="77777777" w:rsidR="00000000" w:rsidRDefault="00632532">
            <w:pPr>
              <w:pStyle w:val="a3"/>
              <w:spacing w:before="0" w:beforeAutospacing="0" w:after="0" w:afterAutospacing="0"/>
              <w:jc w:val="center"/>
              <w:rPr>
                <w:sz w:val="16"/>
                <w:szCs w:val="16"/>
              </w:rPr>
            </w:pPr>
            <w:r>
              <w:rPr>
                <w:sz w:val="16"/>
                <w:szCs w:val="16"/>
              </w:rPr>
              <w:t> </w:t>
            </w:r>
          </w:p>
        </w:tc>
        <w:tc>
          <w:tcPr>
            <w:tcW w:w="0" w:type="auto"/>
            <w:hideMark/>
          </w:tcPr>
          <w:p w14:paraId="6D9197CF" w14:textId="77777777" w:rsidR="00000000" w:rsidRDefault="00632532">
            <w:pPr>
              <w:pStyle w:val="a3"/>
              <w:spacing w:before="0" w:beforeAutospacing="0" w:after="0" w:afterAutospacing="0"/>
              <w:jc w:val="center"/>
              <w:rPr>
                <w:sz w:val="16"/>
                <w:szCs w:val="16"/>
              </w:rPr>
            </w:pPr>
            <w:r>
              <w:rPr>
                <w:sz w:val="16"/>
                <w:szCs w:val="16"/>
              </w:rPr>
              <w:t>S-1/</w:t>
            </w:r>
            <w:r>
              <w:rPr>
                <w:sz w:val="16"/>
                <w:szCs w:val="16"/>
              </w:rPr>
              <w:t>A</w:t>
            </w:r>
          </w:p>
        </w:tc>
        <w:tc>
          <w:tcPr>
            <w:tcW w:w="0" w:type="auto"/>
            <w:tcMar>
              <w:top w:w="15" w:type="dxa"/>
              <w:left w:w="60" w:type="dxa"/>
              <w:bottom w:w="15" w:type="dxa"/>
              <w:right w:w="15" w:type="dxa"/>
            </w:tcMar>
            <w:vAlign w:val="bottom"/>
            <w:hideMark/>
          </w:tcPr>
          <w:p w14:paraId="0579C6DB"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2BCE6D57" w14:textId="77777777" w:rsidR="00000000" w:rsidRDefault="00632532">
            <w:pPr>
              <w:pStyle w:val="a3"/>
              <w:spacing w:before="0" w:beforeAutospacing="0" w:after="0" w:afterAutospacing="0"/>
              <w:rPr>
                <w:sz w:val="16"/>
                <w:szCs w:val="16"/>
              </w:rPr>
            </w:pPr>
            <w:r>
              <w:rPr>
                <w:sz w:val="16"/>
                <w:szCs w:val="16"/>
              </w:rPr>
              <w:t>333-21346</w:t>
            </w:r>
            <w:r>
              <w:rPr>
                <w:sz w:val="16"/>
                <w:szCs w:val="16"/>
              </w:rPr>
              <w:t>9</w:t>
            </w:r>
          </w:p>
        </w:tc>
        <w:tc>
          <w:tcPr>
            <w:tcW w:w="0" w:type="auto"/>
            <w:tcMar>
              <w:top w:w="15" w:type="dxa"/>
              <w:left w:w="60" w:type="dxa"/>
              <w:bottom w:w="15" w:type="dxa"/>
              <w:right w:w="15" w:type="dxa"/>
            </w:tcMar>
            <w:vAlign w:val="bottom"/>
            <w:hideMark/>
          </w:tcPr>
          <w:p w14:paraId="29457BC6"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69AA143F" w14:textId="77777777" w:rsidR="00000000" w:rsidRDefault="00632532">
            <w:pPr>
              <w:pStyle w:val="a3"/>
              <w:spacing w:before="0" w:beforeAutospacing="0" w:after="0" w:afterAutospacing="0"/>
              <w:jc w:val="center"/>
              <w:rPr>
                <w:sz w:val="16"/>
                <w:szCs w:val="16"/>
              </w:rPr>
            </w:pPr>
            <w:r>
              <w:rPr>
                <w:sz w:val="16"/>
                <w:szCs w:val="16"/>
              </w:rPr>
              <w:t>9/26/201</w:t>
            </w:r>
            <w:r>
              <w:rPr>
                <w:sz w:val="16"/>
                <w:szCs w:val="16"/>
              </w:rPr>
              <w:t>6</w:t>
            </w:r>
          </w:p>
        </w:tc>
      </w:tr>
      <w:tr w:rsidR="00000000" w14:paraId="69575040" w14:textId="77777777">
        <w:trPr>
          <w:tblCellSpacing w:w="15" w:type="dxa"/>
        </w:trPr>
        <w:tc>
          <w:tcPr>
            <w:tcW w:w="0" w:type="auto"/>
            <w:hideMark/>
          </w:tcPr>
          <w:p w14:paraId="3A08E801"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02B93374"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15F78863"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54380DFD"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057D9375"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D8E9C3D"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230C947F"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4A998CA"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37B8DDAF" w14:textId="77777777">
        <w:trPr>
          <w:trHeight w:val="160"/>
          <w:tblCellSpacing w:w="15" w:type="dxa"/>
        </w:trPr>
        <w:tc>
          <w:tcPr>
            <w:tcW w:w="0" w:type="auto"/>
            <w:hideMark/>
          </w:tcPr>
          <w:p w14:paraId="55AEA368" w14:textId="77777777" w:rsidR="00000000" w:rsidRDefault="00632532">
            <w:pPr>
              <w:pStyle w:val="a3"/>
              <w:spacing w:before="0" w:beforeAutospacing="0" w:after="0" w:afterAutospacing="0"/>
              <w:rPr>
                <w:sz w:val="16"/>
                <w:szCs w:val="16"/>
              </w:rPr>
            </w:pPr>
            <w:r>
              <w:rPr>
                <w:sz w:val="16"/>
                <w:szCs w:val="16"/>
              </w:rPr>
              <w:t>10.1</w:t>
            </w:r>
            <w:r>
              <w:rPr>
                <w:sz w:val="16"/>
                <w:szCs w:val="16"/>
              </w:rPr>
              <w:t>^</w:t>
            </w:r>
          </w:p>
        </w:tc>
        <w:tc>
          <w:tcPr>
            <w:tcW w:w="0" w:type="auto"/>
            <w:hideMark/>
          </w:tcPr>
          <w:p w14:paraId="27BFA5CC" w14:textId="77777777" w:rsidR="00000000" w:rsidRDefault="00632532">
            <w:pPr>
              <w:pStyle w:val="a3"/>
              <w:spacing w:before="0" w:beforeAutospacing="0" w:after="0" w:afterAutospacing="0"/>
              <w:rPr>
                <w:sz w:val="16"/>
                <w:szCs w:val="16"/>
              </w:rPr>
            </w:pPr>
            <w:hyperlink r:id="rId8" w:history="1">
              <w:r>
                <w:rPr>
                  <w:rStyle w:val="a4"/>
                  <w:sz w:val="16"/>
                  <w:szCs w:val="16"/>
                </w:rPr>
                <w:t xml:space="preserve">Agreement and Plan of Merger by and among Fulgent Therapeutics LLC, solely for purpose of Section 6.20, Fulgent Genetics, Inc., Ducks Acquisition Sub, Inc., </w:t>
              </w:r>
              <w:r>
                <w:rPr>
                  <w:rStyle w:val="a4"/>
                  <w:sz w:val="16"/>
                  <w:szCs w:val="16"/>
                </w:rPr>
                <w:t>Symphony Buyer, Inc., solely in its capacity as the representative of Symphony’s securityholders, Avista Capital Partners IV GP, L.P. and solely for purposes of Section 6.21, Article VIII and Section 10.14, those company stockholders set forth on the signa</w:t>
              </w:r>
              <w:r>
                <w:rPr>
                  <w:rStyle w:val="a4"/>
                  <w:sz w:val="16"/>
                  <w:szCs w:val="16"/>
                </w:rPr>
                <w:t>ture page thereto, dated as of April 16, 202</w:t>
              </w:r>
              <w:r>
                <w:rPr>
                  <w:rStyle w:val="a4"/>
                  <w:sz w:val="16"/>
                  <w:szCs w:val="16"/>
                </w:rPr>
                <w:t>2</w:t>
              </w:r>
            </w:hyperlink>
            <w:r>
              <w:rPr>
                <w:sz w:val="16"/>
                <w:szCs w:val="16"/>
              </w:rPr>
              <w:t>.</w:t>
            </w:r>
          </w:p>
        </w:tc>
        <w:tc>
          <w:tcPr>
            <w:tcW w:w="0" w:type="auto"/>
            <w:hideMark/>
          </w:tcPr>
          <w:p w14:paraId="7E4854DA" w14:textId="77777777" w:rsidR="00000000" w:rsidRDefault="00632532">
            <w:pPr>
              <w:pStyle w:val="a3"/>
              <w:spacing w:before="0" w:beforeAutospacing="0" w:after="0" w:afterAutospacing="0"/>
              <w:jc w:val="center"/>
              <w:rPr>
                <w:sz w:val="16"/>
                <w:szCs w:val="16"/>
              </w:rPr>
            </w:pPr>
            <w:r>
              <w:rPr>
                <w:sz w:val="16"/>
                <w:szCs w:val="16"/>
              </w:rPr>
              <w:t> </w:t>
            </w:r>
          </w:p>
        </w:tc>
        <w:tc>
          <w:tcPr>
            <w:tcW w:w="0" w:type="auto"/>
            <w:hideMark/>
          </w:tcPr>
          <w:p w14:paraId="37EC35EB" w14:textId="77777777" w:rsidR="00000000" w:rsidRDefault="00632532">
            <w:pPr>
              <w:pStyle w:val="a3"/>
              <w:spacing w:before="0" w:beforeAutospacing="0" w:after="0" w:afterAutospacing="0"/>
              <w:jc w:val="center"/>
              <w:rPr>
                <w:sz w:val="16"/>
                <w:szCs w:val="16"/>
              </w:rPr>
            </w:pPr>
            <w:r>
              <w:rPr>
                <w:sz w:val="16"/>
                <w:szCs w:val="16"/>
              </w:rPr>
              <w:t>8-</w:t>
            </w:r>
            <w:r>
              <w:rPr>
                <w:sz w:val="16"/>
                <w:szCs w:val="16"/>
              </w:rPr>
              <w:t>K</w:t>
            </w:r>
          </w:p>
        </w:tc>
        <w:tc>
          <w:tcPr>
            <w:tcW w:w="0" w:type="auto"/>
            <w:tcMar>
              <w:top w:w="15" w:type="dxa"/>
              <w:left w:w="60" w:type="dxa"/>
              <w:bottom w:w="15" w:type="dxa"/>
              <w:right w:w="15" w:type="dxa"/>
            </w:tcMar>
            <w:vAlign w:val="bottom"/>
            <w:hideMark/>
          </w:tcPr>
          <w:p w14:paraId="7BDD429F"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7251CE30" w14:textId="77777777" w:rsidR="00000000" w:rsidRDefault="00632532">
            <w:pPr>
              <w:pStyle w:val="a3"/>
              <w:spacing w:before="0" w:beforeAutospacing="0" w:after="0" w:afterAutospacing="0"/>
              <w:rPr>
                <w:sz w:val="16"/>
                <w:szCs w:val="16"/>
              </w:rPr>
            </w:pPr>
            <w:r>
              <w:rPr>
                <w:sz w:val="16"/>
                <w:szCs w:val="16"/>
              </w:rPr>
              <w:t>001-3789</w:t>
            </w:r>
            <w:r>
              <w:rPr>
                <w:sz w:val="16"/>
                <w:szCs w:val="16"/>
              </w:rPr>
              <w:t>4</w:t>
            </w:r>
          </w:p>
        </w:tc>
        <w:tc>
          <w:tcPr>
            <w:tcW w:w="0" w:type="auto"/>
            <w:tcMar>
              <w:top w:w="15" w:type="dxa"/>
              <w:left w:w="60" w:type="dxa"/>
              <w:bottom w:w="15" w:type="dxa"/>
              <w:right w:w="15" w:type="dxa"/>
            </w:tcMar>
            <w:vAlign w:val="bottom"/>
            <w:hideMark/>
          </w:tcPr>
          <w:p w14:paraId="475FEE2A"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46409C4C" w14:textId="77777777" w:rsidR="00000000" w:rsidRDefault="00632532">
            <w:pPr>
              <w:pStyle w:val="a3"/>
              <w:spacing w:before="0" w:beforeAutospacing="0" w:after="0" w:afterAutospacing="0"/>
              <w:jc w:val="center"/>
              <w:rPr>
                <w:sz w:val="16"/>
                <w:szCs w:val="16"/>
              </w:rPr>
            </w:pPr>
            <w:r>
              <w:rPr>
                <w:sz w:val="16"/>
                <w:szCs w:val="16"/>
              </w:rPr>
              <w:t>4/26/202</w:t>
            </w:r>
            <w:r>
              <w:rPr>
                <w:sz w:val="16"/>
                <w:szCs w:val="16"/>
              </w:rPr>
              <w:t>2</w:t>
            </w:r>
          </w:p>
        </w:tc>
      </w:tr>
      <w:tr w:rsidR="00000000" w14:paraId="69693330" w14:textId="77777777">
        <w:trPr>
          <w:tblCellSpacing w:w="15" w:type="dxa"/>
        </w:trPr>
        <w:tc>
          <w:tcPr>
            <w:tcW w:w="0" w:type="auto"/>
            <w:hideMark/>
          </w:tcPr>
          <w:p w14:paraId="4A1D66C1"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64FBCE55"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2B277303"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237415A7"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376F8029"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4B946C3A"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1808C3EA"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2350AF7E"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3477B057" w14:textId="77777777">
        <w:trPr>
          <w:trHeight w:val="160"/>
          <w:tblCellSpacing w:w="15" w:type="dxa"/>
        </w:trPr>
        <w:tc>
          <w:tcPr>
            <w:tcW w:w="0" w:type="auto"/>
            <w:hideMark/>
          </w:tcPr>
          <w:p w14:paraId="03DD9E0B" w14:textId="77777777" w:rsidR="00000000" w:rsidRDefault="00632532">
            <w:pPr>
              <w:pStyle w:val="a3"/>
              <w:spacing w:before="0" w:beforeAutospacing="0" w:after="0" w:afterAutospacing="0"/>
              <w:rPr>
                <w:sz w:val="16"/>
                <w:szCs w:val="16"/>
              </w:rPr>
            </w:pPr>
            <w:r>
              <w:rPr>
                <w:sz w:val="16"/>
                <w:szCs w:val="16"/>
              </w:rPr>
              <w:t>31.</w:t>
            </w:r>
            <w:r>
              <w:rPr>
                <w:sz w:val="16"/>
                <w:szCs w:val="16"/>
              </w:rPr>
              <w:t>1</w:t>
            </w:r>
          </w:p>
        </w:tc>
        <w:tc>
          <w:tcPr>
            <w:tcW w:w="0" w:type="auto"/>
            <w:hideMark/>
          </w:tcPr>
          <w:p w14:paraId="6804CB29" w14:textId="77777777" w:rsidR="00000000" w:rsidRDefault="00632532">
            <w:pPr>
              <w:pStyle w:val="a3"/>
              <w:spacing w:before="0" w:beforeAutospacing="0" w:after="0" w:afterAutospacing="0"/>
              <w:rPr>
                <w:sz w:val="16"/>
                <w:szCs w:val="16"/>
              </w:rPr>
            </w:pPr>
            <w:hyperlink r:id="rId9" w:history="1">
              <w:r>
                <w:rPr>
                  <w:rStyle w:val="a4"/>
                  <w:sz w:val="16"/>
                  <w:szCs w:val="16"/>
                </w:rPr>
                <w:t>Certification of Principal Executive Officer pursuant to Rules 13a-14(a) and 15d-14(a) under the Securities Exchange Act of 1934, as adopted pursuant to Section 302 of the Sarbanes-Oxley Act of 2002</w:t>
              </w:r>
              <w:r>
                <w:rPr>
                  <w:rStyle w:val="a4"/>
                  <w:sz w:val="16"/>
                  <w:szCs w:val="16"/>
                </w:rPr>
                <w:t>.</w:t>
              </w:r>
            </w:hyperlink>
          </w:p>
        </w:tc>
        <w:tc>
          <w:tcPr>
            <w:tcW w:w="0" w:type="auto"/>
            <w:hideMark/>
          </w:tcPr>
          <w:p w14:paraId="1AF2C275" w14:textId="77777777" w:rsidR="00000000" w:rsidRDefault="00632532">
            <w:pPr>
              <w:pStyle w:val="a3"/>
              <w:spacing w:before="0" w:beforeAutospacing="0" w:after="0" w:afterAutospacing="0"/>
              <w:jc w:val="center"/>
              <w:rPr>
                <w:sz w:val="16"/>
                <w:szCs w:val="16"/>
              </w:rPr>
            </w:pPr>
            <w:r>
              <w:rPr>
                <w:sz w:val="16"/>
                <w:szCs w:val="16"/>
              </w:rPr>
              <w:t>X</w:t>
            </w:r>
          </w:p>
        </w:tc>
        <w:tc>
          <w:tcPr>
            <w:tcW w:w="0" w:type="auto"/>
            <w:hideMark/>
          </w:tcPr>
          <w:p w14:paraId="6E1ABED2"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13176099"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02E18D0D"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21ECD96E"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165E232A"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11D3FAD" w14:textId="77777777">
        <w:trPr>
          <w:tblCellSpacing w:w="15" w:type="dxa"/>
        </w:trPr>
        <w:tc>
          <w:tcPr>
            <w:tcW w:w="0" w:type="auto"/>
            <w:hideMark/>
          </w:tcPr>
          <w:p w14:paraId="6EB4C847"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2874415B"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0EFC19C0"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78749E7B"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2CF0DCAE"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2F4ECCC3"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7D122E9A"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D92BB03"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58B7A74E" w14:textId="77777777">
        <w:trPr>
          <w:trHeight w:val="160"/>
          <w:tblCellSpacing w:w="15" w:type="dxa"/>
        </w:trPr>
        <w:tc>
          <w:tcPr>
            <w:tcW w:w="0" w:type="auto"/>
            <w:hideMark/>
          </w:tcPr>
          <w:p w14:paraId="1A20A4AB" w14:textId="77777777" w:rsidR="00000000" w:rsidRDefault="00632532">
            <w:pPr>
              <w:pStyle w:val="a3"/>
              <w:spacing w:before="0" w:beforeAutospacing="0" w:after="0" w:afterAutospacing="0"/>
              <w:rPr>
                <w:sz w:val="16"/>
                <w:szCs w:val="16"/>
              </w:rPr>
            </w:pPr>
            <w:r>
              <w:rPr>
                <w:sz w:val="16"/>
                <w:szCs w:val="16"/>
              </w:rPr>
              <w:t>31.</w:t>
            </w:r>
            <w:r>
              <w:rPr>
                <w:sz w:val="16"/>
                <w:szCs w:val="16"/>
              </w:rPr>
              <w:t>2</w:t>
            </w:r>
          </w:p>
        </w:tc>
        <w:tc>
          <w:tcPr>
            <w:tcW w:w="0" w:type="auto"/>
            <w:hideMark/>
          </w:tcPr>
          <w:p w14:paraId="7159FF46" w14:textId="77777777" w:rsidR="00000000" w:rsidRDefault="00632532">
            <w:pPr>
              <w:pStyle w:val="a3"/>
              <w:spacing w:before="0" w:beforeAutospacing="0" w:after="0" w:afterAutospacing="0"/>
              <w:rPr>
                <w:sz w:val="16"/>
                <w:szCs w:val="16"/>
              </w:rPr>
            </w:pPr>
            <w:hyperlink r:id="rId10" w:history="1">
              <w:r>
                <w:rPr>
                  <w:rStyle w:val="a4"/>
                  <w:sz w:val="16"/>
                  <w:szCs w:val="16"/>
                </w:rPr>
                <w:t>Certification of Principal Financial Officer pursuant to Rules 13a-14(a) and 15d-14(a) under the Securities Exchange Act of 1934, as adopted pursuant to Section 302 of the Sarbanes-Oxley Act of 2002</w:t>
              </w:r>
              <w:r>
                <w:rPr>
                  <w:rStyle w:val="a4"/>
                  <w:sz w:val="16"/>
                  <w:szCs w:val="16"/>
                </w:rPr>
                <w:t>.</w:t>
              </w:r>
            </w:hyperlink>
          </w:p>
        </w:tc>
        <w:tc>
          <w:tcPr>
            <w:tcW w:w="0" w:type="auto"/>
            <w:hideMark/>
          </w:tcPr>
          <w:p w14:paraId="24A30164" w14:textId="77777777" w:rsidR="00000000" w:rsidRDefault="00632532">
            <w:pPr>
              <w:pStyle w:val="a3"/>
              <w:spacing w:before="0" w:beforeAutospacing="0" w:after="0" w:afterAutospacing="0"/>
              <w:jc w:val="center"/>
              <w:rPr>
                <w:sz w:val="16"/>
                <w:szCs w:val="16"/>
              </w:rPr>
            </w:pPr>
            <w:r>
              <w:rPr>
                <w:sz w:val="16"/>
                <w:szCs w:val="16"/>
              </w:rPr>
              <w:t>X</w:t>
            </w:r>
          </w:p>
        </w:tc>
        <w:tc>
          <w:tcPr>
            <w:tcW w:w="0" w:type="auto"/>
            <w:hideMark/>
          </w:tcPr>
          <w:p w14:paraId="1C790E9B"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6B320967"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799F9DFD"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7B7CF090"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0325B5AF"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0057FC7" w14:textId="77777777">
        <w:trPr>
          <w:tblCellSpacing w:w="15" w:type="dxa"/>
        </w:trPr>
        <w:tc>
          <w:tcPr>
            <w:tcW w:w="0" w:type="auto"/>
            <w:hideMark/>
          </w:tcPr>
          <w:p w14:paraId="189A460A"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717DAAEC"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7D130FE6"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5F55E79C"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7DA32BA7"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77CE99A7"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4BE9A2C3"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5D15FFDC"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76F389C6" w14:textId="77777777">
        <w:trPr>
          <w:trHeight w:val="160"/>
          <w:tblCellSpacing w:w="15" w:type="dxa"/>
        </w:trPr>
        <w:tc>
          <w:tcPr>
            <w:tcW w:w="0" w:type="auto"/>
            <w:hideMark/>
          </w:tcPr>
          <w:p w14:paraId="5E03BB80" w14:textId="77777777" w:rsidR="00000000" w:rsidRDefault="00632532">
            <w:pPr>
              <w:pStyle w:val="a3"/>
              <w:spacing w:before="0" w:beforeAutospacing="0" w:after="0" w:afterAutospacing="0"/>
              <w:rPr>
                <w:sz w:val="16"/>
                <w:szCs w:val="16"/>
              </w:rPr>
            </w:pPr>
            <w:r>
              <w:rPr>
                <w:sz w:val="16"/>
                <w:szCs w:val="16"/>
              </w:rPr>
              <w:t>32.1</w:t>
            </w:r>
            <w:r>
              <w:rPr>
                <w:sz w:val="16"/>
                <w:szCs w:val="16"/>
              </w:rPr>
              <w:t>*</w:t>
            </w:r>
          </w:p>
        </w:tc>
        <w:tc>
          <w:tcPr>
            <w:tcW w:w="0" w:type="auto"/>
            <w:hideMark/>
          </w:tcPr>
          <w:p w14:paraId="503CFEE8" w14:textId="77777777" w:rsidR="00000000" w:rsidRDefault="00632532">
            <w:pPr>
              <w:pStyle w:val="a3"/>
              <w:spacing w:before="0" w:beforeAutospacing="0" w:after="0" w:afterAutospacing="0"/>
              <w:rPr>
                <w:sz w:val="16"/>
                <w:szCs w:val="16"/>
              </w:rPr>
            </w:pPr>
            <w:hyperlink r:id="rId11" w:history="1">
              <w:r>
                <w:rPr>
                  <w:rStyle w:val="a4"/>
                  <w:sz w:val="16"/>
                  <w:szCs w:val="16"/>
                </w:rPr>
                <w:t>Certification of Principal Executive Officer and Principal Financial Officer pursuant to 18 U.S.C. Section 1350, as adopted pursuant to Section 906 of the Sarbanes-Oxley Act of 2002</w:t>
              </w:r>
              <w:r>
                <w:rPr>
                  <w:rStyle w:val="a4"/>
                  <w:sz w:val="16"/>
                  <w:szCs w:val="16"/>
                </w:rPr>
                <w:t>.</w:t>
              </w:r>
            </w:hyperlink>
          </w:p>
        </w:tc>
        <w:tc>
          <w:tcPr>
            <w:tcW w:w="0" w:type="auto"/>
            <w:hideMark/>
          </w:tcPr>
          <w:p w14:paraId="4F0BE937" w14:textId="77777777" w:rsidR="00000000" w:rsidRDefault="00632532">
            <w:pPr>
              <w:pStyle w:val="a3"/>
              <w:spacing w:before="0" w:beforeAutospacing="0" w:after="0" w:afterAutospacing="0"/>
              <w:jc w:val="center"/>
              <w:rPr>
                <w:sz w:val="16"/>
                <w:szCs w:val="16"/>
              </w:rPr>
            </w:pPr>
            <w:r>
              <w:rPr>
                <w:sz w:val="16"/>
                <w:szCs w:val="16"/>
              </w:rPr>
              <w:t>X</w:t>
            </w:r>
          </w:p>
        </w:tc>
        <w:tc>
          <w:tcPr>
            <w:tcW w:w="0" w:type="auto"/>
            <w:hideMark/>
          </w:tcPr>
          <w:p w14:paraId="16FEC224"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466AACC7"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057335FF"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2FEB3A19"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6E20AF57"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21BE3FE0" w14:textId="77777777">
        <w:trPr>
          <w:tblCellSpacing w:w="15" w:type="dxa"/>
        </w:trPr>
        <w:tc>
          <w:tcPr>
            <w:tcW w:w="0" w:type="auto"/>
            <w:hideMark/>
          </w:tcPr>
          <w:p w14:paraId="77F963CB"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5764E1F"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169FB9FB"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08AE86F0"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2A7B53DF"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584D4BB5"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285E335A"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40E4B9F2"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74DD0D1C" w14:textId="77777777">
        <w:trPr>
          <w:trHeight w:val="160"/>
          <w:tblCellSpacing w:w="15" w:type="dxa"/>
        </w:trPr>
        <w:tc>
          <w:tcPr>
            <w:tcW w:w="0" w:type="auto"/>
            <w:hideMark/>
          </w:tcPr>
          <w:p w14:paraId="1AA52861" w14:textId="77777777" w:rsidR="00000000" w:rsidRDefault="00632532">
            <w:pPr>
              <w:pStyle w:val="a3"/>
              <w:spacing w:before="0" w:beforeAutospacing="0" w:after="0" w:afterAutospacing="0"/>
              <w:rPr>
                <w:sz w:val="16"/>
                <w:szCs w:val="16"/>
              </w:rPr>
            </w:pPr>
            <w:r>
              <w:rPr>
                <w:sz w:val="16"/>
                <w:szCs w:val="16"/>
              </w:rPr>
              <w:t>101.IN</w:t>
            </w:r>
            <w:r>
              <w:rPr>
                <w:sz w:val="16"/>
                <w:szCs w:val="16"/>
              </w:rPr>
              <w:t>S</w:t>
            </w:r>
          </w:p>
        </w:tc>
        <w:tc>
          <w:tcPr>
            <w:tcW w:w="0" w:type="auto"/>
            <w:hideMark/>
          </w:tcPr>
          <w:p w14:paraId="4D0AC6F6" w14:textId="77777777" w:rsidR="00000000" w:rsidRDefault="00632532">
            <w:pPr>
              <w:pStyle w:val="a3"/>
              <w:spacing w:before="0" w:beforeAutospacing="0" w:after="0" w:afterAutospacing="0"/>
              <w:rPr>
                <w:sz w:val="16"/>
                <w:szCs w:val="16"/>
              </w:rPr>
            </w:pPr>
            <w:r>
              <w:rPr>
                <w:sz w:val="16"/>
                <w:szCs w:val="16"/>
              </w:rPr>
              <w:t>Inline XBRL Instance Document – the</w:t>
            </w:r>
            <w:r>
              <w:rPr>
                <w:sz w:val="16"/>
                <w:szCs w:val="16"/>
              </w:rPr>
              <w:t xml:space="preserve"> instance document does not appear in the Interactive Data File because XBRL tags are embedded within the Inline XBRL document</w:t>
            </w:r>
            <w:r>
              <w:rPr>
                <w:sz w:val="16"/>
                <w:szCs w:val="16"/>
              </w:rPr>
              <w:t>.</w:t>
            </w:r>
          </w:p>
        </w:tc>
        <w:tc>
          <w:tcPr>
            <w:tcW w:w="0" w:type="auto"/>
            <w:hideMark/>
          </w:tcPr>
          <w:p w14:paraId="317FAE46" w14:textId="77777777" w:rsidR="00000000" w:rsidRDefault="00632532">
            <w:pPr>
              <w:pStyle w:val="a3"/>
              <w:spacing w:before="0" w:beforeAutospacing="0" w:after="0" w:afterAutospacing="0"/>
              <w:jc w:val="center"/>
              <w:rPr>
                <w:sz w:val="16"/>
                <w:szCs w:val="16"/>
              </w:rPr>
            </w:pPr>
            <w:r>
              <w:rPr>
                <w:sz w:val="16"/>
                <w:szCs w:val="16"/>
              </w:rPr>
              <w:t>X</w:t>
            </w:r>
          </w:p>
        </w:tc>
        <w:tc>
          <w:tcPr>
            <w:tcW w:w="0" w:type="auto"/>
            <w:hideMark/>
          </w:tcPr>
          <w:p w14:paraId="0A4D8448"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14:paraId="5AD87142"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3C7DC62C"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40284D9E"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653672C0"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15E4E2AD" w14:textId="77777777">
        <w:trPr>
          <w:tblCellSpacing w:w="15" w:type="dxa"/>
        </w:trPr>
        <w:tc>
          <w:tcPr>
            <w:tcW w:w="0" w:type="auto"/>
            <w:hideMark/>
          </w:tcPr>
          <w:p w14:paraId="5F4CD173"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210C005F"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6476FCF3"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43D2D835"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14:paraId="0ABD529B"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1C16C69F"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30CE9216"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7FC7250A"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7C3B11DB" w14:textId="77777777">
        <w:trPr>
          <w:trHeight w:val="160"/>
          <w:tblCellSpacing w:w="15" w:type="dxa"/>
        </w:trPr>
        <w:tc>
          <w:tcPr>
            <w:tcW w:w="0" w:type="auto"/>
            <w:hideMark/>
          </w:tcPr>
          <w:p w14:paraId="08D8CC03" w14:textId="77777777" w:rsidR="00000000" w:rsidRDefault="00632532">
            <w:pPr>
              <w:pStyle w:val="a3"/>
              <w:spacing w:before="0" w:beforeAutospacing="0" w:after="0" w:afterAutospacing="0"/>
              <w:rPr>
                <w:sz w:val="16"/>
                <w:szCs w:val="16"/>
              </w:rPr>
            </w:pPr>
            <w:r>
              <w:rPr>
                <w:sz w:val="16"/>
                <w:szCs w:val="16"/>
              </w:rPr>
              <w:t>101.SC</w:t>
            </w:r>
            <w:r>
              <w:rPr>
                <w:sz w:val="16"/>
                <w:szCs w:val="16"/>
              </w:rPr>
              <w:t>H</w:t>
            </w:r>
          </w:p>
        </w:tc>
        <w:tc>
          <w:tcPr>
            <w:tcW w:w="0" w:type="auto"/>
            <w:hideMark/>
          </w:tcPr>
          <w:p w14:paraId="0017354F" w14:textId="77777777" w:rsidR="00000000" w:rsidRDefault="00632532">
            <w:pPr>
              <w:pStyle w:val="a3"/>
              <w:spacing w:before="0" w:beforeAutospacing="0" w:after="0" w:afterAutospacing="0"/>
              <w:rPr>
                <w:sz w:val="16"/>
                <w:szCs w:val="16"/>
              </w:rPr>
            </w:pPr>
            <w:r>
              <w:rPr>
                <w:sz w:val="16"/>
                <w:szCs w:val="16"/>
              </w:rPr>
              <w:t>Inline XBRL Taxonomy Extension Schema Documen</w:t>
            </w:r>
            <w:r>
              <w:rPr>
                <w:sz w:val="16"/>
                <w:szCs w:val="16"/>
              </w:rPr>
              <w:t>t</w:t>
            </w:r>
          </w:p>
        </w:tc>
        <w:tc>
          <w:tcPr>
            <w:tcW w:w="0" w:type="auto"/>
            <w:hideMark/>
          </w:tcPr>
          <w:p w14:paraId="1564BD3E" w14:textId="77777777" w:rsidR="00000000" w:rsidRDefault="00632532">
            <w:pPr>
              <w:pStyle w:val="a3"/>
              <w:spacing w:before="0" w:beforeAutospacing="0" w:after="0" w:afterAutospacing="0"/>
              <w:jc w:val="center"/>
              <w:rPr>
                <w:sz w:val="16"/>
                <w:szCs w:val="16"/>
              </w:rPr>
            </w:pPr>
            <w:r>
              <w:rPr>
                <w:sz w:val="16"/>
                <w:szCs w:val="16"/>
              </w:rPr>
              <w:t>X</w:t>
            </w:r>
          </w:p>
        </w:tc>
        <w:tc>
          <w:tcPr>
            <w:tcW w:w="0" w:type="auto"/>
            <w:hideMark/>
          </w:tcPr>
          <w:p w14:paraId="54BCA713"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14:paraId="64626A32"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2E90F62D"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0A40F96A"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79ACFB8C"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5C0997AD" w14:textId="77777777">
        <w:trPr>
          <w:tblCellSpacing w:w="15" w:type="dxa"/>
        </w:trPr>
        <w:tc>
          <w:tcPr>
            <w:tcW w:w="0" w:type="auto"/>
            <w:hideMark/>
          </w:tcPr>
          <w:p w14:paraId="01290343"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1D6EC8D4"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E1B3C4B"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35E4CEF8"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14:paraId="25E4C76D"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54C37770"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69C9F188"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0343D330"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53161C1F" w14:textId="77777777">
        <w:trPr>
          <w:trHeight w:val="160"/>
          <w:tblCellSpacing w:w="15" w:type="dxa"/>
        </w:trPr>
        <w:tc>
          <w:tcPr>
            <w:tcW w:w="0" w:type="auto"/>
            <w:hideMark/>
          </w:tcPr>
          <w:p w14:paraId="770CAD60" w14:textId="77777777" w:rsidR="00000000" w:rsidRDefault="00632532">
            <w:pPr>
              <w:pStyle w:val="a3"/>
              <w:spacing w:before="0" w:beforeAutospacing="0" w:after="0" w:afterAutospacing="0"/>
              <w:rPr>
                <w:sz w:val="16"/>
                <w:szCs w:val="16"/>
              </w:rPr>
            </w:pPr>
            <w:r>
              <w:rPr>
                <w:sz w:val="16"/>
                <w:szCs w:val="16"/>
              </w:rPr>
              <w:t>101.CA</w:t>
            </w:r>
            <w:r>
              <w:rPr>
                <w:sz w:val="16"/>
                <w:szCs w:val="16"/>
              </w:rPr>
              <w:t>L</w:t>
            </w:r>
          </w:p>
        </w:tc>
        <w:tc>
          <w:tcPr>
            <w:tcW w:w="0" w:type="auto"/>
            <w:hideMark/>
          </w:tcPr>
          <w:p w14:paraId="3C643170" w14:textId="77777777" w:rsidR="00000000" w:rsidRDefault="00632532">
            <w:pPr>
              <w:pStyle w:val="a3"/>
              <w:spacing w:before="0" w:beforeAutospacing="0" w:after="0" w:afterAutospacing="0"/>
              <w:rPr>
                <w:sz w:val="16"/>
                <w:szCs w:val="16"/>
              </w:rPr>
            </w:pPr>
            <w:r>
              <w:rPr>
                <w:sz w:val="16"/>
                <w:szCs w:val="16"/>
              </w:rPr>
              <w:t>Inline XBRL Taxonomy Extension Calculation Linkbase Documen</w:t>
            </w:r>
            <w:r>
              <w:rPr>
                <w:sz w:val="16"/>
                <w:szCs w:val="16"/>
              </w:rPr>
              <w:t>t</w:t>
            </w:r>
          </w:p>
        </w:tc>
        <w:tc>
          <w:tcPr>
            <w:tcW w:w="0" w:type="auto"/>
            <w:hideMark/>
          </w:tcPr>
          <w:p w14:paraId="6AC96F60" w14:textId="77777777" w:rsidR="00000000" w:rsidRDefault="00632532">
            <w:pPr>
              <w:pStyle w:val="a3"/>
              <w:spacing w:before="0" w:beforeAutospacing="0" w:after="0" w:afterAutospacing="0"/>
              <w:jc w:val="center"/>
              <w:rPr>
                <w:sz w:val="16"/>
                <w:szCs w:val="16"/>
              </w:rPr>
            </w:pPr>
            <w:r>
              <w:rPr>
                <w:sz w:val="16"/>
                <w:szCs w:val="16"/>
              </w:rPr>
              <w:t>X</w:t>
            </w:r>
          </w:p>
        </w:tc>
        <w:tc>
          <w:tcPr>
            <w:tcW w:w="0" w:type="auto"/>
            <w:hideMark/>
          </w:tcPr>
          <w:p w14:paraId="4CC29FF9"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14:paraId="617FF516"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04EA40D6"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29C5FE2D"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2BB4D32C"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32BDE09F" w14:textId="77777777">
        <w:trPr>
          <w:tblCellSpacing w:w="15" w:type="dxa"/>
        </w:trPr>
        <w:tc>
          <w:tcPr>
            <w:tcW w:w="0" w:type="auto"/>
            <w:hideMark/>
          </w:tcPr>
          <w:p w14:paraId="1241A2A3"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7B0904BA"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240758A5"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48E07C32"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14:paraId="6709643A"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6E56EBA5"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179B0C55"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234E83B"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6F5D4BBD" w14:textId="77777777">
        <w:trPr>
          <w:trHeight w:val="160"/>
          <w:tblCellSpacing w:w="15" w:type="dxa"/>
        </w:trPr>
        <w:tc>
          <w:tcPr>
            <w:tcW w:w="0" w:type="auto"/>
            <w:hideMark/>
          </w:tcPr>
          <w:p w14:paraId="395F0EA7" w14:textId="77777777" w:rsidR="00000000" w:rsidRDefault="00632532">
            <w:pPr>
              <w:pStyle w:val="a3"/>
              <w:spacing w:before="0" w:beforeAutospacing="0" w:after="0" w:afterAutospacing="0"/>
              <w:rPr>
                <w:sz w:val="16"/>
                <w:szCs w:val="16"/>
              </w:rPr>
            </w:pPr>
            <w:r>
              <w:rPr>
                <w:sz w:val="16"/>
                <w:szCs w:val="16"/>
              </w:rPr>
              <w:t>101.DE</w:t>
            </w:r>
            <w:r>
              <w:rPr>
                <w:sz w:val="16"/>
                <w:szCs w:val="16"/>
              </w:rPr>
              <w:t>F</w:t>
            </w:r>
          </w:p>
        </w:tc>
        <w:tc>
          <w:tcPr>
            <w:tcW w:w="0" w:type="auto"/>
            <w:hideMark/>
          </w:tcPr>
          <w:p w14:paraId="0EC1DCCF" w14:textId="77777777" w:rsidR="00000000" w:rsidRDefault="00632532">
            <w:pPr>
              <w:pStyle w:val="a3"/>
              <w:spacing w:before="0" w:beforeAutospacing="0" w:after="0" w:afterAutospacing="0"/>
              <w:rPr>
                <w:sz w:val="16"/>
                <w:szCs w:val="16"/>
              </w:rPr>
            </w:pPr>
            <w:r>
              <w:rPr>
                <w:sz w:val="16"/>
                <w:szCs w:val="16"/>
              </w:rPr>
              <w:t>Inline XBRL Taxonomy Extension Definition Linkbase Documen</w:t>
            </w:r>
            <w:r>
              <w:rPr>
                <w:sz w:val="16"/>
                <w:szCs w:val="16"/>
              </w:rPr>
              <w:t>t</w:t>
            </w:r>
          </w:p>
        </w:tc>
        <w:tc>
          <w:tcPr>
            <w:tcW w:w="0" w:type="auto"/>
            <w:hideMark/>
          </w:tcPr>
          <w:p w14:paraId="3E40B742" w14:textId="77777777" w:rsidR="00000000" w:rsidRDefault="00632532">
            <w:pPr>
              <w:pStyle w:val="a3"/>
              <w:spacing w:before="0" w:beforeAutospacing="0" w:after="0" w:afterAutospacing="0"/>
              <w:jc w:val="center"/>
              <w:rPr>
                <w:sz w:val="16"/>
                <w:szCs w:val="16"/>
              </w:rPr>
            </w:pPr>
            <w:r>
              <w:rPr>
                <w:sz w:val="16"/>
                <w:szCs w:val="16"/>
              </w:rPr>
              <w:t>X</w:t>
            </w:r>
          </w:p>
        </w:tc>
        <w:tc>
          <w:tcPr>
            <w:tcW w:w="0" w:type="auto"/>
            <w:hideMark/>
          </w:tcPr>
          <w:p w14:paraId="53C33272"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14:paraId="02732698"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169C4D45"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054CFE74"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75CA5CF6"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2615C7AD" w14:textId="77777777">
        <w:trPr>
          <w:tblCellSpacing w:w="15" w:type="dxa"/>
        </w:trPr>
        <w:tc>
          <w:tcPr>
            <w:tcW w:w="0" w:type="auto"/>
            <w:hideMark/>
          </w:tcPr>
          <w:p w14:paraId="692F93F5"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614C1969"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F77B134"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6DD5EC7B"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14:paraId="42DE2DA9"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608A735A"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3A781E0F"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2D26018A"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610D804D" w14:textId="77777777">
        <w:trPr>
          <w:trHeight w:val="160"/>
          <w:tblCellSpacing w:w="15" w:type="dxa"/>
        </w:trPr>
        <w:tc>
          <w:tcPr>
            <w:tcW w:w="0" w:type="auto"/>
            <w:hideMark/>
          </w:tcPr>
          <w:p w14:paraId="2C9A08B2" w14:textId="77777777" w:rsidR="00000000" w:rsidRDefault="00632532">
            <w:pPr>
              <w:pStyle w:val="a3"/>
              <w:spacing w:before="0" w:beforeAutospacing="0" w:after="0" w:afterAutospacing="0"/>
              <w:rPr>
                <w:sz w:val="16"/>
                <w:szCs w:val="16"/>
              </w:rPr>
            </w:pPr>
            <w:r>
              <w:rPr>
                <w:sz w:val="16"/>
                <w:szCs w:val="16"/>
              </w:rPr>
              <w:t>101.LA</w:t>
            </w:r>
            <w:r>
              <w:rPr>
                <w:sz w:val="16"/>
                <w:szCs w:val="16"/>
              </w:rPr>
              <w:t>B</w:t>
            </w:r>
          </w:p>
        </w:tc>
        <w:tc>
          <w:tcPr>
            <w:tcW w:w="0" w:type="auto"/>
            <w:hideMark/>
          </w:tcPr>
          <w:p w14:paraId="2C4C6E21" w14:textId="77777777" w:rsidR="00000000" w:rsidRDefault="00632532">
            <w:pPr>
              <w:pStyle w:val="a3"/>
              <w:spacing w:before="0" w:beforeAutospacing="0" w:after="0" w:afterAutospacing="0"/>
              <w:rPr>
                <w:sz w:val="16"/>
                <w:szCs w:val="16"/>
              </w:rPr>
            </w:pPr>
            <w:r>
              <w:rPr>
                <w:sz w:val="16"/>
                <w:szCs w:val="16"/>
              </w:rPr>
              <w:t>Inline XBRL Taxonomy Extension Label Linkbase Documen</w:t>
            </w:r>
            <w:r>
              <w:rPr>
                <w:sz w:val="16"/>
                <w:szCs w:val="16"/>
              </w:rPr>
              <w:t>t</w:t>
            </w:r>
          </w:p>
        </w:tc>
        <w:tc>
          <w:tcPr>
            <w:tcW w:w="0" w:type="auto"/>
            <w:hideMark/>
          </w:tcPr>
          <w:p w14:paraId="0B29BD2F" w14:textId="77777777" w:rsidR="00000000" w:rsidRDefault="00632532">
            <w:pPr>
              <w:pStyle w:val="a3"/>
              <w:spacing w:before="0" w:beforeAutospacing="0" w:after="0" w:afterAutospacing="0"/>
              <w:jc w:val="center"/>
              <w:rPr>
                <w:sz w:val="16"/>
                <w:szCs w:val="16"/>
              </w:rPr>
            </w:pPr>
            <w:r>
              <w:rPr>
                <w:sz w:val="16"/>
                <w:szCs w:val="16"/>
              </w:rPr>
              <w:t>X</w:t>
            </w:r>
          </w:p>
        </w:tc>
        <w:tc>
          <w:tcPr>
            <w:tcW w:w="0" w:type="auto"/>
            <w:hideMark/>
          </w:tcPr>
          <w:p w14:paraId="5B4B7BB4"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14:paraId="79D59B1A"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12AC382C"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73F3B00C"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66B5A1CF"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038177D2" w14:textId="77777777">
        <w:trPr>
          <w:tblCellSpacing w:w="15" w:type="dxa"/>
        </w:trPr>
        <w:tc>
          <w:tcPr>
            <w:tcW w:w="0" w:type="auto"/>
            <w:hideMark/>
          </w:tcPr>
          <w:p w14:paraId="5DFFFEB6"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40DB65CE"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BDD79EF"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3A9BA775"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14:paraId="007400FC"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7D566FFA"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7812BF02"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02369868"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6FB427E5" w14:textId="77777777">
        <w:trPr>
          <w:trHeight w:val="160"/>
          <w:tblCellSpacing w:w="15" w:type="dxa"/>
        </w:trPr>
        <w:tc>
          <w:tcPr>
            <w:tcW w:w="0" w:type="auto"/>
            <w:hideMark/>
          </w:tcPr>
          <w:p w14:paraId="18DE62F3" w14:textId="77777777" w:rsidR="00000000" w:rsidRDefault="00632532">
            <w:pPr>
              <w:pStyle w:val="a3"/>
              <w:spacing w:before="0" w:beforeAutospacing="0" w:after="0" w:afterAutospacing="0"/>
              <w:rPr>
                <w:sz w:val="16"/>
                <w:szCs w:val="16"/>
              </w:rPr>
            </w:pPr>
            <w:r>
              <w:rPr>
                <w:sz w:val="16"/>
                <w:szCs w:val="16"/>
              </w:rPr>
              <w:t>101.PR</w:t>
            </w:r>
            <w:r>
              <w:rPr>
                <w:sz w:val="16"/>
                <w:szCs w:val="16"/>
              </w:rPr>
              <w:t>E</w:t>
            </w:r>
          </w:p>
        </w:tc>
        <w:tc>
          <w:tcPr>
            <w:tcW w:w="0" w:type="auto"/>
            <w:hideMark/>
          </w:tcPr>
          <w:p w14:paraId="2686BC77" w14:textId="77777777" w:rsidR="00000000" w:rsidRDefault="00632532">
            <w:pPr>
              <w:pStyle w:val="a3"/>
              <w:spacing w:before="0" w:beforeAutospacing="0" w:after="0" w:afterAutospacing="0"/>
              <w:rPr>
                <w:sz w:val="16"/>
                <w:szCs w:val="16"/>
              </w:rPr>
            </w:pPr>
            <w:r>
              <w:rPr>
                <w:sz w:val="16"/>
                <w:szCs w:val="16"/>
              </w:rPr>
              <w:t>Inline XBRL Taxonomy Extension Presentation Linkbase Documen</w:t>
            </w:r>
            <w:r>
              <w:rPr>
                <w:sz w:val="16"/>
                <w:szCs w:val="16"/>
              </w:rPr>
              <w:t>t</w:t>
            </w:r>
          </w:p>
        </w:tc>
        <w:tc>
          <w:tcPr>
            <w:tcW w:w="0" w:type="auto"/>
            <w:hideMark/>
          </w:tcPr>
          <w:p w14:paraId="19F8F4AA" w14:textId="77777777" w:rsidR="00000000" w:rsidRDefault="00632532">
            <w:pPr>
              <w:pStyle w:val="a3"/>
              <w:spacing w:before="0" w:beforeAutospacing="0" w:after="0" w:afterAutospacing="0"/>
              <w:jc w:val="center"/>
              <w:rPr>
                <w:sz w:val="16"/>
                <w:szCs w:val="16"/>
              </w:rPr>
            </w:pPr>
            <w:r>
              <w:rPr>
                <w:sz w:val="16"/>
                <w:szCs w:val="16"/>
              </w:rPr>
              <w:t>X</w:t>
            </w:r>
          </w:p>
        </w:tc>
        <w:tc>
          <w:tcPr>
            <w:tcW w:w="0" w:type="auto"/>
            <w:hideMark/>
          </w:tcPr>
          <w:p w14:paraId="7ECEEE44"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14:paraId="63979A5A"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4A0969A7"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66270847"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0275791E" w14:textId="77777777" w:rsidR="00000000" w:rsidRDefault="00632532">
            <w:pPr>
              <w:pStyle w:val="a3"/>
              <w:spacing w:before="0" w:beforeAutospacing="0" w:after="0" w:afterAutospacing="0"/>
              <w:jc w:val="center"/>
              <w:rPr>
                <w:sz w:val="16"/>
                <w:szCs w:val="16"/>
              </w:rPr>
            </w:pPr>
            <w:r>
              <w:rPr>
                <w:sz w:val="16"/>
                <w:szCs w:val="16"/>
              </w:rPr>
              <w:t> </w:t>
            </w:r>
          </w:p>
        </w:tc>
      </w:tr>
      <w:tr w:rsidR="00000000" w14:paraId="437A456D" w14:textId="77777777">
        <w:trPr>
          <w:tblCellSpacing w:w="15" w:type="dxa"/>
        </w:trPr>
        <w:tc>
          <w:tcPr>
            <w:tcW w:w="0" w:type="auto"/>
            <w:hideMark/>
          </w:tcPr>
          <w:p w14:paraId="6D6B7EA4"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4FE6537C"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521DAA44" w14:textId="77777777" w:rsidR="00000000" w:rsidRDefault="00632532">
            <w:pPr>
              <w:pStyle w:val="a3"/>
              <w:spacing w:before="0" w:beforeAutospacing="0" w:after="0" w:afterAutospacing="0"/>
              <w:jc w:val="center"/>
              <w:rPr>
                <w:sz w:val="12"/>
                <w:szCs w:val="12"/>
              </w:rPr>
            </w:pPr>
            <w:r>
              <w:rPr>
                <w:sz w:val="12"/>
                <w:szCs w:val="12"/>
              </w:rPr>
              <w:t> </w:t>
            </w:r>
          </w:p>
        </w:tc>
        <w:tc>
          <w:tcPr>
            <w:tcW w:w="0" w:type="auto"/>
            <w:hideMark/>
          </w:tcPr>
          <w:p w14:paraId="5719D3F5"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hideMark/>
          </w:tcPr>
          <w:p w14:paraId="14E5555E"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3D08B830" w14:textId="77777777" w:rsidR="00000000" w:rsidRDefault="00632532">
            <w:pPr>
              <w:pStyle w:val="a3"/>
              <w:spacing w:before="0" w:beforeAutospacing="0" w:after="0" w:afterAutospacing="0"/>
              <w:jc w:val="center"/>
              <w:rPr>
                <w:sz w:val="12"/>
                <w:szCs w:val="12"/>
              </w:rPr>
            </w:pPr>
            <w:r>
              <w:rPr>
                <w:sz w:val="12"/>
                <w:szCs w:val="12"/>
              </w:rPr>
              <w:t> </w:t>
            </w:r>
          </w:p>
        </w:tc>
        <w:tc>
          <w:tcPr>
            <w:tcW w:w="0" w:type="auto"/>
            <w:tcMar>
              <w:top w:w="15" w:type="dxa"/>
              <w:left w:w="60" w:type="dxa"/>
              <w:bottom w:w="15" w:type="dxa"/>
              <w:right w:w="15" w:type="dxa"/>
            </w:tcMar>
            <w:vAlign w:val="bottom"/>
            <w:hideMark/>
          </w:tcPr>
          <w:p w14:paraId="128ED664" w14:textId="77777777" w:rsidR="00000000" w:rsidRDefault="00632532">
            <w:pPr>
              <w:pStyle w:val="a3"/>
              <w:spacing w:before="0" w:beforeAutospacing="0" w:after="0" w:afterAutospacing="0"/>
              <w:rPr>
                <w:sz w:val="12"/>
                <w:szCs w:val="12"/>
              </w:rPr>
            </w:pPr>
            <w:r>
              <w:rPr>
                <w:sz w:val="12"/>
                <w:szCs w:val="12"/>
              </w:rPr>
              <w:t> </w:t>
            </w:r>
          </w:p>
        </w:tc>
        <w:tc>
          <w:tcPr>
            <w:tcW w:w="0" w:type="auto"/>
            <w:hideMark/>
          </w:tcPr>
          <w:p w14:paraId="0CC382B6" w14:textId="77777777" w:rsidR="00000000" w:rsidRDefault="00632532">
            <w:pPr>
              <w:pStyle w:val="a3"/>
              <w:spacing w:before="0" w:beforeAutospacing="0" w:after="0" w:afterAutospacing="0"/>
              <w:jc w:val="center"/>
              <w:rPr>
                <w:sz w:val="12"/>
                <w:szCs w:val="12"/>
              </w:rPr>
            </w:pPr>
            <w:r>
              <w:rPr>
                <w:sz w:val="12"/>
                <w:szCs w:val="12"/>
              </w:rPr>
              <w:t> </w:t>
            </w:r>
          </w:p>
        </w:tc>
      </w:tr>
      <w:tr w:rsidR="00000000" w14:paraId="474BDF0B" w14:textId="77777777">
        <w:trPr>
          <w:trHeight w:val="160"/>
          <w:tblCellSpacing w:w="15" w:type="dxa"/>
        </w:trPr>
        <w:tc>
          <w:tcPr>
            <w:tcW w:w="0" w:type="auto"/>
            <w:hideMark/>
          </w:tcPr>
          <w:p w14:paraId="44C6411C" w14:textId="77777777" w:rsidR="00000000" w:rsidRDefault="00632532">
            <w:pPr>
              <w:pStyle w:val="a3"/>
              <w:spacing w:before="0" w:beforeAutospacing="0" w:after="0" w:afterAutospacing="0"/>
              <w:rPr>
                <w:sz w:val="16"/>
                <w:szCs w:val="16"/>
              </w:rPr>
            </w:pPr>
            <w:r>
              <w:rPr>
                <w:sz w:val="16"/>
                <w:szCs w:val="16"/>
              </w:rPr>
              <w:t>10</w:t>
            </w:r>
            <w:r>
              <w:rPr>
                <w:sz w:val="16"/>
                <w:szCs w:val="16"/>
              </w:rPr>
              <w:t>4</w:t>
            </w:r>
          </w:p>
        </w:tc>
        <w:tc>
          <w:tcPr>
            <w:tcW w:w="0" w:type="auto"/>
            <w:hideMark/>
          </w:tcPr>
          <w:p w14:paraId="04BCB933" w14:textId="77777777" w:rsidR="00000000" w:rsidRDefault="00632532">
            <w:pPr>
              <w:pStyle w:val="a3"/>
              <w:spacing w:before="0" w:beforeAutospacing="0" w:after="0" w:afterAutospacing="0"/>
              <w:rPr>
                <w:sz w:val="16"/>
                <w:szCs w:val="16"/>
              </w:rPr>
            </w:pPr>
            <w:r>
              <w:rPr>
                <w:sz w:val="16"/>
                <w:szCs w:val="16"/>
              </w:rPr>
              <w:t>Cover Page Interactive Data File (embedded within the Inline XBRL document</w:t>
            </w:r>
            <w:r>
              <w:rPr>
                <w:sz w:val="16"/>
                <w:szCs w:val="16"/>
              </w:rPr>
              <w:t>)</w:t>
            </w:r>
          </w:p>
        </w:tc>
        <w:tc>
          <w:tcPr>
            <w:tcW w:w="0" w:type="auto"/>
            <w:hideMark/>
          </w:tcPr>
          <w:p w14:paraId="57198DD4" w14:textId="77777777" w:rsidR="00000000" w:rsidRDefault="00632532">
            <w:pPr>
              <w:pStyle w:val="a3"/>
              <w:spacing w:before="0" w:beforeAutospacing="0" w:after="0" w:afterAutospacing="0"/>
              <w:jc w:val="center"/>
              <w:rPr>
                <w:sz w:val="16"/>
                <w:szCs w:val="16"/>
              </w:rPr>
            </w:pPr>
            <w:r>
              <w:rPr>
                <w:sz w:val="16"/>
                <w:szCs w:val="16"/>
              </w:rPr>
              <w:t>X</w:t>
            </w:r>
          </w:p>
        </w:tc>
        <w:tc>
          <w:tcPr>
            <w:tcW w:w="0" w:type="auto"/>
            <w:hideMark/>
          </w:tcPr>
          <w:p w14:paraId="0A62CF9E"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hideMark/>
          </w:tcPr>
          <w:p w14:paraId="0BC38C76"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67F036D9" w14:textId="77777777" w:rsidR="00000000" w:rsidRDefault="00632532">
            <w:pPr>
              <w:pStyle w:val="a3"/>
              <w:spacing w:before="0" w:beforeAutospacing="0" w:after="0" w:afterAutospacing="0"/>
              <w:jc w:val="center"/>
              <w:rPr>
                <w:sz w:val="16"/>
                <w:szCs w:val="16"/>
              </w:rPr>
            </w:pPr>
            <w:r>
              <w:rPr>
                <w:sz w:val="16"/>
                <w:szCs w:val="16"/>
              </w:rPr>
              <w:t> </w:t>
            </w:r>
          </w:p>
        </w:tc>
        <w:tc>
          <w:tcPr>
            <w:tcW w:w="0" w:type="auto"/>
            <w:tcMar>
              <w:top w:w="15" w:type="dxa"/>
              <w:left w:w="60" w:type="dxa"/>
              <w:bottom w:w="15" w:type="dxa"/>
              <w:right w:w="15" w:type="dxa"/>
            </w:tcMar>
            <w:vAlign w:val="bottom"/>
            <w:hideMark/>
          </w:tcPr>
          <w:p w14:paraId="05751494" w14:textId="77777777" w:rsidR="00000000" w:rsidRDefault="00632532">
            <w:pPr>
              <w:pStyle w:val="a3"/>
              <w:spacing w:before="0" w:beforeAutospacing="0" w:after="0" w:afterAutospacing="0"/>
              <w:rPr>
                <w:sz w:val="16"/>
                <w:szCs w:val="16"/>
              </w:rPr>
            </w:pPr>
            <w:r>
              <w:rPr>
                <w:sz w:val="16"/>
                <w:szCs w:val="16"/>
              </w:rPr>
              <w:t> </w:t>
            </w:r>
          </w:p>
        </w:tc>
        <w:tc>
          <w:tcPr>
            <w:tcW w:w="0" w:type="auto"/>
            <w:hideMark/>
          </w:tcPr>
          <w:p w14:paraId="77A31AE6" w14:textId="77777777" w:rsidR="00000000" w:rsidRDefault="00632532">
            <w:pPr>
              <w:pStyle w:val="a3"/>
              <w:spacing w:before="0" w:beforeAutospacing="0" w:after="0" w:afterAutospacing="0"/>
              <w:jc w:val="center"/>
              <w:rPr>
                <w:sz w:val="16"/>
                <w:szCs w:val="16"/>
              </w:rPr>
            </w:pPr>
            <w:r>
              <w:rPr>
                <w:sz w:val="16"/>
                <w:szCs w:val="16"/>
              </w:rPr>
              <w:t> </w:t>
            </w:r>
          </w:p>
        </w:tc>
      </w:tr>
    </w:tbl>
    <w:p w14:paraId="44B87BA4" w14:textId="77777777" w:rsidR="00000000" w:rsidRDefault="00632532">
      <w:pPr>
        <w:pStyle w:val="a3"/>
        <w:pBdr>
          <w:bottom w:val="single" w:sz="4" w:space="1" w:color="auto"/>
        </w:pBdr>
        <w:spacing w:before="0" w:beforeAutospacing="0" w:after="0" w:afterAutospacing="0"/>
        <w:ind w:right="9881"/>
        <w:rPr>
          <w:sz w:val="20"/>
          <w:szCs w:val="20"/>
        </w:rPr>
      </w:pPr>
      <w:r>
        <w:rPr>
          <w:sz w:val="20"/>
          <w:szCs w:val="20"/>
        </w:rPr>
        <w:t> </w:t>
      </w:r>
    </w:p>
    <w:p w14:paraId="746C29D4" w14:textId="77777777" w:rsidR="00000000" w:rsidRDefault="00632532">
      <w:pPr>
        <w:pStyle w:val="a3"/>
        <w:spacing w:before="40" w:beforeAutospacing="0" w:after="0" w:afterAutospacing="0"/>
        <w:ind w:hanging="422"/>
        <w:rPr>
          <w:sz w:val="20"/>
          <w:szCs w:val="20"/>
        </w:rPr>
      </w:pPr>
      <w:r>
        <w:rPr>
          <w:sz w:val="16"/>
          <w:szCs w:val="16"/>
        </w:rPr>
        <w:t>* Furnished herewith</w:t>
      </w:r>
      <w:r>
        <w:rPr>
          <w:sz w:val="16"/>
          <w:szCs w:val="16"/>
        </w:rPr>
        <w:t>.</w:t>
      </w:r>
      <w:r>
        <w:rPr>
          <w:sz w:val="16"/>
          <w:szCs w:val="16"/>
        </w:rPr>
        <w:t xml:space="preserve"> </w:t>
      </w:r>
    </w:p>
    <w:p w14:paraId="748D8F64" w14:textId="77777777" w:rsidR="00000000" w:rsidRDefault="00632532">
      <w:pPr>
        <w:pStyle w:val="a3"/>
        <w:spacing w:before="40" w:beforeAutospacing="0" w:after="0" w:afterAutospacing="0"/>
        <w:ind w:hanging="422"/>
        <w:rPr>
          <w:sz w:val="20"/>
          <w:szCs w:val="20"/>
        </w:rPr>
      </w:pPr>
      <w:r>
        <w:rPr>
          <w:sz w:val="16"/>
          <w:szCs w:val="16"/>
        </w:rPr>
        <w:t xml:space="preserve">^ </w:t>
      </w:r>
      <w:r>
        <w:rPr>
          <w:sz w:val="16"/>
          <w:szCs w:val="16"/>
        </w:rPr>
        <w:t>Certain exhibits and schedules have been omitted pursuant to Item 601(a)(5) of Regulation S-K. The Company hereby undertakes to furnish supplementally a copy of any omitted exhibit or schedule upon request by the SEC</w:t>
      </w:r>
      <w:r>
        <w:rPr>
          <w:sz w:val="16"/>
          <w:szCs w:val="16"/>
        </w:rPr>
        <w:t>.</w:t>
      </w:r>
    </w:p>
    <w:p w14:paraId="75C2E663" w14:textId="77777777" w:rsidR="00000000" w:rsidRDefault="00632532">
      <w:pPr>
        <w:pStyle w:val="a3"/>
        <w:spacing w:before="40" w:beforeAutospacing="0" w:after="0" w:afterAutospacing="0"/>
        <w:ind w:hanging="422"/>
        <w:rPr>
          <w:sz w:val="20"/>
          <w:szCs w:val="20"/>
        </w:rPr>
      </w:pPr>
      <w:r>
        <w:rPr>
          <w:sz w:val="20"/>
          <w:szCs w:val="20"/>
        </w:rPr>
        <w:t> </w:t>
      </w:r>
    </w:p>
    <w:p w14:paraId="510D55EE" w14:textId="77777777" w:rsidR="00000000" w:rsidRDefault="00632532">
      <w:pPr>
        <w:pStyle w:val="a3"/>
        <w:spacing w:before="240" w:beforeAutospacing="0" w:after="0" w:afterAutospacing="0"/>
        <w:jc w:val="center"/>
        <w:rPr>
          <w:sz w:val="20"/>
          <w:szCs w:val="20"/>
        </w:rPr>
      </w:pPr>
      <w:r>
        <w:rPr>
          <w:sz w:val="20"/>
          <w:szCs w:val="20"/>
        </w:rPr>
        <w:t>3</w:t>
      </w:r>
      <w:r>
        <w:rPr>
          <w:sz w:val="20"/>
          <w:szCs w:val="20"/>
        </w:rPr>
        <w:t>5</w:t>
      </w:r>
    </w:p>
    <w:p w14:paraId="07A66FF2" w14:textId="77777777" w:rsidR="00000000" w:rsidRDefault="00632532">
      <w:pPr>
        <w:rPr>
          <w:rFonts w:eastAsia="Times New Roman"/>
        </w:rPr>
      </w:pPr>
      <w:r>
        <w:rPr>
          <w:rFonts w:eastAsia="Times New Roman"/>
        </w:rPr>
        <w:pict w14:anchorId="188567FF">
          <v:rect id="_x0000_i1061" style="width:0;height:1.5pt" o:hralign="center" o:hrstd="t" o:hr="t" fillcolor="#a0a0a0" stroked="f"/>
        </w:pict>
      </w:r>
    </w:p>
    <w:p w14:paraId="17213A48" w14:textId="77777777" w:rsidR="00000000" w:rsidRDefault="00632532">
      <w:pPr>
        <w:pStyle w:val="a3"/>
        <w:spacing w:before="0" w:beforeAutospacing="0" w:after="0" w:afterAutospacing="0"/>
        <w:jc w:val="center"/>
        <w:rPr>
          <w:sz w:val="20"/>
          <w:szCs w:val="20"/>
        </w:rPr>
      </w:pPr>
      <w:r>
        <w:rPr>
          <w:b/>
          <w:bCs/>
          <w:sz w:val="20"/>
          <w:szCs w:val="20"/>
        </w:rPr>
        <w:t>SIGNA</w:t>
      </w:r>
      <w:r>
        <w:rPr>
          <w:b/>
          <w:bCs/>
          <w:sz w:val="20"/>
          <w:szCs w:val="20"/>
        </w:rPr>
        <w:t>T</w:t>
      </w:r>
      <w:r>
        <w:rPr>
          <w:b/>
          <w:bCs/>
          <w:sz w:val="20"/>
          <w:szCs w:val="20"/>
        </w:rPr>
        <w:t>URE</w:t>
      </w:r>
      <w:r>
        <w:rPr>
          <w:b/>
          <w:bCs/>
          <w:sz w:val="20"/>
          <w:szCs w:val="20"/>
        </w:rPr>
        <w:t>S</w:t>
      </w:r>
    </w:p>
    <w:p w14:paraId="70C5ABCD" w14:textId="77777777" w:rsidR="00000000" w:rsidRDefault="00632532">
      <w:pPr>
        <w:pStyle w:val="a3"/>
        <w:spacing w:before="240" w:beforeAutospacing="0" w:after="0" w:afterAutospacing="0"/>
        <w:ind w:firstLine="555"/>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14:paraId="6A5CDAE5" w14:textId="77777777" w:rsidR="00000000" w:rsidRDefault="00632532">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32"/>
        <w:gridCol w:w="109"/>
        <w:gridCol w:w="348"/>
        <w:gridCol w:w="3017"/>
      </w:tblGrid>
      <w:tr w:rsidR="00000000" w14:paraId="3EB797E1" w14:textId="77777777">
        <w:trPr>
          <w:tblCellSpacing w:w="15" w:type="dxa"/>
        </w:trPr>
        <w:tc>
          <w:tcPr>
            <w:tcW w:w="2949" w:type="pct"/>
            <w:vAlign w:val="center"/>
            <w:hideMark/>
          </w:tcPr>
          <w:p w14:paraId="0746741D" w14:textId="77777777" w:rsidR="00000000" w:rsidRDefault="00632532">
            <w:pPr>
              <w:rPr>
                <w:sz w:val="20"/>
                <w:szCs w:val="20"/>
              </w:rPr>
            </w:pPr>
          </w:p>
        </w:tc>
        <w:tc>
          <w:tcPr>
            <w:tcW w:w="50" w:type="pct"/>
            <w:vAlign w:val="center"/>
            <w:hideMark/>
          </w:tcPr>
          <w:p w14:paraId="34E125BF" w14:textId="77777777" w:rsidR="00000000" w:rsidRDefault="00632532">
            <w:pPr>
              <w:rPr>
                <w:rFonts w:eastAsia="Times New Roman"/>
                <w:sz w:val="20"/>
                <w:szCs w:val="20"/>
              </w:rPr>
            </w:pPr>
          </w:p>
        </w:tc>
        <w:tc>
          <w:tcPr>
            <w:tcW w:w="149" w:type="pct"/>
            <w:vAlign w:val="center"/>
            <w:hideMark/>
          </w:tcPr>
          <w:p w14:paraId="3C71E67B" w14:textId="77777777" w:rsidR="00000000" w:rsidRDefault="00632532">
            <w:pPr>
              <w:rPr>
                <w:rFonts w:eastAsia="Times New Roman"/>
                <w:sz w:val="20"/>
                <w:szCs w:val="20"/>
              </w:rPr>
            </w:pPr>
          </w:p>
        </w:tc>
        <w:tc>
          <w:tcPr>
            <w:tcW w:w="1850" w:type="pct"/>
            <w:vAlign w:val="center"/>
            <w:hideMark/>
          </w:tcPr>
          <w:p w14:paraId="78A3CB35" w14:textId="77777777" w:rsidR="00000000" w:rsidRDefault="00632532">
            <w:pPr>
              <w:rPr>
                <w:rFonts w:eastAsia="Times New Roman"/>
                <w:sz w:val="20"/>
                <w:szCs w:val="20"/>
              </w:rPr>
            </w:pPr>
          </w:p>
        </w:tc>
      </w:tr>
      <w:tr w:rsidR="00000000" w14:paraId="02A2D065" w14:textId="77777777">
        <w:trPr>
          <w:trHeight w:val="200"/>
          <w:tblCellSpacing w:w="15" w:type="dxa"/>
        </w:trPr>
        <w:tc>
          <w:tcPr>
            <w:tcW w:w="0" w:type="auto"/>
            <w:tcMar>
              <w:top w:w="14" w:type="dxa"/>
              <w:left w:w="15" w:type="dxa"/>
              <w:bottom w:w="15" w:type="dxa"/>
              <w:right w:w="14" w:type="dxa"/>
            </w:tcMar>
            <w:hideMark/>
          </w:tcPr>
          <w:p w14:paraId="244A74AC"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76AAD78" w14:textId="77777777" w:rsidR="00000000" w:rsidRDefault="00632532">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14:paraId="328DBD45" w14:textId="77777777" w:rsidR="00000000" w:rsidRDefault="00632532">
            <w:pPr>
              <w:pStyle w:val="a3"/>
              <w:spacing w:before="0" w:beforeAutospacing="0" w:after="0" w:afterAutospacing="0"/>
              <w:rPr>
                <w:sz w:val="20"/>
                <w:szCs w:val="20"/>
              </w:rPr>
            </w:pPr>
            <w:r>
              <w:rPr>
                <w:b/>
                <w:bCs/>
                <w:sz w:val="20"/>
                <w:szCs w:val="20"/>
              </w:rPr>
              <w:t> FULGENT GENETICS, INC</w:t>
            </w:r>
            <w:r>
              <w:rPr>
                <w:b/>
                <w:bCs/>
                <w:sz w:val="20"/>
                <w:szCs w:val="20"/>
              </w:rPr>
              <w:t>.</w:t>
            </w:r>
          </w:p>
        </w:tc>
      </w:tr>
      <w:tr w:rsidR="00000000" w14:paraId="3D8BDC2D" w14:textId="77777777">
        <w:trPr>
          <w:trHeight w:val="200"/>
          <w:tblCellSpacing w:w="15" w:type="dxa"/>
        </w:trPr>
        <w:tc>
          <w:tcPr>
            <w:tcW w:w="0" w:type="auto"/>
            <w:tcMar>
              <w:top w:w="14" w:type="dxa"/>
              <w:left w:w="15" w:type="dxa"/>
              <w:bottom w:w="15" w:type="dxa"/>
              <w:right w:w="14" w:type="dxa"/>
            </w:tcMar>
            <w:vAlign w:val="center"/>
            <w:hideMark/>
          </w:tcPr>
          <w:p w14:paraId="3B215B61"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9BB63EC"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74F50A61"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779C2D89" w14:textId="77777777" w:rsidR="00000000" w:rsidRDefault="00632532">
            <w:pPr>
              <w:pStyle w:val="a3"/>
              <w:spacing w:before="0" w:beforeAutospacing="0" w:after="0" w:afterAutospacing="0"/>
              <w:rPr>
                <w:sz w:val="20"/>
                <w:szCs w:val="20"/>
              </w:rPr>
            </w:pPr>
            <w:r>
              <w:rPr>
                <w:sz w:val="20"/>
                <w:szCs w:val="20"/>
              </w:rPr>
              <w:t> </w:t>
            </w:r>
          </w:p>
        </w:tc>
      </w:tr>
      <w:tr w:rsidR="00000000" w14:paraId="206034E2" w14:textId="77777777">
        <w:trPr>
          <w:trHeight w:val="200"/>
          <w:tblCellSpacing w:w="15" w:type="dxa"/>
        </w:trPr>
        <w:tc>
          <w:tcPr>
            <w:tcW w:w="0" w:type="auto"/>
            <w:tcMar>
              <w:top w:w="14" w:type="dxa"/>
              <w:left w:w="15" w:type="dxa"/>
              <w:bottom w:w="15" w:type="dxa"/>
              <w:right w:w="14" w:type="dxa"/>
            </w:tcMar>
            <w:vAlign w:val="bottom"/>
            <w:hideMark/>
          </w:tcPr>
          <w:p w14:paraId="398A8A7B" w14:textId="77777777" w:rsidR="00000000" w:rsidRDefault="00632532">
            <w:pPr>
              <w:pStyle w:val="a3"/>
              <w:spacing w:before="0" w:beforeAutospacing="0" w:after="0" w:afterAutospacing="0"/>
              <w:rPr>
                <w:sz w:val="20"/>
                <w:szCs w:val="20"/>
              </w:rPr>
            </w:pPr>
            <w:r>
              <w:rPr>
                <w:sz w:val="20"/>
                <w:szCs w:val="20"/>
              </w:rPr>
              <w:t>Date: August 4, 202</w:t>
            </w:r>
            <w:r>
              <w:rPr>
                <w:sz w:val="20"/>
                <w:szCs w:val="20"/>
              </w:rPr>
              <w:t>2</w:t>
            </w:r>
          </w:p>
        </w:tc>
        <w:tc>
          <w:tcPr>
            <w:tcW w:w="0" w:type="auto"/>
            <w:tcMar>
              <w:top w:w="14" w:type="dxa"/>
              <w:left w:w="15" w:type="dxa"/>
              <w:bottom w:w="15" w:type="dxa"/>
              <w:right w:w="14" w:type="dxa"/>
            </w:tcMar>
            <w:vAlign w:val="bottom"/>
            <w:hideMark/>
          </w:tcPr>
          <w:p w14:paraId="12EF6C40"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6188562" w14:textId="77777777" w:rsidR="00000000" w:rsidRDefault="00632532">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14:paraId="75C1A191" w14:textId="77777777" w:rsidR="00000000" w:rsidRDefault="00632532">
            <w:pPr>
              <w:pStyle w:val="a3"/>
              <w:spacing w:before="0" w:beforeAutospacing="0" w:after="0" w:afterAutospacing="0"/>
              <w:jc w:val="center"/>
              <w:rPr>
                <w:sz w:val="20"/>
                <w:szCs w:val="20"/>
              </w:rPr>
            </w:pPr>
            <w:r>
              <w:rPr>
                <w:sz w:val="20"/>
                <w:szCs w:val="20"/>
              </w:rPr>
              <w:t>/s/</w:t>
            </w:r>
            <w:r>
              <w:rPr>
                <w:sz w:val="20"/>
                <w:szCs w:val="20"/>
              </w:rPr>
              <w:t xml:space="preserve"> </w:t>
            </w:r>
            <w:r>
              <w:rPr>
                <w:smallCaps/>
                <w:sz w:val="20"/>
                <w:szCs w:val="20"/>
              </w:rPr>
              <w:t>Ming Hsie</w:t>
            </w:r>
            <w:r>
              <w:rPr>
                <w:smallCaps/>
                <w:sz w:val="20"/>
                <w:szCs w:val="20"/>
              </w:rPr>
              <w:t>h</w:t>
            </w:r>
          </w:p>
        </w:tc>
      </w:tr>
      <w:tr w:rsidR="00000000" w14:paraId="520D4F6A" w14:textId="77777777">
        <w:trPr>
          <w:trHeight w:val="200"/>
          <w:tblCellSpacing w:w="15" w:type="dxa"/>
        </w:trPr>
        <w:tc>
          <w:tcPr>
            <w:tcW w:w="0" w:type="auto"/>
            <w:tcMar>
              <w:top w:w="14" w:type="dxa"/>
              <w:left w:w="15" w:type="dxa"/>
              <w:bottom w:w="15" w:type="dxa"/>
              <w:right w:w="14" w:type="dxa"/>
            </w:tcMar>
            <w:vAlign w:val="bottom"/>
            <w:hideMark/>
          </w:tcPr>
          <w:p w14:paraId="25D989A9"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582DDC8"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14:paraId="2882FCC7"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4281DD5" w14:textId="77777777" w:rsidR="00000000" w:rsidRDefault="00632532">
            <w:pPr>
              <w:pStyle w:val="a3"/>
              <w:spacing w:before="0" w:beforeAutospacing="0" w:after="0" w:afterAutospacing="0"/>
              <w:jc w:val="center"/>
              <w:rPr>
                <w:sz w:val="20"/>
                <w:szCs w:val="20"/>
              </w:rPr>
            </w:pPr>
            <w:r>
              <w:rPr>
                <w:sz w:val="20"/>
                <w:szCs w:val="20"/>
              </w:rPr>
              <w:t>Ming Hsie</w:t>
            </w:r>
            <w:r>
              <w:rPr>
                <w:sz w:val="20"/>
                <w:szCs w:val="20"/>
              </w:rPr>
              <w:t>h</w:t>
            </w:r>
          </w:p>
        </w:tc>
      </w:tr>
      <w:tr w:rsidR="00000000" w14:paraId="73112E2F" w14:textId="77777777">
        <w:trPr>
          <w:trHeight w:val="346"/>
          <w:tblCellSpacing w:w="15" w:type="dxa"/>
        </w:trPr>
        <w:tc>
          <w:tcPr>
            <w:tcW w:w="0" w:type="auto"/>
            <w:tcMar>
              <w:top w:w="14" w:type="dxa"/>
              <w:left w:w="15" w:type="dxa"/>
              <w:bottom w:w="15" w:type="dxa"/>
              <w:right w:w="14" w:type="dxa"/>
            </w:tcMar>
            <w:vAlign w:val="bottom"/>
            <w:hideMark/>
          </w:tcPr>
          <w:p w14:paraId="63AC89F2"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D34ED17"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27885F1"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4B72853" w14:textId="77777777" w:rsidR="00000000" w:rsidRDefault="00632532">
            <w:pPr>
              <w:pStyle w:val="a3"/>
              <w:spacing w:before="0" w:beforeAutospacing="0" w:after="0" w:afterAutospacing="0"/>
              <w:jc w:val="center"/>
              <w:rPr>
                <w:sz w:val="20"/>
                <w:szCs w:val="20"/>
              </w:rPr>
            </w:pPr>
            <w:r>
              <w:rPr>
                <w:sz w:val="20"/>
                <w:szCs w:val="20"/>
              </w:rPr>
              <w:t>Chief Executive Office</w:t>
            </w:r>
            <w:r>
              <w:rPr>
                <w:sz w:val="20"/>
                <w:szCs w:val="20"/>
              </w:rPr>
              <w:t>r</w:t>
            </w:r>
          </w:p>
          <w:p w14:paraId="0192AD5B" w14:textId="77777777" w:rsidR="00000000" w:rsidRDefault="00632532">
            <w:pPr>
              <w:pStyle w:val="a3"/>
              <w:spacing w:before="0" w:beforeAutospacing="0" w:after="0" w:afterAutospacing="0"/>
              <w:jc w:val="center"/>
              <w:rPr>
                <w:sz w:val="20"/>
                <w:szCs w:val="20"/>
              </w:rPr>
            </w:pPr>
            <w:r>
              <w:rPr>
                <w:i/>
                <w:iCs/>
                <w:sz w:val="20"/>
                <w:szCs w:val="20"/>
              </w:rPr>
              <w:t>(principal executive officer</w:t>
            </w:r>
            <w:r>
              <w:rPr>
                <w:i/>
                <w:iCs/>
                <w:sz w:val="20"/>
                <w:szCs w:val="20"/>
              </w:rPr>
              <w:t>)</w:t>
            </w:r>
          </w:p>
        </w:tc>
      </w:tr>
      <w:tr w:rsidR="00000000" w14:paraId="6E4987A3" w14:textId="77777777">
        <w:trPr>
          <w:trHeight w:val="200"/>
          <w:tblCellSpacing w:w="15" w:type="dxa"/>
        </w:trPr>
        <w:tc>
          <w:tcPr>
            <w:tcW w:w="0" w:type="auto"/>
            <w:tcMar>
              <w:top w:w="14" w:type="dxa"/>
              <w:left w:w="15" w:type="dxa"/>
              <w:bottom w:w="15" w:type="dxa"/>
              <w:right w:w="14" w:type="dxa"/>
            </w:tcMar>
            <w:vAlign w:val="center"/>
            <w:hideMark/>
          </w:tcPr>
          <w:p w14:paraId="7525AEC4"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1AE9DF3"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2EE39C8"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82BAAEF" w14:textId="77777777" w:rsidR="00000000" w:rsidRDefault="00632532">
            <w:pPr>
              <w:pStyle w:val="a3"/>
              <w:spacing w:before="0" w:beforeAutospacing="0" w:after="0" w:afterAutospacing="0"/>
              <w:rPr>
                <w:sz w:val="20"/>
                <w:szCs w:val="20"/>
              </w:rPr>
            </w:pPr>
            <w:r>
              <w:rPr>
                <w:sz w:val="20"/>
                <w:szCs w:val="20"/>
              </w:rPr>
              <w:t> </w:t>
            </w:r>
          </w:p>
        </w:tc>
      </w:tr>
      <w:tr w:rsidR="00000000" w14:paraId="3F151D1D" w14:textId="77777777">
        <w:trPr>
          <w:trHeight w:val="200"/>
          <w:tblCellSpacing w:w="15" w:type="dxa"/>
        </w:trPr>
        <w:tc>
          <w:tcPr>
            <w:tcW w:w="0" w:type="auto"/>
            <w:tcMar>
              <w:top w:w="14" w:type="dxa"/>
              <w:left w:w="15" w:type="dxa"/>
              <w:bottom w:w="15" w:type="dxa"/>
              <w:right w:w="14" w:type="dxa"/>
            </w:tcMar>
            <w:vAlign w:val="bottom"/>
            <w:hideMark/>
          </w:tcPr>
          <w:p w14:paraId="15E558E0" w14:textId="77777777" w:rsidR="00000000" w:rsidRDefault="00632532">
            <w:pPr>
              <w:pStyle w:val="a3"/>
              <w:spacing w:before="0" w:beforeAutospacing="0" w:after="0" w:afterAutospacing="0"/>
              <w:rPr>
                <w:sz w:val="20"/>
                <w:szCs w:val="20"/>
              </w:rPr>
            </w:pPr>
            <w:r>
              <w:rPr>
                <w:sz w:val="20"/>
                <w:szCs w:val="20"/>
              </w:rPr>
              <w:t>Date: August 4, 202</w:t>
            </w:r>
            <w:r>
              <w:rPr>
                <w:sz w:val="20"/>
                <w:szCs w:val="20"/>
              </w:rPr>
              <w:t>2</w:t>
            </w:r>
          </w:p>
        </w:tc>
        <w:tc>
          <w:tcPr>
            <w:tcW w:w="0" w:type="auto"/>
            <w:tcMar>
              <w:top w:w="14" w:type="dxa"/>
              <w:left w:w="15" w:type="dxa"/>
              <w:bottom w:w="15" w:type="dxa"/>
              <w:right w:w="14" w:type="dxa"/>
            </w:tcMar>
            <w:vAlign w:val="bottom"/>
            <w:hideMark/>
          </w:tcPr>
          <w:p w14:paraId="1A8F4924"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5F5B3A9" w14:textId="77777777" w:rsidR="00000000" w:rsidRDefault="00632532">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14:paraId="3DFA1C1B" w14:textId="77777777" w:rsidR="00000000" w:rsidRDefault="00632532">
            <w:pPr>
              <w:pStyle w:val="a3"/>
              <w:spacing w:before="0" w:beforeAutospacing="0" w:after="0" w:afterAutospacing="0"/>
              <w:jc w:val="center"/>
              <w:rPr>
                <w:sz w:val="20"/>
                <w:szCs w:val="20"/>
              </w:rPr>
            </w:pPr>
            <w:r>
              <w:rPr>
                <w:sz w:val="20"/>
                <w:szCs w:val="20"/>
              </w:rPr>
              <w:t>/s/</w:t>
            </w:r>
            <w:r>
              <w:rPr>
                <w:sz w:val="20"/>
                <w:szCs w:val="20"/>
              </w:rPr>
              <w:t xml:space="preserve"> </w:t>
            </w:r>
            <w:r>
              <w:rPr>
                <w:smallCaps/>
                <w:sz w:val="20"/>
                <w:szCs w:val="20"/>
              </w:rPr>
              <w:t>Paul Ki</w:t>
            </w:r>
            <w:r>
              <w:rPr>
                <w:smallCaps/>
                <w:sz w:val="20"/>
                <w:szCs w:val="20"/>
              </w:rPr>
              <w:t>m</w:t>
            </w:r>
          </w:p>
        </w:tc>
      </w:tr>
      <w:tr w:rsidR="00000000" w14:paraId="26C5305F" w14:textId="77777777">
        <w:trPr>
          <w:trHeight w:val="200"/>
          <w:tblCellSpacing w:w="15" w:type="dxa"/>
        </w:trPr>
        <w:tc>
          <w:tcPr>
            <w:tcW w:w="0" w:type="auto"/>
            <w:tcMar>
              <w:top w:w="14" w:type="dxa"/>
              <w:left w:w="15" w:type="dxa"/>
              <w:bottom w:w="15" w:type="dxa"/>
              <w:right w:w="14" w:type="dxa"/>
            </w:tcMar>
            <w:vAlign w:val="bottom"/>
            <w:hideMark/>
          </w:tcPr>
          <w:p w14:paraId="280AAB31"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C563F7B"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14:paraId="53CE32DD"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88238AE" w14:textId="77777777" w:rsidR="00000000" w:rsidRDefault="00632532">
            <w:pPr>
              <w:pStyle w:val="a3"/>
              <w:spacing w:before="0" w:beforeAutospacing="0" w:after="0" w:afterAutospacing="0"/>
              <w:jc w:val="center"/>
              <w:rPr>
                <w:sz w:val="20"/>
                <w:szCs w:val="20"/>
              </w:rPr>
            </w:pPr>
            <w:r>
              <w:rPr>
                <w:sz w:val="20"/>
                <w:szCs w:val="20"/>
              </w:rPr>
              <w:t>Paul Ki</w:t>
            </w:r>
            <w:r>
              <w:rPr>
                <w:sz w:val="20"/>
                <w:szCs w:val="20"/>
              </w:rPr>
              <w:t>m</w:t>
            </w:r>
          </w:p>
        </w:tc>
      </w:tr>
      <w:tr w:rsidR="00000000" w14:paraId="49DF7C16" w14:textId="77777777">
        <w:trPr>
          <w:trHeight w:val="200"/>
          <w:tblCellSpacing w:w="15" w:type="dxa"/>
        </w:trPr>
        <w:tc>
          <w:tcPr>
            <w:tcW w:w="0" w:type="auto"/>
            <w:tcMar>
              <w:top w:w="14" w:type="dxa"/>
              <w:left w:w="15" w:type="dxa"/>
              <w:bottom w:w="15" w:type="dxa"/>
              <w:right w:w="14" w:type="dxa"/>
            </w:tcMar>
            <w:vAlign w:val="bottom"/>
            <w:hideMark/>
          </w:tcPr>
          <w:p w14:paraId="75DD7916"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C7B3342"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D6A44F8" w14:textId="77777777" w:rsidR="00000000" w:rsidRDefault="00632532">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0E49756" w14:textId="77777777" w:rsidR="00000000" w:rsidRDefault="00632532">
            <w:pPr>
              <w:pStyle w:val="a3"/>
              <w:spacing w:before="0" w:beforeAutospacing="0" w:after="0" w:afterAutospacing="0"/>
              <w:jc w:val="center"/>
              <w:rPr>
                <w:sz w:val="20"/>
                <w:szCs w:val="20"/>
              </w:rPr>
            </w:pPr>
            <w:r>
              <w:rPr>
                <w:sz w:val="20"/>
                <w:szCs w:val="20"/>
              </w:rPr>
              <w:t>Chief Financial Office</w:t>
            </w:r>
            <w:r>
              <w:rPr>
                <w:sz w:val="20"/>
                <w:szCs w:val="20"/>
              </w:rPr>
              <w:t>r</w:t>
            </w:r>
          </w:p>
          <w:p w14:paraId="3C8EB5C1" w14:textId="77777777" w:rsidR="00000000" w:rsidRDefault="00632532">
            <w:pPr>
              <w:pStyle w:val="a3"/>
              <w:spacing w:before="0" w:beforeAutospacing="0" w:after="0" w:afterAutospacing="0"/>
              <w:jc w:val="center"/>
              <w:rPr>
                <w:sz w:val="20"/>
                <w:szCs w:val="20"/>
              </w:rPr>
            </w:pPr>
            <w:r>
              <w:rPr>
                <w:i/>
                <w:iCs/>
                <w:sz w:val="20"/>
                <w:szCs w:val="20"/>
              </w:rPr>
              <w:t>(principal financial and accounting officer</w:t>
            </w:r>
            <w:r>
              <w:rPr>
                <w:i/>
                <w:iCs/>
                <w:sz w:val="20"/>
                <w:szCs w:val="20"/>
              </w:rPr>
              <w:t>)</w:t>
            </w:r>
          </w:p>
        </w:tc>
      </w:tr>
    </w:tbl>
    <w:p w14:paraId="1DA84311" w14:textId="77777777" w:rsidR="00000000" w:rsidRDefault="00632532">
      <w:pPr>
        <w:pStyle w:val="a3"/>
        <w:spacing w:before="0" w:beforeAutospacing="0" w:after="0" w:afterAutospacing="0"/>
        <w:rPr>
          <w:sz w:val="20"/>
          <w:szCs w:val="20"/>
        </w:rPr>
      </w:pPr>
      <w:r>
        <w:rPr>
          <w:sz w:val="20"/>
          <w:szCs w:val="20"/>
        </w:rPr>
        <w:t> </w:t>
      </w:r>
    </w:p>
    <w:p w14:paraId="5B21AC4E" w14:textId="77777777" w:rsidR="00000000" w:rsidRDefault="00632532">
      <w:pPr>
        <w:pStyle w:val="a3"/>
        <w:spacing w:before="240" w:beforeAutospacing="0" w:after="0" w:afterAutospacing="0"/>
        <w:jc w:val="center"/>
        <w:rPr>
          <w:sz w:val="20"/>
          <w:szCs w:val="20"/>
        </w:rPr>
      </w:pPr>
      <w:r>
        <w:rPr>
          <w:sz w:val="20"/>
          <w:szCs w:val="20"/>
        </w:rPr>
        <w:t>3</w:t>
      </w:r>
      <w:r>
        <w:rPr>
          <w:sz w:val="20"/>
          <w:szCs w:val="20"/>
        </w:rPr>
        <w:t>6</w:t>
      </w:r>
    </w:p>
    <w:p w14:paraId="35DC10F7" w14:textId="77777777" w:rsidR="00632532" w:rsidRDefault="00632532">
      <w:pPr>
        <w:rPr>
          <w:rFonts w:eastAsia="Times New Roman"/>
        </w:rPr>
      </w:pPr>
      <w:r>
        <w:rPr>
          <w:rFonts w:eastAsia="Times New Roman"/>
        </w:rPr>
        <w:pict w14:anchorId="50F35DE1">
          <v:rect id="_x0000_i1062" style="width:0;height:1.5pt" o:hralign="center" o:hrstd="t" o:hr="t" fillcolor="#a0a0a0" stroked="f"/>
        </w:pict>
      </w:r>
    </w:p>
    <w:sectPr w:rsidR="0063253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2532"/>
    <w:rsid w:val="00632532"/>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xbrl.org/2020/extensible-enumerations-2.0"/>
  <w:attachedSchema w:val="http://www.xbrl.org/dtr/type/2020-01-21"/>
  <w:attachedSchema w:val="http://xbrl.sec.gov/country/2022"/>
  <w:attachedSchema w:val="http://fulgentdiagnostics.com/20220630"/>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A2ED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5304">
      <w:marLeft w:val="0"/>
      <w:marRight w:val="0"/>
      <w:marTop w:val="0"/>
      <w:marBottom w:val="0"/>
      <w:divBdr>
        <w:top w:val="none" w:sz="0" w:space="0" w:color="auto"/>
        <w:left w:val="none" w:sz="0" w:space="0" w:color="auto"/>
        <w:bottom w:val="none" w:sz="0" w:space="0" w:color="auto"/>
        <w:right w:val="none" w:sz="0" w:space="0" w:color="auto"/>
      </w:divBdr>
    </w:div>
    <w:div w:id="81071072">
      <w:marLeft w:val="0"/>
      <w:marRight w:val="0"/>
      <w:marTop w:val="0"/>
      <w:marBottom w:val="0"/>
      <w:divBdr>
        <w:top w:val="none" w:sz="0" w:space="0" w:color="auto"/>
        <w:left w:val="none" w:sz="0" w:space="0" w:color="auto"/>
        <w:bottom w:val="none" w:sz="0" w:space="0" w:color="auto"/>
        <w:right w:val="none" w:sz="0" w:space="0" w:color="auto"/>
      </w:divBdr>
      <w:divsChild>
        <w:div w:id="943609218">
          <w:marLeft w:val="0"/>
          <w:marRight w:val="0"/>
          <w:marTop w:val="0"/>
          <w:marBottom w:val="0"/>
          <w:divBdr>
            <w:top w:val="none" w:sz="0" w:space="0" w:color="auto"/>
            <w:left w:val="none" w:sz="0" w:space="0" w:color="auto"/>
            <w:bottom w:val="none" w:sz="0" w:space="0" w:color="auto"/>
            <w:right w:val="none" w:sz="0" w:space="0" w:color="auto"/>
          </w:divBdr>
        </w:div>
      </w:divsChild>
    </w:div>
    <w:div w:id="81537526">
      <w:marLeft w:val="0"/>
      <w:marRight w:val="0"/>
      <w:marTop w:val="0"/>
      <w:marBottom w:val="0"/>
      <w:divBdr>
        <w:top w:val="none" w:sz="0" w:space="0" w:color="auto"/>
        <w:left w:val="none" w:sz="0" w:space="0" w:color="auto"/>
        <w:bottom w:val="none" w:sz="0" w:space="0" w:color="auto"/>
        <w:right w:val="none" w:sz="0" w:space="0" w:color="auto"/>
      </w:divBdr>
      <w:divsChild>
        <w:div w:id="190609567">
          <w:marLeft w:val="0"/>
          <w:marRight w:val="0"/>
          <w:marTop w:val="0"/>
          <w:marBottom w:val="0"/>
          <w:divBdr>
            <w:top w:val="none" w:sz="0" w:space="0" w:color="auto"/>
            <w:left w:val="none" w:sz="0" w:space="0" w:color="auto"/>
            <w:bottom w:val="none" w:sz="0" w:space="0" w:color="auto"/>
            <w:right w:val="none" w:sz="0" w:space="0" w:color="auto"/>
          </w:divBdr>
        </w:div>
      </w:divsChild>
    </w:div>
    <w:div w:id="383333622">
      <w:marLeft w:val="0"/>
      <w:marRight w:val="0"/>
      <w:marTop w:val="0"/>
      <w:marBottom w:val="0"/>
      <w:divBdr>
        <w:top w:val="none" w:sz="0" w:space="0" w:color="auto"/>
        <w:left w:val="none" w:sz="0" w:space="0" w:color="auto"/>
        <w:bottom w:val="none" w:sz="0" w:space="0" w:color="auto"/>
        <w:right w:val="none" w:sz="0" w:space="0" w:color="auto"/>
      </w:divBdr>
      <w:divsChild>
        <w:div w:id="903374219">
          <w:marLeft w:val="0"/>
          <w:marRight w:val="0"/>
          <w:marTop w:val="0"/>
          <w:marBottom w:val="0"/>
          <w:divBdr>
            <w:top w:val="none" w:sz="0" w:space="0" w:color="auto"/>
            <w:left w:val="none" w:sz="0" w:space="0" w:color="auto"/>
            <w:bottom w:val="none" w:sz="0" w:space="0" w:color="auto"/>
            <w:right w:val="none" w:sz="0" w:space="0" w:color="auto"/>
          </w:divBdr>
        </w:div>
        <w:div w:id="559638957">
          <w:marLeft w:val="0"/>
          <w:marRight w:val="0"/>
          <w:marTop w:val="0"/>
          <w:marBottom w:val="0"/>
          <w:divBdr>
            <w:top w:val="none" w:sz="0" w:space="0" w:color="auto"/>
            <w:left w:val="none" w:sz="0" w:space="0" w:color="auto"/>
            <w:bottom w:val="none" w:sz="0" w:space="0" w:color="auto"/>
            <w:right w:val="none" w:sz="0" w:space="0" w:color="auto"/>
          </w:divBdr>
        </w:div>
        <w:div w:id="1146900672">
          <w:marLeft w:val="0"/>
          <w:marRight w:val="0"/>
          <w:marTop w:val="0"/>
          <w:marBottom w:val="0"/>
          <w:divBdr>
            <w:top w:val="none" w:sz="0" w:space="0" w:color="auto"/>
            <w:left w:val="none" w:sz="0" w:space="0" w:color="auto"/>
            <w:bottom w:val="none" w:sz="0" w:space="0" w:color="auto"/>
            <w:right w:val="none" w:sz="0" w:space="0" w:color="auto"/>
          </w:divBdr>
        </w:div>
        <w:div w:id="1813910934">
          <w:marLeft w:val="0"/>
          <w:marRight w:val="0"/>
          <w:marTop w:val="0"/>
          <w:marBottom w:val="0"/>
          <w:divBdr>
            <w:top w:val="none" w:sz="0" w:space="0" w:color="auto"/>
            <w:left w:val="none" w:sz="0" w:space="0" w:color="auto"/>
            <w:bottom w:val="none" w:sz="0" w:space="0" w:color="auto"/>
            <w:right w:val="none" w:sz="0" w:space="0" w:color="auto"/>
          </w:divBdr>
        </w:div>
        <w:div w:id="974992902">
          <w:marLeft w:val="0"/>
          <w:marRight w:val="0"/>
          <w:marTop w:val="0"/>
          <w:marBottom w:val="0"/>
          <w:divBdr>
            <w:top w:val="none" w:sz="0" w:space="0" w:color="auto"/>
            <w:left w:val="none" w:sz="0" w:space="0" w:color="auto"/>
            <w:bottom w:val="none" w:sz="0" w:space="0" w:color="auto"/>
            <w:right w:val="none" w:sz="0" w:space="0" w:color="auto"/>
          </w:divBdr>
        </w:div>
        <w:div w:id="764572131">
          <w:marLeft w:val="0"/>
          <w:marRight w:val="0"/>
          <w:marTop w:val="0"/>
          <w:marBottom w:val="0"/>
          <w:divBdr>
            <w:top w:val="none" w:sz="0" w:space="0" w:color="auto"/>
            <w:left w:val="none" w:sz="0" w:space="0" w:color="auto"/>
            <w:bottom w:val="none" w:sz="0" w:space="0" w:color="auto"/>
            <w:right w:val="none" w:sz="0" w:space="0" w:color="auto"/>
          </w:divBdr>
        </w:div>
        <w:div w:id="1028987787">
          <w:marLeft w:val="0"/>
          <w:marRight w:val="0"/>
          <w:marTop w:val="0"/>
          <w:marBottom w:val="0"/>
          <w:divBdr>
            <w:top w:val="none" w:sz="0" w:space="0" w:color="auto"/>
            <w:left w:val="none" w:sz="0" w:space="0" w:color="auto"/>
            <w:bottom w:val="none" w:sz="0" w:space="0" w:color="auto"/>
            <w:right w:val="none" w:sz="0" w:space="0" w:color="auto"/>
          </w:divBdr>
        </w:div>
        <w:div w:id="1053192031">
          <w:marLeft w:val="0"/>
          <w:marRight w:val="0"/>
          <w:marTop w:val="0"/>
          <w:marBottom w:val="0"/>
          <w:divBdr>
            <w:top w:val="none" w:sz="0" w:space="0" w:color="auto"/>
            <w:left w:val="none" w:sz="0" w:space="0" w:color="auto"/>
            <w:bottom w:val="none" w:sz="0" w:space="0" w:color="auto"/>
            <w:right w:val="none" w:sz="0" w:space="0" w:color="auto"/>
          </w:divBdr>
        </w:div>
        <w:div w:id="1283416983">
          <w:marLeft w:val="0"/>
          <w:marRight w:val="0"/>
          <w:marTop w:val="0"/>
          <w:marBottom w:val="0"/>
          <w:divBdr>
            <w:top w:val="none" w:sz="0" w:space="0" w:color="auto"/>
            <w:left w:val="none" w:sz="0" w:space="0" w:color="auto"/>
            <w:bottom w:val="none" w:sz="0" w:space="0" w:color="auto"/>
            <w:right w:val="none" w:sz="0" w:space="0" w:color="auto"/>
          </w:divBdr>
          <w:divsChild>
            <w:div w:id="894972029">
              <w:marLeft w:val="0"/>
              <w:marRight w:val="0"/>
              <w:marTop w:val="0"/>
              <w:marBottom w:val="0"/>
              <w:divBdr>
                <w:top w:val="none" w:sz="0" w:space="0" w:color="auto"/>
                <w:left w:val="none" w:sz="0" w:space="0" w:color="auto"/>
                <w:bottom w:val="none" w:sz="0" w:space="0" w:color="auto"/>
                <w:right w:val="none" w:sz="0" w:space="0" w:color="auto"/>
              </w:divBdr>
            </w:div>
          </w:divsChild>
        </w:div>
        <w:div w:id="1135483561">
          <w:marLeft w:val="0"/>
          <w:marRight w:val="0"/>
          <w:marTop w:val="0"/>
          <w:marBottom w:val="0"/>
          <w:divBdr>
            <w:top w:val="none" w:sz="0" w:space="0" w:color="auto"/>
            <w:left w:val="none" w:sz="0" w:space="0" w:color="auto"/>
            <w:bottom w:val="none" w:sz="0" w:space="0" w:color="auto"/>
            <w:right w:val="none" w:sz="0" w:space="0" w:color="auto"/>
          </w:divBdr>
        </w:div>
        <w:div w:id="1683166793">
          <w:marLeft w:val="0"/>
          <w:marRight w:val="0"/>
          <w:marTop w:val="0"/>
          <w:marBottom w:val="0"/>
          <w:divBdr>
            <w:top w:val="none" w:sz="0" w:space="0" w:color="auto"/>
            <w:left w:val="none" w:sz="0" w:space="0" w:color="auto"/>
            <w:bottom w:val="none" w:sz="0" w:space="0" w:color="auto"/>
            <w:right w:val="none" w:sz="0" w:space="0" w:color="auto"/>
          </w:divBdr>
        </w:div>
        <w:div w:id="61680901">
          <w:marLeft w:val="0"/>
          <w:marRight w:val="0"/>
          <w:marTop w:val="0"/>
          <w:marBottom w:val="0"/>
          <w:divBdr>
            <w:top w:val="none" w:sz="0" w:space="0" w:color="auto"/>
            <w:left w:val="none" w:sz="0" w:space="0" w:color="auto"/>
            <w:bottom w:val="none" w:sz="0" w:space="0" w:color="auto"/>
            <w:right w:val="none" w:sz="0" w:space="0" w:color="auto"/>
          </w:divBdr>
        </w:div>
        <w:div w:id="792598809">
          <w:marLeft w:val="0"/>
          <w:marRight w:val="0"/>
          <w:marTop w:val="0"/>
          <w:marBottom w:val="0"/>
          <w:divBdr>
            <w:top w:val="none" w:sz="0" w:space="0" w:color="auto"/>
            <w:left w:val="none" w:sz="0" w:space="0" w:color="auto"/>
            <w:bottom w:val="none" w:sz="0" w:space="0" w:color="auto"/>
            <w:right w:val="none" w:sz="0" w:space="0" w:color="auto"/>
          </w:divBdr>
        </w:div>
        <w:div w:id="1769888404">
          <w:marLeft w:val="0"/>
          <w:marRight w:val="0"/>
          <w:marTop w:val="0"/>
          <w:marBottom w:val="0"/>
          <w:divBdr>
            <w:top w:val="none" w:sz="0" w:space="0" w:color="auto"/>
            <w:left w:val="none" w:sz="0" w:space="0" w:color="auto"/>
            <w:bottom w:val="none" w:sz="0" w:space="0" w:color="auto"/>
            <w:right w:val="none" w:sz="0" w:space="0" w:color="auto"/>
          </w:divBdr>
        </w:div>
        <w:div w:id="87889478">
          <w:marLeft w:val="0"/>
          <w:marRight w:val="0"/>
          <w:marTop w:val="0"/>
          <w:marBottom w:val="0"/>
          <w:divBdr>
            <w:top w:val="none" w:sz="0" w:space="0" w:color="auto"/>
            <w:left w:val="none" w:sz="0" w:space="0" w:color="auto"/>
            <w:bottom w:val="none" w:sz="0" w:space="0" w:color="auto"/>
            <w:right w:val="none" w:sz="0" w:space="0" w:color="auto"/>
          </w:divBdr>
        </w:div>
      </w:divsChild>
    </w:div>
    <w:div w:id="683242685">
      <w:marLeft w:val="0"/>
      <w:marRight w:val="0"/>
      <w:marTop w:val="0"/>
      <w:marBottom w:val="0"/>
      <w:divBdr>
        <w:top w:val="none" w:sz="0" w:space="0" w:color="auto"/>
        <w:left w:val="none" w:sz="0" w:space="0" w:color="auto"/>
        <w:bottom w:val="none" w:sz="0" w:space="0" w:color="auto"/>
        <w:right w:val="none" w:sz="0" w:space="0" w:color="auto"/>
      </w:divBdr>
      <w:divsChild>
        <w:div w:id="1442215542">
          <w:marLeft w:val="0"/>
          <w:marRight w:val="0"/>
          <w:marTop w:val="0"/>
          <w:marBottom w:val="0"/>
          <w:divBdr>
            <w:top w:val="none" w:sz="0" w:space="0" w:color="auto"/>
            <w:left w:val="none" w:sz="0" w:space="0" w:color="auto"/>
            <w:bottom w:val="none" w:sz="0" w:space="0" w:color="auto"/>
            <w:right w:val="none" w:sz="0" w:space="0" w:color="auto"/>
          </w:divBdr>
        </w:div>
        <w:div w:id="915433437">
          <w:marLeft w:val="0"/>
          <w:marRight w:val="0"/>
          <w:marTop w:val="0"/>
          <w:marBottom w:val="0"/>
          <w:divBdr>
            <w:top w:val="none" w:sz="0" w:space="0" w:color="auto"/>
            <w:left w:val="none" w:sz="0" w:space="0" w:color="auto"/>
            <w:bottom w:val="none" w:sz="0" w:space="0" w:color="auto"/>
            <w:right w:val="none" w:sz="0" w:space="0" w:color="auto"/>
          </w:divBdr>
        </w:div>
      </w:divsChild>
    </w:div>
    <w:div w:id="759640606">
      <w:marLeft w:val="0"/>
      <w:marRight w:val="0"/>
      <w:marTop w:val="0"/>
      <w:marBottom w:val="0"/>
      <w:divBdr>
        <w:top w:val="none" w:sz="0" w:space="0" w:color="auto"/>
        <w:left w:val="none" w:sz="0" w:space="0" w:color="auto"/>
        <w:bottom w:val="none" w:sz="0" w:space="0" w:color="auto"/>
        <w:right w:val="none" w:sz="0" w:space="0" w:color="auto"/>
      </w:divBdr>
    </w:div>
    <w:div w:id="1208303206">
      <w:marLeft w:val="0"/>
      <w:marRight w:val="0"/>
      <w:marTop w:val="0"/>
      <w:marBottom w:val="0"/>
      <w:divBdr>
        <w:top w:val="none" w:sz="0" w:space="0" w:color="auto"/>
        <w:left w:val="none" w:sz="0" w:space="0" w:color="auto"/>
        <w:bottom w:val="none" w:sz="0" w:space="0" w:color="auto"/>
        <w:right w:val="none" w:sz="0" w:space="0" w:color="auto"/>
      </w:divBdr>
      <w:divsChild>
        <w:div w:id="749043429">
          <w:marLeft w:val="0"/>
          <w:marRight w:val="0"/>
          <w:marTop w:val="0"/>
          <w:marBottom w:val="0"/>
          <w:divBdr>
            <w:top w:val="none" w:sz="0" w:space="0" w:color="auto"/>
            <w:left w:val="none" w:sz="0" w:space="0" w:color="auto"/>
            <w:bottom w:val="none" w:sz="0" w:space="0" w:color="auto"/>
            <w:right w:val="none" w:sz="0" w:space="0" w:color="auto"/>
          </w:divBdr>
        </w:div>
      </w:divsChild>
    </w:div>
    <w:div w:id="1261598341">
      <w:marLeft w:val="0"/>
      <w:marRight w:val="0"/>
      <w:marTop w:val="0"/>
      <w:marBottom w:val="0"/>
      <w:divBdr>
        <w:top w:val="none" w:sz="0" w:space="0" w:color="auto"/>
        <w:left w:val="none" w:sz="0" w:space="0" w:color="auto"/>
        <w:bottom w:val="none" w:sz="0" w:space="0" w:color="auto"/>
        <w:right w:val="none" w:sz="0" w:space="0" w:color="auto"/>
      </w:divBdr>
      <w:divsChild>
        <w:div w:id="350109540">
          <w:marLeft w:val="0"/>
          <w:marRight w:val="0"/>
          <w:marTop w:val="0"/>
          <w:marBottom w:val="0"/>
          <w:divBdr>
            <w:top w:val="none" w:sz="0" w:space="0" w:color="auto"/>
            <w:left w:val="none" w:sz="0" w:space="0" w:color="auto"/>
            <w:bottom w:val="none" w:sz="0" w:space="0" w:color="auto"/>
            <w:right w:val="none" w:sz="0" w:space="0" w:color="auto"/>
          </w:divBdr>
        </w:div>
        <w:div w:id="974093860">
          <w:marLeft w:val="0"/>
          <w:marRight w:val="0"/>
          <w:marTop w:val="0"/>
          <w:marBottom w:val="0"/>
          <w:divBdr>
            <w:top w:val="none" w:sz="0" w:space="0" w:color="auto"/>
            <w:left w:val="none" w:sz="0" w:space="0" w:color="auto"/>
            <w:bottom w:val="none" w:sz="0" w:space="0" w:color="auto"/>
            <w:right w:val="none" w:sz="0" w:space="0" w:color="auto"/>
          </w:divBdr>
        </w:div>
      </w:divsChild>
    </w:div>
    <w:div w:id="1299534825">
      <w:marLeft w:val="0"/>
      <w:marRight w:val="0"/>
      <w:marTop w:val="0"/>
      <w:marBottom w:val="0"/>
      <w:divBdr>
        <w:top w:val="none" w:sz="0" w:space="0" w:color="auto"/>
        <w:left w:val="none" w:sz="0" w:space="0" w:color="auto"/>
        <w:bottom w:val="none" w:sz="0" w:space="0" w:color="auto"/>
        <w:right w:val="none" w:sz="0" w:space="0" w:color="auto"/>
      </w:divBdr>
    </w:div>
    <w:div w:id="1478180424">
      <w:marLeft w:val="0"/>
      <w:marRight w:val="0"/>
      <w:marTop w:val="0"/>
      <w:marBottom w:val="0"/>
      <w:divBdr>
        <w:top w:val="none" w:sz="0" w:space="0" w:color="auto"/>
        <w:left w:val="none" w:sz="0" w:space="0" w:color="auto"/>
        <w:bottom w:val="none" w:sz="0" w:space="0" w:color="auto"/>
        <w:right w:val="none" w:sz="0" w:space="0" w:color="auto"/>
      </w:divBdr>
      <w:divsChild>
        <w:div w:id="1169179986">
          <w:marLeft w:val="0"/>
          <w:marRight w:val="0"/>
          <w:marTop w:val="0"/>
          <w:marBottom w:val="0"/>
          <w:divBdr>
            <w:top w:val="none" w:sz="0" w:space="0" w:color="auto"/>
            <w:left w:val="none" w:sz="0" w:space="0" w:color="auto"/>
            <w:bottom w:val="none" w:sz="0" w:space="0" w:color="auto"/>
            <w:right w:val="none" w:sz="0" w:space="0" w:color="auto"/>
          </w:divBdr>
        </w:div>
        <w:div w:id="485973600">
          <w:marLeft w:val="0"/>
          <w:marRight w:val="0"/>
          <w:marTop w:val="0"/>
          <w:marBottom w:val="0"/>
          <w:divBdr>
            <w:top w:val="none" w:sz="0" w:space="0" w:color="auto"/>
            <w:left w:val="none" w:sz="0" w:space="0" w:color="auto"/>
            <w:bottom w:val="none" w:sz="0" w:space="0" w:color="auto"/>
            <w:right w:val="none" w:sz="0" w:space="0" w:color="auto"/>
          </w:divBdr>
        </w:div>
        <w:div w:id="1078096368">
          <w:marLeft w:val="0"/>
          <w:marRight w:val="0"/>
          <w:marTop w:val="0"/>
          <w:marBottom w:val="0"/>
          <w:divBdr>
            <w:top w:val="none" w:sz="0" w:space="0" w:color="auto"/>
            <w:left w:val="none" w:sz="0" w:space="0" w:color="auto"/>
            <w:bottom w:val="none" w:sz="0" w:space="0" w:color="auto"/>
            <w:right w:val="none" w:sz="0" w:space="0" w:color="auto"/>
          </w:divBdr>
        </w:div>
        <w:div w:id="1392264687">
          <w:marLeft w:val="0"/>
          <w:marRight w:val="0"/>
          <w:marTop w:val="0"/>
          <w:marBottom w:val="0"/>
          <w:divBdr>
            <w:top w:val="none" w:sz="0" w:space="0" w:color="auto"/>
            <w:left w:val="none" w:sz="0" w:space="0" w:color="auto"/>
            <w:bottom w:val="none" w:sz="0" w:space="0" w:color="auto"/>
            <w:right w:val="none" w:sz="0" w:space="0" w:color="auto"/>
          </w:divBdr>
        </w:div>
        <w:div w:id="1840384905">
          <w:marLeft w:val="0"/>
          <w:marRight w:val="0"/>
          <w:marTop w:val="0"/>
          <w:marBottom w:val="0"/>
          <w:divBdr>
            <w:top w:val="none" w:sz="0" w:space="0" w:color="auto"/>
            <w:left w:val="none" w:sz="0" w:space="0" w:color="auto"/>
            <w:bottom w:val="none" w:sz="0" w:space="0" w:color="auto"/>
            <w:right w:val="none" w:sz="0" w:space="0" w:color="auto"/>
          </w:divBdr>
        </w:div>
        <w:div w:id="529027140">
          <w:marLeft w:val="0"/>
          <w:marRight w:val="0"/>
          <w:marTop w:val="0"/>
          <w:marBottom w:val="0"/>
          <w:divBdr>
            <w:top w:val="none" w:sz="0" w:space="0" w:color="auto"/>
            <w:left w:val="none" w:sz="0" w:space="0" w:color="auto"/>
            <w:bottom w:val="none" w:sz="0" w:space="0" w:color="auto"/>
            <w:right w:val="none" w:sz="0" w:space="0" w:color="auto"/>
          </w:divBdr>
        </w:div>
      </w:divsChild>
    </w:div>
    <w:div w:id="1480152863">
      <w:marLeft w:val="0"/>
      <w:marRight w:val="0"/>
      <w:marTop w:val="0"/>
      <w:marBottom w:val="0"/>
      <w:divBdr>
        <w:top w:val="none" w:sz="0" w:space="0" w:color="auto"/>
        <w:left w:val="none" w:sz="0" w:space="0" w:color="auto"/>
        <w:bottom w:val="none" w:sz="0" w:space="0" w:color="auto"/>
        <w:right w:val="none" w:sz="0" w:space="0" w:color="auto"/>
      </w:divBdr>
      <w:divsChild>
        <w:div w:id="2045397737">
          <w:marLeft w:val="0"/>
          <w:marRight w:val="0"/>
          <w:marTop w:val="0"/>
          <w:marBottom w:val="0"/>
          <w:divBdr>
            <w:top w:val="none" w:sz="0" w:space="0" w:color="auto"/>
            <w:left w:val="none" w:sz="0" w:space="0" w:color="auto"/>
            <w:bottom w:val="none" w:sz="0" w:space="0" w:color="auto"/>
            <w:right w:val="none" w:sz="0" w:space="0" w:color="auto"/>
          </w:divBdr>
        </w:div>
      </w:divsChild>
    </w:div>
    <w:div w:id="1497183519">
      <w:marLeft w:val="0"/>
      <w:marRight w:val="0"/>
      <w:marTop w:val="0"/>
      <w:marBottom w:val="0"/>
      <w:divBdr>
        <w:top w:val="none" w:sz="0" w:space="0" w:color="auto"/>
        <w:left w:val="none" w:sz="0" w:space="0" w:color="auto"/>
        <w:bottom w:val="none" w:sz="0" w:space="0" w:color="auto"/>
        <w:right w:val="none" w:sz="0" w:space="0" w:color="auto"/>
      </w:divBdr>
    </w:div>
    <w:div w:id="1770738479">
      <w:marLeft w:val="0"/>
      <w:marRight w:val="0"/>
      <w:marTop w:val="0"/>
      <w:marBottom w:val="0"/>
      <w:divBdr>
        <w:top w:val="none" w:sz="0" w:space="0" w:color="auto"/>
        <w:left w:val="none" w:sz="0" w:space="0" w:color="auto"/>
        <w:bottom w:val="none" w:sz="0" w:space="0" w:color="auto"/>
        <w:right w:val="none" w:sz="0" w:space="0" w:color="auto"/>
      </w:divBdr>
      <w:divsChild>
        <w:div w:id="1967926414">
          <w:marLeft w:val="0"/>
          <w:marRight w:val="0"/>
          <w:marTop w:val="0"/>
          <w:marBottom w:val="0"/>
          <w:divBdr>
            <w:top w:val="none" w:sz="0" w:space="0" w:color="auto"/>
            <w:left w:val="none" w:sz="0" w:space="0" w:color="auto"/>
            <w:bottom w:val="none" w:sz="0" w:space="0" w:color="auto"/>
            <w:right w:val="none" w:sz="0" w:space="0" w:color="auto"/>
          </w:divBdr>
        </w:div>
      </w:divsChild>
    </w:div>
    <w:div w:id="1857189162">
      <w:marLeft w:val="0"/>
      <w:marRight w:val="0"/>
      <w:marTop w:val="0"/>
      <w:marBottom w:val="0"/>
      <w:divBdr>
        <w:top w:val="none" w:sz="0" w:space="0" w:color="auto"/>
        <w:left w:val="none" w:sz="0" w:space="0" w:color="auto"/>
        <w:bottom w:val="none" w:sz="0" w:space="0" w:color="auto"/>
        <w:right w:val="none" w:sz="0" w:space="0" w:color="auto"/>
      </w:divBdr>
      <w:divsChild>
        <w:div w:id="341133366">
          <w:marLeft w:val="0"/>
          <w:marRight w:val="0"/>
          <w:marTop w:val="0"/>
          <w:marBottom w:val="0"/>
          <w:divBdr>
            <w:top w:val="none" w:sz="0" w:space="0" w:color="auto"/>
            <w:left w:val="none" w:sz="0" w:space="0" w:color="auto"/>
            <w:bottom w:val="none" w:sz="0" w:space="0" w:color="auto"/>
            <w:right w:val="none" w:sz="0" w:space="0" w:color="auto"/>
          </w:divBdr>
        </w:div>
        <w:div w:id="1491748833">
          <w:marLeft w:val="0"/>
          <w:marRight w:val="0"/>
          <w:marTop w:val="0"/>
          <w:marBottom w:val="0"/>
          <w:divBdr>
            <w:top w:val="none" w:sz="0" w:space="0" w:color="auto"/>
            <w:left w:val="none" w:sz="0" w:space="0" w:color="auto"/>
            <w:bottom w:val="none" w:sz="0" w:space="0" w:color="auto"/>
            <w:right w:val="none" w:sz="0" w:space="0" w:color="auto"/>
          </w:divBdr>
        </w:div>
        <w:div w:id="1550989859">
          <w:marLeft w:val="0"/>
          <w:marRight w:val="0"/>
          <w:marTop w:val="0"/>
          <w:marBottom w:val="0"/>
          <w:divBdr>
            <w:top w:val="none" w:sz="0" w:space="0" w:color="auto"/>
            <w:left w:val="none" w:sz="0" w:space="0" w:color="auto"/>
            <w:bottom w:val="none" w:sz="0" w:space="0" w:color="auto"/>
            <w:right w:val="none" w:sz="0" w:space="0" w:color="auto"/>
          </w:divBdr>
        </w:div>
      </w:divsChild>
    </w:div>
    <w:div w:id="1866096016">
      <w:marLeft w:val="0"/>
      <w:marRight w:val="0"/>
      <w:marTop w:val="0"/>
      <w:marBottom w:val="0"/>
      <w:divBdr>
        <w:top w:val="none" w:sz="0" w:space="0" w:color="auto"/>
        <w:left w:val="none" w:sz="0" w:space="0" w:color="auto"/>
        <w:bottom w:val="none" w:sz="0" w:space="0" w:color="auto"/>
        <w:right w:val="none" w:sz="0" w:space="0" w:color="auto"/>
      </w:divBdr>
      <w:divsChild>
        <w:div w:id="196740643">
          <w:marLeft w:val="0"/>
          <w:marRight w:val="0"/>
          <w:marTop w:val="0"/>
          <w:marBottom w:val="0"/>
          <w:divBdr>
            <w:top w:val="none" w:sz="0" w:space="0" w:color="auto"/>
            <w:left w:val="none" w:sz="0" w:space="0" w:color="auto"/>
            <w:bottom w:val="none" w:sz="0" w:space="0" w:color="auto"/>
            <w:right w:val="none" w:sz="0" w:space="0" w:color="auto"/>
          </w:divBdr>
        </w:div>
      </w:divsChild>
    </w:div>
    <w:div w:id="1972326579">
      <w:marLeft w:val="0"/>
      <w:marRight w:val="0"/>
      <w:marTop w:val="0"/>
      <w:marBottom w:val="0"/>
      <w:divBdr>
        <w:top w:val="none" w:sz="0" w:space="0" w:color="auto"/>
        <w:left w:val="none" w:sz="0" w:space="0" w:color="auto"/>
        <w:bottom w:val="none" w:sz="0" w:space="0" w:color="auto"/>
        <w:right w:val="none" w:sz="0" w:space="0" w:color="auto"/>
      </w:divBdr>
    </w:div>
    <w:div w:id="210371651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674930/000156459022015730/flgt-ex21_7.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1674930/000119312516700733/d360404dex3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674930/000156459017017670/flgt-ex312_342.htm" TargetMode="External"/><Relationship Id="rId11" Type="http://schemas.openxmlformats.org/officeDocument/2006/relationships/hyperlink" Target="flgt-ex32_1.htm" TargetMode="External"/><Relationship Id="rId5" Type="http://schemas.openxmlformats.org/officeDocument/2006/relationships/hyperlink" Target="https://www.sec.gov/Archives/edgar/data/1674930/000119312516700733/d360404dex311.htm" TargetMode="External"/><Relationship Id="rId10" Type="http://schemas.openxmlformats.org/officeDocument/2006/relationships/hyperlink" Target="flgt-ex31_2.htm" TargetMode="External"/><Relationship Id="rId4" Type="http://schemas.openxmlformats.org/officeDocument/2006/relationships/hyperlink" Target="https://www.sec.gov/Archives/edgar/data/1674930/000119312516700733/d360404dex31.htm" TargetMode="External"/><Relationship Id="rId9" Type="http://schemas.openxmlformats.org/officeDocument/2006/relationships/hyperlink" Target="flgt-ex31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23565</Words>
  <Characters>134327</Characters>
  <Application>Microsoft Office Word</Application>
  <DocSecurity>0</DocSecurity>
  <Lines>1119</Lines>
  <Paragraphs>315</Paragraphs>
  <ScaleCrop>false</ScaleCrop>
  <Company/>
  <LinksUpToDate>false</LinksUpToDate>
  <CharactersWithSpaces>157577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