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477EE8">
      <w:pPr>
        <w:divId w:val="2072926433"/>
        <w:rPr>
          <w:rFonts w:eastAsia="Times New Roman"/>
          <w:vanish/>
        </w:rPr>
      </w:pPr>
      <w:r>
        <w:rPr>
          <w:rFonts w:eastAsia="Times New Roman"/>
          <w:vanish/>
        </w:rPr>
        <w:t>P5Yhttp://fasb.org/us-gaap/2022#AccruedLiabilitiesCurrent0001674930http://fasb.org/us-gaap/2022#OtherLiabilitiesNoncurrenthttp://fasb.org/us-gaap/2022#InterestAndOtherIncome</w:t>
      </w:r>
      <w:r>
        <w:rPr>
          <w:rFonts w:eastAsia="Times New Roman"/>
          <w:vanish/>
        </w:rPr>
        <w:t>http://fasb.org/us-gaap/2022#OtherLiabilitiesNoncurrenthttp://fasb.org/us-gaap/2022#OtherAssetsNoncurrenthttp://fasb.org/us-gaap/2022#OtherAssetsNoncurrenthttp://fasb.org/us-gaap/2022#OtherLiabilitiesNoncurrenthttp://fasb.org/us-gaap/2022#AccruedLiabilitie</w:t>
      </w:r>
      <w:r>
        <w:rPr>
          <w:rFonts w:eastAsia="Times New Roman"/>
          <w:vanish/>
        </w:rPr>
        <w:t>sCurrenthttp://fasb.org/us-gaap/2022#AccruedLiabilitiesCurrenthttp://fasb.org/us-gaap/2022#AccruedLiabilitiesCurrenthttp://fasb.org/us-gaap/2022#InterestAndOtherIncomefalsehttp://fasb.org/us-gaap/2022#OtherAssetsNoncurrent2027-07-31http://fasb.org/us-gaap/</w:t>
      </w:r>
      <w:r>
        <w:rPr>
          <w:rFonts w:eastAsia="Times New Roman"/>
          <w:vanish/>
        </w:rPr>
        <w:t>2022#OtherAssetsNoncurrentFYhttp://fasb.org/us-gaap/2022#OtherLiabilitiesNoncurrenthttp://fasb.org/us-gaap/2022#InterestAndOtherIncome00016749302021-01-012021-12-310001674930flgt:ConsultantsMemberus-gaap:RestrictedStockUnitsRSUMemberflgt:FulgentPharmaHoldi</w:t>
      </w:r>
      <w:r>
        <w:rPr>
          <w:rFonts w:eastAsia="Times New Roman"/>
          <w:vanish/>
        </w:rPr>
        <w:t>ngsMember2022-11-072022-11-070001674930us-gaap:FairValueInputsLevel3Memberus-gaap:FairValueMeasurementsRecurringMember2021-12-310001674930us-gaap:RestrictedStockUnitsRSUMemberflgt:FulgentPharmaHoldingsMembersrt:ChiefFinancialOfficerMember2022-11-072022-11-</w:t>
      </w:r>
      <w:r>
        <w:rPr>
          <w:rFonts w:eastAsia="Times New Roman"/>
          <w:vanish/>
        </w:rPr>
        <w:t>070001674930us-gaap:SellingAndMarketingExpenseMember2022-01-012022-12-310001674930flgt:InformDiagnosticsMember2022-04-162022-04-160001674930flgt:MarginAccountBorrowingMember2022-12-310001674930us-gaap:AdditionalPaidInCapitalMember2021-12-310001674930us-gaa</w:t>
      </w:r>
      <w:r>
        <w:rPr>
          <w:rFonts w:eastAsia="Times New Roman"/>
          <w:vanish/>
        </w:rPr>
        <w:t>p:RestrictedStockUnitsRSUMemberflgt:TwoThousandSixteenOmnibusIncentivePlanMember2022-01-012022-12-310001674930us-gaap:RetainedEarningsMember2020-01-012020-12-310001674930us-gaap:CustomerRelationshipsMember2022-01-012022-12-310001674930country:US2020-01-012</w:t>
      </w:r>
      <w:r>
        <w:rPr>
          <w:rFonts w:eastAsia="Times New Roman"/>
          <w:vanish/>
        </w:rPr>
        <w:t>020-12-310001674930us-gaap:FairValueInputsLevel2Memberus-gaap:FairValueMeasurementsRecurringMember2021-12-310001674930us-gaap:AdditionalPaidInCapitalMemberflgt:NovemberTwoThousandTwentyEquityDistributionAgreementMember2020-01-012020-12-310001674930us-gaap:</w:t>
      </w:r>
      <w:r>
        <w:rPr>
          <w:rFonts w:eastAsia="Times New Roman"/>
          <w:vanish/>
        </w:rPr>
        <w:t>CorporateDebtSecuritiesMemberflgt:DebtSecuritiesDueAfterOneYearThroughFiveYearsMember2022-12-310001674930us-gaap:ParentMember2022-01-012022-12-310001674930us-gaap:EmployeeStockOptionMember2020-01-012020-12-310001674930flgt:SeptemberTwoThousandTwentyEquityD</w:t>
      </w:r>
      <w:r>
        <w:rPr>
          <w:rFonts w:eastAsia="Times New Roman"/>
          <w:vanish/>
        </w:rPr>
        <w:t>istributionAgreementMemberus-gaap:CommonStockMember2020-01-012020-12-310001674930flgt:InPlaceLeaseIntangibleAssetsMember2022-12-310001674930us-gaap:AccountingStandardsUpdate201409Member2020-01-012020-12-310001674930flgt:YankeeDebtSecuritiesMemberflgt:DebtS</w:t>
      </w:r>
      <w:r>
        <w:rPr>
          <w:rFonts w:eastAsia="Times New Roman"/>
          <w:vanish/>
        </w:rPr>
        <w:t>ecuritiesDueAfterOneYearThroughFiveYearsMember2021-12-310001674930us-gaap:SalesRevenueNetMemberflgt:CustomerOneMemberus-gaap:CustomerConcentrationRiskMember2021-01-012021-12-310001674930us-gaap:DebtSecuritiesMember2021-12-310001674930us-gaap:USGovernmentDe</w:t>
      </w:r>
      <w:r>
        <w:rPr>
          <w:rFonts w:eastAsia="Times New Roman"/>
          <w:vanish/>
        </w:rPr>
        <w:t>btSecuritiesMemberflgt:DebtSecuritiesDueAfterOneYearThroughFiveYearsMember2021-12-310001674930us-gaap:SalesRevenueNetMemberus-gaap:CustomerConcentrationRiskMember2020-01-012020-12-310001674930us-gaap:FairValueInputsLevel2Memberus-gaap:CorporateDebtSecuriti</w:t>
      </w:r>
      <w:r>
        <w:rPr>
          <w:rFonts w:eastAsia="Times New Roman"/>
          <w:vanish/>
        </w:rPr>
        <w:t>esMemberus-gaap:FairValueMeasurementsRecurringMember2022-12-310001674930us-gaap:MoneyMarketFundsMemberus-gaap:FairValueMeasurementsRecurringMember2021-12-310001674930us-gaap:FairValueInputsLevel1Memberus-gaap:MoneyMarketFundsMemberus-gaap:FairValueMeasurem</w:t>
      </w:r>
      <w:r>
        <w:rPr>
          <w:rFonts w:eastAsia="Times New Roman"/>
          <w:vanish/>
        </w:rPr>
        <w:t>entsRecurringMember2021-12-310001674930us-gaap:TradeNamesMember2022-01-012022-12-310001674930flgt:USAgencyDebtSecuritiesMemberus-gaap:FairValueMeasurementsRecurringMember2021-12-310001674930flgt:ClinicalInsuranceContractsMemberflgt:HealthResourcesAndServic</w:t>
      </w:r>
      <w:r>
        <w:rPr>
          <w:rFonts w:eastAsia="Times New Roman"/>
          <w:vanish/>
        </w:rPr>
        <w:t>esAdministrationCOVIDNineteenUninsuredProgramMember2022-01-012022-12-310001674930us-gaap:ParentMember2019-12-310001674930srt:MinimumMemberus-gaap:SoftwareDevelopmentMember2022-01-012022-12-3100016749302022-10-012022-12-310001674930us-gaap:EmployeeStockOpti</w:t>
      </w:r>
      <w:r>
        <w:rPr>
          <w:rFonts w:eastAsia="Times New Roman"/>
          <w:vanish/>
        </w:rPr>
        <w:t>onMember2021-01-012021-12-310001674930us-gaap:SalesRevenueNetMemberus-gaap:CustomerConcentrationRiskMember2022-01-012022-12-310001674930flgt:TwoThousandNineteenEquityDistributionAgreementMemberus-gaap:AdditionalPaidInCapitalMember2020-01-012020-12-31000167</w:t>
      </w:r>
      <w:r>
        <w:rPr>
          <w:rFonts w:eastAsia="Times New Roman"/>
          <w:vanish/>
        </w:rPr>
        <w:t>4930flgt:PurchasedPatentMember2022-12-310001674930flgt:NovemberTwoThousandTwentyEquityDistributionAgreementMember2021-01-012021-12-310001674930flgt:ClinicalInsuranceContractsMemberus-gaap:AccountingStandardsUpdate201409Member2022-01-012022-12-310001674930f</w:t>
      </w:r>
      <w:r>
        <w:rPr>
          <w:rFonts w:eastAsia="Times New Roman"/>
          <w:vanish/>
        </w:rPr>
        <w:t>lgt:CsiMember2021-01-012021-12-310001674930us-gaap:RetainedEarningsMembersrt:CumulativeEffectPeriodOfAdoptionAdjustmentMember2020-12-310001674930us-gaap:NoncontrollingInterestMember2021-12-310001674930flgt:InPlaceLeaseIntangibleAssetsMember2022-01-012022-1</w:t>
      </w:r>
      <w:r>
        <w:rPr>
          <w:rFonts w:eastAsia="Times New Roman"/>
          <w:vanish/>
        </w:rPr>
        <w:t>2-310001674930flgt:ShortTermMarketableSecuritesMemberus-gaap:CorporateDebtSecuritiesMember2022-12-310001674930flgt:PTJAssociatesIncMember2021-01-012021-12-310001674930us-gaap:MunicipalBondsMemberus-gaap:FairValueMeasurementsRecurringMember2021-12-310001674</w:t>
      </w:r>
      <w:r>
        <w:rPr>
          <w:rFonts w:eastAsia="Times New Roman"/>
          <w:vanish/>
        </w:rPr>
        <w:t>930flgt:PTJAssociatesIncMember2022-01-012022-12-310001674930flgt:ShortTermMarketableSecuritesMemberus-gaap:MunicipalBondsMember2022-12-310001674930us-gaap:DebtSecuritiesMember2022-12-310001674930us-gaap:EmployeeStockOptionMember2019-01-012019-12-3100016749</w:t>
      </w:r>
      <w:r>
        <w:rPr>
          <w:rFonts w:eastAsia="Times New Roman"/>
          <w:vanish/>
        </w:rPr>
        <w:t>30srt:MaximumMemberflgt:MedicalLabEquipmentMember2022-01-012022-12-310001674930us-gaap:TradeNamesMember2021-12-310001674930flgt:ClinicalInstitutionalContractsMemberus-gaap:AccountingStandardsUpdate201409Member2021-01-012021-12-310001674930flgt:GeneralEquip</w:t>
      </w:r>
      <w:r>
        <w:rPr>
          <w:rFonts w:eastAsia="Times New Roman"/>
          <w:vanish/>
        </w:rPr>
        <w:t>mentMember2022-12-310001674930flgt:AnpTechnologiesIncorporationMembersrt:DirectorMember2022-12-310001674930us-gaap:FairValueInputsLevel2Memberflgt:USAgencyDebtSecuritiesMemberus-gaap:FairValueMeasurementsRecurringMember2022-12-310001674930us-gaap:FairValue</w:t>
      </w:r>
      <w:r>
        <w:rPr>
          <w:rFonts w:eastAsia="Times New Roman"/>
          <w:vanish/>
        </w:rPr>
        <w:t>MeasurementsRecurringMember2021-12-310001674930flgt:PTJAssociatesIncMember2020-01-012020-12-310001674930srt:MaximumMember2022-01-012022-12-310001674930flgt:LongTermEquitySecuritiesMemberflgt:PreferredStockOfPrivatelyHeldCompanyMember2022-12-310001674930flg</w:t>
      </w:r>
      <w:r>
        <w:rPr>
          <w:rFonts w:eastAsia="Times New Roman"/>
          <w:vanish/>
        </w:rPr>
        <w:t>t:InstallmentSaleContractMember2021-12-310001674930us-gaap:CostOfSalesMember2022-01-012022-12-310001674930flgt:PreferredStockOfPrivatelyHeldCompanyMemberus-gaap:FairValueInputsLevel3Memberus-gaap:FairValueMeasurementsRecurringMember2022-12-310001674930flgt</w:t>
      </w:r>
      <w:r>
        <w:rPr>
          <w:rFonts w:eastAsia="Times New Roman"/>
          <w:vanish/>
        </w:rPr>
        <w:t>:FulgentPharmaLimitedLiabilityCompanyMember2021-12-310001674930us-gaap:AccountingStandardsUpdate201409Member2022-01-012022-12-310001674930flgt:DebtSecuritiesDueAfterFiveYearsThroughTenYearsMember2022-12-310001674930us-gaap:FairValueInputsLevel3Memberus-gaa</w:t>
      </w:r>
      <w:r>
        <w:rPr>
          <w:rFonts w:eastAsia="Times New Roman"/>
          <w:vanish/>
        </w:rPr>
        <w:t>p:FairValueMeasurementsRecurringMember2022-12-310001674930us-gaap:RetainedEarningsMember2020-12-310001674930flgt:LongTermEquitySecuritiesMember2022-12-310001674930us-gaap:FairValueInputsLevel1Memberus-gaap:FairValueMeasurementsRecurringMember2021-12-310001</w:t>
      </w:r>
      <w:r>
        <w:rPr>
          <w:rFonts w:eastAsia="Times New Roman"/>
          <w:vanish/>
        </w:rPr>
        <w:t>674930us-gaap:RestrictedStockUnitsRSUMember2021-01-012021-12-310001674930us-gaap:RestrictedStockUnitsRSUMemberflgt:PresidentAndChiefOperatingOfficerMemberflgt:FulgentPharmaHoldingsMember2022-11-072022-11-070001674930flgt:ClinicalInsuranceContractsMemberflg</w:t>
      </w:r>
      <w:r>
        <w:rPr>
          <w:rFonts w:eastAsia="Times New Roman"/>
          <w:vanish/>
        </w:rPr>
        <w:t>t:HealthResourcesAndServicesAdministrationCOVIDNineteenUninsuredProgramMember2021-01-012021-12-310001674930us-gaap:RetainedEarningsMember2021-01-012021-12-310001674930flgt:ShortTermMarketableSecuritesMemberus-gaap:USTreasuryBillSecuritiesMember2022-12-3100</w:t>
      </w:r>
      <w:r>
        <w:rPr>
          <w:rFonts w:eastAsia="Times New Roman"/>
          <w:vanish/>
        </w:rPr>
        <w:t>01674930flgt:ANPTechnologiesIncMember2021-01-012021-12-310001674930us-gaap:DomesticCountryMember2022-12-310001674930us-gaap:FairValueInputsLevel2Memberus-gaap:MunicipalBondsMemberus-gaap:FairValueMeasurementsRecurringMember2022-12-310001674930flgt:AssetsNo</w:t>
      </w:r>
      <w:r>
        <w:rPr>
          <w:rFonts w:eastAsia="Times New Roman"/>
          <w:vanish/>
        </w:rPr>
        <w:t>tYetPlacedInServiceMember2022-12-310001674930flgt:RoyaltyFreeTechnologyMember2022-12-310001674930flgt:ResearchDevelopmentServiceMemberflgt:FulgentPharmaLimitedLiabilityCompanyMember2020-01-012020-12-3100016749302022-01-012022-03-310001674930flgt:InformDiag</w:t>
      </w:r>
      <w:r>
        <w:rPr>
          <w:rFonts w:eastAsia="Times New Roman"/>
          <w:vanish/>
        </w:rPr>
        <w:t>nosticsMember2021-01-012021-12-310001674930flgt:ResearchDevelopmentServiceMemberflgt:FulgentPharmaLimitedLiabilityCompanyMember2022-01-012022-12-310001674930flgt:PurchasedPatentMember2021-12-310001674930us-gaap:LandMember2021-12-310001674930flgt:RoyaltyFre</w:t>
      </w:r>
      <w:r>
        <w:rPr>
          <w:rFonts w:eastAsia="Times New Roman"/>
          <w:vanish/>
        </w:rPr>
        <w:t>eTechnologyMember2022-01-012022-12-310001674930us-gaap:CommonStockMember2022-01-012022-12-310001674930srt:MaximumMemberflgt:AutomobileMember2022-01-012022-12-310001674930us-gaap:SellingAndMarketingExpenseMember2021-01-012021-12-310001674930us-gaap:ForeignC</w:t>
      </w:r>
      <w:r>
        <w:rPr>
          <w:rFonts w:eastAsia="Times New Roman"/>
          <w:vanish/>
        </w:rPr>
        <w:t>ountryMember2022-01-012022-12-310001674930flgt:GeneticSequencingServiceMemberflgt:AHMCHealthcareIncMember2022-12-310001674930us-gaap:CorporateDebtSecuritiesMemberflgt:ShortTermDebtSecuritiesMember2021-12-310001674930flgt:InstallmentSaleContractMember2022-0</w:t>
      </w:r>
      <w:r>
        <w:rPr>
          <w:rFonts w:eastAsia="Times New Roman"/>
          <w:vanish/>
        </w:rPr>
        <w:t>1-012022-12-310001674930flgt:CustomerOneMemberus-gaap:CustomerConcentrationRiskMemberus-gaap:AccountsReceivableMember2022-01-012022-12-310001674930flgt:ShortTermEquitySecuritiesMemberflgt:BondFundsMember2021-12-310001674930flgt:FulgentPharmaLimitedLiabilit</w:t>
      </w:r>
      <w:r>
        <w:rPr>
          <w:rFonts w:eastAsia="Times New Roman"/>
          <w:vanish/>
        </w:rPr>
        <w:t>yCompanyMember2022-01-012022-12-310001674930flgt:ANPTechnologiesIncMember2022-12-310001674930flgt:MedicalLabEquipmentMember2021-12-310001674930flgt:FulgentPharmaLimitedLiabilityCompanyMember2021-01-012021-12-310001674930us-gaap:CustomerRelationshipsMemberf</w:t>
      </w:r>
      <w:r>
        <w:rPr>
          <w:rFonts w:eastAsia="Times New Roman"/>
          <w:vanish/>
        </w:rPr>
        <w:t>lgt:InformDiagnosticsMember2022-04-262022-04-260001674930srt:MinimumMemberflgt:AutomobileMember2022-01-012022-12-310001674930flgt:XilongScientificMember2022-12-310001674930us-gaap:USTreasuryBillSecuritiesMemberus-gaap:FairValueMeasurementsRecurringMember20</w:t>
      </w:r>
      <w:r>
        <w:rPr>
          <w:rFonts w:eastAsia="Times New Roman"/>
          <w:vanish/>
        </w:rPr>
        <w:t>22-12-310001674930us-gaap:ForeignCountryMember2022-12-310001674930srt:MinimumMemberus-gaap:ComputerEquipmentMember2022-01-012022-12-310001674930flgt:ShortTermMarketableSecuritesMemberus-gaap:MunicipalBondsMember2021-12-310001674930us-gaap:FairValueInputsLe</w:t>
      </w:r>
      <w:r>
        <w:rPr>
          <w:rFonts w:eastAsia="Times New Roman"/>
          <w:vanish/>
        </w:rPr>
        <w:t>vel2Memberus-gaap:CorporateDebtSecuritiesMemberus-gaap:FairValueMeasurementsRecurringMember2021-12-310001674930flgt:LaboratoryInformationSystemPlatformMember2021-12-310001674930flgt:ServicesMember2022-12-3100016749302019-12-310001674930flgt:InstitutionalCu</w:t>
      </w:r>
      <w:r>
        <w:rPr>
          <w:rFonts w:eastAsia="Times New Roman"/>
          <w:vanish/>
        </w:rPr>
        <w:t>stomerMember2021-12-310001674930us-gaap:LatestTaxYearMember2022-01-012022-12-310001674930us-gaap:GeneralAndAdministrativeExpenseMember2022-01-012022-12-310001674930us-gaap:CostOfSalesMember2020-01-012020-12-310001674930flgt:SoftwareMember2022-12-3100016749</w:t>
      </w:r>
      <w:r>
        <w:rPr>
          <w:rFonts w:eastAsia="Times New Roman"/>
          <w:vanish/>
        </w:rPr>
        <w:t>30srt:MinimumMemberus-gaap:CustomerConcentrationRiskMemberus-gaap:AccountsReceivableMember2021-01-012021-12-310001674930us-gaap:ParentMemberflgt:NovemberTwoThousandTwentyEquityDistributionAgreementMember2021-01-012021-12-310001674930us-gaap:GeneralAndAdmin</w:t>
      </w:r>
      <w:r>
        <w:rPr>
          <w:rFonts w:eastAsia="Times New Roman"/>
          <w:vanish/>
        </w:rPr>
        <w:t>istrativeExpenseMember2020-01-012020-12-310001674930flgt:FFGeneBiotechMember2022-01-012022-12-310001674930us-gaap:EmployeeStockOptionMember2021-12-3100016749302022-04-012022-06-300001674930us-gaap:USGovernmentDebtSecuritiesMemberflgt:DebtSecuritiesDueAfter</w:t>
      </w:r>
      <w:r>
        <w:rPr>
          <w:rFonts w:eastAsia="Times New Roman"/>
          <w:vanish/>
        </w:rPr>
        <w:t>OneYearThroughFiveYearsMember2022-12-310001674930flgt:SeptemberTwoThousandTwentyEquityDistributionAgreementMember2020-12-310001674930flgt:ShortTermMarketableSecuritesMemberus-gaap:USGovernmentDebtSecuritiesMember2021-12-310001674930us-gaap:AccountingStanda</w:t>
      </w:r>
      <w:r>
        <w:rPr>
          <w:rFonts w:eastAsia="Times New Roman"/>
          <w:vanish/>
        </w:rPr>
        <w:t>rdsUpdate201613Member2021-12-310001674930flgt:LaboratoryInformationSystemPlatformMember2022-12-310001674930us-gaap:SoftwareDevelopmentMember2022-12-310001674930us-gaap:FairValueInputsLevel1Memberus-gaap:FairValueMeasurementsRecurringMember2022-12-310001674</w:t>
      </w:r>
      <w:r>
        <w:rPr>
          <w:rFonts w:eastAsia="Times New Roman"/>
          <w:vanish/>
        </w:rPr>
        <w:t>930us-gaap:AgencySecuritiesMemberflgt:DebtSecuritiesDueAfterOneYearThroughFiveYearsMember2022-12-310001674930us-gaap:ParentMember2022-12-310001674930flgt:GeneticSequencingServiceMemberflgt:AHMCHealthcareIncMember2021-12-310001674930country:US2022-01-012022</w:t>
      </w:r>
      <w:r>
        <w:rPr>
          <w:rFonts w:eastAsia="Times New Roman"/>
          <w:vanish/>
        </w:rPr>
        <w:t>-12-310001674930us-gaap:NonUsMember2021-01-012021-12-3100016749302022-07-012022-09-300001674930us-gaap:RetainedEarningsMember2019-12-310001674930flgt:FulgentPharmaHoldingsIncMemberus-gaap:ResearchAndDevelopmentExpenseMember2022-11-070001674930flgt:Clinical</w:t>
      </w:r>
      <w:r>
        <w:rPr>
          <w:rFonts w:eastAsia="Times New Roman"/>
          <w:vanish/>
        </w:rPr>
        <w:t>PatientContractsMemberus-gaap:AccountingStandardsUpdate201409Member2020-01-012020-12-310001674930flgt:PTJAssociatesIncMember2021-12-310001674930flgt:InformDiagnosticsMemberflgt:InPlaceLeaseIntangibleAssetsMember2022-04-262022-04-260001674930flgt:AssetsNotY</w:t>
      </w:r>
      <w:r>
        <w:rPr>
          <w:rFonts w:eastAsia="Times New Roman"/>
          <w:vanish/>
        </w:rPr>
        <w:t>etPlacedInServiceMember2021-12-310001674930flgt:ClinicalInstitutionalContractsMemberus-gaap:AccountingStandardsUpdate201409Member2020-01-012020-12-310001674930flgt:InProcessResearchDevelopmentMember2022-12-3100016749302020-01-012020-12-310001674930us-gaap:</w:t>
      </w:r>
      <w:r>
        <w:rPr>
          <w:rFonts w:eastAsia="Times New Roman"/>
          <w:vanish/>
        </w:rPr>
        <w:t>CustomerRelationshipsMember2021-12-310001674930us-gaap:AdditionalPaidInCapitalMember2022-12-310001674930flgt:YankeeDebtSecuritiesMemberus-gaap:FairValueMeasurementsRecurringMember2022-12-310001674930us-gaap:SalesRevenueNetMemberflgt:CustomerOneMemberus-gaa</w:t>
      </w:r>
      <w:r>
        <w:rPr>
          <w:rFonts w:eastAsia="Times New Roman"/>
          <w:vanish/>
        </w:rPr>
        <w:t>p:CustomerConcentrationRiskMember2020-01-012020-12-310001674930us-gaap:AccountingStandardsUpdate201409Member2021-01-012021-12-310001674930us-gaap:FairValueInputsLevel2Memberus-gaap:USGovernmentDebtSecuritiesMemberus-gaap:FairValueMeasurementsRecurringMembe</w:t>
      </w:r>
      <w:r>
        <w:rPr>
          <w:rFonts w:eastAsia="Times New Roman"/>
          <w:vanish/>
        </w:rPr>
        <w:t>r2022-12-310001674930flgt:ShortTermDebtSecuritiesMember2021-12-310001674930us-gaap:FairValueInputsLevel2Memberus-gaap:USGovernmentDebtSecuritiesMemberus-gaap:FairValueMeasurementsRecurringMember2021-12-310001674930us-gaap:EarliestTaxYearMember2022-01-01202</w:t>
      </w:r>
      <w:r>
        <w:rPr>
          <w:rFonts w:eastAsia="Times New Roman"/>
          <w:vanish/>
        </w:rPr>
        <w:t>2-12-310001674930flgt:AutomobileMember2021-12-310001674930us-gaap:LandImprovementsMember2021-12-310001674930us-gaap:FairValueInputsLevel2Memberflgt:USAgencyDebtSecuritiesMemberus-gaap:FairValueMeasurementsRecurringMember2021-12-310001674930flgt:ResearchDev</w:t>
      </w:r>
      <w:r>
        <w:rPr>
          <w:rFonts w:eastAsia="Times New Roman"/>
          <w:vanish/>
        </w:rPr>
        <w:t>elopmentServiceMemberflgt:FulgentPharmaLimitedLiabilityCompanyMember2021-01-012021-12-310001674930flgt:FulgentPharmaLimitedLiabilityCompanyMember2020-01-012020-12-310001674930flgt:FulgentPharmaHoldingsIncMember2022-11-070001674930us-gaap:StateAndLocalJuris</w:t>
      </w:r>
      <w:r>
        <w:rPr>
          <w:rFonts w:eastAsia="Times New Roman"/>
          <w:vanish/>
        </w:rPr>
        <w:t>dictionMember2022-12-3100016749302023-02-150001674930flgt:FulgentPharmaHoldingsIncMemberus-gaap:RestrictedStockUnitsRSUMember2022-01-012022-12-310001674930flgt:MedicalLabEquipmentMember2022-12-310001674930flgt:ClinicalInsuranceContractsMemberus-gaap:Accoun</w:t>
      </w:r>
      <w:r>
        <w:rPr>
          <w:rFonts w:eastAsia="Times New Roman"/>
          <w:vanish/>
        </w:rPr>
        <w:t>tingStandardsUpdate201409Member2020-01-012020-12-310001674930flgt:ANPTechnologiesIncMember2022-01-012022-12-310001674930flgt:DebtSecuritiesDueAfterFiveYearsThroughTenYearsMember2021-12-310001674930flgt:TwoThousandTwentyOneEquityDistributionAgreementMember2</w:t>
      </w:r>
      <w:r>
        <w:rPr>
          <w:rFonts w:eastAsia="Times New Roman"/>
          <w:vanish/>
        </w:rPr>
        <w:t>021-12-310001674930us-gaap:AccumulatedOtherComprehensiveIncomeMember2021-12-310001674930us-gaap:AdditionalPaidInCapitalMember2020-12-310001674930flgt:InformDiagnosticsMemberus-gaap:TradeNamesMember2022-04-262022-04-260001674930flgt:GeneralEquipmentMembersr</w:t>
      </w:r>
      <w:r>
        <w:rPr>
          <w:rFonts w:eastAsia="Times New Roman"/>
          <w:vanish/>
        </w:rPr>
        <w:t>t:MinimumMember2022-01-012022-12-310001674930flgt:XilongScientificMemberflgt:FFGeneBiotechMember2022-01-012022-12-310001674930us-gaap:BuildingMember2022-12-310001674930country:US2021-01-012021-12-310001674930flgt:GeneticSequencingServiceMemberflgt:AHMCHeal</w:t>
      </w:r>
      <w:r>
        <w:rPr>
          <w:rFonts w:eastAsia="Times New Roman"/>
          <w:vanish/>
        </w:rPr>
        <w:t>thcareIncMember2021-01-012021-12-310001674930flgt:TwoThousandNineteenEquityDistributionAgreementMember2020-12-310001674930us-gaap:ComputerEquipmentMember2021-12-310001674930srt:MaximumMemberus-gaap:LandImprovementsMember2022-01-012022-12-310001674930srt:Ma</w:t>
      </w:r>
      <w:r>
        <w:rPr>
          <w:rFonts w:eastAsia="Times New Roman"/>
          <w:vanish/>
        </w:rPr>
        <w:t>ximumMemberus-gaap:ComputerEquipmentMember2022-01-012022-12-310001674930us-gaap:FairValueInputsLevel1Memberus-gaap:ExchangeTradedFundsMemberus-gaap:FairValueMeasurementsRecurringMember2021-12-310001674930flgt:InformDiagnosticsMember2022-04-262022-04-260001</w:t>
      </w:r>
      <w:r>
        <w:rPr>
          <w:rFonts w:eastAsia="Times New Roman"/>
          <w:vanish/>
        </w:rPr>
        <w:t>674930flgt:YankeeDebtSecuritiesMemberus-gaap:FairValueInputsLevel2Memberus-gaap:FairValueMeasurementsRecurringMember2022-12-310001674930flgt:InformDiagnosticsMemberus-gaap:TradeNamesMember2022-04-260001674930us-gaap:AccumulatedOtherComprehensiveIncomeMembe</w:t>
      </w:r>
      <w:r>
        <w:rPr>
          <w:rFonts w:eastAsia="Times New Roman"/>
          <w:vanish/>
        </w:rPr>
        <w:t>r2021-01-012021-12-310001674930flgt:InstallmentSaleContractMemberus-gaap:OtherNoncurrentLiabilitiesMember2022-12-310001674930us-gaap:CostOfSalesMember2021-01-012021-12-310001674930srt:MinimumMemberflgt:MedicalLabEquipmentMember2022-01-012022-12-31000167493</w:t>
      </w:r>
      <w:r>
        <w:rPr>
          <w:rFonts w:eastAsia="Times New Roman"/>
          <w:vanish/>
        </w:rPr>
        <w:t>0flgt:XilongScientificMemberflgt:FFGeneBiotechMember2022-12-310001674930us-gaap:ParentMemberflgt:NovemberTwoThousandTwentyEquityDistributionAgreementMember2020-01-012020-12-310001674930flgt:DebtSecuritiesDueAfterFiveYearsThroughTenYearsMemberus-gaap:Munici</w:t>
      </w:r>
      <w:r>
        <w:rPr>
          <w:rFonts w:eastAsia="Times New Roman"/>
          <w:vanish/>
        </w:rPr>
        <w:t>palBondsMember2021-12-310001674930us-gaap:LeaseholdImprovementsMember2022-12-310001674930flgt:USAgencyDebtSecuritiesMemberus-gaap:FairValueMeasurementsRecurringMember2022-12-310001674930us-gaap:AdditionalPaidInCapitalMember2021-01-012021-12-310001674930us-</w:t>
      </w:r>
      <w:r>
        <w:rPr>
          <w:rFonts w:eastAsia="Times New Roman"/>
          <w:vanish/>
        </w:rPr>
        <w:t>gaap:RedeemablePreferredStockMemberus-gaap:FairValueInputsLevel3Memberus-gaap:FairValueMeasurementsRecurringMember2021-12-310001674930flgt:FulgentPharmaHoldingsIncMemberus-gaap:SellingGeneralAndAdministrativeExpensesMember2022-01-012022-12-310001674930flgt</w:t>
      </w:r>
      <w:r>
        <w:rPr>
          <w:rFonts w:eastAsia="Times New Roman"/>
          <w:vanish/>
        </w:rPr>
        <w:t>:InformDiagnosticsMember2022-04-260001674930us-gaap:BuildingMembersrt:MinimumMember2022-01-012022-12-310001674930us-gaap:SalesRevenueNetMemberflgt:CustomerTwoMemberus-gaap:CustomerConcentrationRiskMember2020-01-012020-12-310001674930us-gaap:LandImprovement</w:t>
      </w:r>
      <w:r>
        <w:rPr>
          <w:rFonts w:eastAsia="Times New Roman"/>
          <w:vanish/>
        </w:rPr>
        <w:t>sMember2022-12-310001674930flgt:NovemberTwoThousandTwentyEquityDistributionAgreementMember2020-01-012020-12-310001674930us-gaap:TradeNamesMember2022-12-310001674930flgt:InsuranceCustomerMember2022-12-310001674930us-gaap:FurnitureAndFixturesMember2021-12-31</w:t>
      </w:r>
      <w:r>
        <w:rPr>
          <w:rFonts w:eastAsia="Times New Roman"/>
          <w:vanish/>
        </w:rPr>
        <w:t>00016749302021-10-012021-12-310001674930flgt:FulgentPharmaHoldingsMember2022-01-012022-12-310001674930us-gaap:AgencySecuritiesMemberflgt:ShortTermMarketableSecuritesMember2022-12-310001674930flgt:BostonMoleculesIncMember2022-12-310001674930flgt:GeneticSequ</w:t>
      </w:r>
      <w:r>
        <w:rPr>
          <w:rFonts w:eastAsia="Times New Roman"/>
          <w:vanish/>
        </w:rPr>
        <w:t>encingServiceMemberflgt:AHMCHealthcareIncMember2020-01-012020-12-310001674930us-gaap:CommonStockMember2020-01-012020-12-310001674930us-gaap:CorporateDebtSecuritiesMemberus-gaap:FairValueMeasurementsRecurringMember2022-12-310001674930us-gaap:NoncontrollingI</w:t>
      </w:r>
      <w:r>
        <w:rPr>
          <w:rFonts w:eastAsia="Times New Roman"/>
          <w:vanish/>
        </w:rPr>
        <w:t>nterestMember2022-12-310001674930flgt:GeneticSequencingServiceMemberflgt:AHMCHealthcareIncMember2022-01-012022-12-310001674930flgt:InstallmentSaleContractMember2022-12-310001674930us-gaap:CommonStockMember2021-01-012021-12-310001674930us-gaap:MoneyMarketFu</w:t>
      </w:r>
      <w:r>
        <w:rPr>
          <w:rFonts w:eastAsia="Times New Roman"/>
          <w:vanish/>
        </w:rPr>
        <w:t>ndsMemberus-gaap:FairValueMeasurementsRecurringMember2022-12-310001674930us-gaap:ExchangeTradedFundsMemberus-gaap:FairValueMeasurementsRecurringMember2021-12-310001674930us-gaap:RestrictedStockUnitsRSUMemberflgt:TwoThousandSixteenOmnibusIncentivePlanMember</w:t>
      </w:r>
      <w:r>
        <w:rPr>
          <w:rFonts w:eastAsia="Times New Roman"/>
          <w:vanish/>
        </w:rPr>
        <w:t>2021-01-012021-12-3100016749302022-12-310001674930us-gaap:ComputerEquipmentMember2022-12-310001674930flgt:DebtSecuritiesDueAfterFiveYearsThroughTenYearsMemberflgt:RedeemablePreferredStockInvestmentMember2021-12-310001674930us-gaap:LeaseholdImprovementsMemb</w:t>
      </w:r>
      <w:r>
        <w:rPr>
          <w:rFonts w:eastAsia="Times New Roman"/>
          <w:vanish/>
        </w:rPr>
        <w:t>er2022-01-012022-12-310001674930us-gaap:FairValueInputsLevel1Memberus-gaap:USTreasuryBillSecuritiesMemberus-gaap:FairValueMeasurementsRecurringMember2022-12-310001674930us-gaap:RestrictedStockUnitsRSUMemberflgt:TwoThousandSixteenOmnibusIncentivePlanMember2</w:t>
      </w:r>
      <w:r>
        <w:rPr>
          <w:rFonts w:eastAsia="Times New Roman"/>
          <w:vanish/>
        </w:rPr>
        <w:t>021-12-310001674930us-gaap:ParentMembersrt:CumulativeEffectPeriodOfAdoptionAdjustmentMember2020-12-310001674930flgt:ShortTermEquitySecuritiesMemberus-gaap:ExchangeTradedFundsMember2021-12-310001674930flgt:DebtSecuritiesDueAfterOneYearThroughFiveYearsMember</w:t>
      </w:r>
      <w:r>
        <w:rPr>
          <w:rFonts w:eastAsia="Times New Roman"/>
          <w:vanish/>
        </w:rPr>
        <w:t>flgt:RedeemablePreferredStockInvestmentMember2022-12-310001674930us-gaap:LeaseholdImprovementsMember2021-12-310001674930us-gaap:USGovernmentDebtSecuritiesMemberus-gaap:FairValueMeasurementsRecurringMember2022-12-310001674930us-gaap:CorporateDebtSecuritiesM</w:t>
      </w:r>
      <w:r>
        <w:rPr>
          <w:rFonts w:eastAsia="Times New Roman"/>
          <w:vanish/>
        </w:rPr>
        <w:t>emberus-gaap:FairValueMeasurementsRecurringMember2021-12-310001674930us-gaap:RestrictedStockUnitsRSUMember2022-12-310001674930us-gaap:FairValueInputsLevel2Memberus-gaap:MunicipalBondsMemberus-gaap:FairValueMeasurementsRecurringMember2021-12-310001674930flg</w:t>
      </w:r>
      <w:r>
        <w:rPr>
          <w:rFonts w:eastAsia="Times New Roman"/>
          <w:vanish/>
        </w:rPr>
        <w:t>t:SeptemberTwoThousandTwentyEquityDistributionAgreementMemberus-gaap:AdditionalPaidInCapitalMember2020-01-012020-12-310001674930us-gaap:AgencySecuritiesMemberflgt:DebtSecuritiesDueAfterOneYearThroughFiveYearsMember2021-12-310001674930us-gaap:FairValueInput</w:t>
      </w:r>
      <w:r>
        <w:rPr>
          <w:rFonts w:eastAsia="Times New Roman"/>
          <w:vanish/>
        </w:rPr>
        <w:t>sLevel1Memberus-gaap:FairValueMeasurementsRecurringMemberus-gaap:BondsMember2021-12-310001674930us-gaap:ResearchAndDevelopmentExpenseMember2020-01-012020-12-310001674930us-gaap:SoftwareDevelopmentMember2021-12-310001674930us-gaap:NonUsMember2020-01-012020-</w:t>
      </w:r>
      <w:r>
        <w:rPr>
          <w:rFonts w:eastAsia="Times New Roman"/>
          <w:vanish/>
        </w:rPr>
        <w:t>12-310001674930flgt:ClinicalInstitutionalContractsMemberus-gaap:AccountingStandardsUpdate201409Member2022-01-012022-12-310001674930us-gaap:RestrictedStockUnitsRSUMemberflgt:TwoThousandSixteenOmnibusIncentivePlanMember2020-01-012020-12-310001674930us-gaap:A</w:t>
      </w:r>
      <w:r>
        <w:rPr>
          <w:rFonts w:eastAsia="Times New Roman"/>
          <w:vanish/>
        </w:rPr>
        <w:t>ccumulatedOtherComprehensiveIncomeMember2019-12-310001674930srt:MaximumMemberus-gaap:FurnitureAndFixturesMember2022-01-012022-12-310001674930flgt:AircraftMember2022-01-012022-12-310001674930flgt:YankeeDebtSecuritiesMemberflgt:ShortTermMarketableSecuritesMe</w:t>
      </w:r>
      <w:r>
        <w:rPr>
          <w:rFonts w:eastAsia="Times New Roman"/>
          <w:vanish/>
        </w:rPr>
        <w:t>mber2022-12-310001674930flgt:DebtSecuritiesDueAfterFiveYearsThroughTenYearsMemberus-gaap:MunicipalBondsMember2022-12-310001674930flgt:FulgentPharmaHoldingsMemberflgt:MingHsiehTheChiefExecutiveOfficerAndChairmanMember2022-04-012022-04-300001674930flgt:Prefe</w:t>
      </w:r>
      <w:r>
        <w:rPr>
          <w:rFonts w:eastAsia="Times New Roman"/>
          <w:vanish/>
        </w:rPr>
        <w:t>rredStockOfPrivatelyHeldCompanyMemberus-gaap:FairValueMeasurementsRecurringMember2022-12-310001674930flgt:DebtSecuritiesDueAfterOneYearThroughFiveYearsMember2021-12-310001674930us-gaap:AdditionalPaidInCapitalMember2020-01-012020-12-3100016749302022-03-3100</w:t>
      </w:r>
      <w:r>
        <w:rPr>
          <w:rFonts w:eastAsia="Times New Roman"/>
          <w:vanish/>
        </w:rPr>
        <w:t>01674930flgt:InformDiagnosticsMemberflgt:InPlaceLeaseIntangibleAssetsMember2022-04-260001674930flgt:LaboratoryInformationSystemPlatformMember2022-01-012022-12-310001674930flgt:FulgentPharmaHoldingsIncMember2022-01-012022-12-310001674930us-gaap:GeneralAndAd</w:t>
      </w:r>
      <w:r>
        <w:rPr>
          <w:rFonts w:eastAsia="Times New Roman"/>
          <w:vanish/>
        </w:rPr>
        <w:t>ministrativeExpenseMember2021-01-012021-12-310001674930flgt:ClinicalInsuranceContractsMemberus-gaap:AccountingStandardsUpdate201409Member2021-01-012021-12-310001674930flgt:SeptemberTwoThousandTwentyEquityDistributionAgreementMemberus-gaap:ParentMember2020-</w:t>
      </w:r>
      <w:r>
        <w:rPr>
          <w:rFonts w:eastAsia="Times New Roman"/>
          <w:vanish/>
        </w:rPr>
        <w:t>01-012020-12-310001674930us-gaap:RestrictedStockUnitsRSUMember2021-12-310001674930us-gaap:FairValueInputsLevel2Memberus-gaap:FairValueMeasurementsRecurringMember2022-12-310001674930flgt:ClinicalPatientContractsMemberus-gaap:AccountingStandardsUpdate201409M</w:t>
      </w:r>
      <w:r>
        <w:rPr>
          <w:rFonts w:eastAsia="Times New Roman"/>
          <w:vanish/>
        </w:rPr>
        <w:t>ember2021-01-012021-12-3100016749302022-01-012022-12-310001674930us-gaap:FairValueMeasurementsRecurringMemberus-gaap:BondsMember2021-12-310001674930flgt:ReagentsAndOtherSuppliesMember2022-12-310001674930flgt:SeptemberTwoThousandTwentyEquityDistributionAgre</w:t>
      </w:r>
      <w:r>
        <w:rPr>
          <w:rFonts w:eastAsia="Times New Roman"/>
          <w:vanish/>
        </w:rPr>
        <w:t>ementMember2020-01-012020-12-310001674930flgt:DebtSecuritiesDueAfterOneYearThroughFiveYearsMemberus-gaap:MunicipalBondsMember2021-12-310001674930srt:MaximumMemberus-gaap:BuildingImprovementsMember2022-01-012022-12-310001674930flgt:AircraftMember2022-12-310</w:t>
      </w:r>
      <w:r>
        <w:rPr>
          <w:rFonts w:eastAsia="Times New Roman"/>
          <w:vanish/>
        </w:rPr>
        <w:t>001674930flgt:AutomobileMember2022-12-310001674930us-gaap:CorporateDebtSecuritiesMemberflgt:DebtSecuritiesDueAfterOneYearThroughFiveYearsMember2021-12-310001674930us-gaap:ParentMember2021-12-310001674930flgt:ChiefScientificOfficerMemberus-gaap:RestrictedSt</w:t>
      </w:r>
      <w:r>
        <w:rPr>
          <w:rFonts w:eastAsia="Times New Roman"/>
          <w:vanish/>
        </w:rPr>
        <w:t>ockUnitsRSUMemberflgt:FulgentPharmaHoldingsMember2022-11-072022-11-070001674930flgt:ANPTechnologiesIncMember2020-01-012020-12-310001674930flgt:YankeeDebtSecuritiesMemberflgt:ShortTermMarketableSecuritesMember2021-12-310001674930us-gaap:AdditionalPaidInCapi</w:t>
      </w:r>
      <w:r>
        <w:rPr>
          <w:rFonts w:eastAsia="Times New Roman"/>
          <w:vanish/>
        </w:rPr>
        <w:t>talMember2019-12-310001674930us-gaap:CustomerRelationshipsMember2022-12-310001674930flgt:ResearchAndDevelopmentCreditsAndDepreciationAdjustmentsMember2022-01-012022-12-310001674930flgt:ShortTermMarketableSecuritesMember2022-12-310001674930flgt:FulgentPharm</w:t>
      </w:r>
      <w:r>
        <w:rPr>
          <w:rFonts w:eastAsia="Times New Roman"/>
          <w:vanish/>
        </w:rPr>
        <w:t>aHoldingsIncMember2022-11-072022-11-070001674930flgt:GeneralEquipmentMembersrt:MaximumMember2022-01-012022-12-310001674930flgt:InformDiagnosticsMember2022-01-012022-12-310001674930us-gaap:NoncontrollingInterestMember2022-01-012022-12-310001674930us-gaap:No</w:t>
      </w:r>
      <w:r>
        <w:rPr>
          <w:rFonts w:eastAsia="Times New Roman"/>
          <w:vanish/>
        </w:rPr>
        <w:t>nUsMember2022-01-012022-12-310001674930us-gaap:AdditionalPaidInCapitalMember2022-01-012022-12-310001674930us-gaap:LandMember2022-12-310001674930flgt:PurchasedPatentMember2022-01-012022-12-310001674930us-gaap:BuildingImprovementsMember2021-12-310001674930us</w:t>
      </w:r>
      <w:r>
        <w:rPr>
          <w:rFonts w:eastAsia="Times New Roman"/>
          <w:vanish/>
        </w:rPr>
        <w:t>-gaap:CommonStockMember2019-12-310001674930us-gaap:CommonStockMember2022-12-310001674930us-gaap:EmployeeStockOptionMember2020-12-310001674930us-gaap:BuildingMember2022-01-012022-12-310001674930us-gaap:USGovernmentDebtSecuritiesMemberus-gaap:FairValueMeasur</w:t>
      </w:r>
      <w:r>
        <w:rPr>
          <w:rFonts w:eastAsia="Times New Roman"/>
          <w:vanish/>
        </w:rPr>
        <w:t>ementsRecurringMember2021-12-310001674930us-gaap:RetainedEarningsMember2022-01-012022-12-310001674930us-gaap:ResearchAndDevelopmentExpenseMember2021-01-012021-12-310001674930us-gaap:RestrictedStockUnitsRSUMember2022-01-012022-12-310001674930flgt:GeneralEqu</w:t>
      </w:r>
      <w:r>
        <w:rPr>
          <w:rFonts w:eastAsia="Times New Roman"/>
          <w:vanish/>
        </w:rPr>
        <w:t>ipmentMember2021-12-310001674930flgt:DebtSecuritiesDueAfterOneYearThroughFiveYearsMember2022-12-310001674930flgt:PTJAssociatesIncMember2022-12-310001674930us-gaap:RetainedEarningsMember2021-12-310001674930srt:MinimumMemberus-gaap:FurnitureAndFixturesMember</w:t>
      </w:r>
      <w:r>
        <w:rPr>
          <w:rFonts w:eastAsia="Times New Roman"/>
          <w:vanish/>
        </w:rPr>
        <w:t>2022-01-012022-12-310001674930srt:CumulativeEffectPeriodOfAdoptionAdjustmentMember2020-12-310001674930us-gaap:CommonStockMember2021-12-310001674930us-gaap:RetainedEarningsMember2022-12-310001674930us-gaap:RestrictedStockUnitsRSUMemberflgt:OtherEmployeeMemb</w:t>
      </w:r>
      <w:r>
        <w:rPr>
          <w:rFonts w:eastAsia="Times New Roman"/>
          <w:vanish/>
        </w:rPr>
        <w:t>erflgt:FulgentPharmaHoldingsMember2022-11-072022-11-070001674930us-gaap:BuildingImprovementsMember2022-12-310001674930us-gaap:CustomerRelationshipsMemberflgt:InformDiagnosticsMember2022-04-260001674930us-gaap:AdditionalPaidInCapitalMemberflgt:NovemberTwoTh</w:t>
      </w:r>
      <w:r>
        <w:rPr>
          <w:rFonts w:eastAsia="Times New Roman"/>
          <w:vanish/>
        </w:rPr>
        <w:t>ousandTwentyEquityDistributionAgreementMember2021-01-012021-12-310001674930flgt:ANPTechnologiesIncMember2021-12-3100016749302020-12-310001674930flgt:ShortTermEquitySecuritiesMemberus-gaap:MoneyMarketFundsMember2021-12-310001674930us-gaap:AccumulatedOtherCo</w:t>
      </w:r>
      <w:r>
        <w:rPr>
          <w:rFonts w:eastAsia="Times New Roman"/>
          <w:vanish/>
        </w:rPr>
        <w:t>mprehensiveIncomeMember2020-12-310001674930us-gaap:AccumulatedOtherComprehensiveIncomeMember2022-12-310001674930us-gaap:EmployeeStockOptionMember2022-01-012022-12-310001674930flgt:ShortTermMarketableSecuritesMemberus-gaap:MoneyMarketFundsMember2022-12-3100</w:t>
      </w:r>
      <w:r>
        <w:rPr>
          <w:rFonts w:eastAsia="Times New Roman"/>
          <w:vanish/>
        </w:rPr>
        <w:t>01674930us-gaap:CommonStockMember2020-12-310001674930srt:MinimumMember2022-01-012022-12-310001674930flgt:NovemberTwoThousandTwentyEquityDistributionAgreementMemberus-gaap:CommonStockMember2021-01-012021-12-310001674930flgt:ClinicalPatientContractsMemberus-</w:t>
      </w:r>
      <w:r>
        <w:rPr>
          <w:rFonts w:eastAsia="Times New Roman"/>
          <w:vanish/>
        </w:rPr>
        <w:t>gaap:AccountingStandardsUpdate201409Member2022-01-012022-12-310001674930flgt:TwoThousandNineteenEquityDistributionAgreementMemberus-gaap:ParentMember2020-01-012020-12-310001674930flgt:XilongScientificMemberflgt:FFGeneBiotechMember2021-01-012021-12-31000167</w:t>
      </w:r>
      <w:r>
        <w:rPr>
          <w:rFonts w:eastAsia="Times New Roman"/>
          <w:vanish/>
        </w:rPr>
        <w:t>4930us-gaap:RedeemablePreferredStockMemberus-gaap:FairValueMeasurementsRecurringMember2022-12-310001674930flgt:YankeeDebtSecuritiesMemberus-gaap:FairValueInputsLevel2Memberus-gaap:FairValueMeasurementsRecurringMember2021-12-310001674930us-gaap:FairValueMea</w:t>
      </w:r>
      <w:r>
        <w:rPr>
          <w:rFonts w:eastAsia="Times New Roman"/>
          <w:vanish/>
        </w:rPr>
        <w:t>surementsRecurringMember2022-12-310001674930us-gaap:EmployeeStockOptionMember2019-12-310001674930us-gaap:BuildingMember2021-12-310001674930us-gaap:RestrictedStockUnitsRSUMember2020-01-012020-12-310001674930us-gaap:RedeemablePreferredStockMemberus-gaap:Fair</w:t>
      </w:r>
      <w:r>
        <w:rPr>
          <w:rFonts w:eastAsia="Times New Roman"/>
          <w:vanish/>
        </w:rPr>
        <w:t>ValueMeasurementsRecurringMember2021-12-310001674930flgt:TwoThousandNineteenEquityDistributionAgreementMember2020-01-012020-12-310001674930us-gaap:SellingAndMarketingExpenseMember2020-01-012020-12-310001674930us-gaap:RedeemablePreferredStockMemberus-gaap:F</w:t>
      </w:r>
      <w:r>
        <w:rPr>
          <w:rFonts w:eastAsia="Times New Roman"/>
          <w:vanish/>
        </w:rPr>
        <w:t>airValueInputsLevel3Memberus-gaap:FairValueMeasurementsRecurringMember2022-12-3100016749302021-01-012021-03-310001674930us-gaap:RestrictedStockUnitsRSUMemberflgt:TwoThousandSixteenOmnibusIncentivePlanMember2019-12-310001674930flgt:ShortTermEquitySecurities</w:t>
      </w:r>
      <w:r>
        <w:rPr>
          <w:rFonts w:eastAsia="Times New Roman"/>
          <w:vanish/>
        </w:rPr>
        <w:t>Member2021-12-310001674930us-gaap:RestrictedStockUnitsRSUMember2020-12-3100016749302021-07-012021-09-300001674930flgt:BostonMoleculesIncMember2021-12-310001674930srt:MaximumMemberus-gaap:SoftwareDevelopmentMember2022-01-012022-12-310001674930flgt:NovemberT</w:t>
      </w:r>
      <w:r>
        <w:rPr>
          <w:rFonts w:eastAsia="Times New Roman"/>
          <w:vanish/>
        </w:rPr>
        <w:t>woThousandTwentyEquityDistributionAgreementMemberus-gaap:CommonStockMember2020-01-012020-12-310001674930flgt:AircraftMember2021-12-310001674930flgt:InformDiagnosticsMemberus-gaap:SellingGeneralAndAdministrativeExpensesMember2022-01-012022-12-310001674930us</w:t>
      </w:r>
      <w:r>
        <w:rPr>
          <w:rFonts w:eastAsia="Times New Roman"/>
          <w:vanish/>
        </w:rPr>
        <w:t>-gaap:StateAndLocalJurisdictionMember2022-01-012022-12-310001674930flgt:ShortTermMarketableSecuritesMemberus-gaap:USGovernmentDebtSecuritiesMember2022-12-310001674930flgt:FulgentPharmaHoldingsIncMemberus-gaap:RestrictedStockUnitsRSUMember2022-11-072022-11-</w:t>
      </w:r>
      <w:r>
        <w:rPr>
          <w:rFonts w:eastAsia="Times New Roman"/>
          <w:vanish/>
        </w:rPr>
        <w:t>070001674930srt:MinimumMemberus-gaap:LandImprovementsMember2022-01-012022-12-310001674930srt:MinimumMemberus-gaap:BuildingImprovementsMember2022-01-012022-12-310001674930us-gaap:ParentMember2020-01-012020-12-310001674930flgt:TwoThousandNineteenEquityDistri</w:t>
      </w:r>
      <w:r>
        <w:rPr>
          <w:rFonts w:eastAsia="Times New Roman"/>
          <w:vanish/>
        </w:rPr>
        <w:t>butionAgreementMemberus-gaap:CommonStockMember2020-01-012020-12-310001674930flgt:InsuranceCustomerMember2021-12-310001674930flgt:InstitutionalCustomerMember2022-12-3100016749302022-06-300001674930srt:MaximumMemberus-gaap:BuildingMember2022-01-012022-12-310</w:t>
      </w:r>
      <w:r>
        <w:rPr>
          <w:rFonts w:eastAsia="Times New Roman"/>
          <w:vanish/>
        </w:rPr>
        <w:t>001674930us-gaap:AccumulatedOtherComprehensiveIncomeMember2022-01-012022-12-310001674930flgt:RoyaltyFreeTechnologyMember2021-12-310001674930us-gaap:NoncontrollingInterestMember2021-01-012021-12-310001674930flgt:YankeeDebtSecuritiesMemberflgt:DebtSecurities</w:t>
      </w:r>
      <w:r>
        <w:rPr>
          <w:rFonts w:eastAsia="Times New Roman"/>
          <w:vanish/>
        </w:rPr>
        <w:t>DueAfterOneYearThroughFiveYearsMember2022-12-310001674930flgt:NovemberTwoThousandTwentyEquityDistributionAgreementMember2020-12-310001674930us-gaap:FurnitureAndFixturesMember2022-12-310001674930us-gaap:ResearchAndDevelopmentExpenseMember2022-01-012022-12-3</w:t>
      </w:r>
      <w:r>
        <w:rPr>
          <w:rFonts w:eastAsia="Times New Roman"/>
          <w:vanish/>
        </w:rPr>
        <w:t>10001674930us-gaap:FairValueInputsLevel1Memberus-gaap:MoneyMarketFundsMemberus-gaap:FairValueMeasurementsRecurringMember2022-12-310001674930flgt:YankeeDebtSecuritiesMemberus-gaap:FairValueMeasurementsRecurringMember2021-12-310001674930flgt:FFGeneBiotechMem</w:t>
      </w:r>
      <w:r>
        <w:rPr>
          <w:rFonts w:eastAsia="Times New Roman"/>
          <w:vanish/>
        </w:rPr>
        <w:t>ber2021-01-012021-12-310001674930flgt:MedicalLabEquipmentMember2022-12-310001674930us-gaap:SalesRevenueNetMemberflgt:CustomerOneMemberus-gaap:CustomerConcentrationRiskMember2022-01-012022-12-3100016749302021-12-310001674930us-gaap:EmployeeStockOptionMember</w:t>
      </w:r>
      <w:r>
        <w:rPr>
          <w:rFonts w:eastAsia="Times New Roman"/>
          <w:vanish/>
        </w:rPr>
        <w:t>2022-12-310001674930us-gaap:RestrictedStockUnitsRSUMemberflgt:TwoThousandSixteenOmnibusIncentivePlanMember2022-12-310001674930us-gaap:MunicipalBondsMemberus-gaap:FairValueMeasurementsRecurringMember2022-12-310001674930us-gaap:ParentMember2021-01-012021-12-</w:t>
      </w:r>
      <w:r>
        <w:rPr>
          <w:rFonts w:eastAsia="Times New Roman"/>
          <w:vanish/>
        </w:rPr>
        <w:t>310001674930us-gaap:ParentMember2020-12-3100016749302021-04-012021-06-300001674930us-gaap:AccumulatedOtherComprehensiveIncomeMember2020-01-012020-12-310001674930us-gaap:RestrictedStockUnitsRSUMemberflgt:TwoThousandSixteenOmnibusIncentivePlanMember2020-12-3</w:t>
      </w:r>
      <w:r>
        <w:rPr>
          <w:rFonts w:eastAsia="Times New Roman"/>
          <w:vanish/>
        </w:rPr>
        <w:t>10001674930flgt:DebtSecuritiesDueAfterOneYearThroughFiveYearsMemberus-gaap:MunicipalBondsMember2022-12-310001674930us-gaap:SalesRevenueNetMemberus-gaap:CustomerConcentrationRiskMember2021-01-012021-12-31xbrli:pureflgt:Customerxbrli:sharesiso4217:USDxbrli:s</w:t>
      </w:r>
      <w:r>
        <w:rPr>
          <w:rFonts w:eastAsia="Times New Roman"/>
          <w:vanish/>
        </w:rPr>
        <w:t>haresiso4217:USDflgt:Segment</w:t>
      </w:r>
    </w:p>
    <w:p w:rsidR="00000000" w:rsidRDefault="00477EE8">
      <w:pPr>
        <w:pStyle w:val="a3"/>
        <w:spacing w:before="0" w:beforeAutospacing="0" w:after="0" w:afterAutospacing="0"/>
        <w:jc w:val="center"/>
        <w:rPr>
          <w:sz w:val="20"/>
          <w:szCs w:val="20"/>
        </w:rPr>
      </w:pPr>
      <w:r>
        <w:rPr>
          <w:b/>
          <w:bCs/>
          <w:sz w:val="32"/>
          <w:szCs w:val="32"/>
        </w:rPr>
        <w:t>UNITED STATE</w:t>
      </w:r>
      <w:r>
        <w:rPr>
          <w:b/>
          <w:bCs/>
          <w:sz w:val="32"/>
          <w:szCs w:val="32"/>
        </w:rPr>
        <w:t>S</w:t>
      </w:r>
    </w:p>
    <w:p w:rsidR="00000000" w:rsidRDefault="00477EE8">
      <w:pPr>
        <w:pStyle w:val="a3"/>
        <w:spacing w:before="0" w:beforeAutospacing="0" w:after="0" w:afterAutospacing="0"/>
        <w:jc w:val="center"/>
        <w:rPr>
          <w:sz w:val="20"/>
          <w:szCs w:val="20"/>
        </w:rPr>
      </w:pPr>
      <w:r>
        <w:rPr>
          <w:b/>
          <w:bCs/>
          <w:sz w:val="32"/>
          <w:szCs w:val="32"/>
        </w:rPr>
        <w:t>SECURITIES AND EXCHANGE COMMISSIO</w:t>
      </w:r>
      <w:r>
        <w:rPr>
          <w:b/>
          <w:bCs/>
          <w:sz w:val="32"/>
          <w:szCs w:val="32"/>
        </w:rPr>
        <w:t>N</w:t>
      </w:r>
    </w:p>
    <w:p w:rsidR="00000000" w:rsidRDefault="00477EE8">
      <w:pPr>
        <w:pStyle w:val="a3"/>
        <w:spacing w:before="0" w:beforeAutospacing="0" w:after="0" w:afterAutospacing="0"/>
        <w:jc w:val="center"/>
        <w:rPr>
          <w:sz w:val="20"/>
          <w:szCs w:val="20"/>
        </w:rPr>
      </w:pPr>
      <w:r>
        <w:rPr>
          <w:b/>
          <w:bCs/>
          <w:sz w:val="20"/>
          <w:szCs w:val="20"/>
        </w:rPr>
        <w:t>Washington, D.C. 2054</w:t>
      </w:r>
      <w:r>
        <w:rPr>
          <w:b/>
          <w:bCs/>
          <w:sz w:val="20"/>
          <w:szCs w:val="20"/>
        </w:rPr>
        <w:t>9</w:t>
      </w:r>
    </w:p>
    <w:p w:rsidR="00000000" w:rsidRDefault="00477EE8">
      <w:pPr>
        <w:pStyle w:val="a3"/>
        <w:pBdr>
          <w:bottom w:val="single" w:sz="4" w:space="1" w:color="auto"/>
        </w:pBdr>
        <w:spacing w:before="0" w:beforeAutospacing="0" w:after="0" w:afterAutospacing="0"/>
        <w:ind w:left="4762" w:right="4762"/>
        <w:jc w:val="center"/>
        <w:rPr>
          <w:sz w:val="20"/>
          <w:szCs w:val="20"/>
        </w:rPr>
      </w:pPr>
      <w:r>
        <w:rPr>
          <w:sz w:val="4"/>
          <w:szCs w:val="4"/>
        </w:rPr>
        <w:t> </w:t>
      </w:r>
    </w:p>
    <w:p w:rsidR="00000000" w:rsidRDefault="00477EE8">
      <w:pPr>
        <w:pStyle w:val="a3"/>
        <w:spacing w:before="40" w:beforeAutospacing="0" w:after="0" w:afterAutospacing="0"/>
        <w:jc w:val="center"/>
        <w:rPr>
          <w:sz w:val="20"/>
          <w:szCs w:val="20"/>
        </w:rPr>
      </w:pPr>
      <w:r>
        <w:rPr>
          <w:b/>
          <w:bCs/>
          <w:sz w:val="32"/>
          <w:szCs w:val="32"/>
        </w:rPr>
        <w:t>FORM</w:t>
      </w:r>
      <w:r>
        <w:rPr>
          <w:b/>
          <w:bCs/>
          <w:sz w:val="32"/>
          <w:szCs w:val="32"/>
        </w:rPr>
        <w:t xml:space="preserve"> </w:t>
      </w:r>
      <w:r>
        <w:rPr>
          <w:b/>
          <w:bCs/>
          <w:sz w:val="32"/>
          <w:szCs w:val="32"/>
        </w:rPr>
        <w:t>10-</w:t>
      </w:r>
      <w:r>
        <w:rPr>
          <w:b/>
          <w:bCs/>
          <w:sz w:val="32"/>
          <w:szCs w:val="32"/>
        </w:rPr>
        <w:t>K</w:t>
      </w:r>
    </w:p>
    <w:p w:rsidR="00000000" w:rsidRDefault="00477EE8">
      <w:pPr>
        <w:pStyle w:val="a3"/>
        <w:pBdr>
          <w:bottom w:val="single" w:sz="4" w:space="1" w:color="auto"/>
        </w:pBdr>
        <w:spacing w:before="0" w:beforeAutospacing="0" w:after="0" w:afterAutospacing="0"/>
        <w:ind w:left="4762" w:right="4762"/>
        <w:jc w:val="center"/>
        <w:rPr>
          <w:sz w:val="20"/>
          <w:szCs w:val="20"/>
        </w:rPr>
      </w:pPr>
      <w:r>
        <w:rPr>
          <w:sz w:val="4"/>
          <w:szCs w:val="4"/>
        </w:rPr>
        <w:t> </w:t>
      </w:r>
    </w:p>
    <w:p w:rsidR="00000000" w:rsidRDefault="00477EE8">
      <w:pPr>
        <w:pStyle w:val="a3"/>
        <w:spacing w:before="40" w:beforeAutospacing="0" w:after="0" w:afterAutospacing="0"/>
        <w:rPr>
          <w:sz w:val="20"/>
          <w:szCs w:val="20"/>
        </w:rPr>
      </w:pPr>
      <w:r>
        <w:rPr>
          <w:b/>
          <w:bCs/>
          <w:sz w:val="18"/>
          <w:szCs w:val="18"/>
        </w:rPr>
        <w:t>(Mark One</w:t>
      </w:r>
      <w:r>
        <w:rPr>
          <w:b/>
          <w:bCs/>
          <w:sz w:val="18"/>
          <w:szCs w:val="18"/>
        </w:rPr>
        <w:t>)</w:t>
      </w:r>
    </w:p>
    <w:p w:rsidR="00000000" w:rsidRDefault="00477EE8">
      <w:pPr>
        <w:pStyle w:val="a3"/>
        <w:spacing w:before="40" w:beforeAutospacing="0" w:after="0" w:afterAutospacing="0"/>
        <w:ind w:hanging="581"/>
        <w:rPr>
          <w:sz w:val="20"/>
          <w:szCs w:val="20"/>
        </w:rPr>
      </w:pPr>
      <w:r>
        <w:rPr>
          <w:rFonts w:ascii="Segoe UI Symbol" w:hAnsi="Segoe UI Symbol" w:cs="Segoe UI Symbol"/>
          <w:sz w:val="18"/>
          <w:szCs w:val="18"/>
        </w:rPr>
        <w:t>☒</w:t>
      </w:r>
      <w:r>
        <w:rPr>
          <w:sz w:val="18"/>
          <w:szCs w:val="18"/>
        </w:rPr>
        <w:t xml:space="preserve"> </w:t>
      </w:r>
      <w:r>
        <w:rPr>
          <w:b/>
          <w:bCs/>
          <w:sz w:val="18"/>
          <w:szCs w:val="18"/>
        </w:rPr>
        <w:t>ANNUAL REPORT PURSUANT TO SECTION 13 OR 15(d) OF THE SECURITIES EXCHANGE ACT OF 193</w:t>
      </w:r>
      <w:r>
        <w:rPr>
          <w:b/>
          <w:bCs/>
          <w:sz w:val="18"/>
          <w:szCs w:val="18"/>
        </w:rPr>
        <w:t>4</w:t>
      </w:r>
    </w:p>
    <w:p w:rsidR="00000000" w:rsidRDefault="00477EE8">
      <w:pPr>
        <w:pStyle w:val="a3"/>
        <w:spacing w:before="40" w:beforeAutospacing="0" w:after="0" w:afterAutospacing="0"/>
        <w:jc w:val="center"/>
        <w:rPr>
          <w:sz w:val="20"/>
          <w:szCs w:val="20"/>
        </w:rPr>
      </w:pPr>
      <w:r>
        <w:rPr>
          <w:b/>
          <w:bCs/>
          <w:sz w:val="18"/>
          <w:szCs w:val="18"/>
        </w:rPr>
        <w:t>For the fiscal year ended</w:t>
      </w:r>
      <w:r>
        <w:rPr>
          <w:b/>
          <w:bCs/>
          <w:sz w:val="18"/>
          <w:szCs w:val="18"/>
        </w:rPr>
        <w:t xml:space="preserve"> </w:t>
      </w:r>
      <w:r>
        <w:rPr>
          <w:b/>
          <w:bCs/>
          <w:sz w:val="18"/>
          <w:szCs w:val="18"/>
        </w:rPr>
        <w:t>December 3</w:t>
      </w:r>
      <w:r>
        <w:rPr>
          <w:b/>
          <w:bCs/>
          <w:sz w:val="18"/>
          <w:szCs w:val="18"/>
        </w:rPr>
        <w:t>1</w:t>
      </w:r>
      <w:r>
        <w:rPr>
          <w:b/>
          <w:bCs/>
          <w:sz w:val="18"/>
          <w:szCs w:val="18"/>
        </w:rPr>
        <w:t>,</w:t>
      </w:r>
      <w:r>
        <w:rPr>
          <w:b/>
          <w:bCs/>
          <w:sz w:val="18"/>
          <w:szCs w:val="18"/>
        </w:rPr>
        <w:t xml:space="preserve"> </w:t>
      </w:r>
      <w:r>
        <w:rPr>
          <w:b/>
          <w:bCs/>
          <w:sz w:val="18"/>
          <w:szCs w:val="18"/>
        </w:rPr>
        <w:t>202</w:t>
      </w:r>
      <w:r>
        <w:rPr>
          <w:b/>
          <w:bCs/>
          <w:sz w:val="18"/>
          <w:szCs w:val="18"/>
        </w:rPr>
        <w:t>2</w:t>
      </w:r>
    </w:p>
    <w:p w:rsidR="00000000" w:rsidRDefault="00477EE8">
      <w:pPr>
        <w:pStyle w:val="a3"/>
        <w:spacing w:before="40" w:beforeAutospacing="0" w:after="0" w:afterAutospacing="0"/>
        <w:jc w:val="center"/>
        <w:rPr>
          <w:sz w:val="20"/>
          <w:szCs w:val="20"/>
        </w:rPr>
      </w:pPr>
      <w:r>
        <w:rPr>
          <w:b/>
          <w:bCs/>
          <w:sz w:val="18"/>
          <w:szCs w:val="18"/>
        </w:rPr>
        <w:t>O</w:t>
      </w:r>
      <w:r>
        <w:rPr>
          <w:b/>
          <w:bCs/>
          <w:sz w:val="18"/>
          <w:szCs w:val="18"/>
        </w:rPr>
        <w:t>R</w:t>
      </w:r>
    </w:p>
    <w:p w:rsidR="00000000" w:rsidRDefault="00477EE8">
      <w:pPr>
        <w:pStyle w:val="a3"/>
        <w:spacing w:before="40" w:beforeAutospacing="0" w:after="0" w:afterAutospacing="0"/>
        <w:ind w:hanging="581"/>
        <w:rPr>
          <w:sz w:val="20"/>
          <w:szCs w:val="20"/>
        </w:rPr>
      </w:pPr>
      <w:r>
        <w:rPr>
          <w:rFonts w:ascii="Segoe UI Symbol" w:hAnsi="Segoe UI Symbol" w:cs="Segoe UI Symbol"/>
          <w:sz w:val="18"/>
          <w:szCs w:val="18"/>
        </w:rPr>
        <w:t>☐</w:t>
      </w:r>
      <w:r>
        <w:rPr>
          <w:sz w:val="18"/>
          <w:szCs w:val="18"/>
        </w:rPr>
        <w:t xml:space="preserve"> </w:t>
      </w:r>
      <w:r>
        <w:rPr>
          <w:b/>
          <w:bCs/>
          <w:sz w:val="18"/>
          <w:szCs w:val="18"/>
        </w:rPr>
        <w:t>TRANSITION REPORT PURSUANT TO SECTION 13 OR 15(d) OF THE SECURITIES EXCHANGE ACT OF 193</w:t>
      </w:r>
      <w:r>
        <w:rPr>
          <w:b/>
          <w:bCs/>
          <w:sz w:val="18"/>
          <w:szCs w:val="18"/>
        </w:rPr>
        <w:t>4</w:t>
      </w:r>
    </w:p>
    <w:p w:rsidR="00000000" w:rsidRDefault="00477EE8">
      <w:pPr>
        <w:pStyle w:val="a3"/>
        <w:spacing w:before="40" w:beforeAutospacing="0" w:after="0" w:afterAutospacing="0"/>
        <w:ind w:hanging="581"/>
        <w:jc w:val="center"/>
        <w:rPr>
          <w:sz w:val="20"/>
          <w:szCs w:val="20"/>
        </w:rPr>
      </w:pPr>
      <w:r>
        <w:rPr>
          <w:b/>
          <w:bCs/>
          <w:sz w:val="18"/>
          <w:szCs w:val="18"/>
        </w:rPr>
        <w:t>For the transition period from t</w:t>
      </w:r>
      <w:r>
        <w:rPr>
          <w:b/>
          <w:bCs/>
          <w:sz w:val="18"/>
          <w:szCs w:val="18"/>
        </w:rPr>
        <w:t>o</w:t>
      </w:r>
    </w:p>
    <w:p w:rsidR="00000000" w:rsidRDefault="00477EE8">
      <w:pPr>
        <w:pStyle w:val="a3"/>
        <w:spacing w:before="40" w:beforeAutospacing="0" w:after="0" w:afterAutospacing="0"/>
        <w:jc w:val="center"/>
        <w:rPr>
          <w:sz w:val="20"/>
          <w:szCs w:val="20"/>
        </w:rPr>
      </w:pPr>
      <w:r>
        <w:rPr>
          <w:b/>
          <w:bCs/>
          <w:sz w:val="18"/>
          <w:szCs w:val="18"/>
        </w:rPr>
        <w:t>Commission File Number</w:t>
      </w:r>
      <w:r>
        <w:rPr>
          <w:b/>
          <w:bCs/>
          <w:sz w:val="18"/>
          <w:szCs w:val="18"/>
        </w:rPr>
        <w:t xml:space="preserve"> </w:t>
      </w:r>
      <w:r>
        <w:rPr>
          <w:b/>
          <w:bCs/>
          <w:sz w:val="18"/>
          <w:szCs w:val="18"/>
        </w:rPr>
        <w:t>001-3789</w:t>
      </w:r>
      <w:r>
        <w:rPr>
          <w:b/>
          <w:bCs/>
          <w:sz w:val="18"/>
          <w:szCs w:val="18"/>
        </w:rPr>
        <w:t>4</w:t>
      </w:r>
    </w:p>
    <w:p w:rsidR="00000000" w:rsidRDefault="00477EE8">
      <w:pPr>
        <w:pStyle w:val="a3"/>
        <w:pBdr>
          <w:bottom w:val="single" w:sz="4" w:space="1" w:color="auto"/>
        </w:pBdr>
        <w:spacing w:before="0" w:beforeAutospacing="0" w:after="0" w:afterAutospacing="0"/>
        <w:ind w:left="4762" w:right="4762"/>
        <w:jc w:val="center"/>
        <w:rPr>
          <w:sz w:val="20"/>
          <w:szCs w:val="20"/>
        </w:rPr>
      </w:pPr>
      <w:r>
        <w:rPr>
          <w:sz w:val="4"/>
          <w:szCs w:val="4"/>
        </w:rPr>
        <w:t> </w:t>
      </w:r>
    </w:p>
    <w:p w:rsidR="00000000" w:rsidRDefault="00477EE8">
      <w:pPr>
        <w:pStyle w:val="a3"/>
        <w:spacing w:before="0" w:beforeAutospacing="0" w:after="0" w:afterAutospacing="0"/>
        <w:jc w:val="center"/>
        <w:rPr>
          <w:sz w:val="20"/>
          <w:szCs w:val="20"/>
        </w:rPr>
      </w:pPr>
      <w:r>
        <w:rPr>
          <w:b/>
          <w:bCs/>
          <w:sz w:val="44"/>
          <w:szCs w:val="44"/>
        </w:rPr>
        <w:t>FULGENT GENETICS, INC</w:t>
      </w:r>
      <w:r>
        <w:rPr>
          <w:b/>
          <w:bCs/>
          <w:sz w:val="44"/>
          <w:szCs w:val="44"/>
        </w:rPr>
        <w:t>.</w:t>
      </w:r>
    </w:p>
    <w:p w:rsidR="00000000" w:rsidRDefault="00477EE8">
      <w:pPr>
        <w:pStyle w:val="a3"/>
        <w:spacing w:before="0" w:beforeAutospacing="0" w:after="0" w:afterAutospacing="0"/>
        <w:jc w:val="center"/>
        <w:rPr>
          <w:sz w:val="20"/>
          <w:szCs w:val="20"/>
        </w:rPr>
      </w:pPr>
      <w:r>
        <w:rPr>
          <w:b/>
          <w:bCs/>
          <w:sz w:val="18"/>
          <w:szCs w:val="18"/>
        </w:rPr>
        <w:t>(Exact name of registrant as specified in its charter</w:t>
      </w:r>
      <w:r>
        <w:rPr>
          <w:b/>
          <w:bCs/>
          <w:sz w:val="18"/>
          <w:szCs w:val="18"/>
        </w:rPr>
        <w:t>)</w:t>
      </w:r>
    </w:p>
    <w:p w:rsidR="00000000" w:rsidRDefault="00477EE8">
      <w:pPr>
        <w:pStyle w:val="a3"/>
        <w:pBdr>
          <w:bottom w:val="single" w:sz="4" w:space="1" w:color="auto"/>
        </w:pBdr>
        <w:spacing w:before="0" w:beforeAutospacing="0" w:after="0" w:afterAutospacing="0"/>
        <w:ind w:left="4762" w:right="4762"/>
        <w:jc w:val="center"/>
        <w:rPr>
          <w:sz w:val="20"/>
          <w:szCs w:val="20"/>
        </w:rPr>
      </w:pPr>
      <w:r>
        <w:rPr>
          <w:sz w:val="4"/>
          <w:szCs w:val="4"/>
        </w:rPr>
        <w:t> </w:t>
      </w:r>
    </w:p>
    <w:p w:rsidR="00000000" w:rsidRDefault="00477EE8">
      <w:pPr>
        <w:pStyle w:val="a3"/>
        <w:spacing w:before="0" w:beforeAutospacing="0" w:after="0" w:afterAutospacing="0"/>
        <w:rPr>
          <w:sz w:val="20"/>
          <w:szCs w:val="20"/>
        </w:rPr>
      </w:pPr>
      <w:r>
        <w:rPr>
          <w:sz w:val="4"/>
          <w:szCs w:val="4"/>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trPr>
          <w:tblCellSpacing w:w="15" w:type="dxa"/>
        </w:trPr>
        <w:tc>
          <w:tcPr>
            <w:tcW w:w="2500" w:type="pct"/>
            <w:vAlign w:val="center"/>
            <w:hideMark/>
          </w:tcPr>
          <w:p w:rsidR="00000000" w:rsidRDefault="00477EE8">
            <w:pPr>
              <w:rPr>
                <w:sz w:val="20"/>
                <w:szCs w:val="20"/>
              </w:rPr>
            </w:pPr>
          </w:p>
        </w:tc>
        <w:tc>
          <w:tcPr>
            <w:tcW w:w="2500" w:type="pct"/>
            <w:vAlign w:val="center"/>
            <w:hideMark/>
          </w:tcPr>
          <w:p w:rsidR="00000000" w:rsidRDefault="00477EE8">
            <w:pPr>
              <w:rPr>
                <w:rFonts w:eastAsia="Times New Roman"/>
                <w:sz w:val="20"/>
                <w:szCs w:val="20"/>
              </w:rPr>
            </w:pPr>
          </w:p>
        </w:tc>
      </w:tr>
      <w:tr w:rsidR="00000000">
        <w:trPr>
          <w:trHeight w:val="160"/>
          <w:tblCellSpacing w:w="15" w:type="dxa"/>
        </w:trPr>
        <w:tc>
          <w:tcPr>
            <w:tcW w:w="0" w:type="auto"/>
            <w:tcMar>
              <w:top w:w="15" w:type="dxa"/>
              <w:left w:w="15" w:type="dxa"/>
              <w:bottom w:w="15" w:type="dxa"/>
              <w:right w:w="14" w:type="dxa"/>
            </w:tcMar>
            <w:vAlign w:val="bottom"/>
            <w:hideMark/>
          </w:tcPr>
          <w:p w:rsidR="00000000" w:rsidRDefault="00477EE8">
            <w:pPr>
              <w:pStyle w:val="a3"/>
              <w:spacing w:before="0" w:beforeAutospacing="0" w:after="0" w:afterAutospacing="0"/>
              <w:jc w:val="center"/>
              <w:rPr>
                <w:sz w:val="20"/>
                <w:szCs w:val="20"/>
              </w:rPr>
            </w:pPr>
            <w:r>
              <w:rPr>
                <w:b/>
                <w:bCs/>
                <w:sz w:val="16"/>
                <w:szCs w:val="16"/>
              </w:rPr>
              <w:t>Delawar</w:t>
            </w:r>
            <w:r>
              <w:rPr>
                <w:b/>
                <w:bCs/>
                <w:sz w:val="16"/>
                <w:szCs w:val="16"/>
              </w:rPr>
              <w:t>e</w:t>
            </w:r>
          </w:p>
        </w:tc>
        <w:tc>
          <w:tcPr>
            <w:tcW w:w="0" w:type="auto"/>
            <w:tcMar>
              <w:top w:w="15" w:type="dxa"/>
              <w:left w:w="15" w:type="dxa"/>
              <w:bottom w:w="15" w:type="dxa"/>
              <w:right w:w="14" w:type="dxa"/>
            </w:tcMar>
            <w:vAlign w:val="bottom"/>
            <w:hideMark/>
          </w:tcPr>
          <w:p w:rsidR="00000000" w:rsidRDefault="00477EE8">
            <w:pPr>
              <w:pStyle w:val="a3"/>
              <w:spacing w:before="0" w:beforeAutospacing="0" w:after="0" w:afterAutospacing="0"/>
              <w:jc w:val="center"/>
              <w:rPr>
                <w:sz w:val="20"/>
                <w:szCs w:val="20"/>
              </w:rPr>
            </w:pPr>
            <w:r>
              <w:rPr>
                <w:b/>
                <w:bCs/>
                <w:sz w:val="16"/>
                <w:szCs w:val="16"/>
              </w:rPr>
              <w:t>81-262130</w:t>
            </w:r>
            <w:r>
              <w:rPr>
                <w:b/>
                <w:bCs/>
                <w:sz w:val="16"/>
                <w:szCs w:val="16"/>
              </w:rPr>
              <w:t>4</w:t>
            </w:r>
          </w:p>
        </w:tc>
      </w:tr>
      <w:tr w:rsidR="00000000">
        <w:trPr>
          <w:trHeight w:val="160"/>
          <w:tblCellSpacing w:w="15" w:type="dxa"/>
        </w:trPr>
        <w:tc>
          <w:tcPr>
            <w:tcW w:w="0" w:type="auto"/>
            <w:tcMar>
              <w:top w:w="15" w:type="dxa"/>
              <w:left w:w="15" w:type="dxa"/>
              <w:bottom w:w="15" w:type="dxa"/>
              <w:right w:w="14" w:type="dxa"/>
            </w:tcMar>
            <w:vAlign w:val="bottom"/>
            <w:hideMark/>
          </w:tcPr>
          <w:p w:rsidR="00000000" w:rsidRDefault="00477EE8">
            <w:pPr>
              <w:pStyle w:val="a3"/>
              <w:spacing w:before="0" w:beforeAutospacing="0" w:after="0" w:afterAutospacing="0"/>
              <w:jc w:val="center"/>
              <w:rPr>
                <w:sz w:val="16"/>
                <w:szCs w:val="16"/>
              </w:rPr>
            </w:pPr>
            <w:r>
              <w:rPr>
                <w:sz w:val="16"/>
                <w:szCs w:val="16"/>
              </w:rPr>
              <w:t>(State or other jurisdiction o</w:t>
            </w:r>
            <w:r>
              <w:rPr>
                <w:sz w:val="16"/>
                <w:szCs w:val="16"/>
              </w:rPr>
              <w:t>f</w:t>
            </w:r>
          </w:p>
          <w:p w:rsidR="00000000" w:rsidRDefault="00477EE8">
            <w:pPr>
              <w:pStyle w:val="a3"/>
              <w:spacing w:before="0" w:beforeAutospacing="0" w:after="0" w:afterAutospacing="0"/>
              <w:jc w:val="center"/>
              <w:rPr>
                <w:sz w:val="16"/>
                <w:szCs w:val="16"/>
              </w:rPr>
            </w:pPr>
            <w:r>
              <w:rPr>
                <w:sz w:val="16"/>
                <w:szCs w:val="16"/>
              </w:rPr>
              <w:t>incorporation or organization</w:t>
            </w:r>
            <w:r>
              <w:rPr>
                <w:sz w:val="16"/>
                <w:szCs w:val="16"/>
              </w:rPr>
              <w:t>)</w:t>
            </w:r>
          </w:p>
        </w:tc>
        <w:tc>
          <w:tcPr>
            <w:tcW w:w="0" w:type="auto"/>
            <w:tcMar>
              <w:top w:w="15" w:type="dxa"/>
              <w:left w:w="15" w:type="dxa"/>
              <w:bottom w:w="15" w:type="dxa"/>
              <w:right w:w="14" w:type="dxa"/>
            </w:tcMar>
            <w:vAlign w:val="bottom"/>
            <w:hideMark/>
          </w:tcPr>
          <w:p w:rsidR="00000000" w:rsidRDefault="00477EE8">
            <w:pPr>
              <w:pStyle w:val="a3"/>
              <w:spacing w:before="0" w:beforeAutospacing="0" w:after="0" w:afterAutospacing="0"/>
              <w:jc w:val="center"/>
              <w:rPr>
                <w:sz w:val="16"/>
                <w:szCs w:val="16"/>
              </w:rPr>
            </w:pPr>
            <w:r>
              <w:rPr>
                <w:sz w:val="16"/>
                <w:szCs w:val="16"/>
              </w:rPr>
              <w:t>(I.R.S. Employe</w:t>
            </w:r>
            <w:r>
              <w:rPr>
                <w:sz w:val="16"/>
                <w:szCs w:val="16"/>
              </w:rPr>
              <w:t>r</w:t>
            </w:r>
          </w:p>
          <w:p w:rsidR="00000000" w:rsidRDefault="00477EE8">
            <w:pPr>
              <w:pStyle w:val="a3"/>
              <w:spacing w:before="0" w:beforeAutospacing="0" w:after="0" w:afterAutospacing="0"/>
              <w:jc w:val="center"/>
              <w:rPr>
                <w:sz w:val="16"/>
                <w:szCs w:val="16"/>
              </w:rPr>
            </w:pPr>
            <w:r>
              <w:rPr>
                <w:sz w:val="16"/>
                <w:szCs w:val="16"/>
              </w:rPr>
              <w:t>Identification No.</w:t>
            </w:r>
            <w:r>
              <w:rPr>
                <w:sz w:val="16"/>
                <w:szCs w:val="16"/>
              </w:rPr>
              <w:t>)</w:t>
            </w:r>
          </w:p>
        </w:tc>
      </w:tr>
      <w:tr w:rsidR="00000000">
        <w:trPr>
          <w:trHeight w:val="200"/>
          <w:tblCellSpacing w:w="15" w:type="dxa"/>
        </w:trPr>
        <w:tc>
          <w:tcPr>
            <w:tcW w:w="0" w:type="auto"/>
            <w:tcMar>
              <w:top w:w="15" w:type="dxa"/>
              <w:left w:w="15" w:type="dxa"/>
              <w:bottom w:w="15" w:type="dxa"/>
              <w:right w:w="14" w:type="dxa"/>
            </w:tcMar>
            <w:vAlign w:val="bottom"/>
            <w:hideMark/>
          </w:tcPr>
          <w:p w:rsidR="00000000" w:rsidRDefault="00477EE8">
            <w:pPr>
              <w:pStyle w:val="a3"/>
              <w:spacing w:before="0" w:beforeAutospacing="0" w:after="0" w:afterAutospacing="0"/>
              <w:jc w:val="center"/>
              <w:rPr>
                <w:sz w:val="20"/>
                <w:szCs w:val="20"/>
              </w:rPr>
            </w:pPr>
            <w:r>
              <w:rPr>
                <w:b/>
                <w:bCs/>
                <w:sz w:val="20"/>
                <w:szCs w:val="20"/>
              </w:rPr>
              <w:t>4978 Santa Anita Avenu</w:t>
            </w:r>
            <w:r>
              <w:rPr>
                <w:b/>
                <w:bCs/>
                <w:sz w:val="20"/>
                <w:szCs w:val="20"/>
              </w:rPr>
              <w:t>e</w:t>
            </w:r>
          </w:p>
          <w:p w:rsidR="00000000" w:rsidRDefault="00477EE8">
            <w:pPr>
              <w:pStyle w:val="a3"/>
              <w:spacing w:before="0" w:beforeAutospacing="0" w:after="0" w:afterAutospacing="0"/>
              <w:jc w:val="center"/>
              <w:rPr>
                <w:sz w:val="20"/>
                <w:szCs w:val="20"/>
              </w:rPr>
            </w:pPr>
            <w:r>
              <w:rPr>
                <w:b/>
                <w:bCs/>
                <w:sz w:val="20"/>
                <w:szCs w:val="20"/>
              </w:rPr>
              <w:t>Temple Cit</w:t>
            </w:r>
            <w:r>
              <w:rPr>
                <w:b/>
                <w:bCs/>
                <w:sz w:val="20"/>
                <w:szCs w:val="20"/>
              </w:rPr>
              <w:t>y</w:t>
            </w:r>
            <w:r>
              <w:rPr>
                <w:b/>
                <w:bCs/>
                <w:sz w:val="20"/>
                <w:szCs w:val="20"/>
              </w:rPr>
              <w:t>,</w:t>
            </w:r>
            <w:r>
              <w:rPr>
                <w:b/>
                <w:bCs/>
                <w:sz w:val="20"/>
                <w:szCs w:val="20"/>
              </w:rPr>
              <w:t xml:space="preserve"> </w:t>
            </w:r>
            <w:r>
              <w:rPr>
                <w:b/>
                <w:bCs/>
                <w:sz w:val="20"/>
                <w:szCs w:val="20"/>
              </w:rPr>
              <w:t>C</w:t>
            </w:r>
            <w:r>
              <w:rPr>
                <w:b/>
                <w:bCs/>
                <w:sz w:val="20"/>
                <w:szCs w:val="20"/>
              </w:rPr>
              <w:t>A</w:t>
            </w:r>
          </w:p>
        </w:tc>
        <w:tc>
          <w:tcPr>
            <w:tcW w:w="0" w:type="auto"/>
            <w:tcMar>
              <w:top w:w="15" w:type="dxa"/>
              <w:left w:w="15" w:type="dxa"/>
              <w:bottom w:w="15" w:type="dxa"/>
              <w:right w:w="14" w:type="dxa"/>
            </w:tcMar>
            <w:vAlign w:val="bottom"/>
            <w:hideMark/>
          </w:tcPr>
          <w:p w:rsidR="00000000" w:rsidRDefault="00477EE8">
            <w:pPr>
              <w:pStyle w:val="a3"/>
              <w:spacing w:before="0" w:beforeAutospacing="0" w:after="0" w:afterAutospacing="0"/>
              <w:jc w:val="center"/>
              <w:rPr>
                <w:sz w:val="20"/>
                <w:szCs w:val="20"/>
              </w:rPr>
            </w:pPr>
            <w:r>
              <w:rPr>
                <w:b/>
                <w:bCs/>
                <w:sz w:val="20"/>
                <w:szCs w:val="20"/>
              </w:rPr>
              <w:t>9178</w:t>
            </w:r>
            <w:r>
              <w:rPr>
                <w:b/>
                <w:bCs/>
                <w:sz w:val="20"/>
                <w:szCs w:val="20"/>
              </w:rPr>
              <w:t>0</w:t>
            </w:r>
          </w:p>
        </w:tc>
      </w:tr>
      <w:tr w:rsidR="00000000">
        <w:trPr>
          <w:trHeight w:val="160"/>
          <w:tblCellSpacing w:w="15" w:type="dxa"/>
        </w:trPr>
        <w:tc>
          <w:tcPr>
            <w:tcW w:w="0" w:type="auto"/>
            <w:tcMar>
              <w:top w:w="15" w:type="dxa"/>
              <w:left w:w="15" w:type="dxa"/>
              <w:bottom w:w="15" w:type="dxa"/>
              <w:right w:w="14" w:type="dxa"/>
            </w:tcMar>
            <w:vAlign w:val="bottom"/>
            <w:hideMark/>
          </w:tcPr>
          <w:p w:rsidR="00000000" w:rsidRDefault="00477EE8">
            <w:pPr>
              <w:pStyle w:val="a3"/>
              <w:spacing w:before="0" w:beforeAutospacing="0" w:after="0" w:afterAutospacing="0"/>
              <w:jc w:val="center"/>
              <w:rPr>
                <w:sz w:val="16"/>
                <w:szCs w:val="16"/>
              </w:rPr>
            </w:pPr>
            <w:r>
              <w:rPr>
                <w:b/>
                <w:bCs/>
                <w:sz w:val="16"/>
                <w:szCs w:val="16"/>
              </w:rPr>
              <w:t>(Address of principal executive offices</w:t>
            </w:r>
            <w:r>
              <w:rPr>
                <w:b/>
                <w:bCs/>
                <w:sz w:val="16"/>
                <w:szCs w:val="16"/>
              </w:rPr>
              <w:t>)</w:t>
            </w:r>
          </w:p>
        </w:tc>
        <w:tc>
          <w:tcPr>
            <w:tcW w:w="0" w:type="auto"/>
            <w:tcMar>
              <w:top w:w="15" w:type="dxa"/>
              <w:left w:w="15" w:type="dxa"/>
              <w:bottom w:w="15" w:type="dxa"/>
              <w:right w:w="14" w:type="dxa"/>
            </w:tcMar>
            <w:vAlign w:val="bottom"/>
            <w:hideMark/>
          </w:tcPr>
          <w:p w:rsidR="00000000" w:rsidRDefault="00477EE8">
            <w:pPr>
              <w:pStyle w:val="a3"/>
              <w:spacing w:before="0" w:beforeAutospacing="0" w:after="0" w:afterAutospacing="0"/>
              <w:jc w:val="center"/>
              <w:rPr>
                <w:sz w:val="16"/>
                <w:szCs w:val="16"/>
              </w:rPr>
            </w:pPr>
            <w:r>
              <w:rPr>
                <w:b/>
                <w:bCs/>
                <w:sz w:val="16"/>
                <w:szCs w:val="16"/>
              </w:rPr>
              <w:t>(Zip Code</w:t>
            </w:r>
            <w:r>
              <w:rPr>
                <w:b/>
                <w:bCs/>
                <w:sz w:val="16"/>
                <w:szCs w:val="16"/>
              </w:rPr>
              <w:t>)</w:t>
            </w:r>
          </w:p>
        </w:tc>
      </w:tr>
    </w:tbl>
    <w:p w:rsidR="00000000" w:rsidRDefault="00477EE8">
      <w:pPr>
        <w:pStyle w:val="a3"/>
        <w:pBdr>
          <w:bottom w:val="single" w:sz="4" w:space="1" w:color="auto"/>
        </w:pBdr>
        <w:spacing w:before="0" w:beforeAutospacing="0" w:after="0" w:afterAutospacing="0"/>
        <w:ind w:left="4762" w:right="4762"/>
        <w:jc w:val="center"/>
        <w:rPr>
          <w:sz w:val="20"/>
          <w:szCs w:val="20"/>
        </w:rPr>
      </w:pPr>
      <w:r>
        <w:rPr>
          <w:sz w:val="4"/>
          <w:szCs w:val="4"/>
        </w:rPr>
        <w:t> </w:t>
      </w:r>
    </w:p>
    <w:p w:rsidR="00000000" w:rsidRDefault="00477EE8">
      <w:pPr>
        <w:pStyle w:val="a3"/>
        <w:spacing w:before="40" w:beforeAutospacing="0" w:after="0" w:afterAutospacing="0"/>
        <w:jc w:val="center"/>
        <w:rPr>
          <w:sz w:val="20"/>
          <w:szCs w:val="20"/>
        </w:rPr>
      </w:pPr>
      <w:r>
        <w:rPr>
          <w:b/>
          <w:bCs/>
          <w:sz w:val="18"/>
          <w:szCs w:val="18"/>
        </w:rPr>
        <w:t>Registrant’</w:t>
      </w:r>
      <w:r>
        <w:rPr>
          <w:b/>
          <w:bCs/>
          <w:sz w:val="18"/>
          <w:szCs w:val="18"/>
        </w:rPr>
        <w:t xml:space="preserve">s telephone number, including area code: </w:t>
      </w:r>
      <w:r>
        <w:rPr>
          <w:b/>
          <w:bCs/>
          <w:sz w:val="18"/>
          <w:szCs w:val="18"/>
        </w:rPr>
        <w:t>(</w:t>
      </w:r>
      <w:r>
        <w:rPr>
          <w:b/>
          <w:bCs/>
          <w:sz w:val="18"/>
          <w:szCs w:val="18"/>
        </w:rPr>
        <w:t>62</w:t>
      </w:r>
      <w:r>
        <w:rPr>
          <w:b/>
          <w:bCs/>
          <w:sz w:val="18"/>
          <w:szCs w:val="18"/>
        </w:rPr>
        <w:t>6</w:t>
      </w:r>
      <w:r>
        <w:rPr>
          <w:b/>
          <w:bCs/>
          <w:sz w:val="18"/>
          <w:szCs w:val="18"/>
        </w:rPr>
        <w:t>)</w:t>
      </w:r>
      <w:r>
        <w:rPr>
          <w:b/>
          <w:bCs/>
          <w:sz w:val="18"/>
          <w:szCs w:val="18"/>
        </w:rPr>
        <w:t xml:space="preserve"> </w:t>
      </w:r>
      <w:r>
        <w:rPr>
          <w:b/>
          <w:bCs/>
          <w:sz w:val="18"/>
          <w:szCs w:val="18"/>
        </w:rPr>
        <w:t>350-053</w:t>
      </w:r>
      <w:r>
        <w:rPr>
          <w:b/>
          <w:bCs/>
          <w:sz w:val="18"/>
          <w:szCs w:val="18"/>
        </w:rPr>
        <w:t>7</w:t>
      </w:r>
    </w:p>
    <w:p w:rsidR="00000000" w:rsidRDefault="00477EE8">
      <w:pPr>
        <w:pStyle w:val="a3"/>
        <w:spacing w:before="40" w:beforeAutospacing="0" w:after="0" w:afterAutospacing="0"/>
        <w:rPr>
          <w:sz w:val="20"/>
          <w:szCs w:val="20"/>
        </w:rPr>
      </w:pPr>
      <w:r>
        <w:rPr>
          <w:sz w:val="18"/>
          <w:szCs w:val="18"/>
        </w:rPr>
        <w:t>Securities registered pursuant to Section 12(b) of the Act</w:t>
      </w:r>
      <w:r>
        <w:rPr>
          <w:sz w:val="18"/>
          <w:szCs w:val="18"/>
        </w:rPr>
        <w:t>:</w:t>
      </w:r>
    </w:p>
    <w:p w:rsidR="00000000" w:rsidRDefault="00477EE8">
      <w:pPr>
        <w:pStyle w:val="a3"/>
        <w:spacing w:before="0" w:beforeAutospacing="0" w:after="0" w:afterAutospacing="0"/>
        <w:rPr>
          <w:sz w:val="20"/>
          <w:szCs w:val="20"/>
        </w:rPr>
      </w:pPr>
      <w:r>
        <w:rPr>
          <w:sz w:val="4"/>
          <w:szCs w:val="4"/>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45"/>
        <w:gridCol w:w="193"/>
        <w:gridCol w:w="2630"/>
        <w:gridCol w:w="193"/>
        <w:gridCol w:w="2645"/>
      </w:tblGrid>
      <w:tr w:rsidR="00000000">
        <w:trPr>
          <w:tblCellSpacing w:w="15" w:type="dxa"/>
        </w:trPr>
        <w:tc>
          <w:tcPr>
            <w:tcW w:w="1599" w:type="pct"/>
            <w:vAlign w:val="center"/>
            <w:hideMark/>
          </w:tcPr>
          <w:p w:rsidR="00000000" w:rsidRDefault="00477EE8">
            <w:pPr>
              <w:rPr>
                <w:sz w:val="20"/>
                <w:szCs w:val="20"/>
              </w:rPr>
            </w:pPr>
          </w:p>
        </w:tc>
        <w:tc>
          <w:tcPr>
            <w:tcW w:w="100" w:type="pct"/>
            <w:vAlign w:val="center"/>
            <w:hideMark/>
          </w:tcPr>
          <w:p w:rsidR="00000000" w:rsidRDefault="00477EE8">
            <w:pPr>
              <w:rPr>
                <w:rFonts w:eastAsia="Times New Roman"/>
                <w:sz w:val="20"/>
                <w:szCs w:val="20"/>
              </w:rPr>
            </w:pPr>
          </w:p>
        </w:tc>
        <w:tc>
          <w:tcPr>
            <w:tcW w:w="1600" w:type="pct"/>
            <w:vAlign w:val="center"/>
            <w:hideMark/>
          </w:tcPr>
          <w:p w:rsidR="00000000" w:rsidRDefault="00477EE8">
            <w:pPr>
              <w:rPr>
                <w:rFonts w:eastAsia="Times New Roman"/>
                <w:sz w:val="20"/>
                <w:szCs w:val="20"/>
              </w:rPr>
            </w:pPr>
          </w:p>
        </w:tc>
        <w:tc>
          <w:tcPr>
            <w:tcW w:w="100" w:type="pct"/>
            <w:vAlign w:val="center"/>
            <w:hideMark/>
          </w:tcPr>
          <w:p w:rsidR="00000000" w:rsidRDefault="00477EE8">
            <w:pPr>
              <w:rPr>
                <w:rFonts w:eastAsia="Times New Roman"/>
                <w:sz w:val="20"/>
                <w:szCs w:val="20"/>
              </w:rPr>
            </w:pPr>
          </w:p>
        </w:tc>
        <w:tc>
          <w:tcPr>
            <w:tcW w:w="1600" w:type="pct"/>
            <w:vAlign w:val="center"/>
            <w:hideMark/>
          </w:tcPr>
          <w:p w:rsidR="00000000" w:rsidRDefault="00477EE8">
            <w:pPr>
              <w:rPr>
                <w:rFonts w:eastAsia="Times New Roman"/>
                <w:sz w:val="20"/>
                <w:szCs w:val="20"/>
              </w:rPr>
            </w:pPr>
          </w:p>
        </w:tc>
      </w:tr>
      <w:tr w:rsidR="00000000">
        <w:trPr>
          <w:trHeight w:val="180"/>
          <w:tblCellSpacing w:w="15" w:type="dxa"/>
        </w:trPr>
        <w:tc>
          <w:tcPr>
            <w:tcW w:w="0" w:type="auto"/>
            <w:tcBorders>
              <w:top w:val="single" w:sz="4" w:space="0" w:color="auto"/>
              <w:left w:val="single" w:sz="4" w:space="0" w:color="auto"/>
              <w:bottom w:val="single" w:sz="4" w:space="0" w:color="auto"/>
              <w:right w:val="single" w:sz="4" w:space="0" w:color="auto"/>
            </w:tcBorders>
            <w:vAlign w:val="bottom"/>
            <w:hideMark/>
          </w:tcPr>
          <w:p w:rsidR="00000000" w:rsidRDefault="00477EE8">
            <w:pPr>
              <w:pStyle w:val="a3"/>
              <w:spacing w:before="0" w:beforeAutospacing="0" w:after="0" w:afterAutospacing="0"/>
              <w:jc w:val="center"/>
              <w:rPr>
                <w:sz w:val="18"/>
                <w:szCs w:val="18"/>
              </w:rPr>
            </w:pPr>
            <w:r>
              <w:rPr>
                <w:b/>
                <w:bCs/>
                <w:sz w:val="18"/>
                <w:szCs w:val="18"/>
              </w:rPr>
              <w:t>Title of each clas</w:t>
            </w:r>
            <w:r>
              <w:rPr>
                <w:b/>
                <w:bCs/>
                <w:sz w:val="18"/>
                <w:szCs w:val="18"/>
              </w:rPr>
              <w:t>s</w:t>
            </w:r>
          </w:p>
        </w:tc>
        <w:tc>
          <w:tcPr>
            <w:tcW w:w="0" w:type="auto"/>
            <w:tcBorders>
              <w:top w:val="single" w:sz="4" w:space="0" w:color="auto"/>
              <w:bottom w:val="single" w:sz="4" w:space="0" w:color="auto"/>
            </w:tcBorders>
            <w:hideMark/>
          </w:tcPr>
          <w:p w:rsidR="00000000" w:rsidRDefault="00477EE8">
            <w:pPr>
              <w:pStyle w:val="a3"/>
              <w:spacing w:before="80" w:beforeAutospacing="0" w:after="0" w:afterAutospacing="0"/>
              <w:jc w:val="center"/>
              <w:rPr>
                <w:sz w:val="18"/>
                <w:szCs w:val="18"/>
              </w:rPr>
            </w:pPr>
            <w:r>
              <w:rPr>
                <w:sz w:val="18"/>
                <w:szCs w:val="18"/>
              </w:rPr>
              <w:t> </w:t>
            </w:r>
          </w:p>
        </w:tc>
        <w:tc>
          <w:tcPr>
            <w:tcW w:w="0" w:type="auto"/>
            <w:tcBorders>
              <w:top w:val="single" w:sz="4" w:space="0" w:color="auto"/>
              <w:bottom w:val="single" w:sz="4" w:space="0" w:color="auto"/>
            </w:tcBorders>
            <w:vAlign w:val="bottom"/>
            <w:hideMark/>
          </w:tcPr>
          <w:p w:rsidR="00000000" w:rsidRDefault="00477EE8">
            <w:pPr>
              <w:pStyle w:val="a3"/>
              <w:spacing w:before="0" w:beforeAutospacing="0" w:after="0" w:afterAutospacing="0"/>
              <w:jc w:val="center"/>
              <w:rPr>
                <w:sz w:val="18"/>
                <w:szCs w:val="18"/>
              </w:rPr>
            </w:pPr>
            <w:r>
              <w:rPr>
                <w:b/>
                <w:bCs/>
                <w:sz w:val="18"/>
                <w:szCs w:val="18"/>
              </w:rPr>
              <w:t>Trading Symbol(s</w:t>
            </w:r>
            <w:r>
              <w:rPr>
                <w:b/>
                <w:bCs/>
                <w:sz w:val="18"/>
                <w:szCs w:val="18"/>
              </w:rPr>
              <w:t>)</w:t>
            </w:r>
          </w:p>
        </w:tc>
        <w:tc>
          <w:tcPr>
            <w:tcW w:w="0" w:type="auto"/>
            <w:tcBorders>
              <w:top w:val="single" w:sz="4" w:space="0" w:color="auto"/>
              <w:bottom w:val="single" w:sz="4" w:space="0" w:color="auto"/>
              <w:right w:val="single" w:sz="4" w:space="0" w:color="auto"/>
            </w:tcBorders>
            <w:hideMark/>
          </w:tcPr>
          <w:p w:rsidR="00000000" w:rsidRDefault="00477EE8">
            <w:pPr>
              <w:pStyle w:val="a3"/>
              <w:spacing w:before="80" w:beforeAutospacing="0" w:after="0" w:afterAutospacing="0"/>
              <w:jc w:val="center"/>
              <w:rPr>
                <w:sz w:val="18"/>
                <w:szCs w:val="18"/>
              </w:rPr>
            </w:pPr>
            <w:r>
              <w:rPr>
                <w:sz w:val="18"/>
                <w:szCs w:val="18"/>
              </w:rPr>
              <w:t> </w:t>
            </w:r>
          </w:p>
        </w:tc>
        <w:tc>
          <w:tcPr>
            <w:tcW w:w="0" w:type="auto"/>
            <w:tcBorders>
              <w:top w:val="single" w:sz="4" w:space="0" w:color="auto"/>
              <w:bottom w:val="single" w:sz="4" w:space="0" w:color="auto"/>
              <w:right w:val="single" w:sz="4" w:space="0" w:color="auto"/>
            </w:tcBorders>
            <w:vAlign w:val="bottom"/>
            <w:hideMark/>
          </w:tcPr>
          <w:p w:rsidR="00000000" w:rsidRDefault="00477EE8">
            <w:pPr>
              <w:pStyle w:val="a3"/>
              <w:spacing w:before="0" w:beforeAutospacing="0" w:after="0" w:afterAutospacing="0"/>
              <w:jc w:val="center"/>
              <w:rPr>
                <w:sz w:val="18"/>
                <w:szCs w:val="18"/>
              </w:rPr>
            </w:pPr>
            <w:r>
              <w:rPr>
                <w:b/>
                <w:bCs/>
                <w:sz w:val="18"/>
                <w:szCs w:val="18"/>
              </w:rPr>
              <w:t>Name of each exchange on which registere</w:t>
            </w:r>
            <w:r>
              <w:rPr>
                <w:b/>
                <w:bCs/>
                <w:sz w:val="18"/>
                <w:szCs w:val="18"/>
              </w:rPr>
              <w:t>d</w:t>
            </w:r>
          </w:p>
        </w:tc>
      </w:tr>
      <w:tr w:rsidR="00000000">
        <w:trPr>
          <w:trHeight w:val="180"/>
          <w:tblCellSpacing w:w="15" w:type="dxa"/>
        </w:trPr>
        <w:tc>
          <w:tcPr>
            <w:tcW w:w="0" w:type="auto"/>
            <w:tcBorders>
              <w:left w:val="single" w:sz="4" w:space="0" w:color="auto"/>
              <w:bottom w:val="single" w:sz="4" w:space="0" w:color="auto"/>
              <w:right w:val="single" w:sz="4" w:space="0" w:color="auto"/>
            </w:tcBorders>
            <w:hideMark/>
          </w:tcPr>
          <w:p w:rsidR="00000000" w:rsidRDefault="00477EE8">
            <w:pPr>
              <w:pStyle w:val="a3"/>
              <w:spacing w:before="0" w:beforeAutospacing="0" w:after="0" w:afterAutospacing="0"/>
              <w:jc w:val="center"/>
              <w:rPr>
                <w:sz w:val="20"/>
                <w:szCs w:val="20"/>
              </w:rPr>
            </w:pPr>
            <w:r>
              <w:rPr>
                <w:sz w:val="18"/>
                <w:szCs w:val="18"/>
              </w:rPr>
              <w:t>Common Stock, par value $0.0001 per shar</w:t>
            </w:r>
            <w:r>
              <w:rPr>
                <w:sz w:val="18"/>
                <w:szCs w:val="18"/>
              </w:rPr>
              <w:t>e</w:t>
            </w:r>
          </w:p>
        </w:tc>
        <w:tc>
          <w:tcPr>
            <w:tcW w:w="0" w:type="auto"/>
            <w:tcBorders>
              <w:bottom w:val="single" w:sz="4" w:space="0" w:color="auto"/>
            </w:tcBorders>
            <w:hideMark/>
          </w:tcPr>
          <w:p w:rsidR="00000000" w:rsidRDefault="00477EE8">
            <w:pPr>
              <w:pStyle w:val="a3"/>
              <w:spacing w:before="80" w:beforeAutospacing="0" w:after="0" w:afterAutospacing="0"/>
              <w:jc w:val="center"/>
              <w:rPr>
                <w:sz w:val="18"/>
                <w:szCs w:val="18"/>
              </w:rPr>
            </w:pPr>
            <w:r>
              <w:rPr>
                <w:sz w:val="18"/>
                <w:szCs w:val="18"/>
              </w:rPr>
              <w:t> </w:t>
            </w:r>
          </w:p>
        </w:tc>
        <w:tc>
          <w:tcPr>
            <w:tcW w:w="0" w:type="auto"/>
            <w:tcBorders>
              <w:bottom w:val="single" w:sz="4" w:space="0" w:color="auto"/>
            </w:tcBorders>
            <w:hideMark/>
          </w:tcPr>
          <w:p w:rsidR="00000000" w:rsidRDefault="00477EE8">
            <w:pPr>
              <w:pStyle w:val="a3"/>
              <w:spacing w:before="0" w:beforeAutospacing="0" w:after="0" w:afterAutospacing="0"/>
              <w:jc w:val="center"/>
              <w:rPr>
                <w:sz w:val="20"/>
                <w:szCs w:val="20"/>
              </w:rPr>
            </w:pPr>
            <w:r>
              <w:rPr>
                <w:sz w:val="18"/>
                <w:szCs w:val="18"/>
              </w:rPr>
              <w:t>FLG</w:t>
            </w:r>
            <w:r>
              <w:rPr>
                <w:sz w:val="18"/>
                <w:szCs w:val="18"/>
              </w:rPr>
              <w:t>T</w:t>
            </w:r>
          </w:p>
        </w:tc>
        <w:tc>
          <w:tcPr>
            <w:tcW w:w="0" w:type="auto"/>
            <w:tcBorders>
              <w:bottom w:val="single" w:sz="4" w:space="0" w:color="auto"/>
              <w:right w:val="single" w:sz="4" w:space="0" w:color="auto"/>
            </w:tcBorders>
            <w:hideMark/>
          </w:tcPr>
          <w:p w:rsidR="00000000" w:rsidRDefault="00477EE8">
            <w:pPr>
              <w:pStyle w:val="a3"/>
              <w:spacing w:before="80" w:beforeAutospacing="0" w:after="0" w:afterAutospacing="0"/>
              <w:jc w:val="center"/>
              <w:rPr>
                <w:sz w:val="18"/>
                <w:szCs w:val="18"/>
              </w:rPr>
            </w:pPr>
            <w:r>
              <w:rPr>
                <w:sz w:val="18"/>
                <w:szCs w:val="18"/>
              </w:rPr>
              <w:t> </w:t>
            </w:r>
          </w:p>
        </w:tc>
        <w:tc>
          <w:tcPr>
            <w:tcW w:w="0" w:type="auto"/>
            <w:tcBorders>
              <w:bottom w:val="single" w:sz="4" w:space="0" w:color="auto"/>
              <w:right w:val="single" w:sz="4" w:space="0" w:color="auto"/>
            </w:tcBorders>
            <w:hideMark/>
          </w:tcPr>
          <w:p w:rsidR="00000000" w:rsidRDefault="00477EE8">
            <w:pPr>
              <w:pStyle w:val="a3"/>
              <w:spacing w:before="0" w:beforeAutospacing="0" w:after="0" w:afterAutospacing="0"/>
              <w:jc w:val="center"/>
              <w:rPr>
                <w:sz w:val="20"/>
                <w:szCs w:val="20"/>
              </w:rPr>
            </w:pPr>
            <w:r>
              <w:rPr>
                <w:sz w:val="18"/>
                <w:szCs w:val="18"/>
              </w:rPr>
              <w:t>The Nasdaq Stock Marke</w:t>
            </w:r>
            <w:r>
              <w:rPr>
                <w:sz w:val="18"/>
                <w:szCs w:val="18"/>
              </w:rPr>
              <w:t>t</w:t>
            </w:r>
            <w:r>
              <w:rPr>
                <w:sz w:val="18"/>
                <w:szCs w:val="18"/>
              </w:rPr>
              <w:t> </w:t>
            </w:r>
            <w:r>
              <w:rPr>
                <w:sz w:val="18"/>
                <w:szCs w:val="18"/>
              </w:rPr>
              <w:br/>
              <w:t>(Nasdaq Global Market</w:t>
            </w:r>
            <w:r>
              <w:rPr>
                <w:sz w:val="18"/>
                <w:szCs w:val="18"/>
              </w:rPr>
              <w:t>)</w:t>
            </w:r>
          </w:p>
        </w:tc>
      </w:tr>
    </w:tbl>
    <w:p w:rsidR="00000000" w:rsidRDefault="00477EE8">
      <w:pPr>
        <w:pStyle w:val="a3"/>
        <w:spacing w:before="0" w:beforeAutospacing="0" w:after="0" w:afterAutospacing="0"/>
        <w:rPr>
          <w:sz w:val="20"/>
          <w:szCs w:val="20"/>
        </w:rPr>
      </w:pPr>
      <w:r>
        <w:rPr>
          <w:sz w:val="18"/>
          <w:szCs w:val="18"/>
        </w:rPr>
        <w:t>Securities registered pursuant to Section 12(g) of the Act:</w:t>
      </w:r>
      <w:r>
        <w:rPr>
          <w:sz w:val="18"/>
          <w:szCs w:val="18"/>
        </w:rPr>
        <w:t xml:space="preserve"> </w:t>
      </w:r>
      <w:r>
        <w:rPr>
          <w:b/>
          <w:bCs/>
          <w:sz w:val="18"/>
          <w:szCs w:val="18"/>
        </w:rPr>
        <w:t>Non</w:t>
      </w:r>
      <w:r>
        <w:rPr>
          <w:b/>
          <w:bCs/>
          <w:sz w:val="18"/>
          <w:szCs w:val="18"/>
        </w:rPr>
        <w:t>e</w:t>
      </w:r>
    </w:p>
    <w:p w:rsidR="00000000" w:rsidRDefault="00477EE8">
      <w:pPr>
        <w:pStyle w:val="a3"/>
        <w:spacing w:before="0" w:beforeAutospacing="0" w:after="0" w:afterAutospacing="0"/>
        <w:rPr>
          <w:sz w:val="20"/>
          <w:szCs w:val="20"/>
        </w:rPr>
      </w:pPr>
      <w:r>
        <w:rPr>
          <w:sz w:val="18"/>
          <w:szCs w:val="18"/>
        </w:rPr>
        <w:t>Indicate by check mark if the registrant is a well-known seasoned issuer, as defined in Rul</w:t>
      </w:r>
      <w:r>
        <w:rPr>
          <w:sz w:val="18"/>
          <w:szCs w:val="18"/>
        </w:rPr>
        <w:t>e 405 of the Securities Act.</w:t>
      </w:r>
      <w:r>
        <w:rPr>
          <w:sz w:val="18"/>
          <w:szCs w:val="18"/>
        </w:rPr>
        <w:t xml:space="preserve"> </w:t>
      </w:r>
      <w:r>
        <w:rPr>
          <w:caps/>
          <w:sz w:val="18"/>
          <w:szCs w:val="18"/>
        </w:rPr>
        <w:t>Ye</w:t>
      </w:r>
      <w:r>
        <w:rPr>
          <w:caps/>
          <w:sz w:val="18"/>
          <w:szCs w:val="18"/>
        </w:rPr>
        <w:t>s</w:t>
      </w:r>
      <w:r>
        <w:rPr>
          <w:sz w:val="18"/>
          <w:szCs w:val="18"/>
        </w:rPr>
        <w:t xml:space="preserve"> </w:t>
      </w:r>
      <w:r>
        <w:rPr>
          <w:rFonts w:ascii="Segoe UI Symbol" w:hAnsi="Segoe UI Symbol" w:cs="Segoe UI Symbol"/>
          <w:sz w:val="18"/>
          <w:szCs w:val="18"/>
        </w:rPr>
        <w:t>☐</w:t>
      </w:r>
      <w:r>
        <w:rPr>
          <w:sz w:val="18"/>
          <w:szCs w:val="18"/>
        </w:rPr>
        <w:t xml:space="preserve"> </w:t>
      </w:r>
      <w:r>
        <w:rPr>
          <w:caps/>
          <w:sz w:val="18"/>
          <w:szCs w:val="18"/>
        </w:rPr>
        <w:t>N</w:t>
      </w:r>
      <w:r>
        <w:rPr>
          <w:caps/>
          <w:sz w:val="18"/>
          <w:szCs w:val="18"/>
        </w:rPr>
        <w:t>o</w:t>
      </w:r>
      <w:r>
        <w:rPr>
          <w:sz w:val="18"/>
          <w:szCs w:val="18"/>
        </w:rPr>
        <w:t xml:space="preserve"> </w:t>
      </w:r>
      <w:r>
        <w:rPr>
          <w:rFonts w:ascii="Segoe UI Symbol" w:hAnsi="Segoe UI Symbol" w:cs="Segoe UI Symbol"/>
          <w:sz w:val="18"/>
          <w:szCs w:val="18"/>
        </w:rPr>
        <w:t>☒</w:t>
      </w:r>
    </w:p>
    <w:p w:rsidR="00000000" w:rsidRDefault="00477EE8">
      <w:pPr>
        <w:pStyle w:val="a3"/>
        <w:spacing w:before="0" w:beforeAutospacing="0" w:after="0" w:afterAutospacing="0"/>
        <w:rPr>
          <w:sz w:val="20"/>
          <w:szCs w:val="20"/>
        </w:rPr>
      </w:pPr>
      <w:r>
        <w:rPr>
          <w:sz w:val="18"/>
          <w:szCs w:val="18"/>
        </w:rPr>
        <w:t>Indicate by check mark if the registrant is not required to file reports pursuant to Section 13 or Section 15(d) of the Act.</w:t>
      </w:r>
      <w:r>
        <w:rPr>
          <w:sz w:val="18"/>
          <w:szCs w:val="18"/>
        </w:rPr>
        <w:t xml:space="preserve"> </w:t>
      </w:r>
      <w:r>
        <w:rPr>
          <w:caps/>
          <w:sz w:val="18"/>
          <w:szCs w:val="18"/>
        </w:rPr>
        <w:t>Ye</w:t>
      </w:r>
      <w:r>
        <w:rPr>
          <w:caps/>
          <w:sz w:val="18"/>
          <w:szCs w:val="18"/>
        </w:rPr>
        <w:t>s</w:t>
      </w:r>
      <w:r>
        <w:rPr>
          <w:sz w:val="18"/>
          <w:szCs w:val="18"/>
        </w:rPr>
        <w:t xml:space="preserve"> </w:t>
      </w:r>
      <w:r>
        <w:rPr>
          <w:rFonts w:ascii="Segoe UI Symbol" w:hAnsi="Segoe UI Symbol" w:cs="Segoe UI Symbol"/>
          <w:sz w:val="18"/>
          <w:szCs w:val="18"/>
        </w:rPr>
        <w:t>☐</w:t>
      </w:r>
      <w:r>
        <w:rPr>
          <w:sz w:val="18"/>
          <w:szCs w:val="18"/>
        </w:rPr>
        <w:t xml:space="preserve"> </w:t>
      </w:r>
      <w:r>
        <w:rPr>
          <w:caps/>
          <w:sz w:val="18"/>
          <w:szCs w:val="18"/>
        </w:rPr>
        <w:t>N</w:t>
      </w:r>
      <w:r>
        <w:rPr>
          <w:caps/>
          <w:sz w:val="18"/>
          <w:szCs w:val="18"/>
        </w:rPr>
        <w:t>o</w:t>
      </w:r>
      <w:r>
        <w:rPr>
          <w:sz w:val="18"/>
          <w:szCs w:val="18"/>
        </w:rPr>
        <w:t xml:space="preserve"> </w:t>
      </w:r>
      <w:r>
        <w:rPr>
          <w:rFonts w:ascii="Segoe UI Symbol" w:hAnsi="Segoe UI Symbol" w:cs="Segoe UI Symbol"/>
          <w:sz w:val="18"/>
          <w:szCs w:val="18"/>
        </w:rPr>
        <w:t>☒</w:t>
      </w:r>
    </w:p>
    <w:p w:rsidR="00000000" w:rsidRDefault="00477EE8">
      <w:pPr>
        <w:pStyle w:val="a3"/>
        <w:spacing w:before="0" w:beforeAutospacing="0" w:after="0" w:afterAutospacing="0"/>
        <w:rPr>
          <w:sz w:val="20"/>
          <w:szCs w:val="20"/>
        </w:rPr>
      </w:pPr>
      <w:r>
        <w:rPr>
          <w:sz w:val="18"/>
          <w:szCs w:val="18"/>
        </w:rPr>
        <w:t>Indicate by check mark whether the registrant: (1) has filed all reports require</w:t>
      </w:r>
      <w:r>
        <w:rPr>
          <w:sz w:val="18"/>
          <w:szCs w:val="18"/>
        </w:rPr>
        <w:t>d to be filed by Section 13 or 15(d) of the Securities Exchange Act of 1934 during the preceding 12 months (or for such shorter period that the registrant was required to file such reports), and (2) has been subject to such filing requirements for the past</w:t>
      </w:r>
      <w:r>
        <w:rPr>
          <w:sz w:val="18"/>
          <w:szCs w:val="18"/>
        </w:rPr>
        <w:t xml:space="preserve"> 90 days.</w:t>
      </w:r>
      <w:r>
        <w:rPr>
          <w:sz w:val="18"/>
          <w:szCs w:val="18"/>
        </w:rPr>
        <w:t xml:space="preserve"> </w:t>
      </w:r>
      <w:r>
        <w:rPr>
          <w:caps/>
          <w:sz w:val="18"/>
          <w:szCs w:val="18"/>
        </w:rPr>
        <w:t>Ye</w:t>
      </w:r>
      <w:r>
        <w:rPr>
          <w:caps/>
          <w:sz w:val="18"/>
          <w:szCs w:val="18"/>
        </w:rPr>
        <w:t>s</w:t>
      </w:r>
      <w:r>
        <w:rPr>
          <w:sz w:val="18"/>
          <w:szCs w:val="18"/>
        </w:rPr>
        <w:t xml:space="preserve"> </w:t>
      </w:r>
      <w:r>
        <w:rPr>
          <w:rFonts w:ascii="Segoe UI Symbol" w:hAnsi="Segoe UI Symbol" w:cs="Segoe UI Symbol"/>
          <w:sz w:val="18"/>
          <w:szCs w:val="18"/>
        </w:rPr>
        <w:t>☒</w:t>
      </w:r>
      <w:r>
        <w:rPr>
          <w:sz w:val="18"/>
          <w:szCs w:val="18"/>
        </w:rPr>
        <w:t xml:space="preserve"> </w:t>
      </w:r>
      <w:r>
        <w:rPr>
          <w:caps/>
          <w:sz w:val="18"/>
          <w:szCs w:val="18"/>
        </w:rPr>
        <w:t>N</w:t>
      </w:r>
      <w:r>
        <w:rPr>
          <w:caps/>
          <w:sz w:val="18"/>
          <w:szCs w:val="18"/>
        </w:rPr>
        <w:t>o</w:t>
      </w:r>
      <w:r>
        <w:rPr>
          <w:sz w:val="18"/>
          <w:szCs w:val="18"/>
        </w:rPr>
        <w:t xml:space="preserve"> </w:t>
      </w:r>
      <w:r>
        <w:rPr>
          <w:rFonts w:ascii="Segoe UI Symbol" w:hAnsi="Segoe UI Symbol" w:cs="Segoe UI Symbol"/>
          <w:sz w:val="18"/>
          <w:szCs w:val="18"/>
        </w:rPr>
        <w:t>☐</w:t>
      </w:r>
    </w:p>
    <w:p w:rsidR="00000000" w:rsidRDefault="00477EE8">
      <w:pPr>
        <w:pStyle w:val="a3"/>
        <w:spacing w:before="0" w:beforeAutospacing="0" w:after="0" w:afterAutospacing="0"/>
        <w:rPr>
          <w:sz w:val="20"/>
          <w:szCs w:val="20"/>
        </w:rPr>
      </w:pPr>
      <w:r>
        <w:rPr>
          <w:sz w:val="18"/>
          <w:szCs w:val="18"/>
        </w:rPr>
        <w:t>Indicate by check mark whether the registrant has submitted electronically every Interactive Data File required to be submitted pursuant to Rule 405 of Regulation S-T (§232.405 of this chapter) during the preceding 12 months (or for su</w:t>
      </w:r>
      <w:r>
        <w:rPr>
          <w:sz w:val="18"/>
          <w:szCs w:val="18"/>
        </w:rPr>
        <w:t>ch shorter period that the registrant was required to submit such files).</w:t>
      </w:r>
      <w:r>
        <w:rPr>
          <w:sz w:val="18"/>
          <w:szCs w:val="18"/>
        </w:rPr>
        <w:t xml:space="preserve"> </w:t>
      </w:r>
      <w:r>
        <w:rPr>
          <w:caps/>
          <w:sz w:val="18"/>
          <w:szCs w:val="18"/>
        </w:rPr>
        <w:t>Ye</w:t>
      </w:r>
      <w:r>
        <w:rPr>
          <w:caps/>
          <w:sz w:val="18"/>
          <w:szCs w:val="18"/>
        </w:rPr>
        <w:t>s</w:t>
      </w:r>
      <w:r>
        <w:rPr>
          <w:sz w:val="18"/>
          <w:szCs w:val="18"/>
        </w:rPr>
        <w:t xml:space="preserve"> </w:t>
      </w:r>
      <w:r>
        <w:rPr>
          <w:rFonts w:ascii="Segoe UI Symbol" w:hAnsi="Segoe UI Symbol" w:cs="Segoe UI Symbol"/>
          <w:sz w:val="18"/>
          <w:szCs w:val="18"/>
        </w:rPr>
        <w:t>☒</w:t>
      </w:r>
      <w:r>
        <w:rPr>
          <w:sz w:val="18"/>
          <w:szCs w:val="18"/>
        </w:rPr>
        <w:t xml:space="preserve"> </w:t>
      </w:r>
      <w:r>
        <w:rPr>
          <w:caps/>
          <w:sz w:val="18"/>
          <w:szCs w:val="18"/>
        </w:rPr>
        <w:t>N</w:t>
      </w:r>
      <w:r>
        <w:rPr>
          <w:caps/>
          <w:sz w:val="18"/>
          <w:szCs w:val="18"/>
        </w:rPr>
        <w:t>o</w:t>
      </w:r>
      <w:r>
        <w:rPr>
          <w:sz w:val="18"/>
          <w:szCs w:val="18"/>
        </w:rPr>
        <w:t xml:space="preserve"> </w:t>
      </w:r>
      <w:r>
        <w:rPr>
          <w:rFonts w:ascii="Segoe UI Symbol" w:hAnsi="Segoe UI Symbol" w:cs="Segoe UI Symbol"/>
          <w:sz w:val="18"/>
          <w:szCs w:val="18"/>
        </w:rPr>
        <w:t>☐</w:t>
      </w:r>
    </w:p>
    <w:p w:rsidR="00000000" w:rsidRDefault="00477EE8">
      <w:pPr>
        <w:pStyle w:val="a3"/>
        <w:spacing w:before="0" w:beforeAutospacing="0" w:after="0" w:afterAutospacing="0"/>
        <w:rPr>
          <w:sz w:val="20"/>
          <w:szCs w:val="20"/>
        </w:rPr>
      </w:pPr>
      <w:r>
        <w:rPr>
          <w:sz w:val="18"/>
          <w:szCs w:val="18"/>
        </w:rPr>
        <w:t>Indicate by check mark whether the registrant is a large accelerated filer, an accelerated filer, a non-accelerated filer, a smaller reporting company, or an emerging growth company. See the definitions of “large accelerated filer,” “accelerated filer,” “s</w:t>
      </w:r>
      <w:r>
        <w:rPr>
          <w:sz w:val="18"/>
          <w:szCs w:val="18"/>
        </w:rPr>
        <w:t>maller reporting company,” and “emerging growth company” in Rule 12b-2 of the Exchange Act</w:t>
      </w:r>
      <w:r>
        <w:rPr>
          <w:sz w:val="18"/>
          <w:szCs w:val="18"/>
        </w:rPr>
        <w:t>.</w:t>
      </w:r>
      <w:r>
        <w:rPr>
          <w:sz w:val="18"/>
          <w:szCs w:val="18"/>
        </w:rPr>
        <w:t xml:space="preserve"> </w:t>
      </w:r>
    </w:p>
    <w:p w:rsidR="00000000" w:rsidRDefault="00477EE8">
      <w:pPr>
        <w:pStyle w:val="a3"/>
        <w:spacing w:before="0" w:beforeAutospacing="0" w:after="0" w:afterAutospacing="0"/>
        <w:rPr>
          <w:sz w:val="20"/>
          <w:szCs w:val="20"/>
        </w:rPr>
      </w:pPr>
      <w:r>
        <w:rPr>
          <w:sz w:val="4"/>
          <w:szCs w:val="4"/>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50"/>
        <w:gridCol w:w="111"/>
        <w:gridCol w:w="4737"/>
        <w:gridCol w:w="111"/>
        <w:gridCol w:w="1630"/>
        <w:gridCol w:w="111"/>
        <w:gridCol w:w="256"/>
      </w:tblGrid>
      <w:tr w:rsidR="00000000">
        <w:trPr>
          <w:tblCellSpacing w:w="15" w:type="dxa"/>
        </w:trPr>
        <w:tc>
          <w:tcPr>
            <w:tcW w:w="809"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2917"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992"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131" w:type="pct"/>
            <w:vAlign w:val="center"/>
            <w:hideMark/>
          </w:tcPr>
          <w:p w:rsidR="00000000" w:rsidRDefault="00477EE8">
            <w:pPr>
              <w:rPr>
                <w:rFonts w:eastAsia="Times New Roman"/>
                <w:sz w:val="20"/>
                <w:szCs w:val="20"/>
              </w:rPr>
            </w:pPr>
          </w:p>
        </w:tc>
      </w:tr>
      <w:tr w:rsidR="00000000">
        <w:trPr>
          <w:trHeight w:val="180"/>
          <w:tblCellSpacing w:w="15" w:type="dxa"/>
        </w:trPr>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r>
              <w:rPr>
                <w:sz w:val="18"/>
                <w:szCs w:val="18"/>
              </w:rPr>
              <w:t>Large accelerated file</w:t>
            </w:r>
            <w:r>
              <w:rPr>
                <w:sz w:val="18"/>
                <w:szCs w:val="18"/>
              </w:rPr>
              <w:t>r</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18"/>
                <w:szCs w:val="18"/>
              </w:rPr>
            </w:pPr>
            <w:r>
              <w:rPr>
                <w:rFonts w:ascii="Segoe UI Symbol" w:hAnsi="Segoe UI Symbol" w:cs="Segoe UI Symbol"/>
                <w:sz w:val="18"/>
                <w:szCs w:val="18"/>
              </w:rPr>
              <w:t>☒</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18"/>
                <w:szCs w:val="18"/>
              </w:rPr>
            </w:pPr>
            <w:r>
              <w:rPr>
                <w:sz w:val="18"/>
                <w:szCs w:val="18"/>
              </w:rPr>
              <w:t>Accelerated file</w:t>
            </w:r>
            <w:r>
              <w:rPr>
                <w:sz w:val="18"/>
                <w:szCs w:val="18"/>
              </w:rPr>
              <w:t>r</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18"/>
                <w:szCs w:val="18"/>
              </w:rPr>
            </w:pPr>
            <w:r>
              <w:rPr>
                <w:rFonts w:ascii="Segoe UI Symbol" w:hAnsi="Segoe UI Symbol" w:cs="Segoe UI Symbol"/>
                <w:sz w:val="18"/>
                <w:szCs w:val="18"/>
              </w:rPr>
              <w:t>☐</w:t>
            </w:r>
          </w:p>
        </w:tc>
      </w:tr>
      <w:tr w:rsidR="00000000">
        <w:trPr>
          <w:trHeight w:val="180"/>
          <w:tblCellSpacing w:w="15" w:type="dxa"/>
        </w:trPr>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18"/>
                <w:szCs w:val="18"/>
              </w:rPr>
            </w:pPr>
            <w:r>
              <w:rPr>
                <w:sz w:val="18"/>
                <w:szCs w:val="18"/>
              </w:rPr>
              <w:t>Non-accelerated file</w:t>
            </w:r>
            <w:r>
              <w:rPr>
                <w:sz w:val="18"/>
                <w:szCs w:val="18"/>
              </w:rPr>
              <w:t>r</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18"/>
                <w:szCs w:val="18"/>
              </w:rPr>
            </w:pPr>
            <w:r>
              <w:rPr>
                <w:rFonts w:ascii="Segoe UI Symbol" w:hAnsi="Segoe UI Symbol" w:cs="Segoe UI Symbol"/>
                <w:sz w:val="18"/>
                <w:szCs w:val="18"/>
              </w:rPr>
              <w:t>☐</w:t>
            </w:r>
          </w:p>
          <w:p w:rsidR="00000000" w:rsidRDefault="00477EE8">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18"/>
                <w:szCs w:val="18"/>
              </w:rPr>
            </w:pPr>
            <w:r>
              <w:rPr>
                <w:sz w:val="18"/>
                <w:szCs w:val="18"/>
              </w:rPr>
              <w:t>Smaller reporting compan</w:t>
            </w:r>
            <w:r>
              <w:rPr>
                <w:sz w:val="18"/>
                <w:szCs w:val="18"/>
              </w:rPr>
              <w:t>y</w:t>
            </w:r>
          </w:p>
          <w:p w:rsidR="00000000" w:rsidRDefault="00477EE8">
            <w:pPr>
              <w:pStyle w:val="a3"/>
              <w:spacing w:before="0" w:beforeAutospacing="0" w:after="0" w:afterAutospacing="0"/>
              <w:rPr>
                <w:sz w:val="18"/>
                <w:szCs w:val="18"/>
              </w:rPr>
            </w:pPr>
            <w:r>
              <w:rPr>
                <w:sz w:val="18"/>
                <w:szCs w:val="18"/>
              </w:rPr>
              <w:t>Emerging growth compan</w:t>
            </w:r>
            <w:r>
              <w:rPr>
                <w:sz w:val="18"/>
                <w:szCs w:val="18"/>
              </w:rPr>
              <w:t>y</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r>
              <w:rPr>
                <w:rFonts w:ascii="Segoe UI Symbol" w:hAnsi="Segoe UI Symbol" w:cs="Segoe UI Symbol"/>
                <w:sz w:val="18"/>
                <w:szCs w:val="18"/>
              </w:rPr>
              <w:t>☐</w:t>
            </w:r>
          </w:p>
          <w:p w:rsidR="00000000" w:rsidRDefault="00477EE8">
            <w:pPr>
              <w:pStyle w:val="a3"/>
              <w:spacing w:before="0" w:beforeAutospacing="0" w:after="0" w:afterAutospacing="0"/>
              <w:rPr>
                <w:sz w:val="20"/>
                <w:szCs w:val="20"/>
              </w:rPr>
            </w:pPr>
            <w:r>
              <w:rPr>
                <w:rFonts w:ascii="Segoe UI Symbol" w:hAnsi="Segoe UI Symbol" w:cs="Segoe UI Symbol"/>
                <w:sz w:val="18"/>
                <w:szCs w:val="18"/>
              </w:rPr>
              <w:t>☐</w:t>
            </w:r>
          </w:p>
        </w:tc>
      </w:tr>
    </w:tbl>
    <w:p w:rsidR="00000000" w:rsidRDefault="00477EE8">
      <w:pPr>
        <w:pStyle w:val="a3"/>
        <w:spacing w:before="0" w:beforeAutospacing="0" w:after="0" w:afterAutospacing="0"/>
        <w:rPr>
          <w:sz w:val="20"/>
          <w:szCs w:val="20"/>
        </w:rPr>
      </w:pPr>
      <w:r>
        <w:rPr>
          <w:sz w:val="4"/>
          <w:szCs w:val="4"/>
        </w:rPr>
        <w:t> </w:t>
      </w:r>
    </w:p>
    <w:p w:rsidR="00000000" w:rsidRDefault="00477EE8">
      <w:pPr>
        <w:pStyle w:val="a3"/>
        <w:spacing w:before="0" w:beforeAutospacing="0" w:after="0" w:afterAutospacing="0"/>
        <w:rPr>
          <w:sz w:val="20"/>
          <w:szCs w:val="20"/>
        </w:rPr>
      </w:pPr>
      <w:r>
        <w:rPr>
          <w:sz w:val="18"/>
          <w:szCs w:val="18"/>
        </w:rPr>
        <w:t>If an emerging growth company, indicate by check mark if the registrant has elected not to use the extended transition period for complying with any new or revised financial accounting standards provided pursuant to Section</w:t>
      </w:r>
      <w:r>
        <w:rPr>
          <w:sz w:val="18"/>
          <w:szCs w:val="18"/>
        </w:rPr>
        <w:t xml:space="preserve"> 13(a) of the Exchange Act. </w:t>
      </w:r>
      <w:r>
        <w:rPr>
          <w:rFonts w:ascii="Segoe UI Symbol" w:hAnsi="Segoe UI Symbol" w:cs="Segoe UI Symbol"/>
          <w:sz w:val="18"/>
          <w:szCs w:val="18"/>
        </w:rPr>
        <w:t>☐</w:t>
      </w:r>
    </w:p>
    <w:p w:rsidR="00000000" w:rsidRDefault="00477EE8">
      <w:pPr>
        <w:pStyle w:val="a3"/>
        <w:spacing w:before="0" w:beforeAutospacing="0" w:after="0" w:afterAutospacing="0"/>
        <w:rPr>
          <w:sz w:val="20"/>
          <w:szCs w:val="20"/>
        </w:rPr>
      </w:pPr>
      <w:r>
        <w:rPr>
          <w:sz w:val="18"/>
          <w:szCs w:val="18"/>
        </w:rPr>
        <w:lastRenderedPageBreak/>
        <w:t>Indicate by check mark whether the registrant has filed a report on and attestation to its management’s assessment of the effectiveness of its internal control over financial reporting under Section 404(b) of the Sarbanes-Oxle</w:t>
      </w:r>
      <w:r>
        <w:rPr>
          <w:sz w:val="18"/>
          <w:szCs w:val="18"/>
        </w:rPr>
        <w:t>y Act (15 U.S.C. 7262(b)) by the registered public accounting firm that prepared or issued its audit report.</w:t>
      </w:r>
      <w:r>
        <w:rPr>
          <w:sz w:val="18"/>
          <w:szCs w:val="18"/>
        </w:rPr>
        <w:t xml:space="preserve"> </w:t>
      </w:r>
      <w:r>
        <w:rPr>
          <w:rFonts w:ascii="Segoe UI Symbol" w:hAnsi="Segoe UI Symbol" w:cs="Segoe UI Symbol"/>
          <w:sz w:val="18"/>
          <w:szCs w:val="18"/>
        </w:rPr>
        <w:t>☒</w:t>
      </w:r>
    </w:p>
    <w:p w:rsidR="00000000" w:rsidRDefault="00477EE8">
      <w:pPr>
        <w:pStyle w:val="a3"/>
        <w:spacing w:before="0" w:beforeAutospacing="0" w:after="0" w:afterAutospacing="0"/>
        <w:rPr>
          <w:sz w:val="20"/>
          <w:szCs w:val="20"/>
        </w:rPr>
      </w:pPr>
      <w:r>
        <w:rPr>
          <w:sz w:val="18"/>
          <w:szCs w:val="18"/>
        </w:rPr>
        <w:t>If securities are registered pursuant to Section 12(b) of the Act, indicate by check mark whether the financial statements of the registrant incl</w:t>
      </w:r>
      <w:r>
        <w:rPr>
          <w:sz w:val="18"/>
          <w:szCs w:val="18"/>
        </w:rPr>
        <w:t xml:space="preserve">uded in the filing reflect the correction of an error to previously issued financial statements. </w:t>
      </w:r>
      <w:r>
        <w:rPr>
          <w:rFonts w:ascii="Segoe UI Symbol" w:hAnsi="Segoe UI Symbol" w:cs="Segoe UI Symbol"/>
          <w:sz w:val="18"/>
          <w:szCs w:val="18"/>
        </w:rPr>
        <w:t>☐</w:t>
      </w:r>
    </w:p>
    <w:p w:rsidR="00000000" w:rsidRDefault="00477EE8">
      <w:pPr>
        <w:pStyle w:val="a3"/>
        <w:spacing w:before="0" w:beforeAutospacing="0" w:after="0" w:afterAutospacing="0"/>
        <w:rPr>
          <w:sz w:val="20"/>
          <w:szCs w:val="20"/>
        </w:rPr>
      </w:pPr>
      <w:r>
        <w:rPr>
          <w:sz w:val="18"/>
          <w:szCs w:val="18"/>
        </w:rPr>
        <w:t xml:space="preserve">Indicate by check mark whether any of those error corrections are restatements that required a recovery analysis of incentive-based compensation received by </w:t>
      </w:r>
      <w:r>
        <w:rPr>
          <w:sz w:val="18"/>
          <w:szCs w:val="18"/>
        </w:rPr>
        <w:t xml:space="preserve">any of the registrant’s executive officers during the relevant recovery period pursuant to § 240.10D-1(b). </w:t>
      </w:r>
      <w:r>
        <w:rPr>
          <w:rFonts w:ascii="Segoe UI Symbol" w:hAnsi="Segoe UI Symbol" w:cs="Segoe UI Symbol"/>
          <w:sz w:val="18"/>
          <w:szCs w:val="18"/>
        </w:rPr>
        <w:t>☐</w:t>
      </w:r>
    </w:p>
    <w:p w:rsidR="00000000" w:rsidRDefault="00477EE8">
      <w:pPr>
        <w:pStyle w:val="a3"/>
        <w:spacing w:before="0" w:beforeAutospacing="0" w:after="0" w:afterAutospacing="0"/>
        <w:rPr>
          <w:sz w:val="20"/>
          <w:szCs w:val="20"/>
        </w:rPr>
      </w:pPr>
      <w:r>
        <w:rPr>
          <w:sz w:val="18"/>
          <w:szCs w:val="18"/>
        </w:rPr>
        <w:t>Indicate by check mark whether the registrant is a shell company (as defined in Rule 12b-2 of the Act).</w:t>
      </w:r>
      <w:r>
        <w:rPr>
          <w:sz w:val="18"/>
          <w:szCs w:val="18"/>
        </w:rPr>
        <w:t xml:space="preserve"> </w:t>
      </w:r>
      <w:r>
        <w:rPr>
          <w:caps/>
          <w:sz w:val="18"/>
          <w:szCs w:val="18"/>
        </w:rPr>
        <w:t>Ye</w:t>
      </w:r>
      <w:r>
        <w:rPr>
          <w:caps/>
          <w:sz w:val="18"/>
          <w:szCs w:val="18"/>
        </w:rPr>
        <w:t>s</w:t>
      </w:r>
      <w:r>
        <w:rPr>
          <w:sz w:val="18"/>
          <w:szCs w:val="18"/>
        </w:rPr>
        <w:t xml:space="preserve"> </w:t>
      </w:r>
      <w:r>
        <w:rPr>
          <w:rFonts w:ascii="Segoe UI Symbol" w:hAnsi="Segoe UI Symbol" w:cs="Segoe UI Symbol"/>
          <w:sz w:val="18"/>
          <w:szCs w:val="18"/>
        </w:rPr>
        <w:t>☐</w:t>
      </w:r>
      <w:r>
        <w:rPr>
          <w:sz w:val="18"/>
          <w:szCs w:val="18"/>
        </w:rPr>
        <w:t xml:space="preserve"> </w:t>
      </w:r>
      <w:r>
        <w:rPr>
          <w:caps/>
          <w:sz w:val="18"/>
          <w:szCs w:val="18"/>
        </w:rPr>
        <w:t>N</w:t>
      </w:r>
      <w:r>
        <w:rPr>
          <w:caps/>
          <w:sz w:val="18"/>
          <w:szCs w:val="18"/>
        </w:rPr>
        <w:t>o</w:t>
      </w:r>
      <w:r>
        <w:rPr>
          <w:sz w:val="18"/>
          <w:szCs w:val="18"/>
        </w:rPr>
        <w:t xml:space="preserve"> </w:t>
      </w:r>
      <w:r>
        <w:rPr>
          <w:rFonts w:ascii="Segoe UI Symbol" w:hAnsi="Segoe UI Symbol" w:cs="Segoe UI Symbol"/>
          <w:sz w:val="18"/>
          <w:szCs w:val="18"/>
        </w:rPr>
        <w:t>☒</w:t>
      </w:r>
    </w:p>
    <w:p w:rsidR="00000000" w:rsidRDefault="00477EE8">
      <w:pPr>
        <w:pStyle w:val="a3"/>
        <w:spacing w:before="40" w:beforeAutospacing="0" w:after="0" w:afterAutospacing="0"/>
        <w:rPr>
          <w:sz w:val="20"/>
          <w:szCs w:val="20"/>
        </w:rPr>
      </w:pPr>
      <w:r>
        <w:rPr>
          <w:sz w:val="18"/>
          <w:szCs w:val="18"/>
        </w:rPr>
        <w:t>The aggregate market value of th</w:t>
      </w:r>
      <w:r>
        <w:rPr>
          <w:sz w:val="18"/>
          <w:szCs w:val="18"/>
        </w:rPr>
        <w:t>e registrant’s voting and non-voting common equity held by non-affiliates as of June 30, 2022 (computed by reference to the price at which the registrant’s common stock was last sold on such date, the last business day of the registrant’</w:t>
      </w:r>
      <w:r>
        <w:rPr>
          <w:sz w:val="18"/>
          <w:szCs w:val="18"/>
        </w:rPr>
        <w:t>s</w:t>
      </w:r>
      <w:r>
        <w:rPr>
          <w:sz w:val="20"/>
          <w:szCs w:val="20"/>
        </w:rPr>
        <w:t xml:space="preserve"> </w:t>
      </w:r>
      <w:r>
        <w:rPr>
          <w:sz w:val="18"/>
          <w:szCs w:val="18"/>
        </w:rPr>
        <w:t>most recently com</w:t>
      </w:r>
      <w:r>
        <w:rPr>
          <w:sz w:val="18"/>
          <w:szCs w:val="18"/>
        </w:rPr>
        <w:t>pleted second fiscal quarter, as reported by the Nasdaq Global Market) was approximately</w:t>
      </w:r>
      <w:r>
        <w:rPr>
          <w:sz w:val="18"/>
          <w:szCs w:val="18"/>
        </w:rPr>
        <w:t xml:space="preserve"> </w:t>
      </w:r>
      <w:r>
        <w:rPr>
          <w:sz w:val="18"/>
          <w:szCs w:val="18"/>
        </w:rPr>
        <w:t>$</w:t>
      </w:r>
      <w:r>
        <w:rPr>
          <w:sz w:val="18"/>
          <w:szCs w:val="18"/>
        </w:rPr>
        <w:t>977.</w:t>
      </w:r>
      <w:r>
        <w:rPr>
          <w:sz w:val="18"/>
          <w:szCs w:val="18"/>
        </w:rPr>
        <w:t>9</w:t>
      </w:r>
      <w:r>
        <w:rPr>
          <w:sz w:val="18"/>
          <w:szCs w:val="18"/>
        </w:rPr>
        <w:t xml:space="preserve"> millio</w:t>
      </w:r>
      <w:r>
        <w:rPr>
          <w:sz w:val="18"/>
          <w:szCs w:val="18"/>
        </w:rPr>
        <w:t>n</w:t>
      </w:r>
      <w:r>
        <w:rPr>
          <w:sz w:val="18"/>
          <w:szCs w:val="18"/>
        </w:rPr>
        <w:t>. For purposes of this calculation, it has been assumed that all shares of the registrant’s common stock held by directors, executive officers and person</w:t>
      </w:r>
      <w:r>
        <w:rPr>
          <w:sz w:val="18"/>
          <w:szCs w:val="18"/>
        </w:rPr>
        <w:t>s beneficially owning 5% or more of the registrant’s common stock are held by affiliates; however, the treatment of these persons as affiliates for purposes of this calculation is not, and shall not be considered, a determination as to whether such persons</w:t>
      </w:r>
      <w:r>
        <w:rPr>
          <w:sz w:val="18"/>
          <w:szCs w:val="18"/>
        </w:rPr>
        <w:t xml:space="preserve"> are affiliates of the registrant for any other purpose</w:t>
      </w:r>
      <w:r>
        <w:rPr>
          <w:sz w:val="18"/>
          <w:szCs w:val="18"/>
        </w:rPr>
        <w:t>.</w:t>
      </w:r>
    </w:p>
    <w:p w:rsidR="00000000" w:rsidRDefault="00477EE8">
      <w:pPr>
        <w:pStyle w:val="a3"/>
        <w:spacing w:before="0" w:beforeAutospacing="0" w:after="0" w:afterAutospacing="0"/>
        <w:rPr>
          <w:sz w:val="20"/>
          <w:szCs w:val="20"/>
        </w:rPr>
      </w:pPr>
      <w:r>
        <w:rPr>
          <w:sz w:val="18"/>
          <w:szCs w:val="18"/>
        </w:rPr>
        <w:t>As of February 15, 2023, there were</w:t>
      </w:r>
      <w:r>
        <w:rPr>
          <w:sz w:val="18"/>
          <w:szCs w:val="18"/>
        </w:rPr>
        <w:t xml:space="preserve"> </w:t>
      </w:r>
      <w:r>
        <w:rPr>
          <w:sz w:val="18"/>
          <w:szCs w:val="18"/>
        </w:rPr>
        <w:t>29,518,81</w:t>
      </w:r>
      <w:r>
        <w:rPr>
          <w:sz w:val="18"/>
          <w:szCs w:val="18"/>
        </w:rPr>
        <w:t>1</w:t>
      </w:r>
      <w:r>
        <w:rPr>
          <w:sz w:val="18"/>
          <w:szCs w:val="18"/>
        </w:rPr>
        <w:t xml:space="preserve"> outstanding shares of the registrant’s common stock</w:t>
      </w:r>
      <w:r>
        <w:rPr>
          <w:sz w:val="18"/>
          <w:szCs w:val="18"/>
        </w:rPr>
        <w:t>.</w:t>
      </w:r>
    </w:p>
    <w:p w:rsidR="00000000" w:rsidRDefault="00477EE8">
      <w:pPr>
        <w:pStyle w:val="a3"/>
        <w:spacing w:before="40" w:beforeAutospacing="0" w:after="0" w:afterAutospacing="0"/>
        <w:jc w:val="center"/>
        <w:divId w:val="568728158"/>
        <w:rPr>
          <w:sz w:val="20"/>
          <w:szCs w:val="20"/>
        </w:rPr>
      </w:pPr>
      <w:r>
        <w:rPr>
          <w:sz w:val="18"/>
          <w:szCs w:val="18"/>
        </w:rPr>
        <w:t>DOCUMENTS INCORPORATED BY REFERENC</w:t>
      </w:r>
      <w:r>
        <w:rPr>
          <w:sz w:val="18"/>
          <w:szCs w:val="18"/>
        </w:rPr>
        <w:t>E</w:t>
      </w:r>
    </w:p>
    <w:p w:rsidR="00000000" w:rsidRDefault="00477EE8">
      <w:pPr>
        <w:pStyle w:val="a3"/>
        <w:spacing w:before="120" w:beforeAutospacing="0" w:after="0" w:afterAutospacing="0"/>
        <w:divId w:val="568728158"/>
        <w:rPr>
          <w:sz w:val="20"/>
          <w:szCs w:val="20"/>
        </w:rPr>
      </w:pPr>
      <w:r>
        <w:rPr>
          <w:sz w:val="18"/>
          <w:szCs w:val="18"/>
        </w:rPr>
        <w:t>Certain portions of the registrant’s definitive proxy statement</w:t>
      </w:r>
      <w:r>
        <w:rPr>
          <w:sz w:val="18"/>
          <w:szCs w:val="18"/>
        </w:rPr>
        <w:t xml:space="preserve"> for its 2023 annual meeting of stockholders are incorporated by reference in Part III of this report</w:t>
      </w:r>
      <w:r>
        <w:rPr>
          <w:sz w:val="18"/>
          <w:szCs w:val="18"/>
        </w:rPr>
        <w:t>.</w:t>
      </w:r>
    </w:p>
    <w:p w:rsidR="00000000" w:rsidRDefault="00477EE8">
      <w:pPr>
        <w:pStyle w:val="a3"/>
        <w:pBdr>
          <w:bottom w:val="double" w:sz="6" w:space="1" w:color="auto"/>
        </w:pBdr>
        <w:spacing w:before="0" w:beforeAutospacing="0" w:after="0" w:afterAutospacing="0"/>
        <w:rPr>
          <w:sz w:val="20"/>
          <w:szCs w:val="20"/>
        </w:rPr>
      </w:pPr>
      <w:r>
        <w:rPr>
          <w:sz w:val="20"/>
          <w:szCs w:val="20"/>
        </w:rPr>
        <w:t> </w:t>
      </w:r>
    </w:p>
    <w:p w:rsidR="00000000" w:rsidRDefault="00477EE8">
      <w:pPr>
        <w:rPr>
          <w:rFonts w:eastAsia="Times New Roman"/>
        </w:rPr>
      </w:pPr>
      <w:r>
        <w:rPr>
          <w:rFonts w:eastAsia="Times New Roman"/>
        </w:rPr>
        <w:pict>
          <v:rect id="_x0000_i1025" style="width:0;height:1.5pt" o:hralign="center" o:hrstd="t" o:hr="t" fillcolor="#a0a0a0" stroked="f"/>
        </w:pict>
      </w:r>
    </w:p>
    <w:p w:rsidR="00000000" w:rsidRDefault="00477EE8">
      <w:pPr>
        <w:pStyle w:val="a3"/>
        <w:spacing w:before="0" w:beforeAutospacing="0" w:after="0" w:afterAutospacing="0"/>
        <w:jc w:val="center"/>
        <w:rPr>
          <w:sz w:val="20"/>
          <w:szCs w:val="20"/>
        </w:rPr>
      </w:pPr>
      <w:r>
        <w:rPr>
          <w:b/>
          <w:bCs/>
          <w:sz w:val="20"/>
          <w:szCs w:val="20"/>
        </w:rPr>
        <w:t>TABLE OF CONTENT</w:t>
      </w:r>
      <w:r>
        <w:rPr>
          <w:b/>
          <w:bCs/>
          <w:sz w:val="20"/>
          <w:szCs w:val="20"/>
        </w:rPr>
        <w:t>S</w:t>
      </w:r>
    </w:p>
    <w:p w:rsidR="00000000" w:rsidRDefault="00477EE8">
      <w:pPr>
        <w:pStyle w:val="a3"/>
        <w:spacing w:before="0" w:beforeAutospacing="0" w:after="0" w:afterAutospacing="0"/>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58"/>
        <w:gridCol w:w="110"/>
        <w:gridCol w:w="6661"/>
        <w:gridCol w:w="110"/>
        <w:gridCol w:w="667"/>
      </w:tblGrid>
      <w:tr w:rsidR="00000000">
        <w:trPr>
          <w:tblCellSpacing w:w="15" w:type="dxa"/>
        </w:trPr>
        <w:tc>
          <w:tcPr>
            <w:tcW w:w="450"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4100" w:type="pct"/>
            <w:vAlign w:val="center"/>
            <w:hideMark/>
          </w:tcPr>
          <w:p w:rsidR="00000000" w:rsidRDefault="00477EE8">
            <w:pPr>
              <w:rPr>
                <w:rFonts w:eastAsia="Times New Roman"/>
                <w:sz w:val="20"/>
                <w:szCs w:val="20"/>
              </w:rPr>
            </w:pPr>
          </w:p>
        </w:tc>
        <w:tc>
          <w:tcPr>
            <w:tcW w:w="6" w:type="pct"/>
            <w:vAlign w:val="center"/>
            <w:hideMark/>
          </w:tcPr>
          <w:p w:rsidR="00000000" w:rsidRDefault="00477EE8">
            <w:pPr>
              <w:rPr>
                <w:rFonts w:eastAsia="Times New Roman"/>
                <w:sz w:val="20"/>
                <w:szCs w:val="20"/>
              </w:rPr>
            </w:pPr>
          </w:p>
        </w:tc>
        <w:tc>
          <w:tcPr>
            <w:tcW w:w="393" w:type="pct"/>
            <w:vAlign w:val="center"/>
            <w:hideMark/>
          </w:tcPr>
          <w:p w:rsidR="00000000" w:rsidRDefault="00477EE8">
            <w:pPr>
              <w:rPr>
                <w:rFonts w:eastAsia="Times New Roman"/>
                <w:sz w:val="20"/>
                <w:szCs w:val="20"/>
              </w:rPr>
            </w:pPr>
          </w:p>
        </w:tc>
      </w:tr>
      <w:tr w:rsidR="00000000">
        <w:trPr>
          <w:trHeight w:val="160"/>
          <w:tblCellSpacing w:w="15" w:type="dxa"/>
        </w:trPr>
        <w:tc>
          <w:tcPr>
            <w:tcW w:w="0" w:type="auto"/>
            <w:tcMar>
              <w:top w:w="14" w:type="dxa"/>
              <w:left w:w="15" w:type="dxa"/>
              <w:bottom w:w="15" w:type="dxa"/>
              <w:right w:w="14" w:type="dxa"/>
            </w:tcMar>
            <w:vAlign w:val="center"/>
            <w:hideMark/>
          </w:tcPr>
          <w:p w:rsidR="00000000" w:rsidRDefault="00477EE8">
            <w:pPr>
              <w:pStyle w:val="a3"/>
              <w:spacing w:before="0" w:beforeAutospacing="0" w:after="0" w:afterAutospacing="0"/>
              <w:rPr>
                <w:sz w:val="16"/>
                <w:szCs w:val="16"/>
              </w:rPr>
            </w:pPr>
            <w:r>
              <w:rPr>
                <w:sz w:val="16"/>
                <w:szCs w:val="16"/>
              </w:rPr>
              <w:t> </w:t>
            </w:r>
          </w:p>
        </w:tc>
        <w:tc>
          <w:tcPr>
            <w:tcW w:w="0" w:type="auto"/>
            <w:hideMark/>
          </w:tcPr>
          <w:p w:rsidR="00000000" w:rsidRDefault="00477EE8">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6"/>
                <w:szCs w:val="16"/>
              </w:rPr>
            </w:pPr>
            <w:r>
              <w:rPr>
                <w:b/>
                <w:bCs/>
                <w:sz w:val="16"/>
                <w:szCs w:val="16"/>
              </w:rPr>
              <w:t> </w:t>
            </w:r>
          </w:p>
        </w:tc>
        <w:tc>
          <w:tcPr>
            <w:tcW w:w="0" w:type="auto"/>
            <w:hideMark/>
          </w:tcPr>
          <w:p w:rsidR="00000000" w:rsidRDefault="00477EE8">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16"/>
                <w:szCs w:val="16"/>
              </w:rPr>
            </w:pPr>
            <w:r>
              <w:rPr>
                <w:b/>
                <w:bCs/>
                <w:sz w:val="16"/>
                <w:szCs w:val="16"/>
              </w:rPr>
              <w:t>Pag</w:t>
            </w:r>
            <w:r>
              <w:rPr>
                <w:b/>
                <w:bCs/>
                <w:sz w:val="16"/>
                <w:szCs w:val="16"/>
              </w:rPr>
              <w:t>e</w:t>
            </w:r>
          </w:p>
        </w:tc>
      </w:tr>
      <w:tr w:rsidR="00000000">
        <w:trPr>
          <w:trHeight w:val="200"/>
          <w:tblCellSpacing w:w="15" w:type="dxa"/>
        </w:trPr>
        <w:tc>
          <w:tcPr>
            <w:tcW w:w="0" w:type="auto"/>
            <w:gridSpan w:val="3"/>
            <w:hideMark/>
          </w:tcPr>
          <w:p w:rsidR="00000000" w:rsidRDefault="00477EE8">
            <w:pPr>
              <w:pStyle w:val="a3"/>
              <w:spacing w:before="0" w:beforeAutospacing="0" w:after="0" w:afterAutospacing="0"/>
              <w:rPr>
                <w:sz w:val="20"/>
                <w:szCs w:val="20"/>
              </w:rPr>
            </w:pPr>
            <w:hyperlink w:anchor="cautionary_note_regarding_forwardlookin" w:history="1">
              <w:r>
                <w:rPr>
                  <w:rStyle w:val="a4"/>
                  <w:sz w:val="20"/>
                  <w:szCs w:val="20"/>
                </w:rPr>
                <w:t>Cautionary Note Regarding Forward-Looking Statement</w:t>
              </w:r>
              <w:r>
                <w:rPr>
                  <w:rStyle w:val="a4"/>
                  <w:sz w:val="20"/>
                  <w:szCs w:val="20"/>
                </w:rPr>
                <w:t>s</w:t>
              </w:r>
            </w:hyperlink>
          </w:p>
        </w:tc>
        <w:tc>
          <w:tcPr>
            <w:tcW w:w="0" w:type="auto"/>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i</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hyperlink w:anchor="part_i" w:history="1">
              <w:r>
                <w:rPr>
                  <w:rStyle w:val="a4"/>
                  <w:b/>
                  <w:bCs/>
                  <w:sz w:val="20"/>
                  <w:szCs w:val="20"/>
                </w:rPr>
                <w:t xml:space="preserve">PART </w:t>
              </w:r>
              <w:r>
                <w:rPr>
                  <w:rStyle w:val="a4"/>
                  <w:b/>
                  <w:bCs/>
                  <w:sz w:val="20"/>
                  <w:szCs w:val="20"/>
                </w:rPr>
                <w:t>I</w:t>
              </w:r>
            </w:hyperlink>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Item 1</w:t>
            </w:r>
            <w:r>
              <w:rPr>
                <w:sz w:val="20"/>
                <w:szCs w:val="20"/>
              </w:rPr>
              <w:t>.</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hyperlink w:anchor="item_1_business" w:history="1">
              <w:r>
                <w:rPr>
                  <w:rStyle w:val="a4"/>
                  <w:sz w:val="20"/>
                  <w:szCs w:val="20"/>
                </w:rPr>
                <w:t>Busines</w:t>
              </w:r>
              <w:r>
                <w:rPr>
                  <w:rStyle w:val="a4"/>
                  <w:sz w:val="20"/>
                  <w:szCs w:val="20"/>
                </w:rPr>
                <w:t>s</w:t>
              </w:r>
            </w:hyperlink>
          </w:p>
        </w:tc>
        <w:tc>
          <w:tcPr>
            <w:tcW w:w="0" w:type="auto"/>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Item 1A</w:t>
            </w:r>
            <w:r>
              <w:rPr>
                <w:sz w:val="20"/>
                <w:szCs w:val="20"/>
              </w:rPr>
              <w:t>.</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hyperlink w:anchor="item_1a_risk_factors" w:history="1">
              <w:r>
                <w:rPr>
                  <w:rStyle w:val="a4"/>
                  <w:sz w:val="20"/>
                  <w:szCs w:val="20"/>
                </w:rPr>
                <w:t>Risk Factor</w:t>
              </w:r>
              <w:r>
                <w:rPr>
                  <w:rStyle w:val="a4"/>
                  <w:sz w:val="20"/>
                  <w:szCs w:val="20"/>
                </w:rPr>
                <w:t>s</w:t>
              </w:r>
            </w:hyperlink>
          </w:p>
        </w:tc>
        <w:tc>
          <w:tcPr>
            <w:tcW w:w="0" w:type="auto"/>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w:t>
            </w:r>
            <w:r>
              <w:rPr>
                <w:sz w:val="20"/>
                <w:szCs w:val="20"/>
              </w:rPr>
              <w:t>7</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Item 1B</w:t>
            </w:r>
            <w:r>
              <w:rPr>
                <w:sz w:val="20"/>
                <w:szCs w:val="20"/>
              </w:rPr>
              <w:t>.</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hyperlink w:anchor="item_1b_unresolved_staff_comments" w:history="1">
              <w:r>
                <w:rPr>
                  <w:rStyle w:val="a4"/>
                  <w:sz w:val="20"/>
                  <w:szCs w:val="20"/>
                </w:rPr>
                <w:t>Unresolved Staff Comment</w:t>
              </w:r>
              <w:r>
                <w:rPr>
                  <w:rStyle w:val="a4"/>
                  <w:sz w:val="20"/>
                  <w:szCs w:val="20"/>
                </w:rPr>
                <w:t>s</w:t>
              </w:r>
            </w:hyperlink>
          </w:p>
        </w:tc>
        <w:tc>
          <w:tcPr>
            <w:tcW w:w="0" w:type="auto"/>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w:t>
            </w:r>
            <w:r>
              <w:rPr>
                <w:sz w:val="20"/>
                <w:szCs w:val="20"/>
              </w:rPr>
              <w:t>5</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Item 2</w:t>
            </w:r>
            <w:r>
              <w:rPr>
                <w:sz w:val="20"/>
                <w:szCs w:val="20"/>
              </w:rPr>
              <w:t>.</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hyperlink w:anchor="item_2_properties" w:history="1">
              <w:r>
                <w:rPr>
                  <w:rStyle w:val="a4"/>
                  <w:sz w:val="20"/>
                  <w:szCs w:val="20"/>
                </w:rPr>
                <w:t>Propertie</w:t>
              </w:r>
              <w:r>
                <w:rPr>
                  <w:rStyle w:val="a4"/>
                  <w:sz w:val="20"/>
                  <w:szCs w:val="20"/>
                </w:rPr>
                <w:t>s</w:t>
              </w:r>
            </w:hyperlink>
          </w:p>
        </w:tc>
        <w:tc>
          <w:tcPr>
            <w:tcW w:w="0" w:type="auto"/>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w:t>
            </w:r>
            <w:r>
              <w:rPr>
                <w:sz w:val="20"/>
                <w:szCs w:val="20"/>
              </w:rPr>
              <w:t>5</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Item 3</w:t>
            </w:r>
            <w:r>
              <w:rPr>
                <w:sz w:val="20"/>
                <w:szCs w:val="20"/>
              </w:rPr>
              <w:t>.</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hyperlink w:anchor="item_3_legal_proceedings" w:history="1">
              <w:r>
                <w:rPr>
                  <w:rStyle w:val="a4"/>
                  <w:sz w:val="20"/>
                  <w:szCs w:val="20"/>
                </w:rPr>
                <w:t>Legal Proceeding</w:t>
              </w:r>
              <w:r>
                <w:rPr>
                  <w:rStyle w:val="a4"/>
                  <w:sz w:val="20"/>
                  <w:szCs w:val="20"/>
                </w:rPr>
                <w:t>s</w:t>
              </w:r>
            </w:hyperlink>
          </w:p>
        </w:tc>
        <w:tc>
          <w:tcPr>
            <w:tcW w:w="0" w:type="auto"/>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w:t>
            </w:r>
            <w:r>
              <w:rPr>
                <w:sz w:val="20"/>
                <w:szCs w:val="20"/>
              </w:rPr>
              <w:t>5</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Item 4</w:t>
            </w:r>
            <w:r>
              <w:rPr>
                <w:sz w:val="20"/>
                <w:szCs w:val="20"/>
              </w:rPr>
              <w:t>.</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hyperlink w:anchor="item_4_mine_safety_disclosures" w:history="1">
              <w:r>
                <w:rPr>
                  <w:rStyle w:val="a4"/>
                  <w:sz w:val="20"/>
                  <w:szCs w:val="20"/>
                </w:rPr>
                <w:t>Mine Safety Disclosure</w:t>
              </w:r>
              <w:r>
                <w:rPr>
                  <w:rStyle w:val="a4"/>
                  <w:sz w:val="20"/>
                  <w:szCs w:val="20"/>
                </w:rPr>
                <w:t>s</w:t>
              </w:r>
            </w:hyperlink>
          </w:p>
        </w:tc>
        <w:tc>
          <w:tcPr>
            <w:tcW w:w="0" w:type="auto"/>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w:t>
            </w:r>
            <w:r>
              <w:rPr>
                <w:sz w:val="20"/>
                <w:szCs w:val="20"/>
              </w:rPr>
              <w:t>6</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hyperlink w:anchor="part_ii" w:history="1">
              <w:r>
                <w:rPr>
                  <w:rStyle w:val="a4"/>
                  <w:b/>
                  <w:bCs/>
                  <w:sz w:val="20"/>
                  <w:szCs w:val="20"/>
                </w:rPr>
                <w:t>PART I</w:t>
              </w:r>
              <w:r>
                <w:rPr>
                  <w:rStyle w:val="a4"/>
                  <w:b/>
                  <w:bCs/>
                  <w:sz w:val="20"/>
                  <w:szCs w:val="20"/>
                </w:rPr>
                <w:t>I</w:t>
              </w:r>
            </w:hyperlink>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w:t>
            </w:r>
            <w:r>
              <w:rPr>
                <w:sz w:val="20"/>
                <w:szCs w:val="20"/>
              </w:rPr>
              <w:t>7</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Item 5</w:t>
            </w:r>
            <w:r>
              <w:rPr>
                <w:sz w:val="20"/>
                <w:szCs w:val="20"/>
              </w:rPr>
              <w:t>.</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hyperlink w:anchor="item_5_market_for_registrants_common_eq" w:history="1">
              <w:r>
                <w:rPr>
                  <w:rStyle w:val="a4"/>
                  <w:sz w:val="20"/>
                  <w:szCs w:val="20"/>
                </w:rPr>
                <w:t>Market for Registrant’</w:t>
              </w:r>
              <w:r>
                <w:rPr>
                  <w:rStyle w:val="a4"/>
                  <w:sz w:val="20"/>
                  <w:szCs w:val="20"/>
                </w:rPr>
                <w:t>s Common Equity, Related Stockholder Matters and Issuer Purchases of Equity Securitie</w:t>
              </w:r>
              <w:r>
                <w:rPr>
                  <w:rStyle w:val="a4"/>
                  <w:sz w:val="20"/>
                  <w:szCs w:val="20"/>
                </w:rPr>
                <w:t>s</w:t>
              </w:r>
            </w:hyperlink>
          </w:p>
        </w:tc>
        <w:tc>
          <w:tcPr>
            <w:tcW w:w="0" w:type="auto"/>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w:t>
            </w:r>
            <w:r>
              <w:rPr>
                <w:sz w:val="20"/>
                <w:szCs w:val="20"/>
              </w:rPr>
              <w:t>7</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Item 6</w:t>
            </w:r>
            <w:r>
              <w:rPr>
                <w:sz w:val="20"/>
                <w:szCs w:val="20"/>
              </w:rPr>
              <w:t>.</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hyperlink w:anchor="item_6_reserved" w:history="1">
              <w:r>
                <w:rPr>
                  <w:rStyle w:val="a4"/>
                  <w:sz w:val="20"/>
                  <w:szCs w:val="20"/>
                </w:rPr>
                <w:t>[Reserved</w:t>
              </w:r>
              <w:r>
                <w:rPr>
                  <w:rStyle w:val="a4"/>
                  <w:sz w:val="20"/>
                  <w:szCs w:val="20"/>
                </w:rPr>
                <w:t>]</w:t>
              </w:r>
            </w:hyperlink>
            <w:r>
              <w:rPr>
                <w:sz w:val="20"/>
                <w:szCs w:val="20"/>
              </w:rPr>
              <w:t xml:space="preserve"> </w:t>
            </w:r>
          </w:p>
        </w:tc>
        <w:tc>
          <w:tcPr>
            <w:tcW w:w="0" w:type="auto"/>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w:t>
            </w:r>
            <w:r>
              <w:rPr>
                <w:sz w:val="20"/>
                <w:szCs w:val="20"/>
              </w:rPr>
              <w:t>8</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Item 7</w:t>
            </w:r>
            <w:r>
              <w:rPr>
                <w:sz w:val="20"/>
                <w:szCs w:val="20"/>
              </w:rPr>
              <w:t>.</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hyperlink w:anchor="item_7_managements_discussion_analysis_" w:history="1">
              <w:r>
                <w:rPr>
                  <w:rStyle w:val="a4"/>
                  <w:sz w:val="20"/>
                  <w:szCs w:val="20"/>
                </w:rPr>
                <w:t>Management’s Discussion and Analysis of Financial Condition and Results of Operation</w:t>
              </w:r>
              <w:r>
                <w:rPr>
                  <w:rStyle w:val="a4"/>
                  <w:sz w:val="20"/>
                  <w:szCs w:val="20"/>
                </w:rPr>
                <w:t>s</w:t>
              </w:r>
            </w:hyperlink>
          </w:p>
        </w:tc>
        <w:tc>
          <w:tcPr>
            <w:tcW w:w="0" w:type="auto"/>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w:t>
            </w:r>
            <w:r>
              <w:rPr>
                <w:sz w:val="20"/>
                <w:szCs w:val="20"/>
              </w:rPr>
              <w:t>9</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Item 7A</w:t>
            </w:r>
            <w:r>
              <w:rPr>
                <w:sz w:val="20"/>
                <w:szCs w:val="20"/>
              </w:rPr>
              <w:t>.</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hyperlink w:anchor="item_7a_quantitative_qualitative_disclo" w:history="1">
              <w:r>
                <w:rPr>
                  <w:rStyle w:val="a4"/>
                  <w:sz w:val="20"/>
                  <w:szCs w:val="20"/>
                </w:rPr>
                <w:t xml:space="preserve">Quantitative and Qualitative </w:t>
              </w:r>
              <w:r>
                <w:rPr>
                  <w:rStyle w:val="a4"/>
                  <w:sz w:val="20"/>
                  <w:szCs w:val="20"/>
                </w:rPr>
                <w:t>Disclosures About Market Ris</w:t>
              </w:r>
              <w:r>
                <w:rPr>
                  <w:rStyle w:val="a4"/>
                  <w:sz w:val="20"/>
                  <w:szCs w:val="20"/>
                </w:rPr>
                <w:t>k</w:t>
              </w:r>
            </w:hyperlink>
          </w:p>
        </w:tc>
        <w:tc>
          <w:tcPr>
            <w:tcW w:w="0" w:type="auto"/>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w:t>
            </w:r>
            <w:r>
              <w:rPr>
                <w:sz w:val="20"/>
                <w:szCs w:val="20"/>
              </w:rPr>
              <w:t>0</w:t>
            </w:r>
          </w:p>
        </w:tc>
      </w:tr>
      <w:tr w:rsidR="00000000">
        <w:trPr>
          <w:trHeight w:val="200"/>
          <w:tblCellSpacing w:w="15" w:type="dxa"/>
        </w:trPr>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r>
              <w:rPr>
                <w:sz w:val="20"/>
                <w:szCs w:val="20"/>
              </w:rPr>
              <w:t>Item 8</w:t>
            </w:r>
            <w:r>
              <w:rPr>
                <w:sz w:val="20"/>
                <w:szCs w:val="20"/>
              </w:rPr>
              <w:t>.</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hyperlink w:anchor="item_8_financial_statements_supplementa" w:history="1">
              <w:r>
                <w:rPr>
                  <w:rStyle w:val="a4"/>
                  <w:sz w:val="20"/>
                  <w:szCs w:val="20"/>
                </w:rPr>
                <w:t>Financial Statements and Supplementary Dat</w:t>
              </w:r>
              <w:r>
                <w:rPr>
                  <w:rStyle w:val="a4"/>
                  <w:sz w:val="20"/>
                  <w:szCs w:val="20"/>
                </w:rPr>
                <w:t>a</w:t>
              </w:r>
            </w:hyperlink>
          </w:p>
        </w:tc>
        <w:tc>
          <w:tcPr>
            <w:tcW w:w="0" w:type="auto"/>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right"/>
              <w:rPr>
                <w:sz w:val="20"/>
                <w:szCs w:val="20"/>
              </w:rPr>
            </w:pPr>
            <w:r>
              <w:rPr>
                <w:sz w:val="20"/>
                <w:szCs w:val="20"/>
              </w:rPr>
              <w:t>6</w:t>
            </w:r>
            <w:r>
              <w:rPr>
                <w:sz w:val="20"/>
                <w:szCs w:val="20"/>
              </w:rPr>
              <w:t>1</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Item 9</w:t>
            </w:r>
            <w:r>
              <w:rPr>
                <w:sz w:val="20"/>
                <w:szCs w:val="20"/>
              </w:rPr>
              <w:t>.</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hyperlink w:anchor="item_9_changes_in_disagreements_with_ac" w:history="1">
              <w:r>
                <w:rPr>
                  <w:rStyle w:val="a4"/>
                  <w:sz w:val="20"/>
                  <w:szCs w:val="20"/>
                </w:rPr>
                <w:t>Changes in and Disagreemen</w:t>
              </w:r>
              <w:r>
                <w:rPr>
                  <w:rStyle w:val="a4"/>
                  <w:sz w:val="20"/>
                  <w:szCs w:val="20"/>
                </w:rPr>
                <w:t>ts with Accountants on Accounting and Financial Disclosur</w:t>
              </w:r>
              <w:r>
                <w:rPr>
                  <w:rStyle w:val="a4"/>
                  <w:sz w:val="20"/>
                  <w:szCs w:val="20"/>
                </w:rPr>
                <w:t>e</w:t>
              </w:r>
            </w:hyperlink>
          </w:p>
        </w:tc>
        <w:tc>
          <w:tcPr>
            <w:tcW w:w="0" w:type="auto"/>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w:t>
            </w:r>
            <w:r>
              <w:rPr>
                <w:sz w:val="20"/>
                <w:szCs w:val="20"/>
              </w:rPr>
              <w:t>1</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Item 9A</w:t>
            </w:r>
            <w:r>
              <w:rPr>
                <w:sz w:val="20"/>
                <w:szCs w:val="20"/>
              </w:rPr>
              <w:t>.</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hyperlink w:anchor="item_9a_controls_procedures" w:history="1">
              <w:r>
                <w:rPr>
                  <w:rStyle w:val="a4"/>
                  <w:sz w:val="20"/>
                  <w:szCs w:val="20"/>
                </w:rPr>
                <w:t>Controls and Procedure</w:t>
              </w:r>
              <w:r>
                <w:rPr>
                  <w:rStyle w:val="a4"/>
                  <w:sz w:val="20"/>
                  <w:szCs w:val="20"/>
                </w:rPr>
                <w:t>s</w:t>
              </w:r>
            </w:hyperlink>
          </w:p>
        </w:tc>
        <w:tc>
          <w:tcPr>
            <w:tcW w:w="0" w:type="auto"/>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w:t>
            </w:r>
            <w:r>
              <w:rPr>
                <w:sz w:val="20"/>
                <w:szCs w:val="20"/>
              </w:rPr>
              <w:t>1</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Item 9B</w:t>
            </w:r>
            <w:r>
              <w:rPr>
                <w:sz w:val="20"/>
                <w:szCs w:val="20"/>
              </w:rPr>
              <w:t>.</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hyperlink w:anchor="item_9b_or_information" w:history="1">
              <w:r>
                <w:rPr>
                  <w:rStyle w:val="a4"/>
                  <w:sz w:val="20"/>
                  <w:szCs w:val="20"/>
                </w:rPr>
                <w:t>Other Informatio</w:t>
              </w:r>
              <w:r>
                <w:rPr>
                  <w:rStyle w:val="a4"/>
                  <w:sz w:val="20"/>
                  <w:szCs w:val="20"/>
                </w:rPr>
                <w:t>n</w:t>
              </w:r>
            </w:hyperlink>
          </w:p>
        </w:tc>
        <w:tc>
          <w:tcPr>
            <w:tcW w:w="0" w:type="auto"/>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w:t>
            </w:r>
            <w:r>
              <w:rPr>
                <w:sz w:val="20"/>
                <w:szCs w:val="20"/>
              </w:rPr>
              <w:t>3</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lastRenderedPageBreak/>
              <w:t>Item 9C</w:t>
            </w:r>
            <w:r>
              <w:rPr>
                <w:sz w:val="20"/>
                <w:szCs w:val="20"/>
              </w:rPr>
              <w:t>.</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hyperlink w:anchor="item_9c_disclosure" w:history="1">
              <w:r>
                <w:rPr>
                  <w:rStyle w:val="a4"/>
                  <w:sz w:val="20"/>
                  <w:szCs w:val="20"/>
                </w:rPr>
                <w:t>Disclosure Regarding Foreign Jurisdictions that Prevent Inspection</w:t>
              </w:r>
              <w:r>
                <w:rPr>
                  <w:rStyle w:val="a4"/>
                  <w:sz w:val="20"/>
                  <w:szCs w:val="20"/>
                </w:rPr>
                <w:t>s</w:t>
              </w:r>
            </w:hyperlink>
          </w:p>
        </w:tc>
        <w:tc>
          <w:tcPr>
            <w:tcW w:w="0" w:type="auto"/>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w:t>
            </w:r>
            <w:r>
              <w:rPr>
                <w:sz w:val="20"/>
                <w:szCs w:val="20"/>
              </w:rPr>
              <w:t>3</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hyperlink w:anchor="part_iii" w:history="1">
              <w:r>
                <w:rPr>
                  <w:rStyle w:val="a4"/>
                  <w:b/>
                  <w:bCs/>
                  <w:sz w:val="20"/>
                  <w:szCs w:val="20"/>
                </w:rPr>
                <w:t>PART II</w:t>
              </w:r>
              <w:r>
                <w:rPr>
                  <w:rStyle w:val="a4"/>
                  <w:b/>
                  <w:bCs/>
                  <w:sz w:val="20"/>
                  <w:szCs w:val="20"/>
                </w:rPr>
                <w:t>I</w:t>
              </w:r>
            </w:hyperlink>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w:t>
            </w:r>
            <w:r>
              <w:rPr>
                <w:sz w:val="20"/>
                <w:szCs w:val="20"/>
              </w:rPr>
              <w:t>4</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Item 10</w:t>
            </w:r>
            <w:r>
              <w:rPr>
                <w:sz w:val="20"/>
                <w:szCs w:val="20"/>
              </w:rPr>
              <w:t>.</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hyperlink w:anchor="item_10_directors_executive_ficers_corp" w:history="1">
              <w:r>
                <w:rPr>
                  <w:rStyle w:val="a4"/>
                  <w:sz w:val="20"/>
                  <w:szCs w:val="20"/>
                </w:rPr>
                <w:t>Directors, Executive Officers and Corporate Governanc</w:t>
              </w:r>
              <w:r>
                <w:rPr>
                  <w:rStyle w:val="a4"/>
                  <w:sz w:val="20"/>
                  <w:szCs w:val="20"/>
                </w:rPr>
                <w:t>e</w:t>
              </w:r>
            </w:hyperlink>
          </w:p>
        </w:tc>
        <w:tc>
          <w:tcPr>
            <w:tcW w:w="0" w:type="auto"/>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w:t>
            </w:r>
            <w:r>
              <w:rPr>
                <w:sz w:val="20"/>
                <w:szCs w:val="20"/>
              </w:rPr>
              <w:t>4</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Item 11</w:t>
            </w:r>
            <w:r>
              <w:rPr>
                <w:sz w:val="20"/>
                <w:szCs w:val="20"/>
              </w:rPr>
              <w:t>.</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hyperlink w:anchor="item_11_executive_compensation" w:history="1">
              <w:r>
                <w:rPr>
                  <w:rStyle w:val="a4"/>
                  <w:sz w:val="20"/>
                  <w:szCs w:val="20"/>
                </w:rPr>
                <w:t>Executive Compensatio</w:t>
              </w:r>
              <w:r>
                <w:rPr>
                  <w:rStyle w:val="a4"/>
                  <w:sz w:val="20"/>
                  <w:szCs w:val="20"/>
                </w:rPr>
                <w:t>n</w:t>
              </w:r>
            </w:hyperlink>
          </w:p>
        </w:tc>
        <w:tc>
          <w:tcPr>
            <w:tcW w:w="0" w:type="auto"/>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w:t>
            </w:r>
            <w:r>
              <w:rPr>
                <w:sz w:val="20"/>
                <w:szCs w:val="20"/>
              </w:rPr>
              <w:t>4</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Item 12</w:t>
            </w:r>
            <w:r>
              <w:rPr>
                <w:sz w:val="20"/>
                <w:szCs w:val="20"/>
              </w:rPr>
              <w:t>.</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hyperlink w:anchor="item_12_security_ownership_certain_bene" w:history="1">
              <w:r>
                <w:rPr>
                  <w:rStyle w:val="a4"/>
                  <w:sz w:val="20"/>
                  <w:szCs w:val="20"/>
                </w:rPr>
                <w:t>Security Ownership of Certain Beneficial Owners and Management and Related Stockholder Matter</w:t>
              </w:r>
              <w:r>
                <w:rPr>
                  <w:rStyle w:val="a4"/>
                  <w:sz w:val="20"/>
                  <w:szCs w:val="20"/>
                </w:rPr>
                <w:t>s</w:t>
              </w:r>
            </w:hyperlink>
          </w:p>
        </w:tc>
        <w:tc>
          <w:tcPr>
            <w:tcW w:w="0" w:type="auto"/>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w:t>
            </w:r>
            <w:r>
              <w:rPr>
                <w:sz w:val="20"/>
                <w:szCs w:val="20"/>
              </w:rPr>
              <w:t>4</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Item 13</w:t>
            </w:r>
            <w:r>
              <w:rPr>
                <w:sz w:val="20"/>
                <w:szCs w:val="20"/>
              </w:rPr>
              <w:t>.</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hyperlink w:anchor="item_13_certain_relationships_related_t" w:history="1">
              <w:r>
                <w:rPr>
                  <w:rStyle w:val="a4"/>
                  <w:sz w:val="20"/>
                  <w:szCs w:val="20"/>
                </w:rPr>
                <w:t>Certain Relationships and Related Transactions, and Director Independenc</w:t>
              </w:r>
              <w:r>
                <w:rPr>
                  <w:rStyle w:val="a4"/>
                  <w:sz w:val="20"/>
                  <w:szCs w:val="20"/>
                </w:rPr>
                <w:t>e</w:t>
              </w:r>
            </w:hyperlink>
          </w:p>
        </w:tc>
        <w:tc>
          <w:tcPr>
            <w:tcW w:w="0" w:type="auto"/>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w:t>
            </w:r>
            <w:r>
              <w:rPr>
                <w:sz w:val="20"/>
                <w:szCs w:val="20"/>
              </w:rPr>
              <w:t>4</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Item 14</w:t>
            </w:r>
            <w:r>
              <w:rPr>
                <w:sz w:val="20"/>
                <w:szCs w:val="20"/>
              </w:rPr>
              <w:t>.</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hyperlink w:anchor="item_14_principal_accounting_fees_servi" w:history="1">
              <w:r>
                <w:rPr>
                  <w:rStyle w:val="a4"/>
                  <w:sz w:val="20"/>
                  <w:szCs w:val="20"/>
                </w:rPr>
                <w:t>Principal Accounting Fees and Service</w:t>
              </w:r>
              <w:r>
                <w:rPr>
                  <w:rStyle w:val="a4"/>
                  <w:sz w:val="20"/>
                  <w:szCs w:val="20"/>
                </w:rPr>
                <w:t>s</w:t>
              </w:r>
            </w:hyperlink>
          </w:p>
        </w:tc>
        <w:tc>
          <w:tcPr>
            <w:tcW w:w="0" w:type="auto"/>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w:t>
            </w:r>
            <w:r>
              <w:rPr>
                <w:sz w:val="20"/>
                <w:szCs w:val="20"/>
              </w:rPr>
              <w:t>4</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hyperlink w:anchor="part_iv" w:history="1">
              <w:r>
                <w:rPr>
                  <w:rStyle w:val="a4"/>
                  <w:b/>
                  <w:bCs/>
                  <w:sz w:val="20"/>
                  <w:szCs w:val="20"/>
                </w:rPr>
                <w:t>PART I</w:t>
              </w:r>
              <w:r>
                <w:rPr>
                  <w:rStyle w:val="a4"/>
                  <w:b/>
                  <w:bCs/>
                  <w:sz w:val="20"/>
                  <w:szCs w:val="20"/>
                </w:rPr>
                <w:t>V</w:t>
              </w:r>
            </w:hyperlink>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w:t>
            </w:r>
            <w:r>
              <w:rPr>
                <w:sz w:val="20"/>
                <w:szCs w:val="20"/>
              </w:rPr>
              <w:t>5</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Item 15</w:t>
            </w:r>
            <w:r>
              <w:rPr>
                <w:sz w:val="20"/>
                <w:szCs w:val="20"/>
              </w:rPr>
              <w:t>.</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hyperlink w:anchor="item_15_exhibits_financial_statement_sc" w:history="1">
              <w:r>
                <w:rPr>
                  <w:rStyle w:val="a4"/>
                  <w:sz w:val="20"/>
                  <w:szCs w:val="20"/>
                </w:rPr>
                <w:t>Exhibits, Financial Statement Schedule</w:t>
              </w:r>
              <w:r>
                <w:rPr>
                  <w:rStyle w:val="a4"/>
                  <w:sz w:val="20"/>
                  <w:szCs w:val="20"/>
                </w:rPr>
                <w:t>s</w:t>
              </w:r>
            </w:hyperlink>
          </w:p>
        </w:tc>
        <w:tc>
          <w:tcPr>
            <w:tcW w:w="0" w:type="auto"/>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w:t>
            </w:r>
            <w:r>
              <w:rPr>
                <w:sz w:val="20"/>
                <w:szCs w:val="20"/>
              </w:rPr>
              <w:t>5</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Item 16</w:t>
            </w:r>
            <w:r>
              <w:rPr>
                <w:sz w:val="20"/>
                <w:szCs w:val="20"/>
              </w:rPr>
              <w:t>.</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hyperlink w:anchor="item_16_form_10k_summary" w:history="1">
              <w:r>
                <w:rPr>
                  <w:rStyle w:val="a4"/>
                  <w:sz w:val="20"/>
                  <w:szCs w:val="20"/>
                </w:rPr>
                <w:t>Form 10-K Summar</w:t>
              </w:r>
              <w:r>
                <w:rPr>
                  <w:rStyle w:val="a4"/>
                  <w:sz w:val="20"/>
                  <w:szCs w:val="20"/>
                </w:rPr>
                <w:t>y</w:t>
              </w:r>
            </w:hyperlink>
          </w:p>
        </w:tc>
        <w:tc>
          <w:tcPr>
            <w:tcW w:w="0" w:type="auto"/>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w:t>
            </w:r>
            <w:r>
              <w:rPr>
                <w:sz w:val="20"/>
                <w:szCs w:val="20"/>
              </w:rPr>
              <w:t>5</w:t>
            </w:r>
          </w:p>
        </w:tc>
      </w:tr>
    </w:tbl>
    <w:p w:rsidR="00000000" w:rsidRDefault="00477EE8">
      <w:pPr>
        <w:pStyle w:val="a3"/>
        <w:spacing w:before="0" w:beforeAutospacing="0" w:after="0" w:afterAutospacing="0"/>
        <w:rPr>
          <w:sz w:val="20"/>
          <w:szCs w:val="20"/>
        </w:rPr>
      </w:pPr>
      <w:r>
        <w:t> </w:t>
      </w:r>
    </w:p>
    <w:p w:rsidR="00000000" w:rsidRDefault="00477EE8">
      <w:pPr>
        <w:pStyle w:val="a3"/>
        <w:spacing w:before="0" w:beforeAutospacing="0" w:after="0" w:afterAutospacing="0"/>
        <w:rPr>
          <w:sz w:val="20"/>
          <w:szCs w:val="20"/>
        </w:rPr>
      </w:pPr>
      <w:r>
        <w:rPr>
          <w:sz w:val="20"/>
          <w:szCs w:val="20"/>
        </w:rPr>
        <w:t> </w:t>
      </w:r>
    </w:p>
    <w:p w:rsidR="00000000" w:rsidRDefault="00477EE8">
      <w:pPr>
        <w:pStyle w:val="a3"/>
        <w:spacing w:before="0" w:beforeAutospacing="0" w:after="0" w:afterAutospacing="0"/>
        <w:rPr>
          <w:sz w:val="20"/>
          <w:szCs w:val="20"/>
        </w:rPr>
      </w:pPr>
      <w:r>
        <w:rPr>
          <w:sz w:val="20"/>
          <w:szCs w:val="20"/>
        </w:rPr>
        <w:t> </w:t>
      </w:r>
    </w:p>
    <w:p w:rsidR="00000000" w:rsidRDefault="00477EE8">
      <w:pPr>
        <w:pStyle w:val="a3"/>
        <w:spacing w:before="0" w:beforeAutospacing="0" w:after="0" w:afterAutospacing="0"/>
        <w:rPr>
          <w:sz w:val="20"/>
          <w:szCs w:val="20"/>
        </w:rPr>
      </w:pPr>
      <w:r>
        <w:rPr>
          <w:sz w:val="20"/>
          <w:szCs w:val="20"/>
        </w:rPr>
        <w:t> </w:t>
      </w:r>
    </w:p>
    <w:p w:rsidR="00000000" w:rsidRDefault="00477EE8">
      <w:pPr>
        <w:rPr>
          <w:rFonts w:eastAsia="Times New Roman"/>
        </w:rPr>
      </w:pPr>
      <w:r>
        <w:rPr>
          <w:rFonts w:eastAsia="Times New Roman"/>
        </w:rPr>
        <w:pict>
          <v:rect id="_x0000_i1026" style="width:0;height:1.5pt" o:hralign="center" o:hrstd="t" o:hr="t" fillcolor="#a0a0a0" stroked="f"/>
        </w:pict>
      </w:r>
    </w:p>
    <w:p w:rsidR="00000000" w:rsidRDefault="00477EE8">
      <w:pPr>
        <w:pStyle w:val="a3"/>
        <w:spacing w:before="0" w:beforeAutospacing="0" w:after="0" w:afterAutospacing="0"/>
        <w:jc w:val="center"/>
        <w:rPr>
          <w:sz w:val="20"/>
          <w:szCs w:val="20"/>
        </w:rPr>
      </w:pPr>
      <w:r>
        <w:rPr>
          <w:b/>
          <w:bCs/>
          <w:sz w:val="20"/>
          <w:szCs w:val="20"/>
        </w:rPr>
        <w:t>CAUTIONARY NOTE REGARDING</w:t>
      </w:r>
      <w:r>
        <w:rPr>
          <w:b/>
          <w:bCs/>
          <w:sz w:val="20"/>
          <w:szCs w:val="20"/>
        </w:rPr>
        <w:t xml:space="preserve"> </w:t>
      </w:r>
      <w:r>
        <w:rPr>
          <w:b/>
          <w:bCs/>
          <w:sz w:val="20"/>
          <w:szCs w:val="20"/>
        </w:rPr>
        <w:t>FORWARD-LOOKING STATEMENT</w:t>
      </w:r>
      <w:r>
        <w:rPr>
          <w:b/>
          <w:bCs/>
          <w:sz w:val="20"/>
          <w:szCs w:val="20"/>
        </w:rPr>
        <w:t>S</w:t>
      </w:r>
    </w:p>
    <w:p w:rsidR="00000000" w:rsidRDefault="00477EE8">
      <w:pPr>
        <w:pStyle w:val="a3"/>
        <w:spacing w:before="240" w:beforeAutospacing="0" w:after="0" w:afterAutospacing="0"/>
        <w:ind w:firstLine="555"/>
        <w:rPr>
          <w:sz w:val="20"/>
          <w:szCs w:val="20"/>
        </w:rPr>
      </w:pPr>
      <w:r>
        <w:rPr>
          <w:sz w:val="20"/>
          <w:szCs w:val="20"/>
        </w:rPr>
        <w:t>This report contains forward-looking statements within the meaning of Section 27A of th</w:t>
      </w:r>
      <w:r>
        <w:rPr>
          <w:sz w:val="20"/>
          <w:szCs w:val="20"/>
        </w:rPr>
        <w:t>e Securities Act of 1933, as amended, or Securities Act, and Section 21E of the Securities Exchange Act of 1934, as amended, or Exchange Act. Forward-looking statements are statements other than historical facts and relate to future events or circumstances</w:t>
      </w:r>
      <w:r>
        <w:rPr>
          <w:sz w:val="20"/>
          <w:szCs w:val="20"/>
        </w:rPr>
        <w:t xml:space="preserve"> or our future performance, and they are based on our current assumptions, expectations and beliefs concerning future developments and their potential effect on our business. The words “believe,” “may,” “will,” “potentially,” “estimate,” “continue,” “antic</w:t>
      </w:r>
      <w:r>
        <w:rPr>
          <w:sz w:val="20"/>
          <w:szCs w:val="20"/>
        </w:rPr>
        <w:t>ipate,” “intend,” “could,” “would,” “project,” “plan,” “expect,” “possible,” “likely,” “probable,” and similar expressions that convey uncertainty of future events or outcomes identify forward-looking statements</w:t>
      </w:r>
      <w:r>
        <w:rPr>
          <w:sz w:val="20"/>
          <w:szCs w:val="20"/>
        </w:rPr>
        <w:t>.</w:t>
      </w:r>
      <w:r>
        <w:rPr>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The forward-looking statements in this report include statements about, among other things</w:t>
      </w:r>
      <w:r>
        <w:rPr>
          <w:sz w:val="20"/>
          <w:szCs w:val="20"/>
        </w:rPr>
        <w:t>:</w:t>
      </w:r>
    </w:p>
    <w:p w:rsidR="00000000" w:rsidRDefault="00477EE8">
      <w:pPr>
        <w:divId w:val="78061994"/>
        <w:rPr>
          <w:rFonts w:eastAsia="Times New Roman"/>
        </w:rPr>
      </w:pPr>
      <w:r>
        <w:rPr>
          <w:rFonts w:eastAsia="Times New Roman"/>
          <w:sz w:val="20"/>
          <w:szCs w:val="20"/>
        </w:rPr>
        <w:t>•</w:t>
      </w:r>
    </w:p>
    <w:p w:rsidR="00000000" w:rsidRDefault="00477EE8">
      <w:pPr>
        <w:divId w:val="1758282707"/>
        <w:rPr>
          <w:rFonts w:eastAsia="Times New Roman"/>
        </w:rPr>
      </w:pPr>
      <w:r>
        <w:rPr>
          <w:rFonts w:eastAsia="Times New Roman"/>
          <w:sz w:val="20"/>
          <w:szCs w:val="20"/>
        </w:rPr>
        <w:t>developments, projections, and trends relating to us, our competitors, and our industry</w:t>
      </w:r>
      <w:r>
        <w:rPr>
          <w:rFonts w:eastAsia="Times New Roman"/>
          <w:sz w:val="20"/>
          <w:szCs w:val="20"/>
        </w:rPr>
        <w:t>;</w:t>
      </w:r>
    </w:p>
    <w:p w:rsidR="00000000" w:rsidRDefault="00477EE8">
      <w:pPr>
        <w:divId w:val="838664955"/>
        <w:rPr>
          <w:rFonts w:eastAsia="Times New Roman"/>
        </w:rPr>
      </w:pPr>
      <w:r>
        <w:rPr>
          <w:rFonts w:eastAsia="Times New Roman"/>
          <w:sz w:val="20"/>
          <w:szCs w:val="20"/>
        </w:rPr>
        <w:t>•</w:t>
      </w:r>
    </w:p>
    <w:p w:rsidR="00000000" w:rsidRDefault="00477EE8">
      <w:pPr>
        <w:divId w:val="71003001"/>
        <w:rPr>
          <w:rFonts w:eastAsia="Times New Roman"/>
        </w:rPr>
      </w:pPr>
      <w:r>
        <w:rPr>
          <w:rFonts w:eastAsia="Times New Roman"/>
          <w:sz w:val="20"/>
          <w:szCs w:val="20"/>
        </w:rPr>
        <w:t>our plans for our business</w:t>
      </w:r>
      <w:r>
        <w:rPr>
          <w:rFonts w:eastAsia="Times New Roman"/>
          <w:sz w:val="20"/>
          <w:szCs w:val="20"/>
        </w:rPr>
        <w:t>;</w:t>
      </w:r>
    </w:p>
    <w:p w:rsidR="00000000" w:rsidRDefault="00477EE8">
      <w:pPr>
        <w:divId w:val="2000424149"/>
        <w:rPr>
          <w:rFonts w:eastAsia="Times New Roman"/>
        </w:rPr>
      </w:pPr>
      <w:r>
        <w:rPr>
          <w:rFonts w:eastAsia="Times New Roman"/>
          <w:sz w:val="20"/>
          <w:szCs w:val="20"/>
        </w:rPr>
        <w:t>•</w:t>
      </w:r>
    </w:p>
    <w:p w:rsidR="00000000" w:rsidRDefault="00477EE8">
      <w:pPr>
        <w:divId w:val="1663464656"/>
        <w:rPr>
          <w:rFonts w:eastAsia="Times New Roman"/>
        </w:rPr>
      </w:pPr>
      <w:r>
        <w:rPr>
          <w:rFonts w:eastAsia="Times New Roman"/>
          <w:sz w:val="20"/>
          <w:szCs w:val="20"/>
        </w:rPr>
        <w:t>our ability to integrate any acquired bus</w:t>
      </w:r>
      <w:r>
        <w:rPr>
          <w:rFonts w:eastAsia="Times New Roman"/>
          <w:sz w:val="20"/>
          <w:szCs w:val="20"/>
        </w:rPr>
        <w:t>inesses and technologies and to realize the value of any acquired entities, joint ventures, or investments</w:t>
      </w:r>
      <w:r>
        <w:rPr>
          <w:rFonts w:eastAsia="Times New Roman"/>
          <w:sz w:val="20"/>
          <w:szCs w:val="20"/>
        </w:rPr>
        <w:t>;</w:t>
      </w:r>
    </w:p>
    <w:p w:rsidR="00000000" w:rsidRDefault="00477EE8">
      <w:pPr>
        <w:divId w:val="2098473975"/>
        <w:rPr>
          <w:rFonts w:eastAsia="Times New Roman"/>
        </w:rPr>
      </w:pPr>
      <w:r>
        <w:rPr>
          <w:rFonts w:eastAsia="Times New Roman"/>
          <w:sz w:val="20"/>
          <w:szCs w:val="20"/>
        </w:rPr>
        <w:t>•</w:t>
      </w:r>
    </w:p>
    <w:p w:rsidR="00000000" w:rsidRDefault="00477EE8">
      <w:pPr>
        <w:divId w:val="1560284124"/>
        <w:rPr>
          <w:rFonts w:eastAsia="Times New Roman"/>
        </w:rPr>
      </w:pPr>
      <w:r>
        <w:rPr>
          <w:rFonts w:eastAsia="Times New Roman"/>
          <w:sz w:val="20"/>
          <w:szCs w:val="20"/>
        </w:rPr>
        <w:t>our operating performance, including our ability to stabilize the historical fluctuations in our performance and to achieve, maintain, or grow pro</w:t>
      </w:r>
      <w:r>
        <w:rPr>
          <w:rFonts w:eastAsia="Times New Roman"/>
          <w:sz w:val="20"/>
          <w:szCs w:val="20"/>
        </w:rPr>
        <w:t>fitability</w:t>
      </w:r>
      <w:r>
        <w:rPr>
          <w:rFonts w:eastAsia="Times New Roman"/>
          <w:sz w:val="20"/>
          <w:szCs w:val="20"/>
        </w:rPr>
        <w:t>;</w:t>
      </w:r>
    </w:p>
    <w:p w:rsidR="00000000" w:rsidRDefault="00477EE8">
      <w:pPr>
        <w:divId w:val="1290937590"/>
        <w:rPr>
          <w:rFonts w:eastAsia="Times New Roman"/>
        </w:rPr>
      </w:pPr>
      <w:r>
        <w:rPr>
          <w:rFonts w:eastAsia="Times New Roman"/>
          <w:sz w:val="20"/>
          <w:szCs w:val="20"/>
        </w:rPr>
        <w:t>•</w:t>
      </w:r>
    </w:p>
    <w:p w:rsidR="00000000" w:rsidRDefault="00477EE8">
      <w:pPr>
        <w:divId w:val="639459844"/>
        <w:rPr>
          <w:rFonts w:eastAsia="Times New Roman"/>
        </w:rPr>
      </w:pPr>
      <w:r>
        <w:rPr>
          <w:rFonts w:eastAsia="Times New Roman"/>
          <w:sz w:val="20"/>
          <w:szCs w:val="20"/>
        </w:rPr>
        <w:t>the rate and degree of market acceptance and adoption of our tests and testing services and other anticipated trends in our industry</w:t>
      </w:r>
      <w:r>
        <w:rPr>
          <w:rFonts w:eastAsia="Times New Roman"/>
          <w:sz w:val="20"/>
          <w:szCs w:val="20"/>
        </w:rPr>
        <w:t>;</w:t>
      </w:r>
    </w:p>
    <w:p w:rsidR="00000000" w:rsidRDefault="00477EE8">
      <w:pPr>
        <w:divId w:val="685136937"/>
        <w:rPr>
          <w:rFonts w:eastAsia="Times New Roman"/>
        </w:rPr>
      </w:pPr>
      <w:r>
        <w:rPr>
          <w:rFonts w:eastAsia="Times New Roman"/>
          <w:sz w:val="20"/>
          <w:szCs w:val="20"/>
        </w:rPr>
        <w:t>•</w:t>
      </w:r>
    </w:p>
    <w:p w:rsidR="00000000" w:rsidRDefault="00477EE8">
      <w:pPr>
        <w:divId w:val="302004883"/>
        <w:rPr>
          <w:rFonts w:eastAsia="Times New Roman"/>
        </w:rPr>
      </w:pPr>
      <w:r>
        <w:rPr>
          <w:rFonts w:eastAsia="Times New Roman"/>
          <w:sz w:val="20"/>
          <w:szCs w:val="20"/>
        </w:rPr>
        <w:t>our competitive advantages and our ability to remain competitive, particularly if the testing markets cont</w:t>
      </w:r>
      <w:r>
        <w:rPr>
          <w:rFonts w:eastAsia="Times New Roman"/>
          <w:sz w:val="20"/>
          <w:szCs w:val="20"/>
        </w:rPr>
        <w:t>inue to expand, and competition becomes more acute</w:t>
      </w:r>
      <w:r>
        <w:rPr>
          <w:rFonts w:eastAsia="Times New Roman"/>
          <w:sz w:val="20"/>
          <w:szCs w:val="20"/>
        </w:rPr>
        <w:t>;</w:t>
      </w:r>
    </w:p>
    <w:p w:rsidR="00000000" w:rsidRDefault="00477EE8">
      <w:pPr>
        <w:divId w:val="523179780"/>
        <w:rPr>
          <w:rFonts w:eastAsia="Times New Roman"/>
        </w:rPr>
      </w:pPr>
      <w:r>
        <w:rPr>
          <w:rFonts w:eastAsia="Times New Roman"/>
          <w:sz w:val="20"/>
          <w:szCs w:val="20"/>
        </w:rPr>
        <w:t>•</w:t>
      </w:r>
    </w:p>
    <w:p w:rsidR="00000000" w:rsidRDefault="00477EE8">
      <w:pPr>
        <w:divId w:val="867135760"/>
        <w:rPr>
          <w:rFonts w:eastAsia="Times New Roman"/>
        </w:rPr>
      </w:pPr>
      <w:r>
        <w:rPr>
          <w:rFonts w:eastAsia="Times New Roman"/>
          <w:sz w:val="20"/>
          <w:szCs w:val="20"/>
        </w:rPr>
        <w:t>our ability to continue to expand our test menu and introduce other improvements to our tests</w:t>
      </w:r>
      <w:r>
        <w:rPr>
          <w:rFonts w:eastAsia="Times New Roman"/>
          <w:sz w:val="20"/>
          <w:szCs w:val="20"/>
        </w:rPr>
        <w:t>;</w:t>
      </w:r>
    </w:p>
    <w:p w:rsidR="00000000" w:rsidRDefault="00477EE8">
      <w:pPr>
        <w:divId w:val="2024743485"/>
        <w:rPr>
          <w:rFonts w:eastAsia="Times New Roman"/>
        </w:rPr>
      </w:pPr>
      <w:r>
        <w:rPr>
          <w:rFonts w:eastAsia="Times New Roman"/>
          <w:sz w:val="20"/>
          <w:szCs w:val="20"/>
        </w:rPr>
        <w:t>•</w:t>
      </w:r>
    </w:p>
    <w:p w:rsidR="00000000" w:rsidRDefault="00477EE8">
      <w:pPr>
        <w:divId w:val="1915429967"/>
        <w:rPr>
          <w:rFonts w:eastAsia="Times New Roman"/>
        </w:rPr>
      </w:pPr>
      <w:r>
        <w:rPr>
          <w:rFonts w:eastAsia="Times New Roman"/>
          <w:sz w:val="20"/>
          <w:szCs w:val="20"/>
        </w:rPr>
        <w:t>our continued ability to offer affordable pricing for our tests, to maintain the low internal costs of ou</w:t>
      </w:r>
      <w:r>
        <w:rPr>
          <w:rFonts w:eastAsia="Times New Roman"/>
          <w:sz w:val="20"/>
          <w:szCs w:val="20"/>
        </w:rPr>
        <w:t>r business model, and to record acceptable margins on our sales</w:t>
      </w:r>
      <w:r>
        <w:rPr>
          <w:rFonts w:eastAsia="Times New Roman"/>
          <w:sz w:val="20"/>
          <w:szCs w:val="20"/>
        </w:rPr>
        <w:t>;</w:t>
      </w:r>
    </w:p>
    <w:p w:rsidR="00000000" w:rsidRDefault="00477EE8">
      <w:pPr>
        <w:divId w:val="2049522375"/>
        <w:rPr>
          <w:rFonts w:eastAsia="Times New Roman"/>
        </w:rPr>
      </w:pPr>
      <w:r>
        <w:rPr>
          <w:rFonts w:eastAsia="Times New Roman"/>
          <w:sz w:val="20"/>
          <w:szCs w:val="20"/>
        </w:rPr>
        <w:t>•</w:t>
      </w:r>
    </w:p>
    <w:p w:rsidR="00000000" w:rsidRDefault="00477EE8">
      <w:pPr>
        <w:divId w:val="522717708"/>
        <w:rPr>
          <w:rFonts w:eastAsia="Times New Roman"/>
        </w:rPr>
      </w:pPr>
      <w:r>
        <w:rPr>
          <w:rFonts w:eastAsia="Times New Roman"/>
          <w:sz w:val="20"/>
          <w:szCs w:val="20"/>
        </w:rPr>
        <w:t>our ability to develop our therapeutic candidates, to satisfy the U.S. Food and Drug Administration’s, or FDA’s, regulatory requirements, and to commercialize our therapeutic candidates</w:t>
      </w:r>
      <w:r>
        <w:rPr>
          <w:rFonts w:eastAsia="Times New Roman"/>
          <w:sz w:val="20"/>
          <w:szCs w:val="20"/>
        </w:rPr>
        <w:t>;</w:t>
      </w:r>
    </w:p>
    <w:p w:rsidR="00000000" w:rsidRDefault="00477EE8">
      <w:pPr>
        <w:divId w:val="53966706"/>
        <w:rPr>
          <w:rFonts w:eastAsia="Times New Roman"/>
        </w:rPr>
      </w:pPr>
      <w:r>
        <w:rPr>
          <w:rFonts w:eastAsia="Times New Roman"/>
          <w:sz w:val="20"/>
          <w:szCs w:val="20"/>
        </w:rPr>
        <w:t>•</w:t>
      </w:r>
    </w:p>
    <w:p w:rsidR="00000000" w:rsidRDefault="00477EE8">
      <w:pPr>
        <w:divId w:val="2015108648"/>
        <w:rPr>
          <w:rFonts w:eastAsia="Times New Roman"/>
        </w:rPr>
      </w:pPr>
      <w:r>
        <w:rPr>
          <w:rFonts w:eastAsia="Times New Roman"/>
          <w:sz w:val="20"/>
          <w:szCs w:val="20"/>
        </w:rPr>
        <w:lastRenderedPageBreak/>
        <w:t>the success of our competitors’ research and development efforts for therapeutic candidates seeking to treat similar or the same indication as our therapeutic candidates</w:t>
      </w:r>
      <w:r>
        <w:rPr>
          <w:rFonts w:eastAsia="Times New Roman"/>
          <w:sz w:val="20"/>
          <w:szCs w:val="20"/>
        </w:rPr>
        <w:t>;</w:t>
      </w:r>
    </w:p>
    <w:p w:rsidR="00000000" w:rsidRDefault="00477EE8">
      <w:pPr>
        <w:divId w:val="840239469"/>
        <w:rPr>
          <w:rFonts w:eastAsia="Times New Roman"/>
        </w:rPr>
      </w:pPr>
      <w:r>
        <w:rPr>
          <w:rFonts w:eastAsia="Times New Roman"/>
          <w:sz w:val="20"/>
          <w:szCs w:val="20"/>
        </w:rPr>
        <w:t>•</w:t>
      </w:r>
    </w:p>
    <w:p w:rsidR="00000000" w:rsidRDefault="00477EE8">
      <w:pPr>
        <w:divId w:val="1869636019"/>
        <w:rPr>
          <w:rFonts w:eastAsia="Times New Roman"/>
        </w:rPr>
      </w:pPr>
      <w:r>
        <w:rPr>
          <w:rFonts w:eastAsia="Times New Roman"/>
          <w:sz w:val="20"/>
          <w:szCs w:val="20"/>
        </w:rPr>
        <w:t>our ability to strengthen our existing base of customers by maintaining or increas</w:t>
      </w:r>
      <w:r>
        <w:rPr>
          <w:rFonts w:eastAsia="Times New Roman"/>
          <w:sz w:val="20"/>
          <w:szCs w:val="20"/>
        </w:rPr>
        <w:t>ing demand from these customers</w:t>
      </w:r>
      <w:r>
        <w:rPr>
          <w:rFonts w:eastAsia="Times New Roman"/>
          <w:sz w:val="20"/>
          <w:szCs w:val="20"/>
        </w:rPr>
        <w:t>;</w:t>
      </w:r>
    </w:p>
    <w:p w:rsidR="00000000" w:rsidRDefault="00477EE8">
      <w:pPr>
        <w:divId w:val="307054370"/>
        <w:rPr>
          <w:rFonts w:eastAsia="Times New Roman"/>
        </w:rPr>
      </w:pPr>
      <w:r>
        <w:rPr>
          <w:rFonts w:eastAsia="Times New Roman"/>
          <w:sz w:val="20"/>
          <w:szCs w:val="20"/>
        </w:rPr>
        <w:t>•</w:t>
      </w:r>
    </w:p>
    <w:p w:rsidR="00000000" w:rsidRDefault="00477EE8">
      <w:pPr>
        <w:divId w:val="912861871"/>
        <w:rPr>
          <w:rFonts w:eastAsia="Times New Roman"/>
        </w:rPr>
      </w:pPr>
      <w:r>
        <w:rPr>
          <w:rFonts w:eastAsia="Times New Roman"/>
          <w:sz w:val="20"/>
          <w:szCs w:val="20"/>
        </w:rPr>
        <w:t>our ability to grow and diversify our customer base</w:t>
      </w:r>
      <w:r>
        <w:rPr>
          <w:rFonts w:eastAsia="Times New Roman"/>
          <w:sz w:val="20"/>
          <w:szCs w:val="20"/>
        </w:rPr>
        <w:t>;</w:t>
      </w:r>
    </w:p>
    <w:p w:rsidR="00000000" w:rsidRDefault="00477EE8">
      <w:pPr>
        <w:divId w:val="1532189030"/>
        <w:rPr>
          <w:rFonts w:eastAsia="Times New Roman"/>
        </w:rPr>
      </w:pPr>
      <w:r>
        <w:rPr>
          <w:rFonts w:eastAsia="Times New Roman"/>
          <w:sz w:val="20"/>
          <w:szCs w:val="20"/>
        </w:rPr>
        <w:t>•</w:t>
      </w:r>
    </w:p>
    <w:p w:rsidR="00000000" w:rsidRDefault="00477EE8">
      <w:pPr>
        <w:divId w:val="105085779"/>
        <w:rPr>
          <w:rFonts w:eastAsia="Times New Roman"/>
        </w:rPr>
      </w:pPr>
      <w:r>
        <w:rPr>
          <w:rFonts w:eastAsia="Times New Roman"/>
          <w:sz w:val="20"/>
          <w:szCs w:val="20"/>
        </w:rPr>
        <w:t>our reliance on a limited number of suppliers and their ability to adapt to possible disruptions in their operations</w:t>
      </w:r>
      <w:r>
        <w:rPr>
          <w:rFonts w:eastAsia="Times New Roman"/>
          <w:sz w:val="20"/>
          <w:szCs w:val="20"/>
        </w:rPr>
        <w:t>;</w:t>
      </w:r>
    </w:p>
    <w:p w:rsidR="00000000" w:rsidRDefault="00477EE8">
      <w:pPr>
        <w:divId w:val="1388644634"/>
        <w:rPr>
          <w:rFonts w:eastAsia="Times New Roman"/>
        </w:rPr>
      </w:pPr>
      <w:r>
        <w:rPr>
          <w:rFonts w:eastAsia="Times New Roman"/>
          <w:sz w:val="20"/>
          <w:szCs w:val="20"/>
        </w:rPr>
        <w:t>•</w:t>
      </w:r>
    </w:p>
    <w:p w:rsidR="00000000" w:rsidRDefault="00477EE8">
      <w:pPr>
        <w:divId w:val="1315573036"/>
        <w:rPr>
          <w:rFonts w:eastAsia="Times New Roman"/>
        </w:rPr>
      </w:pPr>
      <w:r>
        <w:rPr>
          <w:rFonts w:eastAsia="Times New Roman"/>
          <w:sz w:val="20"/>
          <w:szCs w:val="20"/>
        </w:rPr>
        <w:t>our use of our laboratory facilities and our ability to adapt in the event we need to relocate or in the event any of our facilities are damaged or rendered inoperable</w:t>
      </w:r>
      <w:r>
        <w:rPr>
          <w:rFonts w:eastAsia="Times New Roman"/>
          <w:sz w:val="20"/>
          <w:szCs w:val="20"/>
        </w:rPr>
        <w:t>;</w:t>
      </w:r>
    </w:p>
    <w:p w:rsidR="00000000" w:rsidRDefault="00477EE8">
      <w:pPr>
        <w:divId w:val="611087476"/>
        <w:rPr>
          <w:rFonts w:eastAsia="Times New Roman"/>
        </w:rPr>
      </w:pPr>
      <w:r>
        <w:rPr>
          <w:rFonts w:eastAsia="Times New Roman"/>
          <w:sz w:val="20"/>
          <w:szCs w:val="20"/>
        </w:rPr>
        <w:t>•</w:t>
      </w:r>
    </w:p>
    <w:p w:rsidR="00000000" w:rsidRDefault="00477EE8">
      <w:pPr>
        <w:divId w:val="750272354"/>
        <w:rPr>
          <w:rFonts w:eastAsia="Times New Roman"/>
        </w:rPr>
      </w:pPr>
      <w:r>
        <w:rPr>
          <w:rFonts w:eastAsia="Times New Roman"/>
          <w:sz w:val="20"/>
          <w:szCs w:val="20"/>
        </w:rPr>
        <w:t>our plans for future sales and marketing efforts</w:t>
      </w:r>
      <w:r>
        <w:rPr>
          <w:rFonts w:eastAsia="Times New Roman"/>
          <w:sz w:val="20"/>
          <w:szCs w:val="20"/>
        </w:rPr>
        <w:t>;</w:t>
      </w:r>
    </w:p>
    <w:p w:rsidR="00000000" w:rsidRDefault="00477EE8">
      <w:pPr>
        <w:divId w:val="216673899"/>
        <w:rPr>
          <w:rFonts w:eastAsia="Times New Roman"/>
        </w:rPr>
      </w:pPr>
      <w:r>
        <w:rPr>
          <w:rFonts w:eastAsia="Times New Roman"/>
          <w:sz w:val="20"/>
          <w:szCs w:val="20"/>
        </w:rPr>
        <w:t>•</w:t>
      </w:r>
    </w:p>
    <w:p w:rsidR="00000000" w:rsidRDefault="00477EE8">
      <w:pPr>
        <w:divId w:val="568075630"/>
        <w:rPr>
          <w:rFonts w:eastAsia="Times New Roman"/>
        </w:rPr>
      </w:pPr>
      <w:r>
        <w:rPr>
          <w:rFonts w:eastAsia="Times New Roman"/>
          <w:sz w:val="20"/>
          <w:szCs w:val="20"/>
        </w:rPr>
        <w:t xml:space="preserve">advancements in technology by us </w:t>
      </w:r>
      <w:r>
        <w:rPr>
          <w:rFonts w:eastAsia="Times New Roman"/>
          <w:sz w:val="20"/>
          <w:szCs w:val="20"/>
        </w:rPr>
        <w:t>and our competitors</w:t>
      </w:r>
      <w:r>
        <w:rPr>
          <w:rFonts w:eastAsia="Times New Roman"/>
          <w:sz w:val="20"/>
          <w:szCs w:val="20"/>
        </w:rPr>
        <w:t>;</w:t>
      </w:r>
    </w:p>
    <w:p w:rsidR="00000000" w:rsidRDefault="00477EE8">
      <w:pPr>
        <w:divId w:val="1039010391"/>
        <w:rPr>
          <w:rFonts w:eastAsia="Times New Roman"/>
        </w:rPr>
      </w:pPr>
      <w:r>
        <w:rPr>
          <w:rFonts w:eastAsia="Times New Roman"/>
          <w:sz w:val="20"/>
          <w:szCs w:val="20"/>
        </w:rPr>
        <w:t>•</w:t>
      </w:r>
    </w:p>
    <w:p w:rsidR="00000000" w:rsidRDefault="00477EE8">
      <w:pPr>
        <w:divId w:val="1436511698"/>
        <w:rPr>
          <w:rFonts w:eastAsia="Times New Roman"/>
        </w:rPr>
      </w:pPr>
      <w:r>
        <w:rPr>
          <w:rFonts w:eastAsia="Times New Roman"/>
          <w:sz w:val="20"/>
          <w:szCs w:val="20"/>
        </w:rPr>
        <w:t>our use of technology and ability to prevent security breaches; unauthorized use or disclosure of health information, personal information, or sensitive personal information; loss of data; and other disruptions</w:t>
      </w:r>
      <w:r>
        <w:rPr>
          <w:rFonts w:eastAsia="Times New Roman"/>
          <w:sz w:val="20"/>
          <w:szCs w:val="20"/>
        </w:rPr>
        <w:t>;</w:t>
      </w:r>
    </w:p>
    <w:p w:rsidR="00000000" w:rsidRDefault="00477EE8">
      <w:pPr>
        <w:divId w:val="715544523"/>
        <w:rPr>
          <w:rFonts w:eastAsia="Times New Roman"/>
        </w:rPr>
      </w:pPr>
      <w:r>
        <w:rPr>
          <w:rFonts w:eastAsia="Times New Roman"/>
          <w:sz w:val="20"/>
          <w:szCs w:val="20"/>
        </w:rPr>
        <w:t>•</w:t>
      </w:r>
    </w:p>
    <w:p w:rsidR="00000000" w:rsidRDefault="00477EE8">
      <w:pPr>
        <w:divId w:val="1075669484"/>
        <w:rPr>
          <w:rFonts w:eastAsia="Times New Roman"/>
        </w:rPr>
      </w:pPr>
      <w:r>
        <w:rPr>
          <w:rFonts w:eastAsia="Times New Roman"/>
          <w:sz w:val="20"/>
          <w:szCs w:val="20"/>
        </w:rPr>
        <w:t>our ability to effe</w:t>
      </w:r>
      <w:r>
        <w:rPr>
          <w:rFonts w:eastAsia="Times New Roman"/>
          <w:sz w:val="20"/>
          <w:szCs w:val="20"/>
        </w:rPr>
        <w:t>ctively manage any growth we may experience, including expanding our infrastructure, developing increased efficiencies in our operations, and hiring additional skilled personnel in order to support any such growth</w:t>
      </w:r>
      <w:r>
        <w:rPr>
          <w:rFonts w:eastAsia="Times New Roman"/>
          <w:sz w:val="20"/>
          <w:szCs w:val="20"/>
        </w:rPr>
        <w:t>;</w:t>
      </w:r>
    </w:p>
    <w:p w:rsidR="00000000" w:rsidRDefault="00477EE8">
      <w:pPr>
        <w:divId w:val="951976991"/>
        <w:rPr>
          <w:rFonts w:eastAsia="Times New Roman"/>
        </w:rPr>
      </w:pPr>
      <w:r>
        <w:rPr>
          <w:rFonts w:eastAsia="Times New Roman"/>
          <w:sz w:val="20"/>
          <w:szCs w:val="20"/>
        </w:rPr>
        <w:t>•</w:t>
      </w:r>
    </w:p>
    <w:p w:rsidR="00000000" w:rsidRDefault="00477EE8">
      <w:pPr>
        <w:divId w:val="950434706"/>
        <w:rPr>
          <w:rFonts w:eastAsia="Times New Roman"/>
        </w:rPr>
      </w:pPr>
      <w:r>
        <w:rPr>
          <w:rFonts w:eastAsia="Times New Roman"/>
          <w:sz w:val="20"/>
          <w:szCs w:val="20"/>
        </w:rPr>
        <w:t>developments with respect to U.S. and f</w:t>
      </w:r>
      <w:r>
        <w:rPr>
          <w:rFonts w:eastAsia="Times New Roman"/>
          <w:sz w:val="20"/>
          <w:szCs w:val="20"/>
        </w:rPr>
        <w:t>oreign laws and regulations applicable to our business, and our ability to comply with these regulations</w:t>
      </w:r>
      <w:r>
        <w:rPr>
          <w:rFonts w:eastAsia="Times New Roman"/>
          <w:sz w:val="20"/>
          <w:szCs w:val="20"/>
        </w:rPr>
        <w:t>;</w:t>
      </w:r>
    </w:p>
    <w:p w:rsidR="00000000" w:rsidRDefault="00477EE8">
      <w:pPr>
        <w:divId w:val="926961579"/>
        <w:rPr>
          <w:rFonts w:eastAsia="Times New Roman"/>
        </w:rPr>
      </w:pPr>
      <w:r>
        <w:rPr>
          <w:rFonts w:eastAsia="Times New Roman"/>
          <w:sz w:val="20"/>
          <w:szCs w:val="20"/>
        </w:rPr>
        <w:t>•</w:t>
      </w:r>
    </w:p>
    <w:p w:rsidR="00000000" w:rsidRDefault="00477EE8">
      <w:pPr>
        <w:divId w:val="589582433"/>
        <w:rPr>
          <w:rFonts w:eastAsia="Times New Roman"/>
        </w:rPr>
      </w:pPr>
      <w:r>
        <w:rPr>
          <w:rFonts w:eastAsia="Times New Roman"/>
          <w:sz w:val="20"/>
          <w:szCs w:val="20"/>
        </w:rPr>
        <w:t>our ability to effectively respond to any litigation or governmental investigations</w:t>
      </w:r>
      <w:r>
        <w:rPr>
          <w:rFonts w:eastAsia="Times New Roman"/>
          <w:sz w:val="20"/>
          <w:szCs w:val="20"/>
        </w:rPr>
        <w:t>;</w:t>
      </w:r>
    </w:p>
    <w:p w:rsidR="00000000" w:rsidRDefault="00477EE8">
      <w:pPr>
        <w:divId w:val="1136218498"/>
        <w:rPr>
          <w:rFonts w:eastAsia="Times New Roman"/>
        </w:rPr>
      </w:pPr>
      <w:r>
        <w:rPr>
          <w:rFonts w:eastAsia="Times New Roman"/>
          <w:sz w:val="20"/>
          <w:szCs w:val="20"/>
        </w:rPr>
        <w:t>•</w:t>
      </w:r>
    </w:p>
    <w:p w:rsidR="00000000" w:rsidRDefault="00477EE8">
      <w:pPr>
        <w:divId w:val="1614896236"/>
        <w:rPr>
          <w:rFonts w:eastAsia="Times New Roman"/>
        </w:rPr>
      </w:pPr>
      <w:r>
        <w:rPr>
          <w:rFonts w:eastAsia="Times New Roman"/>
          <w:sz w:val="20"/>
          <w:szCs w:val="20"/>
        </w:rPr>
        <w:t xml:space="preserve">our ability to prevent errors in interpreting the results of </w:t>
      </w:r>
      <w:r>
        <w:rPr>
          <w:rFonts w:eastAsia="Times New Roman"/>
          <w:sz w:val="20"/>
          <w:szCs w:val="20"/>
        </w:rPr>
        <w:t>our tests so as to avoid product liability and professional liability claims</w:t>
      </w:r>
      <w:r>
        <w:rPr>
          <w:rFonts w:eastAsia="Times New Roman"/>
          <w:sz w:val="20"/>
          <w:szCs w:val="20"/>
        </w:rPr>
        <w:t>;</w:t>
      </w:r>
    </w:p>
    <w:p w:rsidR="00000000" w:rsidRDefault="00477EE8">
      <w:pPr>
        <w:divId w:val="1420977882"/>
        <w:rPr>
          <w:rFonts w:eastAsia="Times New Roman"/>
        </w:rPr>
      </w:pPr>
      <w:r>
        <w:rPr>
          <w:rFonts w:eastAsia="Times New Roman"/>
          <w:sz w:val="20"/>
          <w:szCs w:val="20"/>
        </w:rPr>
        <w:t>•</w:t>
      </w:r>
    </w:p>
    <w:p w:rsidR="00000000" w:rsidRDefault="00477EE8">
      <w:pPr>
        <w:divId w:val="2101442767"/>
        <w:rPr>
          <w:rFonts w:eastAsia="Times New Roman"/>
        </w:rPr>
      </w:pPr>
      <w:r>
        <w:rPr>
          <w:rFonts w:eastAsia="Times New Roman"/>
          <w:sz w:val="20"/>
          <w:szCs w:val="20"/>
        </w:rPr>
        <w:t>our ability to obtain and maintain coverage and adequate reimbursement for our tests and to manage the complexity of billing and collecting such reimbursement</w:t>
      </w:r>
      <w:r>
        <w:rPr>
          <w:rFonts w:eastAsia="Times New Roman"/>
          <w:sz w:val="20"/>
          <w:szCs w:val="20"/>
        </w:rPr>
        <w:t>;</w:t>
      </w:r>
    </w:p>
    <w:p w:rsidR="00000000" w:rsidRDefault="00477EE8">
      <w:pPr>
        <w:divId w:val="889192978"/>
        <w:rPr>
          <w:rFonts w:eastAsia="Times New Roman"/>
        </w:rPr>
      </w:pPr>
      <w:r>
        <w:rPr>
          <w:rFonts w:eastAsia="Times New Roman"/>
          <w:sz w:val="20"/>
          <w:szCs w:val="20"/>
        </w:rPr>
        <w:t>•</w:t>
      </w:r>
    </w:p>
    <w:p w:rsidR="00000000" w:rsidRDefault="00477EE8">
      <w:pPr>
        <w:divId w:val="1699314227"/>
        <w:rPr>
          <w:rFonts w:eastAsia="Times New Roman"/>
        </w:rPr>
      </w:pPr>
      <w:r>
        <w:rPr>
          <w:rFonts w:eastAsia="Times New Roman"/>
          <w:sz w:val="20"/>
          <w:szCs w:val="20"/>
        </w:rPr>
        <w:t>the state of t</w:t>
      </w:r>
      <w:r>
        <w:rPr>
          <w:rFonts w:eastAsia="Times New Roman"/>
          <w:sz w:val="20"/>
          <w:szCs w:val="20"/>
        </w:rPr>
        <w:t>he U.S. and foreign healthcare markets, including the role of governments in the healthcare industry, generally, pressures or incentives to reduce healthcare costs while expanding individual benefits, and the impact of general uncertainty in the U.S. healt</w:t>
      </w:r>
      <w:r>
        <w:rPr>
          <w:rFonts w:eastAsia="Times New Roman"/>
          <w:sz w:val="20"/>
          <w:szCs w:val="20"/>
        </w:rPr>
        <w:t>hcare regulatory environment</w:t>
      </w:r>
      <w:r>
        <w:rPr>
          <w:rFonts w:eastAsia="Times New Roman"/>
          <w:sz w:val="20"/>
          <w:szCs w:val="20"/>
        </w:rPr>
        <w:t>;</w:t>
      </w:r>
    </w:p>
    <w:p w:rsidR="00000000" w:rsidRDefault="00477EE8">
      <w:pPr>
        <w:divId w:val="833225827"/>
        <w:rPr>
          <w:rFonts w:eastAsia="Times New Roman"/>
        </w:rPr>
      </w:pPr>
      <w:r>
        <w:rPr>
          <w:rFonts w:eastAsia="Times New Roman"/>
          <w:sz w:val="20"/>
          <w:szCs w:val="20"/>
        </w:rPr>
        <w:t>•</w:t>
      </w:r>
    </w:p>
    <w:p w:rsidR="00000000" w:rsidRDefault="00477EE8">
      <w:pPr>
        <w:divId w:val="1761486885"/>
        <w:rPr>
          <w:rFonts w:eastAsia="Times New Roman"/>
        </w:rPr>
      </w:pPr>
      <w:r>
        <w:rPr>
          <w:rFonts w:eastAsia="Times New Roman"/>
          <w:sz w:val="20"/>
          <w:szCs w:val="20"/>
        </w:rPr>
        <w:t>our ability to attract, retain, and motivate key scientific and management personnel</w:t>
      </w:r>
      <w:r>
        <w:rPr>
          <w:rFonts w:eastAsia="Times New Roman"/>
          <w:sz w:val="20"/>
          <w:szCs w:val="20"/>
        </w:rPr>
        <w:t>;</w:t>
      </w:r>
    </w:p>
    <w:p w:rsidR="00000000" w:rsidRDefault="00477EE8">
      <w:pPr>
        <w:divId w:val="1584031159"/>
        <w:rPr>
          <w:rFonts w:eastAsia="Times New Roman"/>
        </w:rPr>
      </w:pPr>
      <w:r>
        <w:rPr>
          <w:rFonts w:eastAsia="Times New Roman"/>
          <w:sz w:val="20"/>
          <w:szCs w:val="20"/>
        </w:rPr>
        <w:t>•</w:t>
      </w:r>
    </w:p>
    <w:p w:rsidR="00000000" w:rsidRDefault="00477EE8">
      <w:pPr>
        <w:divId w:val="1082721316"/>
        <w:rPr>
          <w:rFonts w:eastAsia="Times New Roman"/>
        </w:rPr>
      </w:pPr>
      <w:r>
        <w:rPr>
          <w:rFonts w:eastAsia="Times New Roman"/>
          <w:sz w:val="20"/>
          <w:szCs w:val="20"/>
        </w:rPr>
        <w:t>our ability to obtain and maintain protection of our trade secrets, licensed intellectual property, patent rights, and other intellectua</w:t>
      </w:r>
      <w:r>
        <w:rPr>
          <w:rFonts w:eastAsia="Times New Roman"/>
          <w:sz w:val="20"/>
          <w:szCs w:val="20"/>
        </w:rPr>
        <w:t>l property rights and to not infringe the rights of others</w:t>
      </w:r>
      <w:r>
        <w:rPr>
          <w:rFonts w:eastAsia="Times New Roman"/>
          <w:sz w:val="20"/>
          <w:szCs w:val="20"/>
        </w:rPr>
        <w:t>;</w:t>
      </w:r>
    </w:p>
    <w:p w:rsidR="00000000" w:rsidRDefault="00477EE8">
      <w:pPr>
        <w:divId w:val="1685549502"/>
        <w:rPr>
          <w:rFonts w:eastAsia="Times New Roman"/>
        </w:rPr>
      </w:pPr>
      <w:r>
        <w:rPr>
          <w:rFonts w:eastAsia="Times New Roman"/>
          <w:sz w:val="20"/>
          <w:szCs w:val="20"/>
        </w:rPr>
        <w:t>•</w:t>
      </w:r>
    </w:p>
    <w:p w:rsidR="00000000" w:rsidRDefault="00477EE8">
      <w:pPr>
        <w:divId w:val="1234390621"/>
        <w:rPr>
          <w:rFonts w:eastAsia="Times New Roman"/>
        </w:rPr>
      </w:pPr>
      <w:r>
        <w:rPr>
          <w:rFonts w:eastAsia="Times New Roman"/>
          <w:sz w:val="20"/>
          <w:szCs w:val="20"/>
        </w:rPr>
        <w:t>our expectations regarding inflation and our future expense levels and our ability to appropriately forecast and plan our expenses;</w:t>
      </w:r>
      <w:r>
        <w:rPr>
          <w:rFonts w:eastAsia="Times New Roman"/>
          <w:sz w:val="20"/>
          <w:szCs w:val="20"/>
        </w:rPr>
        <w:t xml:space="preserve"> </w:t>
      </w:r>
    </w:p>
    <w:p w:rsidR="00000000" w:rsidRDefault="00477EE8">
      <w:pPr>
        <w:divId w:val="35590974"/>
        <w:rPr>
          <w:rFonts w:eastAsia="Times New Roman"/>
        </w:rPr>
      </w:pPr>
      <w:r>
        <w:rPr>
          <w:rFonts w:eastAsia="Times New Roman"/>
          <w:sz w:val="20"/>
          <w:szCs w:val="20"/>
        </w:rPr>
        <w:t>•</w:t>
      </w:r>
    </w:p>
    <w:p w:rsidR="00000000" w:rsidRDefault="00477EE8">
      <w:pPr>
        <w:divId w:val="952513439"/>
        <w:rPr>
          <w:rFonts w:eastAsia="Times New Roman"/>
        </w:rPr>
      </w:pPr>
      <w:r>
        <w:rPr>
          <w:rFonts w:eastAsia="Times New Roman"/>
          <w:sz w:val="20"/>
          <w:szCs w:val="20"/>
        </w:rPr>
        <w:t xml:space="preserve">our expectations regarding our future capital requirements </w:t>
      </w:r>
      <w:r>
        <w:rPr>
          <w:rFonts w:eastAsia="Times New Roman"/>
          <w:sz w:val="20"/>
          <w:szCs w:val="20"/>
        </w:rPr>
        <w:t>and our ability to obtain additional capital if and when needed; an</w:t>
      </w:r>
      <w:r>
        <w:rPr>
          <w:rFonts w:eastAsia="Times New Roman"/>
          <w:sz w:val="20"/>
          <w:szCs w:val="20"/>
        </w:rPr>
        <w:t>d</w:t>
      </w:r>
    </w:p>
    <w:p w:rsidR="00000000" w:rsidRDefault="00477EE8">
      <w:pPr>
        <w:divId w:val="1553614610"/>
        <w:rPr>
          <w:rFonts w:eastAsia="Times New Roman"/>
        </w:rPr>
      </w:pPr>
      <w:r>
        <w:rPr>
          <w:rFonts w:eastAsia="Times New Roman"/>
          <w:sz w:val="20"/>
          <w:szCs w:val="20"/>
        </w:rPr>
        <w:t>•</w:t>
      </w:r>
    </w:p>
    <w:p w:rsidR="00000000" w:rsidRDefault="00477EE8">
      <w:pPr>
        <w:divId w:val="805244608"/>
        <w:rPr>
          <w:rFonts w:eastAsia="Times New Roman"/>
        </w:rPr>
      </w:pPr>
      <w:r>
        <w:rPr>
          <w:rFonts w:eastAsia="Times New Roman"/>
          <w:sz w:val="20"/>
          <w:szCs w:val="20"/>
        </w:rPr>
        <w:t>the impact of the above factors and other future events on the market price of our common stock</w:t>
      </w:r>
      <w:r>
        <w:rPr>
          <w:rFonts w:eastAsia="Times New Roman"/>
          <w:sz w:val="20"/>
          <w:szCs w:val="20"/>
        </w:rPr>
        <w:t>.</w:t>
      </w:r>
    </w:p>
    <w:p w:rsidR="00000000" w:rsidRDefault="00477EE8">
      <w:pPr>
        <w:pStyle w:val="a3"/>
        <w:spacing w:before="240" w:beforeAutospacing="0" w:after="0" w:afterAutospacing="0"/>
        <w:jc w:val="center"/>
        <w:rPr>
          <w:sz w:val="20"/>
          <w:szCs w:val="20"/>
        </w:rPr>
      </w:pPr>
      <w:r>
        <w:rPr>
          <w:sz w:val="20"/>
          <w:szCs w:val="20"/>
        </w:rPr>
        <w:t>i</w:t>
      </w:r>
    </w:p>
    <w:p w:rsidR="00000000" w:rsidRDefault="00477EE8">
      <w:pPr>
        <w:rPr>
          <w:rFonts w:eastAsia="Times New Roman"/>
        </w:rPr>
      </w:pPr>
      <w:r>
        <w:rPr>
          <w:rFonts w:eastAsia="Times New Roman"/>
        </w:rPr>
        <w:pict>
          <v:rect id="_x0000_i1027" style="width:0;height:1.5pt" o:hralign="center" o:hrstd="t" o:hr="t" fillcolor="#a0a0a0" stroked="f"/>
        </w:pict>
      </w:r>
    </w:p>
    <w:p w:rsidR="00000000" w:rsidRDefault="00477EE8">
      <w:pPr>
        <w:pStyle w:val="a3"/>
        <w:spacing w:before="240" w:beforeAutospacing="0" w:after="0" w:afterAutospacing="0"/>
        <w:ind w:firstLine="555"/>
        <w:rPr>
          <w:sz w:val="20"/>
          <w:szCs w:val="20"/>
        </w:rPr>
      </w:pPr>
      <w:r>
        <w:rPr>
          <w:sz w:val="20"/>
          <w:szCs w:val="20"/>
        </w:rPr>
        <w:t>These forward-looking statements are subject to a number of risks and uncertainties, including, among others, those described under Item 1A, “Risk Factors” and elsewhere in this report. Moreover, we operate in a competit</w:t>
      </w:r>
      <w:r>
        <w:rPr>
          <w:sz w:val="20"/>
          <w:szCs w:val="20"/>
        </w:rPr>
        <w:t xml:space="preserve">ive and rapidly evolving industry, and new risks emerge from time to time. It </w:t>
      </w:r>
      <w:r>
        <w:rPr>
          <w:sz w:val="20"/>
          <w:szCs w:val="20"/>
        </w:rPr>
        <w:lastRenderedPageBreak/>
        <w:t>is not possible for us to predict all of the risks we may face, nor can we assess the impact of all factors on our business or the extent to which any factor or combination of fa</w:t>
      </w:r>
      <w:r>
        <w:rPr>
          <w:sz w:val="20"/>
          <w:szCs w:val="20"/>
        </w:rPr>
        <w:t xml:space="preserve">ctors could cause actual results to differ from our expectations. In light of these risks and uncertainties, the forward-looking events and circumstances described in this report may not occur, and actual results could differ materially and adversely from </w:t>
      </w:r>
      <w:r>
        <w:rPr>
          <w:sz w:val="20"/>
          <w:szCs w:val="20"/>
        </w:rPr>
        <w:t>those described in or implied by any forward-looking statements we make. Although we have based our forward-looking statements on assumptions and expectations we believe are reasonable, we cannot guarantee future results, levels of activity, performance or</w:t>
      </w:r>
      <w:r>
        <w:rPr>
          <w:sz w:val="20"/>
          <w:szCs w:val="20"/>
        </w:rPr>
        <w:t xml:space="preserve"> achievements, or other future events. As a result, forward-looking statements should not be relied on or viewed as predictions of future events, and this report should be read with the understanding that our actual future results, levels of activity, perf</w:t>
      </w:r>
      <w:r>
        <w:rPr>
          <w:sz w:val="20"/>
          <w:szCs w:val="20"/>
        </w:rPr>
        <w:t>ormance and achievements, or other future events may be materially different than what we currently expect</w:t>
      </w:r>
      <w:r>
        <w:rPr>
          <w:sz w:val="20"/>
          <w:szCs w:val="20"/>
        </w:rPr>
        <w:t>.</w:t>
      </w:r>
      <w:r>
        <w:rPr>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The forward-looking statements in this report speak only as of the date of this document, and except as required by law, we undertake no obligation</w:t>
      </w:r>
      <w:r>
        <w:rPr>
          <w:sz w:val="20"/>
          <w:szCs w:val="20"/>
        </w:rPr>
        <w:t xml:space="preserve"> to update publicly any forward-looking statements for any reason after the date of this report to conform these statements to actual results or to changes in our expectations</w:t>
      </w:r>
      <w:r>
        <w:rPr>
          <w:sz w:val="20"/>
          <w:szCs w:val="20"/>
        </w:rPr>
        <w:t>.</w:t>
      </w:r>
      <w:r>
        <w:rPr>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We qualify all of our forward-looking statements by this cautionary note</w:t>
      </w:r>
      <w:r>
        <w:rPr>
          <w:sz w:val="20"/>
          <w:szCs w:val="20"/>
        </w:rPr>
        <w:t>.</w:t>
      </w:r>
    </w:p>
    <w:p w:rsidR="00000000" w:rsidRDefault="00477EE8">
      <w:pPr>
        <w:pStyle w:val="a3"/>
        <w:spacing w:before="360" w:beforeAutospacing="0" w:after="0" w:afterAutospacing="0"/>
        <w:jc w:val="center"/>
        <w:rPr>
          <w:sz w:val="20"/>
          <w:szCs w:val="20"/>
        </w:rPr>
      </w:pPr>
      <w:r>
        <w:rPr>
          <w:sz w:val="20"/>
          <w:szCs w:val="20"/>
        </w:rPr>
        <w:t xml:space="preserve">* * </w:t>
      </w:r>
      <w:r>
        <w:rPr>
          <w:sz w:val="20"/>
          <w:szCs w:val="20"/>
        </w:rPr>
        <w:t xml:space="preserve">* * * * </w:t>
      </w:r>
      <w:r>
        <w:rPr>
          <w:sz w:val="20"/>
          <w:szCs w:val="20"/>
        </w:rPr>
        <w:t>*</w:t>
      </w:r>
    </w:p>
    <w:p w:rsidR="00000000" w:rsidRDefault="00477EE8">
      <w:pPr>
        <w:pStyle w:val="a3"/>
        <w:spacing w:before="240" w:beforeAutospacing="0" w:after="0" w:afterAutospacing="0"/>
        <w:ind w:firstLine="555"/>
        <w:rPr>
          <w:sz w:val="20"/>
          <w:szCs w:val="20"/>
        </w:rPr>
      </w:pPr>
      <w:r>
        <w:rPr>
          <w:i/>
          <w:iCs/>
          <w:sz w:val="20"/>
          <w:szCs w:val="20"/>
        </w:rPr>
        <w:t>We own registered or unregistered trademark rights to Fulgen</w:t>
      </w:r>
      <w:r>
        <w:rPr>
          <w:i/>
          <w:iCs/>
          <w:sz w:val="20"/>
          <w:szCs w:val="20"/>
        </w:rPr>
        <w:t>t</w:t>
      </w:r>
      <w:r>
        <w:rPr>
          <w:i/>
          <w:iCs/>
          <w:sz w:val="13"/>
          <w:szCs w:val="13"/>
          <w:vertAlign w:val="superscript"/>
        </w:rPr>
        <w:t>®</w:t>
      </w:r>
      <w:r>
        <w:rPr>
          <w:i/>
          <w:iCs/>
          <w:sz w:val="20"/>
          <w:szCs w:val="20"/>
        </w:rPr>
        <w:t>, Picture Genetic</w:t>
      </w:r>
      <w:r>
        <w:rPr>
          <w:i/>
          <w:iCs/>
          <w:sz w:val="20"/>
          <w:szCs w:val="20"/>
        </w:rPr>
        <w:t>s</w:t>
      </w:r>
      <w:r>
        <w:rPr>
          <w:i/>
          <w:iCs/>
          <w:sz w:val="13"/>
          <w:szCs w:val="13"/>
          <w:vertAlign w:val="superscript"/>
        </w:rPr>
        <w:t>®</w:t>
      </w:r>
      <w:r>
        <w:rPr>
          <w:i/>
          <w:iCs/>
          <w:sz w:val="13"/>
          <w:szCs w:val="13"/>
          <w:vertAlign w:val="superscript"/>
        </w:rPr>
        <w:t xml:space="preserve"> </w:t>
      </w:r>
      <w:r>
        <w:rPr>
          <w:i/>
          <w:iCs/>
          <w:sz w:val="20"/>
          <w:szCs w:val="20"/>
        </w:rPr>
        <w:t>and our company name and logo. Any other service marks, trademarks and trade names appearing in this report are the property of their respective owners. We do not u</w:t>
      </w:r>
      <w:r>
        <w:rPr>
          <w:i/>
          <w:iCs/>
          <w:sz w:val="20"/>
          <w:szCs w:val="20"/>
        </w:rPr>
        <w:t>se the ® or ™ symbol in each instance in which one of our trademarks appears in this report, but this should not be construed as any indication that we will not assert our rights thereto to the fullest extent under applicable law</w:t>
      </w:r>
      <w:r>
        <w:rPr>
          <w:i/>
          <w:iCs/>
          <w:sz w:val="20"/>
          <w:szCs w:val="20"/>
        </w:rPr>
        <w:t>.</w:t>
      </w:r>
    </w:p>
    <w:p w:rsidR="00000000" w:rsidRDefault="00477EE8">
      <w:pPr>
        <w:pStyle w:val="a3"/>
        <w:spacing w:before="240" w:beforeAutospacing="0" w:after="0" w:afterAutospacing="0"/>
        <w:ind w:firstLine="555"/>
        <w:rPr>
          <w:sz w:val="20"/>
          <w:szCs w:val="20"/>
        </w:rPr>
      </w:pPr>
      <w:r>
        <w:rPr>
          <w:i/>
          <w:iCs/>
          <w:sz w:val="20"/>
          <w:szCs w:val="20"/>
        </w:rPr>
        <w:t>Fulgent Genetics, Inc., together with its subsidiaries and an affiliated professional corporation with which the Company has a management services arrangement, are collectively referred to in this Annual Report on Form 10-K as the “Company,” “Fulgent,” “we</w:t>
      </w:r>
      <w:r>
        <w:rPr>
          <w:i/>
          <w:iCs/>
          <w:sz w:val="20"/>
          <w:szCs w:val="20"/>
        </w:rPr>
        <w:t>,” “us,” and “our.</w:t>
      </w:r>
      <w:r>
        <w:rPr>
          <w:i/>
          <w:iCs/>
          <w:sz w:val="20"/>
          <w:szCs w:val="20"/>
        </w:rPr>
        <w:t>”</w:t>
      </w:r>
    </w:p>
    <w:p w:rsidR="00000000" w:rsidRDefault="00477EE8">
      <w:pPr>
        <w:pStyle w:val="a3"/>
        <w:spacing w:before="240" w:beforeAutospacing="0" w:after="0" w:afterAutospacing="0"/>
        <w:jc w:val="center"/>
        <w:rPr>
          <w:sz w:val="20"/>
          <w:szCs w:val="20"/>
        </w:rPr>
      </w:pPr>
      <w:r>
        <w:rPr>
          <w:sz w:val="20"/>
          <w:szCs w:val="20"/>
        </w:rPr>
        <w:t>i</w:t>
      </w:r>
      <w:r>
        <w:rPr>
          <w:sz w:val="20"/>
          <w:szCs w:val="20"/>
        </w:rPr>
        <w:t>i</w:t>
      </w:r>
    </w:p>
    <w:p w:rsidR="00000000" w:rsidRDefault="00477EE8">
      <w:pPr>
        <w:rPr>
          <w:rFonts w:eastAsia="Times New Roman"/>
        </w:rPr>
      </w:pPr>
      <w:r>
        <w:rPr>
          <w:rFonts w:eastAsia="Times New Roman"/>
        </w:rPr>
        <w:pict>
          <v:rect id="_x0000_i1028" style="width:0;height:1.5pt" o:hralign="center" o:hrstd="t" o:hr="t" fillcolor="#a0a0a0" stroked="f"/>
        </w:pict>
      </w:r>
    </w:p>
    <w:p w:rsidR="00000000" w:rsidRDefault="00477EE8">
      <w:pPr>
        <w:pStyle w:val="a3"/>
        <w:spacing w:before="0" w:beforeAutospacing="0" w:after="0" w:afterAutospacing="0"/>
        <w:jc w:val="center"/>
        <w:rPr>
          <w:sz w:val="20"/>
          <w:szCs w:val="20"/>
        </w:rPr>
      </w:pPr>
      <w:r>
        <w:rPr>
          <w:b/>
          <w:bCs/>
          <w:sz w:val="20"/>
          <w:szCs w:val="20"/>
        </w:rPr>
        <w:t>PA</w:t>
      </w:r>
      <w:r>
        <w:rPr>
          <w:b/>
          <w:bCs/>
          <w:sz w:val="20"/>
          <w:szCs w:val="20"/>
        </w:rPr>
        <w:t>R</w:t>
      </w:r>
      <w:r>
        <w:rPr>
          <w:b/>
          <w:bCs/>
          <w:sz w:val="20"/>
          <w:szCs w:val="20"/>
        </w:rPr>
        <w:t xml:space="preserve">T </w:t>
      </w:r>
      <w:r>
        <w:rPr>
          <w:b/>
          <w:bCs/>
          <w:sz w:val="20"/>
          <w:szCs w:val="20"/>
        </w:rPr>
        <w:t>I</w:t>
      </w:r>
    </w:p>
    <w:p w:rsidR="00000000" w:rsidRDefault="00477EE8">
      <w:pPr>
        <w:pStyle w:val="a3"/>
        <w:spacing w:before="240" w:beforeAutospacing="0" w:after="0" w:afterAutospacing="0"/>
        <w:rPr>
          <w:sz w:val="20"/>
          <w:szCs w:val="20"/>
        </w:rPr>
      </w:pPr>
      <w:r>
        <w:rPr>
          <w:b/>
          <w:bCs/>
          <w:sz w:val="20"/>
          <w:szCs w:val="20"/>
        </w:rPr>
        <w:t xml:space="preserve">Item 1. </w:t>
      </w:r>
      <w:r>
        <w:rPr>
          <w:b/>
          <w:bCs/>
          <w:sz w:val="20"/>
          <w:szCs w:val="20"/>
        </w:rPr>
        <w:t>B</w:t>
      </w:r>
      <w:r>
        <w:rPr>
          <w:b/>
          <w:bCs/>
          <w:sz w:val="20"/>
          <w:szCs w:val="20"/>
        </w:rPr>
        <w:t>usiness</w:t>
      </w:r>
      <w:r>
        <w:rPr>
          <w:b/>
          <w:bCs/>
          <w:sz w:val="20"/>
          <w:szCs w:val="20"/>
        </w:rPr>
        <w:t>.</w:t>
      </w:r>
    </w:p>
    <w:p w:rsidR="00000000" w:rsidRDefault="00477EE8">
      <w:pPr>
        <w:pStyle w:val="a3"/>
        <w:spacing w:before="120" w:beforeAutospacing="0" w:after="0" w:afterAutospacing="0"/>
        <w:jc w:val="center"/>
        <w:rPr>
          <w:sz w:val="20"/>
          <w:szCs w:val="20"/>
        </w:rPr>
      </w:pPr>
      <w:r>
        <w:rPr>
          <w:b/>
          <w:bCs/>
          <w:sz w:val="20"/>
          <w:szCs w:val="20"/>
        </w:rPr>
        <w:t>Overvie</w:t>
      </w:r>
      <w:r>
        <w:rPr>
          <w:b/>
          <w:bCs/>
          <w:sz w:val="20"/>
          <w:szCs w:val="20"/>
        </w:rPr>
        <w:t>w</w:t>
      </w:r>
    </w:p>
    <w:p w:rsidR="00000000" w:rsidRDefault="00477EE8">
      <w:pPr>
        <w:pStyle w:val="a3"/>
        <w:spacing w:before="120" w:beforeAutospacing="0" w:after="0" w:afterAutospacing="0"/>
        <w:ind w:firstLine="555"/>
        <w:rPr>
          <w:sz w:val="20"/>
          <w:szCs w:val="20"/>
        </w:rPr>
      </w:pPr>
      <w:r>
        <w:rPr>
          <w:sz w:val="20"/>
          <w:szCs w:val="20"/>
        </w:rPr>
        <w:t>We are a technology-based company with a well-established clinical diagnostic business and a therapeutic development business. Our clinical diagnostic business of</w:t>
      </w:r>
      <w:r>
        <w:rPr>
          <w:sz w:val="20"/>
          <w:szCs w:val="20"/>
        </w:rPr>
        <w:t>fers molecular diagnostic testing services, comprehensive genetic testing, and high-quality anatomic pathology laboratory services designed to provide physicians and patients with clinically actionable diagnostic information to improve the quality of patie</w:t>
      </w:r>
      <w:r>
        <w:rPr>
          <w:sz w:val="20"/>
          <w:szCs w:val="20"/>
        </w:rPr>
        <w:t>nt care. Our therapeutic development business is focused on developing drug candidates for treating a broad range of cancers using a novel nanoencapsulation and targeted therapy platform designed to improve the therapeutic window and pharmacokinetic profil</w:t>
      </w:r>
      <w:r>
        <w:rPr>
          <w:sz w:val="20"/>
          <w:szCs w:val="20"/>
        </w:rPr>
        <w:t>e, or PK profile, of new and existing cancer drugs. We aim to transform from a genomic diagnostic business into a fully integrated precision medicine company</w:t>
      </w:r>
      <w:r>
        <w:rPr>
          <w:sz w:val="20"/>
          <w:szCs w:val="20"/>
        </w:rPr>
        <w:t>.</w:t>
      </w:r>
    </w:p>
    <w:p w:rsidR="00000000" w:rsidRDefault="00477EE8">
      <w:pPr>
        <w:pStyle w:val="a3"/>
        <w:spacing w:before="360" w:beforeAutospacing="0" w:after="0" w:afterAutospacing="0"/>
        <w:jc w:val="center"/>
        <w:rPr>
          <w:sz w:val="20"/>
          <w:szCs w:val="20"/>
        </w:rPr>
      </w:pPr>
      <w:r>
        <w:rPr>
          <w:b/>
          <w:bCs/>
          <w:sz w:val="20"/>
          <w:szCs w:val="20"/>
        </w:rPr>
        <w:t>Mission and Visio</w:t>
      </w:r>
      <w:r>
        <w:rPr>
          <w:b/>
          <w:bCs/>
          <w:sz w:val="20"/>
          <w:szCs w:val="20"/>
        </w:rPr>
        <w:t>n</w:t>
      </w:r>
    </w:p>
    <w:p w:rsidR="00000000" w:rsidRDefault="00477EE8">
      <w:pPr>
        <w:pStyle w:val="a3"/>
        <w:spacing w:before="120" w:beforeAutospacing="0" w:after="0" w:afterAutospacing="0"/>
        <w:ind w:firstLine="555"/>
        <w:rPr>
          <w:sz w:val="20"/>
          <w:szCs w:val="20"/>
        </w:rPr>
      </w:pPr>
      <w:r>
        <w:rPr>
          <w:sz w:val="20"/>
          <w:szCs w:val="20"/>
        </w:rPr>
        <w:t>Founded in 2011, Fulgent began with two simple ideas: flexibility and affordab</w:t>
      </w:r>
      <w:r>
        <w:rPr>
          <w:sz w:val="20"/>
          <w:szCs w:val="20"/>
        </w:rPr>
        <w:t xml:space="preserve">ility. We offer and develop flexible and affordable diagnostic and genetic tests and testing services designed to improve patient care and quality of life. We strive to provide the most effective and wide-ranging genetic and diagnostic testing menu on the </w:t>
      </w:r>
      <w:r>
        <w:rPr>
          <w:sz w:val="20"/>
          <w:szCs w:val="20"/>
        </w:rPr>
        <w:t>market. Our long-term vision is to transform from a diagnostic business into a fully integrated precision medicine company focused on oncology through the addition of Fulgent Pharma Holdings, Inc., or Fulgent Pharma</w:t>
      </w:r>
      <w:r>
        <w:rPr>
          <w:sz w:val="20"/>
          <w:szCs w:val="20"/>
        </w:rPr>
        <w:t>.</w:t>
      </w:r>
    </w:p>
    <w:p w:rsidR="00000000" w:rsidRDefault="00477EE8">
      <w:pPr>
        <w:pStyle w:val="a3"/>
        <w:spacing w:before="360" w:beforeAutospacing="0" w:after="0" w:afterAutospacing="0"/>
        <w:jc w:val="center"/>
        <w:rPr>
          <w:sz w:val="20"/>
          <w:szCs w:val="20"/>
        </w:rPr>
      </w:pPr>
      <w:r>
        <w:rPr>
          <w:b/>
          <w:bCs/>
          <w:sz w:val="20"/>
          <w:szCs w:val="20"/>
        </w:rPr>
        <w:t>Our Clinical Diagnostic Tests and Testi</w:t>
      </w:r>
      <w:r>
        <w:rPr>
          <w:b/>
          <w:bCs/>
          <w:sz w:val="20"/>
          <w:szCs w:val="20"/>
        </w:rPr>
        <w:t>ng Service</w:t>
      </w:r>
      <w:r>
        <w:rPr>
          <w:b/>
          <w:bCs/>
          <w:sz w:val="20"/>
          <w:szCs w:val="20"/>
        </w:rPr>
        <w:t>s</w:t>
      </w:r>
    </w:p>
    <w:p w:rsidR="00000000" w:rsidRDefault="00477EE8">
      <w:pPr>
        <w:pStyle w:val="a3"/>
        <w:spacing w:before="120" w:beforeAutospacing="0" w:after="0" w:afterAutospacing="0"/>
        <w:ind w:firstLine="555"/>
        <w:rPr>
          <w:sz w:val="20"/>
          <w:szCs w:val="20"/>
        </w:rPr>
      </w:pPr>
      <w:r>
        <w:rPr>
          <w:sz w:val="20"/>
          <w:szCs w:val="20"/>
        </w:rPr>
        <w:lastRenderedPageBreak/>
        <w:t>We have broad testing capabilities with a testing and testing services menu that is scalable and affordable to our customers. Our testing and testing services include</w:t>
      </w:r>
      <w:r>
        <w:rPr>
          <w:sz w:val="20"/>
          <w:szCs w:val="20"/>
        </w:rPr>
        <w:t>:</w:t>
      </w:r>
    </w:p>
    <w:p w:rsidR="00000000" w:rsidRDefault="00477EE8">
      <w:pPr>
        <w:pStyle w:val="a3"/>
        <w:spacing w:before="0" w:beforeAutospacing="0" w:after="0" w:afterAutospacing="0"/>
        <w:rPr>
          <w:sz w:val="20"/>
          <w:szCs w:val="20"/>
        </w:rPr>
      </w:pPr>
      <w:r>
        <w:rPr>
          <w:noProof/>
          <w:sz w:val="20"/>
          <w:szCs w:val="20"/>
        </w:rPr>
        <w:drawing>
          <wp:inline distT="0" distB="0" distL="0" distR="0">
            <wp:extent cx="304800" cy="304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Our comprehensive anatomic pathology tests and testing services include gastrointestinal pathology, dermatopathology, urologic pathology, breast pathology, neuropathology, and hematopathology. We plan to l</w:t>
      </w:r>
      <w:r>
        <w:rPr>
          <w:sz w:val="20"/>
          <w:szCs w:val="20"/>
        </w:rPr>
        <w:t xml:space="preserve">everage our existing managed care contract networks and physician relationships to provide diagnostic testing and testing services complimentary to this testing portfolio. These tests and testing services are supported by our expansive geographic presence </w:t>
      </w:r>
      <w:r>
        <w:rPr>
          <w:sz w:val="20"/>
          <w:szCs w:val="20"/>
        </w:rPr>
        <w:t>with several CLIA-licensed laboratories in the United States</w:t>
      </w:r>
      <w:r>
        <w:rPr>
          <w:sz w:val="20"/>
          <w:szCs w:val="20"/>
        </w:rPr>
        <w:t>.</w:t>
      </w:r>
      <w:r>
        <w:rPr>
          <w:sz w:val="20"/>
          <w:szCs w:val="20"/>
        </w:rPr>
        <w:t xml:space="preserve"> </w:t>
      </w:r>
    </w:p>
    <w:p w:rsidR="00000000" w:rsidRDefault="00477EE8">
      <w:pPr>
        <w:pStyle w:val="a3"/>
        <w:spacing w:before="0" w:beforeAutospacing="0" w:after="0" w:afterAutospacing="0"/>
        <w:rPr>
          <w:sz w:val="20"/>
          <w:szCs w:val="20"/>
        </w:rPr>
      </w:pPr>
      <w:r>
        <w:rPr>
          <w:noProof/>
          <w:sz w:val="20"/>
          <w:szCs w:val="20"/>
        </w:rPr>
        <w:drawing>
          <wp:inline distT="0" distB="0" distL="0" distR="0">
            <wp:extent cx="304800" cy="304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Our specialized oncology tests and testing services utilize a wide array of technologies. These test and testing services utilize</w:t>
      </w:r>
      <w:r>
        <w:rPr>
          <w:sz w:val="20"/>
          <w:szCs w:val="20"/>
        </w:rPr>
        <w:t xml:space="preserve"> flow cytometry, cytogenetic analysis, florescence in-situ (FISH), immunohistochemistry, molecular genetics, NGS, and consultations in hematopathology and surgical pathology</w:t>
      </w:r>
      <w:r>
        <w:rPr>
          <w:sz w:val="20"/>
          <w:szCs w:val="20"/>
        </w:rPr>
        <w:t>.</w:t>
      </w:r>
    </w:p>
    <w:p w:rsidR="00000000" w:rsidRDefault="00477EE8">
      <w:pPr>
        <w:pStyle w:val="a3"/>
        <w:spacing w:before="0" w:beforeAutospacing="0" w:after="0" w:afterAutospacing="0"/>
        <w:rPr>
          <w:sz w:val="20"/>
          <w:szCs w:val="20"/>
        </w:rPr>
      </w:pPr>
      <w:r>
        <w:rPr>
          <w:noProof/>
          <w:sz w:val="20"/>
          <w:szCs w:val="20"/>
        </w:rPr>
        <w:drawing>
          <wp:inline distT="0" distB="0" distL="0" distR="0">
            <wp:extent cx="304800" cy="304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We also offer NGS ser</w:t>
      </w:r>
      <w:r>
        <w:rPr>
          <w:sz w:val="20"/>
          <w:szCs w:val="20"/>
        </w:rPr>
        <w:t>vices and have experienced recent traction in NGS services related to hereditary cancer, cardiovascular genetics, reproductive health, neurodegenerative genetics, and our recently launched pharmacogenetic tests</w:t>
      </w:r>
      <w:r>
        <w:rPr>
          <w:sz w:val="20"/>
          <w:szCs w:val="20"/>
        </w:rPr>
        <w:t>.</w:t>
      </w:r>
      <w:r>
        <w:rPr>
          <w:sz w:val="20"/>
          <w:szCs w:val="20"/>
        </w:rPr>
        <w:t xml:space="preserve"> </w:t>
      </w:r>
    </w:p>
    <w:p w:rsidR="00000000" w:rsidRDefault="00477EE8">
      <w:pPr>
        <w:pStyle w:val="a3"/>
        <w:spacing w:before="240" w:beforeAutospacing="0" w:after="0" w:afterAutospacing="0"/>
        <w:rPr>
          <w:sz w:val="20"/>
          <w:szCs w:val="20"/>
        </w:rPr>
      </w:pPr>
      <w:r>
        <w:rPr>
          <w:noProof/>
          <w:sz w:val="20"/>
          <w:szCs w:val="20"/>
        </w:rPr>
        <w:drawing>
          <wp:inline distT="0" distB="0" distL="0" distR="0">
            <wp:extent cx="30480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Individual customers may also purchase certain tests and testing services through our direct-to-consumer Picture Genetics platform. These Picture Genetics tests help custo</w:t>
      </w:r>
      <w:r>
        <w:rPr>
          <w:sz w:val="20"/>
          <w:szCs w:val="20"/>
        </w:rPr>
        <w:t>mers identify important health markers in their personal DNA</w:t>
      </w:r>
      <w:r>
        <w:rPr>
          <w:sz w:val="20"/>
          <w:szCs w:val="20"/>
        </w:rPr>
        <w:t>.</w:t>
      </w:r>
    </w:p>
    <w:p w:rsidR="00000000" w:rsidRDefault="00477EE8">
      <w:pPr>
        <w:pStyle w:val="a3"/>
        <w:spacing w:before="360" w:beforeAutospacing="0" w:after="0" w:afterAutospacing="0"/>
        <w:jc w:val="center"/>
        <w:rPr>
          <w:sz w:val="20"/>
          <w:szCs w:val="20"/>
        </w:rPr>
      </w:pPr>
      <w:r>
        <w:rPr>
          <w:b/>
          <w:bCs/>
          <w:sz w:val="20"/>
          <w:szCs w:val="20"/>
        </w:rPr>
        <w:t>Our Technology Platfor</w:t>
      </w:r>
      <w:r>
        <w:rPr>
          <w:b/>
          <w:bCs/>
          <w:sz w:val="20"/>
          <w:szCs w:val="20"/>
        </w:rPr>
        <w:t>m</w:t>
      </w:r>
      <w:r>
        <w:rPr>
          <w:b/>
          <w:bCs/>
          <w:sz w:val="20"/>
          <w:szCs w:val="20"/>
        </w:rPr>
        <w:t xml:space="preserve"> </w:t>
      </w:r>
    </w:p>
    <w:p w:rsidR="00000000" w:rsidRDefault="00477EE8">
      <w:pPr>
        <w:pStyle w:val="a3"/>
        <w:spacing w:before="120" w:beforeAutospacing="0" w:after="0" w:afterAutospacing="0"/>
        <w:ind w:firstLine="555"/>
        <w:rPr>
          <w:sz w:val="20"/>
          <w:szCs w:val="20"/>
        </w:rPr>
      </w:pPr>
      <w:r>
        <w:rPr>
          <w:sz w:val="20"/>
          <w:szCs w:val="20"/>
        </w:rPr>
        <w:t>Our business is built on our proprietary technology platform, which includes proprietary gene probes, data suppression and comparison algorithms, adaptive learning softw</w:t>
      </w:r>
      <w:r>
        <w:rPr>
          <w:sz w:val="20"/>
          <w:szCs w:val="20"/>
        </w:rPr>
        <w:t>are, and proprietary laboratory information management systems. This platform provides a broad test menu, the ability to rapidly develop and launch new tests, customizable test offerings, lower costs per test, and high efficiency. As an example, this techn</w:t>
      </w:r>
      <w:r>
        <w:rPr>
          <w:sz w:val="20"/>
          <w:szCs w:val="20"/>
        </w:rPr>
        <w:t>ology platform allowed us to rapidly respond to the COVID-19 pandemic and scale our business to provide COVID-19 tests with reliable results and rapid turnaround time in a way that surpassed even our largest competitors. We are proud that through this effo</w:t>
      </w:r>
      <w:r>
        <w:rPr>
          <w:sz w:val="20"/>
          <w:szCs w:val="20"/>
        </w:rPr>
        <w:t>rt we supplied approximately 19.3 million COVID-19 tests from 2020 through 2022, generating over $1.7 billion in revenue</w:t>
      </w:r>
      <w:r>
        <w:rPr>
          <w:sz w:val="20"/>
          <w:szCs w:val="20"/>
        </w:rPr>
        <w:t>.</w:t>
      </w:r>
    </w:p>
    <w:p w:rsidR="00000000" w:rsidRDefault="00477EE8">
      <w:pPr>
        <w:pStyle w:val="a3"/>
        <w:spacing w:before="240" w:beforeAutospacing="0" w:after="0" w:afterAutospacing="0"/>
        <w:jc w:val="center"/>
        <w:rPr>
          <w:sz w:val="20"/>
          <w:szCs w:val="20"/>
        </w:rPr>
      </w:pPr>
      <w:r>
        <w:rPr>
          <w:sz w:val="20"/>
          <w:szCs w:val="20"/>
        </w:rPr>
        <w:t>1</w:t>
      </w:r>
    </w:p>
    <w:p w:rsidR="00000000" w:rsidRDefault="00477EE8">
      <w:pPr>
        <w:rPr>
          <w:rFonts w:eastAsia="Times New Roman"/>
        </w:rPr>
      </w:pPr>
      <w:r>
        <w:rPr>
          <w:rFonts w:eastAsia="Times New Roman"/>
        </w:rPr>
        <w:pict>
          <v:rect id="_x0000_i1033" style="width:0;height:1.5pt" o:hralign="center" o:hrstd="t" o:hr="t" fillcolor="#a0a0a0" stroked="f"/>
        </w:pict>
      </w:r>
    </w:p>
    <w:p w:rsidR="00000000" w:rsidRDefault="00477EE8">
      <w:pPr>
        <w:pStyle w:val="a3"/>
        <w:spacing w:before="360" w:beforeAutospacing="0" w:after="0" w:afterAutospacing="0"/>
        <w:jc w:val="center"/>
        <w:rPr>
          <w:sz w:val="20"/>
          <w:szCs w:val="20"/>
        </w:rPr>
      </w:pPr>
      <w:r>
        <w:rPr>
          <w:b/>
          <w:bCs/>
          <w:sz w:val="20"/>
          <w:szCs w:val="20"/>
        </w:rPr>
        <w:t>Our Customer</w:t>
      </w:r>
      <w:r>
        <w:rPr>
          <w:b/>
          <w:bCs/>
          <w:sz w:val="20"/>
          <w:szCs w:val="20"/>
        </w:rPr>
        <w:t>s</w:t>
      </w:r>
    </w:p>
    <w:p w:rsidR="00000000" w:rsidRDefault="00477EE8">
      <w:pPr>
        <w:pStyle w:val="a3"/>
        <w:spacing w:before="120" w:beforeAutospacing="0" w:after="0" w:afterAutospacing="0"/>
        <w:ind w:firstLine="555"/>
        <w:rPr>
          <w:sz w:val="20"/>
          <w:szCs w:val="20"/>
        </w:rPr>
      </w:pPr>
      <w:r>
        <w:rPr>
          <w:sz w:val="20"/>
          <w:szCs w:val="20"/>
        </w:rPr>
        <w:t>We currently classify our customers by their payor types: (i) Insurance, including</w:t>
      </w:r>
      <w:r>
        <w:rPr>
          <w:sz w:val="20"/>
          <w:szCs w:val="20"/>
        </w:rPr>
        <w:t xml:space="preserve"> claims covered by the Health Resources &amp; Services Administration, or HRSA, COVID-19 Uninsured Program for uninsured individuals; (ii) Institutional, including hospitals, medical institutions, other laboratories, governmental bodies, payors, municipalities</w:t>
      </w:r>
      <w:r>
        <w:rPr>
          <w:sz w:val="20"/>
          <w:szCs w:val="20"/>
        </w:rPr>
        <w:t>, and large corporations; and (iii) Patients who pay directly. Typically, we bill our Institutional customers for our tests, and they are responsible for paying us directly and billing their patients separately or obtaining reimbursement from third-party p</w:t>
      </w:r>
      <w:r>
        <w:rPr>
          <w:sz w:val="20"/>
          <w:szCs w:val="20"/>
        </w:rPr>
        <w:t>ayors. In some cases, Institutional customers receive a per-visit or per-admission payment that includes our testing, which means that separate reimbursement is not available. A small percentage of our customers are patients, who elect to pay for tests the</w:t>
      </w:r>
      <w:r>
        <w:rPr>
          <w:sz w:val="20"/>
          <w:szCs w:val="20"/>
        </w:rPr>
        <w:t>mselves with out-of-pocket payments after their physicians have ordered our tests</w:t>
      </w:r>
      <w:r>
        <w:rPr>
          <w:sz w:val="20"/>
          <w:szCs w:val="20"/>
        </w:rPr>
        <w:t>.</w:t>
      </w:r>
    </w:p>
    <w:p w:rsidR="00000000" w:rsidRDefault="00477EE8">
      <w:pPr>
        <w:pStyle w:val="a3"/>
        <w:spacing w:before="0" w:beforeAutospacing="0" w:after="0" w:afterAutospacing="0"/>
        <w:rPr>
          <w:sz w:val="20"/>
          <w:szCs w:val="20"/>
        </w:rPr>
      </w:pPr>
      <w:r>
        <w:rPr>
          <w:sz w:val="20"/>
          <w:szCs w:val="20"/>
        </w:rPr>
        <w:t>We consider each single billing and paying unit to be an individual customer, even though a unit may represent multiple physicians and healthcare providers ordering tests. A</w:t>
      </w:r>
      <w:r>
        <w:rPr>
          <w:sz w:val="20"/>
          <w:szCs w:val="20"/>
        </w:rPr>
        <w:t>ggregating customers that are under common control, one of our customers, the County of Los Angeles, contributed 19% and 26% of our total revenue in 2022 and 2021, respectively</w:t>
      </w:r>
      <w:r>
        <w:rPr>
          <w:sz w:val="20"/>
          <w:szCs w:val="20"/>
        </w:rPr>
        <w:t>.</w:t>
      </w:r>
    </w:p>
    <w:p w:rsidR="00000000" w:rsidRDefault="00477EE8">
      <w:pPr>
        <w:pStyle w:val="a3"/>
        <w:spacing w:before="360" w:beforeAutospacing="0" w:after="0" w:afterAutospacing="0"/>
        <w:jc w:val="center"/>
        <w:rPr>
          <w:sz w:val="20"/>
          <w:szCs w:val="20"/>
        </w:rPr>
      </w:pPr>
      <w:r>
        <w:rPr>
          <w:b/>
          <w:bCs/>
          <w:sz w:val="20"/>
          <w:szCs w:val="20"/>
        </w:rPr>
        <w:t>Sales and Marketin</w:t>
      </w:r>
      <w:r>
        <w:rPr>
          <w:b/>
          <w:bCs/>
          <w:sz w:val="20"/>
          <w:szCs w:val="20"/>
        </w:rPr>
        <w:t>g</w:t>
      </w:r>
      <w:r>
        <w:rPr>
          <w:b/>
          <w:bCs/>
          <w:sz w:val="20"/>
          <w:szCs w:val="20"/>
        </w:rPr>
        <w:t xml:space="preserve"> </w:t>
      </w:r>
    </w:p>
    <w:p w:rsidR="00000000" w:rsidRDefault="00477EE8">
      <w:pPr>
        <w:pStyle w:val="a3"/>
        <w:spacing w:before="120" w:beforeAutospacing="0" w:after="0" w:afterAutospacing="0"/>
        <w:ind w:firstLine="555"/>
        <w:rPr>
          <w:sz w:val="20"/>
          <w:szCs w:val="20"/>
        </w:rPr>
      </w:pPr>
      <w:r>
        <w:rPr>
          <w:sz w:val="20"/>
          <w:szCs w:val="20"/>
        </w:rPr>
        <w:t>Our sales and marketing force currently consists of two i</w:t>
      </w:r>
      <w:r>
        <w:rPr>
          <w:sz w:val="20"/>
          <w:szCs w:val="20"/>
        </w:rPr>
        <w:t>nternal teams of sales and marketing professionals, respectively, with deep experience in our industry, as well as a network of field-based sales representatives who are knowledgeable about our tests. The field sales team grew significantly in 2022, mostly</w:t>
      </w:r>
      <w:r>
        <w:rPr>
          <w:sz w:val="20"/>
          <w:szCs w:val="20"/>
        </w:rPr>
        <w:t xml:space="preserve"> driven by the acquisition of Symphony Buyer, Inc., or Inform Diagnostics, and Cytometry Specialists, Inc., or CSI. Historically, we have significantly relied on organic growth and word-of-mouth among our customers to generate interest in our tests, which </w:t>
      </w:r>
      <w:r>
        <w:rPr>
          <w:sz w:val="20"/>
          <w:szCs w:val="20"/>
        </w:rPr>
        <w:t>we believe demonstrates the value of our offering. In recent years, we have invested significant time and capital to strengthen our sales and marketing efforts, including increasing the size and restructuring the organization of our internal team, re-focus</w:t>
      </w:r>
      <w:r>
        <w:rPr>
          <w:sz w:val="20"/>
          <w:szCs w:val="20"/>
        </w:rPr>
        <w:t>ing our initiatives and strategies, and increasing the overall scope of our marketing activities. On a regular basis, we continue to evaluate the need to grow the size of our sales team and market resources</w:t>
      </w:r>
      <w:r>
        <w:rPr>
          <w:sz w:val="20"/>
          <w:szCs w:val="20"/>
        </w:rPr>
        <w:t>.</w:t>
      </w:r>
    </w:p>
    <w:p w:rsidR="00000000" w:rsidRDefault="00477EE8">
      <w:pPr>
        <w:pStyle w:val="a3"/>
        <w:spacing w:before="240" w:beforeAutospacing="0" w:after="0" w:afterAutospacing="0"/>
        <w:jc w:val="center"/>
        <w:rPr>
          <w:sz w:val="20"/>
          <w:szCs w:val="20"/>
        </w:rPr>
      </w:pPr>
      <w:r>
        <w:rPr>
          <w:b/>
          <w:bCs/>
          <w:sz w:val="20"/>
          <w:szCs w:val="20"/>
        </w:rPr>
        <w:t>Our Supplier</w:t>
      </w:r>
      <w:r>
        <w:rPr>
          <w:b/>
          <w:bCs/>
          <w:sz w:val="20"/>
          <w:szCs w:val="20"/>
        </w:rPr>
        <w:t>s</w:t>
      </w:r>
    </w:p>
    <w:p w:rsidR="00000000" w:rsidRDefault="00477EE8">
      <w:pPr>
        <w:pStyle w:val="a3"/>
        <w:spacing w:before="120" w:beforeAutospacing="0" w:after="0" w:afterAutospacing="0"/>
        <w:ind w:firstLine="555"/>
        <w:rPr>
          <w:sz w:val="20"/>
          <w:szCs w:val="20"/>
        </w:rPr>
      </w:pPr>
      <w:r>
        <w:rPr>
          <w:sz w:val="20"/>
          <w:szCs w:val="20"/>
        </w:rPr>
        <w:t>We rely on a limited number of sup</w:t>
      </w:r>
      <w:r>
        <w:rPr>
          <w:sz w:val="20"/>
          <w:szCs w:val="20"/>
        </w:rPr>
        <w:t>pliers for certain laboratory substances used in the chemical reactions incorporated into our tests and testing services, which we refer to as reagents, as well as for the sequencers, collection kits, and various other equipment and materials we use in our</w:t>
      </w:r>
      <w:r>
        <w:rPr>
          <w:sz w:val="20"/>
          <w:szCs w:val="20"/>
        </w:rPr>
        <w:t xml:space="preserve"> laboratory operations. In particular, we rely on Illumina, Inc. as the sole supplier of the next generation sequencers and associated reagents we use to perform our genetic tests and as the sole provider of maintenance and repair services for these sequen</w:t>
      </w:r>
      <w:r>
        <w:rPr>
          <w:sz w:val="20"/>
          <w:szCs w:val="20"/>
        </w:rPr>
        <w:t>cers; on Roche Holdings AG for certain laboratory equipment, supplies, and services for our immunohistochemistry services; on Beckman Coulter Diagnostics for certain laboratory equipment, supplies, and services for our flow cytometry tests and testing serv</w:t>
      </w:r>
      <w:r>
        <w:rPr>
          <w:sz w:val="20"/>
          <w:szCs w:val="20"/>
        </w:rPr>
        <w:t>ices; and on Abbott Laboratories for certain laboratory equipment, supplies, and services for our FISH tests and testing services. While there are several sequencer suppliers that we believe could replace Illumina, and while we believe that we have suffici</w:t>
      </w:r>
      <w:r>
        <w:rPr>
          <w:sz w:val="20"/>
          <w:szCs w:val="20"/>
        </w:rPr>
        <w:t xml:space="preserve">ent alternative suppliers for our other needs, our laboratory operations could be interrupted if we encounter delays or difficulties in connection with securing these supplies, services, reagents, sequencers, other equipment, materials, or maintenance and </w:t>
      </w:r>
      <w:r>
        <w:rPr>
          <w:sz w:val="20"/>
          <w:szCs w:val="20"/>
        </w:rPr>
        <w:t>repair services, which could occur for a variety of reasons, including if we need a replacement or temporary substitute for any of our limited or sole suppliers and are not able to locate and make arrangements with an acceptable replacement or temporary su</w:t>
      </w:r>
      <w:r>
        <w:rPr>
          <w:sz w:val="20"/>
          <w:szCs w:val="20"/>
        </w:rPr>
        <w:t>bstitute</w:t>
      </w:r>
      <w:r>
        <w:rPr>
          <w:sz w:val="20"/>
          <w:szCs w:val="20"/>
        </w:rPr>
        <w:t>.</w:t>
      </w:r>
    </w:p>
    <w:p w:rsidR="00000000" w:rsidRDefault="00477EE8">
      <w:pPr>
        <w:pStyle w:val="a3"/>
        <w:spacing w:before="240" w:beforeAutospacing="0" w:after="0" w:afterAutospacing="0"/>
        <w:jc w:val="center"/>
        <w:rPr>
          <w:sz w:val="20"/>
          <w:szCs w:val="20"/>
        </w:rPr>
      </w:pPr>
      <w:r>
        <w:rPr>
          <w:sz w:val="20"/>
          <w:szCs w:val="20"/>
        </w:rPr>
        <w:t>2</w:t>
      </w:r>
    </w:p>
    <w:p w:rsidR="00000000" w:rsidRDefault="00477EE8">
      <w:pPr>
        <w:rPr>
          <w:rFonts w:eastAsia="Times New Roman"/>
        </w:rPr>
      </w:pPr>
      <w:r>
        <w:rPr>
          <w:rFonts w:eastAsia="Times New Roman"/>
        </w:rPr>
        <w:pict>
          <v:rect id="_x0000_i1034" style="width:0;height:1.5pt" o:hralign="center" o:hrstd="t" o:hr="t" fillcolor="#a0a0a0" stroked="f"/>
        </w:pict>
      </w:r>
    </w:p>
    <w:p w:rsidR="00000000" w:rsidRDefault="00477EE8">
      <w:pPr>
        <w:pStyle w:val="a3"/>
        <w:spacing w:before="360" w:beforeAutospacing="0" w:after="0" w:afterAutospacing="0"/>
        <w:jc w:val="center"/>
        <w:rPr>
          <w:sz w:val="20"/>
          <w:szCs w:val="20"/>
        </w:rPr>
      </w:pPr>
      <w:r>
        <w:rPr>
          <w:b/>
          <w:bCs/>
          <w:sz w:val="20"/>
          <w:szCs w:val="20"/>
        </w:rPr>
        <w:t>Competitio</w:t>
      </w:r>
      <w:r>
        <w:rPr>
          <w:b/>
          <w:bCs/>
          <w:sz w:val="20"/>
          <w:szCs w:val="20"/>
        </w:rPr>
        <w:t>n</w:t>
      </w:r>
      <w:r>
        <w:rPr>
          <w:b/>
          <w:bCs/>
          <w:sz w:val="20"/>
          <w:szCs w:val="20"/>
        </w:rPr>
        <w:t xml:space="preserve"> </w:t>
      </w:r>
    </w:p>
    <w:p w:rsidR="00000000" w:rsidRDefault="00477EE8">
      <w:pPr>
        <w:pStyle w:val="a3"/>
        <w:spacing w:before="120" w:beforeAutospacing="0" w:after="0" w:afterAutospacing="0"/>
        <w:ind w:firstLine="555"/>
        <w:rPr>
          <w:sz w:val="20"/>
          <w:szCs w:val="20"/>
        </w:rPr>
      </w:pPr>
      <w:r>
        <w:rPr>
          <w:sz w:val="20"/>
          <w:szCs w:val="20"/>
        </w:rPr>
        <w:t>Our competitors include dozens of companies focused on pathology, genetic, and diagnostic testing services, including specialty and reference laboratories that offer traditional single-gene and m</w:t>
      </w:r>
      <w:r>
        <w:rPr>
          <w:sz w:val="20"/>
          <w:szCs w:val="20"/>
        </w:rPr>
        <w:t>ulti-gene tests and other diagnostic test providers, as well as drug delivery platform companies and 505(b)(2) drug developers in the cancer therapeutics area. Principal competitors include companies such as Quest Diagnostics Incorporated; Laboratory Corpo</w:t>
      </w:r>
      <w:r>
        <w:rPr>
          <w:sz w:val="20"/>
          <w:szCs w:val="20"/>
        </w:rPr>
        <w:t>ration of America Holdings; Abbott Laboratories; Ambry Genetics, a subsidiary of Konica Minolta Inc.; Baylor Genetics; Caris Life Sciences; GeneDx Holdings Corp.; Invitae Corporation; Myriad Genetics, Inc.; Natera, Inc.; NeoGenomics Laboratories, Inc.; Per</w:t>
      </w:r>
      <w:r>
        <w:rPr>
          <w:sz w:val="20"/>
          <w:szCs w:val="20"/>
        </w:rPr>
        <w:t>kin Elmer, Inc.; Tempus; and other commercial and academic laboratories. Other established and emerging healthcare, information technology, and service companies may develop and sell competitive tests, which may include informatics, analysis, integrated ge</w:t>
      </w:r>
      <w:r>
        <w:rPr>
          <w:sz w:val="20"/>
          <w:szCs w:val="20"/>
        </w:rPr>
        <w:t>netic tools and services for health and wellness</w:t>
      </w:r>
      <w:r>
        <w:rPr>
          <w:sz w:val="20"/>
          <w:szCs w:val="20"/>
        </w:rPr>
        <w:t>.</w:t>
      </w:r>
    </w:p>
    <w:p w:rsidR="00000000" w:rsidRDefault="00477EE8">
      <w:pPr>
        <w:pStyle w:val="a3"/>
        <w:spacing w:before="240" w:beforeAutospacing="0" w:after="0" w:afterAutospacing="0"/>
        <w:ind w:firstLine="555"/>
        <w:rPr>
          <w:sz w:val="20"/>
          <w:szCs w:val="20"/>
        </w:rPr>
      </w:pPr>
      <w:r>
        <w:rPr>
          <w:sz w:val="20"/>
          <w:szCs w:val="20"/>
        </w:rPr>
        <w:t>Additionally, participants in closely related markets, such as prenatal testing and clinical trial or companion diagnostic testing, could converge on offerings that are competitive with the type of tests we</w:t>
      </w:r>
      <w:r>
        <w:rPr>
          <w:sz w:val="20"/>
          <w:szCs w:val="20"/>
        </w:rPr>
        <w:t xml:space="preserve"> perform. Instances where potential competitors are aligned with key suppliers or are themselves suppliers could provide these potential competitors with significant advantages. Further, hospitals, research institutions, and eventually individual physician</w:t>
      </w:r>
      <w:r>
        <w:rPr>
          <w:sz w:val="20"/>
          <w:szCs w:val="20"/>
        </w:rPr>
        <w:t xml:space="preserve">s and other practitioners may also seek to perform at their own facilities the type of genetic or diagnostic testing we would otherwise perform for them. In this regard, continued development of, and potential associated relative decreases in the cost of, </w:t>
      </w:r>
      <w:r>
        <w:rPr>
          <w:sz w:val="20"/>
          <w:szCs w:val="20"/>
        </w:rPr>
        <w:t>equipment, reagents, and other materials and databases and genetic data interpretation services may enable broader direct participation in genetic testing and analysis and drive down the use of third-party testing companies such as ours. Moreover, cost dec</w:t>
      </w:r>
      <w:r>
        <w:rPr>
          <w:sz w:val="20"/>
          <w:szCs w:val="20"/>
        </w:rPr>
        <w:t>reases and increased direct participation, as well as cost-saving initiatives on the part of government entities and other third-party payors could intensify the downward pressure on the price for genetic analysis and interpretation generally. Moreover, th</w:t>
      </w:r>
      <w:r>
        <w:rPr>
          <w:sz w:val="20"/>
          <w:szCs w:val="20"/>
        </w:rPr>
        <w:t>e clinical diagnostic testing field continues to undergo significant consolidation, permitting larger clinical laboratory service providers to increase cost efficiencies and service levels and potentially resulting in more intense competition</w:t>
      </w:r>
      <w:r>
        <w:rPr>
          <w:sz w:val="20"/>
          <w:szCs w:val="20"/>
        </w:rPr>
        <w:t>.</w:t>
      </w:r>
    </w:p>
    <w:p w:rsidR="00000000" w:rsidRDefault="00477EE8">
      <w:pPr>
        <w:pStyle w:val="a3"/>
        <w:spacing w:before="240" w:beforeAutospacing="0" w:after="0" w:afterAutospacing="0"/>
        <w:ind w:firstLine="555"/>
        <w:rPr>
          <w:sz w:val="20"/>
          <w:szCs w:val="20"/>
        </w:rPr>
      </w:pPr>
      <w:r>
        <w:rPr>
          <w:sz w:val="20"/>
          <w:szCs w:val="20"/>
        </w:rPr>
        <w:t>We believe w</w:t>
      </w:r>
      <w:r>
        <w:rPr>
          <w:sz w:val="20"/>
          <w:szCs w:val="20"/>
        </w:rPr>
        <w:t>e compare favorably with our competitors. However, many of our competitors have longer operating histories; larger customer bases; more expansive brand recognition; deeper market penetration; substantially greater financial, technological, and research and</w:t>
      </w:r>
      <w:r>
        <w:rPr>
          <w:sz w:val="20"/>
          <w:szCs w:val="20"/>
        </w:rPr>
        <w:t xml:space="preserve"> development resources; and selling and marketing capabilities and considerably more experience dealing with third-party payors. As a result, they may be able to respond more quickly to changes in customer requirements or preferences, develop faster and be</w:t>
      </w:r>
      <w:r>
        <w:rPr>
          <w:sz w:val="20"/>
          <w:szCs w:val="20"/>
        </w:rPr>
        <w:t>tter advancements for their technologies and tests, create and implement more successful strategies for the promotion and sale of their tests, obtain more favorable results from third-party payors regarding coverage and reimbursement for their offerings, a</w:t>
      </w:r>
      <w:r>
        <w:rPr>
          <w:sz w:val="20"/>
          <w:szCs w:val="20"/>
        </w:rPr>
        <w:t xml:space="preserve">dopt more aggressive pricing policies for their tests, secure supplies from vendors on more favorable terms, or devote substantially more resources to infrastructure and systems development. In addition, competitors may be acquired by, receive investments </w:t>
      </w:r>
      <w:r>
        <w:rPr>
          <w:sz w:val="20"/>
          <w:szCs w:val="20"/>
        </w:rPr>
        <w:t>from, or enter into other commercial relationships with larger, well-established, and well-financed companies. Further, companies or governments that effectively control access to genetic or diagnostic testing through umbrella contracts or regional prefere</w:t>
      </w:r>
      <w:r>
        <w:rPr>
          <w:sz w:val="20"/>
          <w:szCs w:val="20"/>
        </w:rPr>
        <w:t>nces could promote our competitors or prevent us from performing certain tests in certain territories. We may not be able to compete effectively against these organizations</w:t>
      </w:r>
      <w:r>
        <w:rPr>
          <w:sz w:val="20"/>
          <w:szCs w:val="20"/>
        </w:rPr>
        <w:t>.</w:t>
      </w:r>
      <w:r>
        <w:rPr>
          <w:sz w:val="20"/>
          <w:szCs w:val="20"/>
        </w:rPr>
        <w:t xml:space="preserve"> </w:t>
      </w:r>
    </w:p>
    <w:p w:rsidR="00000000" w:rsidRDefault="00477EE8">
      <w:pPr>
        <w:pStyle w:val="a3"/>
        <w:spacing w:before="360" w:beforeAutospacing="0" w:after="0" w:afterAutospacing="0"/>
        <w:jc w:val="center"/>
        <w:rPr>
          <w:sz w:val="20"/>
          <w:szCs w:val="20"/>
        </w:rPr>
      </w:pPr>
      <w:r>
        <w:rPr>
          <w:b/>
          <w:bCs/>
          <w:sz w:val="20"/>
          <w:szCs w:val="20"/>
        </w:rPr>
        <w:t>Fulgent Pharm</w:t>
      </w:r>
      <w:r>
        <w:rPr>
          <w:b/>
          <w:bCs/>
          <w:sz w:val="20"/>
          <w:szCs w:val="20"/>
        </w:rPr>
        <w:t>a</w:t>
      </w:r>
    </w:p>
    <w:p w:rsidR="00000000" w:rsidRDefault="00477EE8">
      <w:pPr>
        <w:pStyle w:val="a3"/>
        <w:spacing w:before="120" w:beforeAutospacing="0" w:after="0" w:afterAutospacing="0"/>
        <w:ind w:firstLine="555"/>
        <w:rPr>
          <w:sz w:val="20"/>
          <w:szCs w:val="20"/>
        </w:rPr>
      </w:pPr>
      <w:r>
        <w:rPr>
          <w:sz w:val="20"/>
          <w:szCs w:val="20"/>
        </w:rPr>
        <w:t>In 2022, we completed our acquisition of Fulgent Pharma Holdings, Inc., or Fulgent Pharma. Our efforts at Fulgent Pharma are based on a</w:t>
      </w:r>
      <w:r>
        <w:rPr>
          <w:sz w:val="20"/>
          <w:szCs w:val="20"/>
        </w:rPr>
        <w:t xml:space="preserve"> </w:t>
      </w:r>
      <w:r>
        <w:rPr>
          <w:sz w:val="20"/>
          <w:szCs w:val="20"/>
        </w:rPr>
        <w:t>novel nano-drug delivery platform technology capable of delivering various water insoluble or poorly soluble drugs. Unli</w:t>
      </w:r>
      <w:r>
        <w:rPr>
          <w:sz w:val="20"/>
          <w:szCs w:val="20"/>
        </w:rPr>
        <w:t>ke some of the drug delivery materials such as Human Serum Albumin, or HSA, which is only soluble in water, our nano-drug delivery materials used for drug candidate development are soluble not only in water, but also in various organic solvents, as well as</w:t>
      </w:r>
      <w:r>
        <w:rPr>
          <w:sz w:val="20"/>
          <w:szCs w:val="20"/>
        </w:rPr>
        <w:t xml:space="preserve"> capable of hot melt mixing with active pharmaceutical ingredients, or APIs. We believe these advantages will allow us to generate </w:t>
      </w:r>
      <w:r>
        <w:rPr>
          <w:sz w:val="20"/>
          <w:szCs w:val="20"/>
        </w:rPr>
        <w:t>a</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3</w:t>
      </w:r>
    </w:p>
    <w:p w:rsidR="00000000" w:rsidRDefault="00477EE8">
      <w:pPr>
        <w:rPr>
          <w:rFonts w:eastAsia="Times New Roman"/>
        </w:rPr>
      </w:pPr>
      <w:r>
        <w:rPr>
          <w:rFonts w:eastAsia="Times New Roman"/>
        </w:rPr>
        <w:pict>
          <v:rect id="_x0000_i1035" style="width:0;height:1.5pt" o:hralign="center" o:hrstd="t" o:hr="t" fillcolor="#a0a0a0" stroked="f"/>
        </w:pict>
      </w:r>
    </w:p>
    <w:p w:rsidR="00000000" w:rsidRDefault="00477EE8">
      <w:pPr>
        <w:pStyle w:val="a3"/>
        <w:spacing w:before="120" w:beforeAutospacing="0" w:after="0" w:afterAutospacing="0"/>
        <w:rPr>
          <w:sz w:val="20"/>
          <w:szCs w:val="20"/>
        </w:rPr>
      </w:pPr>
      <w:r>
        <w:rPr>
          <w:sz w:val="20"/>
          <w:szCs w:val="20"/>
        </w:rPr>
        <w:t>much broader range of drug candidate formulations, particularly amorphous drug candi</w:t>
      </w:r>
      <w:r>
        <w:rPr>
          <w:sz w:val="20"/>
          <w:szCs w:val="20"/>
        </w:rPr>
        <w:t>date formulations, which can be used for both IV and oral formulations with a goal to improve PK profile, as well as safety and efficacy</w:t>
      </w:r>
      <w:r>
        <w:rPr>
          <w:sz w:val="20"/>
          <w:szCs w:val="20"/>
        </w:rPr>
        <w:t>.</w:t>
      </w:r>
      <w:r>
        <w:rPr>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The first product can</w:t>
      </w:r>
      <w:r>
        <w:rPr>
          <w:sz w:val="20"/>
          <w:szCs w:val="20"/>
        </w:rPr>
        <w:t>d</w:t>
      </w:r>
      <w:r>
        <w:rPr>
          <w:sz w:val="20"/>
          <w:szCs w:val="20"/>
        </w:rPr>
        <w:t>idate from this platform is FID-007, a nanoencapsulated paclitaxel, and the target markets we h</w:t>
      </w:r>
      <w:r>
        <w:rPr>
          <w:sz w:val="20"/>
          <w:szCs w:val="20"/>
        </w:rPr>
        <w:t>ave chosen to investigate for this drug candidate are large and well-established, including head and neck, or H&amp;N, pancreatic, breast, and non-small cell lung cancer, or NSCLC, as shown in the figures below</w:t>
      </w:r>
      <w:r>
        <w:rPr>
          <w:sz w:val="20"/>
          <w:szCs w:val="20"/>
        </w:rPr>
        <w:t>:</w:t>
      </w:r>
    </w:p>
    <w:p w:rsidR="00000000" w:rsidRDefault="00477EE8">
      <w:pPr>
        <w:pStyle w:val="a3"/>
        <w:spacing w:before="240" w:beforeAutospacing="0" w:after="0" w:afterAutospacing="0"/>
        <w:ind w:firstLine="555"/>
        <w:rPr>
          <w:sz w:val="20"/>
          <w:szCs w:val="20"/>
        </w:rPr>
      </w:pPr>
      <w:r>
        <w:rPr>
          <w:noProof/>
          <w:sz w:val="20"/>
          <w:szCs w:val="20"/>
        </w:rPr>
        <w:drawing>
          <wp:inline distT="0" distB="0" distL="0" distR="0">
            <wp:extent cx="304800" cy="304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sz w:val="20"/>
          <w:szCs w:val="20"/>
        </w:rPr>
        <w:drawing>
          <wp:inline distT="0" distB="0" distL="0" distR="0">
            <wp:extent cx="304800" cy="304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sz w:val="20"/>
          <w:szCs w:val="20"/>
        </w:rPr>
        <w:drawing>
          <wp:inline distT="0" distB="0" distL="0" distR="0">
            <wp:extent cx="304800" cy="304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sz w:val="20"/>
          <w:szCs w:val="20"/>
        </w:rPr>
        <w:drawing>
          <wp:inline distT="0" distB="0" distL="0" distR="0">
            <wp:extent cx="304800" cy="304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sz w:val="20"/>
          <w:szCs w:val="20"/>
        </w:rPr>
        <w:drawing>
          <wp:inline distT="0" distB="0" distL="0" distR="0">
            <wp:extent cx="304800" cy="304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477EE8">
      <w:pPr>
        <w:pStyle w:val="a3"/>
        <w:spacing w:before="240" w:beforeAutospacing="0" w:after="0" w:afterAutospacing="0"/>
        <w:ind w:firstLine="555"/>
        <w:rPr>
          <w:sz w:val="20"/>
          <w:szCs w:val="20"/>
        </w:rPr>
      </w:pPr>
      <w:r>
        <w:rPr>
          <w:noProof/>
          <w:sz w:val="20"/>
          <w:szCs w:val="20"/>
        </w:rPr>
        <w:drawing>
          <wp:inline distT="0" distB="0" distL="0" distR="0">
            <wp:extent cx="304800" cy="304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sz w:val="20"/>
          <w:szCs w:val="20"/>
        </w:rPr>
        <w:drawing>
          <wp:inline distT="0" distB="0" distL="0" distR="0">
            <wp:extent cx="304800" cy="304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477EE8">
      <w:pPr>
        <w:pStyle w:val="a3"/>
        <w:spacing w:before="0" w:beforeAutospacing="0" w:after="0" w:afterAutospacing="0"/>
        <w:ind w:left="476" w:firstLine="581"/>
        <w:rPr>
          <w:sz w:val="20"/>
          <w:szCs w:val="20"/>
        </w:rPr>
      </w:pPr>
      <w:r>
        <w:rPr>
          <w:sz w:val="16"/>
          <w:szCs w:val="16"/>
        </w:rPr>
        <w:t>Note: U.S. opportunity show</w:t>
      </w:r>
      <w:r>
        <w:rPr>
          <w:sz w:val="16"/>
          <w:szCs w:val="16"/>
        </w:rPr>
        <w:t>n</w:t>
      </w:r>
    </w:p>
    <w:p w:rsidR="00000000" w:rsidRDefault="00477EE8">
      <w:pPr>
        <w:pStyle w:val="a3"/>
        <w:spacing w:before="0" w:beforeAutospacing="0" w:after="0" w:afterAutospacing="0"/>
        <w:ind w:left="476" w:firstLine="581"/>
        <w:rPr>
          <w:sz w:val="20"/>
          <w:szCs w:val="20"/>
        </w:rPr>
      </w:pPr>
      <w:r>
        <w:rPr>
          <w:sz w:val="16"/>
          <w:szCs w:val="16"/>
        </w:rPr>
        <w:t>Sources: Evaluate Pharma, Wall Street research, and management pricing expectation</w:t>
      </w:r>
      <w:r>
        <w:rPr>
          <w:sz w:val="16"/>
          <w:szCs w:val="16"/>
        </w:rPr>
        <w:t>s</w:t>
      </w:r>
    </w:p>
    <w:p w:rsidR="00000000" w:rsidRDefault="00477EE8">
      <w:pPr>
        <w:pStyle w:val="a3"/>
        <w:spacing w:before="0" w:beforeAutospacing="0" w:after="0" w:afterAutospacing="0"/>
        <w:ind w:left="476" w:firstLine="581"/>
        <w:rPr>
          <w:sz w:val="20"/>
          <w:szCs w:val="20"/>
        </w:rPr>
      </w:pPr>
      <w:r>
        <w:rPr>
          <w:sz w:val="16"/>
          <w:szCs w:val="16"/>
        </w:rPr>
        <w:t>1.H&amp;N market opportunity for both 2ndline and 3rd line therap</w:t>
      </w:r>
      <w:r>
        <w:rPr>
          <w:sz w:val="16"/>
          <w:szCs w:val="16"/>
        </w:rPr>
        <w:t>y</w:t>
      </w:r>
    </w:p>
    <w:p w:rsidR="00000000" w:rsidRDefault="00477EE8">
      <w:pPr>
        <w:pStyle w:val="a3"/>
        <w:spacing w:before="240" w:beforeAutospacing="0" w:after="0" w:afterAutospacing="0"/>
        <w:ind w:firstLine="555"/>
        <w:rPr>
          <w:sz w:val="20"/>
          <w:szCs w:val="20"/>
        </w:rPr>
      </w:pPr>
      <w:r>
        <w:rPr>
          <w:sz w:val="20"/>
          <w:szCs w:val="20"/>
        </w:rPr>
        <w:t>FID-007 is currently being investigated in the United States in a Phase I clini</w:t>
      </w:r>
      <w:r>
        <w:rPr>
          <w:sz w:val="20"/>
          <w:szCs w:val="20"/>
        </w:rPr>
        <w:t>cal trial in patients diagnosed with various cancers including head and neck, ampullary, and pancreatic cancer. Top-line data from this trial is expected in the second quarter of 2023. Assuming positive data, we intend to seek regulatory approval in the Un</w:t>
      </w:r>
      <w:r>
        <w:rPr>
          <w:sz w:val="20"/>
          <w:szCs w:val="20"/>
        </w:rPr>
        <w:t>ited States using the 505(b)(2) pathway, which may shorten the clinical trial process and accelerate potential commercialization. We also plan to initiate Phase II clinical trials investigating the use of FID-007 in patients diagnosed with recurrent or met</w:t>
      </w:r>
      <w:r>
        <w:rPr>
          <w:sz w:val="20"/>
          <w:szCs w:val="20"/>
        </w:rPr>
        <w:t>astatic head and neck and other cancers in late 2023 and 2024, respectively</w:t>
      </w:r>
      <w:r>
        <w:rPr>
          <w:sz w:val="20"/>
          <w:szCs w:val="20"/>
        </w:rPr>
        <w:t>.</w:t>
      </w:r>
    </w:p>
    <w:p w:rsidR="00000000" w:rsidRDefault="00477EE8">
      <w:pPr>
        <w:pStyle w:val="a3"/>
        <w:spacing w:before="360" w:beforeAutospacing="0" w:after="0" w:afterAutospacing="0"/>
        <w:jc w:val="center"/>
        <w:rPr>
          <w:sz w:val="20"/>
          <w:szCs w:val="20"/>
        </w:rPr>
      </w:pPr>
      <w:r>
        <w:rPr>
          <w:b/>
          <w:bCs/>
          <w:sz w:val="20"/>
          <w:szCs w:val="20"/>
        </w:rPr>
        <w:t>Other Research and Developmen</w:t>
      </w:r>
      <w:r>
        <w:rPr>
          <w:b/>
          <w:bCs/>
          <w:sz w:val="20"/>
          <w:szCs w:val="20"/>
        </w:rPr>
        <w:t>t</w:t>
      </w:r>
      <w:r>
        <w:rPr>
          <w:b/>
          <w:bCs/>
          <w:sz w:val="20"/>
          <w:szCs w:val="20"/>
        </w:rPr>
        <w:t xml:space="preserve"> </w:t>
      </w:r>
    </w:p>
    <w:p w:rsidR="00000000" w:rsidRDefault="00477EE8">
      <w:pPr>
        <w:pStyle w:val="a3"/>
        <w:spacing w:before="120" w:beforeAutospacing="0" w:after="0" w:afterAutospacing="0"/>
        <w:ind w:firstLine="555"/>
        <w:rPr>
          <w:sz w:val="20"/>
          <w:szCs w:val="20"/>
        </w:rPr>
      </w:pPr>
      <w:r>
        <w:rPr>
          <w:sz w:val="20"/>
          <w:szCs w:val="20"/>
        </w:rPr>
        <w:t>We have assembled a highly qualified team with expertise in a number of fields important to our business, such as bioinformatics, genetics, softwar</w:t>
      </w:r>
      <w:r>
        <w:rPr>
          <w:sz w:val="20"/>
          <w:szCs w:val="20"/>
        </w:rPr>
        <w:t>e engineering, laboratory management, and sales and marketing. This team conducts all of our research and development activities, including efforts to develop and curate our expansive library of genetic information and further expand our technology platfor</w:t>
      </w:r>
      <w:r>
        <w:rPr>
          <w:sz w:val="20"/>
          <w:szCs w:val="20"/>
        </w:rPr>
        <w:t>m</w:t>
      </w:r>
      <w:r>
        <w:rPr>
          <w:sz w:val="20"/>
          <w:szCs w:val="20"/>
        </w:rPr>
        <w:t>.</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4</w:t>
      </w:r>
    </w:p>
    <w:p w:rsidR="00000000" w:rsidRDefault="00477EE8">
      <w:pPr>
        <w:rPr>
          <w:rFonts w:eastAsia="Times New Roman"/>
        </w:rPr>
      </w:pPr>
      <w:r>
        <w:rPr>
          <w:rFonts w:eastAsia="Times New Roman"/>
        </w:rPr>
        <w:pict>
          <v:rect id="_x0000_i1043" style="width:0;height:1.5pt" o:hralign="center" o:hrstd="t" o:hr="t" fillcolor="#a0a0a0" stroked="f"/>
        </w:pict>
      </w:r>
    </w:p>
    <w:p w:rsidR="00000000" w:rsidRDefault="00477EE8">
      <w:pPr>
        <w:pStyle w:val="a3"/>
        <w:spacing w:before="360" w:beforeAutospacing="0" w:after="0" w:afterAutospacing="0"/>
        <w:jc w:val="center"/>
        <w:rPr>
          <w:sz w:val="20"/>
          <w:szCs w:val="20"/>
        </w:rPr>
      </w:pPr>
      <w:r>
        <w:rPr>
          <w:b/>
          <w:bCs/>
          <w:sz w:val="20"/>
          <w:szCs w:val="20"/>
        </w:rPr>
        <w:t>Intellectual Propert</w:t>
      </w:r>
      <w:r>
        <w:rPr>
          <w:b/>
          <w:bCs/>
          <w:sz w:val="20"/>
          <w:szCs w:val="20"/>
        </w:rPr>
        <w:t>y</w:t>
      </w:r>
      <w:r>
        <w:rPr>
          <w:b/>
          <w:bCs/>
          <w:sz w:val="20"/>
          <w:szCs w:val="20"/>
        </w:rPr>
        <w:t xml:space="preserve"> </w:t>
      </w:r>
    </w:p>
    <w:p w:rsidR="00000000" w:rsidRDefault="00477EE8">
      <w:pPr>
        <w:pStyle w:val="a3"/>
        <w:spacing w:before="120" w:beforeAutospacing="0" w:after="0" w:afterAutospacing="0"/>
        <w:ind w:firstLine="555"/>
        <w:rPr>
          <w:sz w:val="20"/>
          <w:szCs w:val="20"/>
        </w:rPr>
      </w:pPr>
      <w:r>
        <w:rPr>
          <w:sz w:val="20"/>
          <w:szCs w:val="20"/>
        </w:rPr>
        <w:t>We rely on a combination of registered and unregistered intellectual property rights, including trade secrets, certain licenses, patents, trademarks, and customary contractual protections, to protect our core technology and intellectual property</w:t>
      </w:r>
      <w:r>
        <w:rPr>
          <w:sz w:val="20"/>
          <w:szCs w:val="20"/>
        </w:rPr>
        <w:t>.</w:t>
      </w:r>
      <w:r>
        <w:rPr>
          <w:sz w:val="20"/>
          <w:szCs w:val="20"/>
        </w:rPr>
        <w:t xml:space="preserve"> </w:t>
      </w:r>
    </w:p>
    <w:p w:rsidR="00000000" w:rsidRDefault="00477EE8">
      <w:pPr>
        <w:pStyle w:val="a3"/>
        <w:spacing w:before="240" w:beforeAutospacing="0" w:after="0" w:afterAutospacing="0"/>
        <w:rPr>
          <w:sz w:val="20"/>
          <w:szCs w:val="20"/>
        </w:rPr>
      </w:pPr>
      <w:r>
        <w:rPr>
          <w:b/>
          <w:bCs/>
          <w:sz w:val="20"/>
          <w:szCs w:val="20"/>
        </w:rPr>
        <w:t>Trade Se</w:t>
      </w:r>
      <w:r>
        <w:rPr>
          <w:b/>
          <w:bCs/>
          <w:sz w:val="20"/>
          <w:szCs w:val="20"/>
        </w:rPr>
        <w:t>cret</w:t>
      </w:r>
      <w:r>
        <w:rPr>
          <w:b/>
          <w:bCs/>
          <w:sz w:val="20"/>
          <w:szCs w:val="20"/>
        </w:rPr>
        <w:t>s</w:t>
      </w:r>
      <w:r>
        <w:rPr>
          <w:b/>
          <w:bCs/>
          <w:sz w:val="20"/>
          <w:szCs w:val="20"/>
        </w:rPr>
        <w:t xml:space="preserve"> </w:t>
      </w:r>
    </w:p>
    <w:p w:rsidR="00000000" w:rsidRDefault="00477EE8">
      <w:pPr>
        <w:pStyle w:val="a3"/>
        <w:spacing w:before="120" w:beforeAutospacing="0" w:after="0" w:afterAutospacing="0"/>
        <w:ind w:firstLine="555"/>
        <w:rPr>
          <w:sz w:val="20"/>
          <w:szCs w:val="20"/>
        </w:rPr>
      </w:pPr>
      <w:r>
        <w:rPr>
          <w:sz w:val="20"/>
          <w:szCs w:val="20"/>
        </w:rPr>
        <w:t>We rely on trade secrets, including unpatented know-how, technology, and other proprietary information, to maintain and develop the competitive position afforded by many of our laboratory, analytic, and business practices. For example, significant e</w:t>
      </w:r>
      <w:r>
        <w:rPr>
          <w:sz w:val="20"/>
          <w:szCs w:val="20"/>
        </w:rPr>
        <w:t>lements of our genetic tests and our testing procedures, including aspects of specimen preparation, our bioinformatics algorithms, and related processes and our adaptive learning software, are based on unpatented trade secrets and know-how. We try to prote</w:t>
      </w:r>
      <w:r>
        <w:rPr>
          <w:sz w:val="20"/>
          <w:szCs w:val="20"/>
        </w:rPr>
        <w:t>ct trade secrets and know-how by taking reasonable steps to keep them confidential, including entering into nondisclosure and confidentiality agreements with parties who have access to them, such as our employees and certain third parties, and entering int</w:t>
      </w:r>
      <w:r>
        <w:rPr>
          <w:sz w:val="20"/>
          <w:szCs w:val="20"/>
        </w:rPr>
        <w:t>o invention assignment agreements with our employees and consultants that obligate them to assign to us any inventions developed in the course of their work for us</w:t>
      </w:r>
      <w:r>
        <w:rPr>
          <w:sz w:val="20"/>
          <w:szCs w:val="20"/>
        </w:rPr>
        <w:t>.</w:t>
      </w:r>
      <w:r>
        <w:rPr>
          <w:sz w:val="20"/>
          <w:szCs w:val="20"/>
        </w:rPr>
        <w:t xml:space="preserve"> </w:t>
      </w:r>
    </w:p>
    <w:p w:rsidR="00000000" w:rsidRDefault="00477EE8">
      <w:pPr>
        <w:pStyle w:val="a3"/>
        <w:spacing w:before="240" w:beforeAutospacing="0" w:after="0" w:afterAutospacing="0"/>
        <w:rPr>
          <w:sz w:val="20"/>
          <w:szCs w:val="20"/>
        </w:rPr>
      </w:pPr>
      <w:r>
        <w:rPr>
          <w:b/>
          <w:bCs/>
          <w:sz w:val="20"/>
          <w:szCs w:val="20"/>
        </w:rPr>
        <w:t>Trademark</w:t>
      </w:r>
      <w:r>
        <w:rPr>
          <w:b/>
          <w:bCs/>
          <w:sz w:val="20"/>
          <w:szCs w:val="20"/>
        </w:rPr>
        <w:t>s</w:t>
      </w:r>
      <w:r>
        <w:rPr>
          <w:b/>
          <w:bCs/>
          <w:sz w:val="20"/>
          <w:szCs w:val="20"/>
        </w:rPr>
        <w:t xml:space="preserve"> </w:t>
      </w:r>
    </w:p>
    <w:p w:rsidR="00000000" w:rsidRDefault="00477EE8">
      <w:pPr>
        <w:pStyle w:val="a3"/>
        <w:spacing w:before="120" w:beforeAutospacing="0" w:after="0" w:afterAutospacing="0"/>
        <w:ind w:firstLine="555"/>
        <w:rPr>
          <w:sz w:val="20"/>
          <w:szCs w:val="20"/>
        </w:rPr>
      </w:pPr>
      <w:r>
        <w:rPr>
          <w:sz w:val="20"/>
          <w:szCs w:val="20"/>
        </w:rPr>
        <w:t>We own registered and unregistered trademark and service mark rights under applicable U.S. and foreign law to distinguish and/or protect our brand, including our company name and logo</w:t>
      </w:r>
      <w:r>
        <w:rPr>
          <w:sz w:val="20"/>
          <w:szCs w:val="20"/>
        </w:rPr>
        <w:t>.</w:t>
      </w:r>
      <w:r>
        <w:rPr>
          <w:sz w:val="20"/>
          <w:szCs w:val="20"/>
        </w:rPr>
        <w:t xml:space="preserve"> </w:t>
      </w:r>
    </w:p>
    <w:p w:rsidR="00000000" w:rsidRDefault="00477EE8">
      <w:pPr>
        <w:pStyle w:val="a3"/>
        <w:spacing w:before="360" w:beforeAutospacing="0" w:after="0" w:afterAutospacing="0"/>
        <w:jc w:val="center"/>
        <w:rPr>
          <w:sz w:val="20"/>
          <w:szCs w:val="20"/>
        </w:rPr>
      </w:pPr>
      <w:r>
        <w:rPr>
          <w:b/>
          <w:bCs/>
          <w:sz w:val="20"/>
          <w:szCs w:val="20"/>
        </w:rPr>
        <w:t>Regulatio</w:t>
      </w:r>
      <w:r>
        <w:rPr>
          <w:b/>
          <w:bCs/>
          <w:sz w:val="20"/>
          <w:szCs w:val="20"/>
        </w:rPr>
        <w:t>n</w:t>
      </w:r>
      <w:r>
        <w:rPr>
          <w:b/>
          <w:bCs/>
          <w:sz w:val="20"/>
          <w:szCs w:val="20"/>
        </w:rPr>
        <w:t xml:space="preserve"> </w:t>
      </w:r>
    </w:p>
    <w:p w:rsidR="00000000" w:rsidRDefault="00477EE8">
      <w:pPr>
        <w:pStyle w:val="a3"/>
        <w:spacing w:before="120" w:beforeAutospacing="0" w:after="0" w:afterAutospacing="0"/>
        <w:rPr>
          <w:sz w:val="20"/>
          <w:szCs w:val="20"/>
        </w:rPr>
      </w:pPr>
      <w:r>
        <w:rPr>
          <w:b/>
          <w:bCs/>
          <w:sz w:val="20"/>
          <w:szCs w:val="20"/>
        </w:rPr>
        <w:t>Federal Regulations Applicable to Our Laboratory Operation</w:t>
      </w:r>
      <w:r>
        <w:rPr>
          <w:b/>
          <w:bCs/>
          <w:sz w:val="20"/>
          <w:szCs w:val="20"/>
        </w:rPr>
        <w:t>s</w:t>
      </w:r>
    </w:p>
    <w:p w:rsidR="00000000" w:rsidRDefault="00477EE8">
      <w:pPr>
        <w:pStyle w:val="a3"/>
        <w:spacing w:before="120" w:beforeAutospacing="0" w:after="0" w:afterAutospacing="0"/>
        <w:ind w:firstLine="555"/>
        <w:rPr>
          <w:sz w:val="20"/>
          <w:szCs w:val="20"/>
        </w:rPr>
      </w:pPr>
      <w:r>
        <w:rPr>
          <w:sz w:val="20"/>
          <w:szCs w:val="20"/>
        </w:rPr>
        <w:t>As we operate clinical laboratories in the United States, we are required to hold certain federal licenses, certifications, and permits to conduct our business. The Clinical Laboratory Improvement Amendments of 1988, or CLIA, establishes quality standard</w:t>
      </w:r>
      <w:r>
        <w:rPr>
          <w:sz w:val="20"/>
          <w:szCs w:val="20"/>
        </w:rPr>
        <w:t>s for all laboratory testing to ensure the accuracy, reliability and timeliness of patient test results. Our laboratories located in California, Texas, Georgia, Massachusetts, Arizona, and New York are CLIA-certified and are accredited by the College of Am</w:t>
      </w:r>
      <w:r>
        <w:rPr>
          <w:sz w:val="20"/>
          <w:szCs w:val="20"/>
        </w:rPr>
        <w:t>erican Pathologists, or CAP, a Centers for Medicare &amp; Medicaid Service, or CMS, approved accrediting organization</w:t>
      </w:r>
      <w:r>
        <w:rPr>
          <w:sz w:val="20"/>
          <w:szCs w:val="20"/>
        </w:rPr>
        <w:t>.</w:t>
      </w:r>
      <w:r>
        <w:rPr>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CLIA requires that we hold certificates for each of our laboratories applicable to the categories of testing that each laboratory performs a</w:t>
      </w:r>
      <w:r>
        <w:rPr>
          <w:sz w:val="20"/>
          <w:szCs w:val="20"/>
        </w:rPr>
        <w:t>nd that we comply with various standards with respect to personnel qualifications, facility administration, proficiency testing, quality control and assurance, and inspections. Each of our laboratories must obtain a certificate from CMS, the agency that ov</w:t>
      </w:r>
      <w:r>
        <w:rPr>
          <w:sz w:val="20"/>
          <w:szCs w:val="20"/>
        </w:rPr>
        <w:t>ersees CLIA, and CLIA compliance and certification is a prerequisite to be eligible to bill government payors and many private payors for our tests</w:t>
      </w:r>
      <w:r>
        <w:rPr>
          <w:sz w:val="20"/>
          <w:szCs w:val="20"/>
        </w:rPr>
        <w:t>.</w:t>
      </w:r>
    </w:p>
    <w:p w:rsidR="00000000" w:rsidRDefault="00477EE8">
      <w:pPr>
        <w:pStyle w:val="a3"/>
        <w:spacing w:before="240" w:beforeAutospacing="0" w:after="0" w:afterAutospacing="0"/>
        <w:ind w:firstLine="555"/>
        <w:rPr>
          <w:sz w:val="20"/>
          <w:szCs w:val="20"/>
        </w:rPr>
      </w:pPr>
      <w:r>
        <w:rPr>
          <w:sz w:val="20"/>
          <w:szCs w:val="20"/>
        </w:rPr>
        <w:t>We are subject to survey and inspection every two years to assess compliance with CLIA’s program standards,</w:t>
      </w:r>
      <w:r>
        <w:rPr>
          <w:sz w:val="20"/>
          <w:szCs w:val="20"/>
        </w:rPr>
        <w:t xml:space="preserve"> and we may be subject to additional unannounced inspections. We have CLIA certifications for our laboratories located in Temple City and El Monte, California; Houston and Irving, Texas; Needham, Massachusetts; Phoenix Arizona; Alpharetta, Georgia; and New</w:t>
      </w:r>
      <w:r>
        <w:rPr>
          <w:sz w:val="20"/>
          <w:szCs w:val="20"/>
        </w:rPr>
        <w:t xml:space="preserve"> York, New York. Each CLIA certification is valid for two years from the date of issuance. If one or more of our laboratories are found to be out of compliance with CLIA requirements, we may be subject to sanctions such as suspension, limitation or revocat</w:t>
      </w:r>
      <w:r>
        <w:rPr>
          <w:sz w:val="20"/>
          <w:szCs w:val="20"/>
        </w:rPr>
        <w:t>ion of our CLIA certificate; a directed plan of correction; on-site monitoring; civil monetary penalties; civil injunctive suits; criminal penalties; exclusion from the Medicare and Medicaid programs; and significant adverse publicity</w:t>
      </w:r>
      <w:r>
        <w:rPr>
          <w:sz w:val="20"/>
          <w:szCs w:val="20"/>
        </w:rPr>
        <w:t>.</w:t>
      </w:r>
      <w:r>
        <w:rPr>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In addition, we ele</w:t>
      </w:r>
      <w:r>
        <w:rPr>
          <w:sz w:val="20"/>
          <w:szCs w:val="20"/>
        </w:rPr>
        <w:t>ct to participate in the accreditation program of CAP. CMS has deemed CAP standards to be equally or more stringent than CLIA regulations and has approved CAP as a recognized accrediting organization. An inspection by CAP is performed in lieu of inspection</w:t>
      </w:r>
      <w:r>
        <w:rPr>
          <w:sz w:val="20"/>
          <w:szCs w:val="20"/>
        </w:rPr>
        <w:t xml:space="preserve"> by CMS for CAP-accredited laboratories. Because we are accredited by the CAP Laboratory Accreditation Program, we are deemed to also comply with CLIA</w:t>
      </w:r>
      <w:r>
        <w:rPr>
          <w:sz w:val="20"/>
          <w:szCs w:val="20"/>
        </w:rPr>
        <w:t>.</w:t>
      </w:r>
      <w:r>
        <w:rPr>
          <w:sz w:val="20"/>
          <w:szCs w:val="20"/>
        </w:rPr>
        <w:t xml:space="preserve"> </w:t>
      </w:r>
    </w:p>
    <w:p w:rsidR="00000000" w:rsidRDefault="00477EE8">
      <w:pPr>
        <w:pStyle w:val="a3"/>
        <w:spacing w:before="240" w:beforeAutospacing="0" w:after="0" w:afterAutospacing="0"/>
        <w:rPr>
          <w:sz w:val="20"/>
          <w:szCs w:val="20"/>
        </w:rPr>
      </w:pPr>
      <w:r>
        <w:rPr>
          <w:b/>
          <w:bCs/>
          <w:sz w:val="20"/>
          <w:szCs w:val="20"/>
        </w:rPr>
        <w:t>State and Foreign Clinical Laboratory Licensur</w:t>
      </w:r>
      <w:r>
        <w:rPr>
          <w:b/>
          <w:bCs/>
          <w:sz w:val="20"/>
          <w:szCs w:val="20"/>
        </w:rPr>
        <w:t>e</w:t>
      </w:r>
      <w:r>
        <w:rPr>
          <w:b/>
          <w:bCs/>
          <w:sz w:val="20"/>
          <w:szCs w:val="20"/>
        </w:rPr>
        <w:t xml:space="preserve"> </w:t>
      </w:r>
    </w:p>
    <w:p w:rsidR="00000000" w:rsidRDefault="00477EE8">
      <w:pPr>
        <w:pStyle w:val="a3"/>
        <w:spacing w:before="120" w:beforeAutospacing="0" w:after="0" w:afterAutospacing="0"/>
        <w:ind w:firstLine="555"/>
        <w:rPr>
          <w:sz w:val="20"/>
          <w:szCs w:val="20"/>
        </w:rPr>
      </w:pPr>
      <w:r>
        <w:rPr>
          <w:sz w:val="20"/>
          <w:szCs w:val="20"/>
        </w:rPr>
        <w:t>Our clinical laboratories are required to maintain var</w:t>
      </w:r>
      <w:r>
        <w:rPr>
          <w:sz w:val="20"/>
          <w:szCs w:val="20"/>
        </w:rPr>
        <w:t>ious state licenses issued by the respective Department of Health, based on all applicable state laws and regulations. State laws establish standards for day-to-day operations of our laboratories, including requirements with respect to the training and ski</w:t>
      </w:r>
      <w:r>
        <w:rPr>
          <w:sz w:val="20"/>
          <w:szCs w:val="20"/>
        </w:rPr>
        <w:t>lls required of personnel, quality control, and proficiency testing requirements. If our clinical reference laboratories are out of compliance with the applicable state regulations, state agencies may suspend, restrict, or revoke our license to operate our</w:t>
      </w:r>
      <w:r>
        <w:rPr>
          <w:sz w:val="20"/>
          <w:szCs w:val="20"/>
        </w:rPr>
        <w:t xml:space="preserve"> clinical laboratories, assess substantial civil money penalties or impose specific corrective action plans. Any such actions could materially affect our business. Currently, we maintain good standing with all state authorities</w:t>
      </w:r>
      <w:r>
        <w:rPr>
          <w:sz w:val="20"/>
          <w:szCs w:val="20"/>
        </w:rPr>
        <w:t>.</w:t>
      </w:r>
    </w:p>
    <w:p w:rsidR="00000000" w:rsidRDefault="00477EE8">
      <w:pPr>
        <w:pStyle w:val="a3"/>
        <w:spacing w:before="240" w:beforeAutospacing="0" w:after="0" w:afterAutospacing="0"/>
        <w:ind w:firstLine="555"/>
        <w:rPr>
          <w:sz w:val="20"/>
          <w:szCs w:val="20"/>
        </w:rPr>
      </w:pPr>
      <w:r>
        <w:rPr>
          <w:sz w:val="20"/>
          <w:szCs w:val="20"/>
        </w:rPr>
        <w:t>Additionally, several state</w:t>
      </w:r>
      <w:r>
        <w:rPr>
          <w:sz w:val="20"/>
          <w:szCs w:val="20"/>
        </w:rPr>
        <w:t>s require licensure for the out-of-state laboratories that accept specimens originate from those states. For example, our Texas laboratories hold the out-of-state licenses from California, New York, Maryland, Pennsylvania, and Rhode Island to perform testi</w:t>
      </w:r>
      <w:r>
        <w:rPr>
          <w:sz w:val="20"/>
          <w:szCs w:val="20"/>
        </w:rPr>
        <w:t>ng on specimens from these states; and our Temple City, California laboratory holds the required out-of-stat</w:t>
      </w:r>
      <w:r>
        <w:rPr>
          <w:sz w:val="20"/>
          <w:szCs w:val="20"/>
        </w:rPr>
        <w:t>e</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5</w:t>
      </w:r>
    </w:p>
    <w:p w:rsidR="00000000" w:rsidRDefault="00477EE8">
      <w:pPr>
        <w:rPr>
          <w:rFonts w:eastAsia="Times New Roman"/>
        </w:rPr>
      </w:pPr>
      <w:r>
        <w:rPr>
          <w:rFonts w:eastAsia="Times New Roman"/>
        </w:rPr>
        <w:pict>
          <v:rect id="_x0000_i1044" style="width:0;height:1.5pt" o:hralign="center" o:hrstd="t" o:hr="t" fillcolor="#a0a0a0" stroked="f"/>
        </w:pict>
      </w:r>
    </w:p>
    <w:p w:rsidR="00000000" w:rsidRDefault="00477EE8">
      <w:pPr>
        <w:pStyle w:val="a3"/>
        <w:spacing w:before="240" w:beforeAutospacing="0" w:after="0" w:afterAutospacing="0"/>
        <w:rPr>
          <w:sz w:val="20"/>
          <w:szCs w:val="20"/>
        </w:rPr>
      </w:pPr>
      <w:r>
        <w:rPr>
          <w:sz w:val="20"/>
          <w:szCs w:val="20"/>
        </w:rPr>
        <w:t>laboratory licenses from New York, Maryland, Pennsylvania, and Rhode Island in order to perform testing on</w:t>
      </w:r>
      <w:r>
        <w:rPr>
          <w:sz w:val="20"/>
          <w:szCs w:val="20"/>
        </w:rPr>
        <w:t xml:space="preserve"> specimens from these states. For laboratories holding licenses from New York, the laboratory director of those laboratories must also maintain a Certificate of Qualification issued by New York’s Department of Health, Clinical Laboratory Evaluation Program</w:t>
      </w:r>
      <w:r>
        <w:rPr>
          <w:sz w:val="20"/>
          <w:szCs w:val="20"/>
        </w:rPr>
        <w:t>, or CLEP, in the permitted categories. The New York state laboratory laws and regulations impose stringent requirements for personnel qualifications, specimen retention, and consent for testing. Among other things, CLEP also requires approval on a test-sp</w:t>
      </w:r>
      <w:r>
        <w:rPr>
          <w:sz w:val="20"/>
          <w:szCs w:val="20"/>
        </w:rPr>
        <w:t>ecific basis before testing can be performed on specimens from New York</w:t>
      </w:r>
      <w:r>
        <w:rPr>
          <w:sz w:val="20"/>
          <w:szCs w:val="20"/>
        </w:rPr>
        <w:t>.</w:t>
      </w:r>
    </w:p>
    <w:p w:rsidR="00000000" w:rsidRDefault="00477EE8">
      <w:pPr>
        <w:pStyle w:val="a3"/>
        <w:spacing w:before="240" w:beforeAutospacing="0" w:after="0" w:afterAutospacing="0"/>
        <w:ind w:firstLine="555"/>
        <w:rPr>
          <w:sz w:val="20"/>
          <w:szCs w:val="20"/>
        </w:rPr>
      </w:pPr>
      <w:r>
        <w:rPr>
          <w:sz w:val="20"/>
          <w:szCs w:val="20"/>
        </w:rPr>
        <w:t>Other states may adopt similar licensure requirements in the future, which could require us to modify, delay, or discontinue our operations in such jurisdictions. If we identify any o</w:t>
      </w:r>
      <w:r>
        <w:rPr>
          <w:sz w:val="20"/>
          <w:szCs w:val="20"/>
        </w:rPr>
        <w:t>ther state with such requirements, or if we are contacted by any other state advising us of such requirements, we intend to follow instructions from the state regulators as to how to comply with such requirements</w:t>
      </w:r>
      <w:r>
        <w:rPr>
          <w:sz w:val="20"/>
          <w:szCs w:val="20"/>
        </w:rPr>
        <w:t>.</w:t>
      </w:r>
      <w:r>
        <w:rPr>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We are also subject to regulation in fore</w:t>
      </w:r>
      <w:r>
        <w:rPr>
          <w:sz w:val="20"/>
          <w:szCs w:val="20"/>
        </w:rPr>
        <w:t>ign jurisdictions, which we expect will increase as we seek to expand international utilization of our tests, or if jurisdictions in which we pursue operations adopt new or modified licensure requirements. Foreign licensure requirements could require revie</w:t>
      </w:r>
      <w:r>
        <w:rPr>
          <w:sz w:val="20"/>
          <w:szCs w:val="20"/>
        </w:rPr>
        <w:t>w and modification of our tests in order to offer them in certain jurisdictions or could impose other limitations, such as restrictions on the transport of human blood or other tissue necessary for us to perform our tests that may limit our ability to make</w:t>
      </w:r>
      <w:r>
        <w:rPr>
          <w:sz w:val="20"/>
          <w:szCs w:val="20"/>
        </w:rPr>
        <w:t xml:space="preserve"> our tests available outside of the United States on a broad scale</w:t>
      </w:r>
      <w:r>
        <w:rPr>
          <w:sz w:val="20"/>
          <w:szCs w:val="20"/>
        </w:rPr>
        <w:t>.</w:t>
      </w:r>
    </w:p>
    <w:p w:rsidR="00000000" w:rsidRDefault="00477EE8">
      <w:pPr>
        <w:pStyle w:val="a3"/>
        <w:spacing w:before="360" w:beforeAutospacing="0" w:after="0" w:afterAutospacing="0"/>
        <w:rPr>
          <w:sz w:val="20"/>
          <w:szCs w:val="20"/>
        </w:rPr>
      </w:pPr>
      <w:r>
        <w:rPr>
          <w:b/>
          <w:bCs/>
          <w:sz w:val="20"/>
          <w:szCs w:val="20"/>
        </w:rPr>
        <w:t>FDA Oversight of Our Tests and Testing Service</w:t>
      </w:r>
      <w:r>
        <w:rPr>
          <w:b/>
          <w:bCs/>
          <w:sz w:val="20"/>
          <w:szCs w:val="20"/>
        </w:rPr>
        <w:t>s</w:t>
      </w:r>
    </w:p>
    <w:p w:rsidR="00000000" w:rsidRDefault="00477EE8">
      <w:pPr>
        <w:pStyle w:val="a3"/>
        <w:spacing w:before="120" w:beforeAutospacing="0" w:after="0" w:afterAutospacing="0"/>
        <w:ind w:firstLine="555"/>
        <w:rPr>
          <w:sz w:val="20"/>
          <w:szCs w:val="20"/>
        </w:rPr>
      </w:pPr>
      <w:r>
        <w:rPr>
          <w:sz w:val="20"/>
          <w:szCs w:val="20"/>
        </w:rPr>
        <w:t xml:space="preserve">The tests and testing services that we offer may be considered medical devices. Pursuant to its authority under the Federal Food, Drug, and </w:t>
      </w:r>
      <w:r>
        <w:rPr>
          <w:sz w:val="20"/>
          <w:szCs w:val="20"/>
        </w:rPr>
        <w:t>Cosmetic Act, or FDC Act, the FDA has jurisdiction over medical devices, which are defined to include, among other things, in vitro diagnostic products, or IVDs, used for clinical purposes. The laws and regulations governing the marketing of IVDs are evolv</w:t>
      </w:r>
      <w:r>
        <w:rPr>
          <w:sz w:val="20"/>
          <w:szCs w:val="20"/>
        </w:rPr>
        <w:t>ing, are extremely complex, and in many instances, there are no significant regulatory or judicial interpretations of these laws and regulations. The FDA regulates, among other things, the research, testing, manufacturing, safety, labeling, storage, record</w:t>
      </w:r>
      <w:r>
        <w:rPr>
          <w:sz w:val="20"/>
          <w:szCs w:val="20"/>
        </w:rPr>
        <w:t xml:space="preserve">keeping, premarket clearance or approval, marketing and promotion, and sales and distribution of medical devices in the United States to ensure that medical products distributed domestically are safe and effective for their intended uses. In addition, the </w:t>
      </w:r>
      <w:r>
        <w:rPr>
          <w:sz w:val="20"/>
          <w:szCs w:val="20"/>
        </w:rPr>
        <w:t>FDA regulates the import and export of medical devices</w:t>
      </w:r>
      <w:r>
        <w:rPr>
          <w:sz w:val="20"/>
          <w:szCs w:val="20"/>
        </w:rPr>
        <w:t>.</w:t>
      </w:r>
      <w:r>
        <w:rPr>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We believe our tests fall within the definition of laboratory developed tests, or LDT. LDTs, which are a subset of IVDs that are intended for clinical use and designed, manufactured and used within a</w:t>
      </w:r>
      <w:r>
        <w:rPr>
          <w:sz w:val="20"/>
          <w:szCs w:val="20"/>
        </w:rPr>
        <w:t xml:space="preserve"> single laboratory. Although the FDA has statutory authority to assure that medical devices, including IVDs, are safe and effective for their intended uses, the FDA has historically exercised its enforcement discretion and not enforced applicable provision</w:t>
      </w:r>
      <w:r>
        <w:rPr>
          <w:sz w:val="20"/>
          <w:szCs w:val="20"/>
        </w:rPr>
        <w:t>s of the FDC Act and regulations with respect to LDTs. As a result, we believe our diagnostic tests are not currently subject to the FDA’s enforcement of its medical device regulations and the applicable FDC Act provisions</w:t>
      </w:r>
      <w:r>
        <w:rPr>
          <w:sz w:val="20"/>
          <w:szCs w:val="20"/>
        </w:rPr>
        <w:t>.</w:t>
      </w:r>
      <w:r>
        <w:rPr>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Even though we commercialize ou</w:t>
      </w:r>
      <w:r>
        <w:rPr>
          <w:sz w:val="20"/>
          <w:szCs w:val="20"/>
        </w:rPr>
        <w:t>r tests as LDTs, our tests may in the future become subject to more onerous regulation by the FDA. If and when the FDA begins to actively enforce its premarket submission regulations with respect to LDTs generally or to any of our tests in particular, whet</w:t>
      </w:r>
      <w:r>
        <w:rPr>
          <w:sz w:val="20"/>
          <w:szCs w:val="20"/>
        </w:rPr>
        <w:t>her as a result of new legislative authority or following formal notice-and-comment rulemaking, we may be required to obtain premarket clearance for our tests under Section 510(k) of the FDC Act or approval of a pre-market approval application, or PMA. The</w:t>
      </w:r>
      <w:r>
        <w:rPr>
          <w:sz w:val="20"/>
          <w:szCs w:val="20"/>
        </w:rPr>
        <w:t xml:space="preserve"> process for submitting a 510(k) premarket notification and receiving FDA clearance usually takes from three to 12 months, but it can take significantly longer, and clearance is never guaranteed. The process for submitting and obtaining FDA approval of a P</w:t>
      </w:r>
      <w:r>
        <w:rPr>
          <w:sz w:val="20"/>
          <w:szCs w:val="20"/>
        </w:rPr>
        <w:t>MA generally takes from one to three years or even longer, and approval is not guaranteed. PMA approval typically requires extensive clinical data and can be significantly longer, more expensive and more uncertain than the 510(k) clearance process. If prem</w:t>
      </w:r>
      <w:r>
        <w:rPr>
          <w:sz w:val="20"/>
          <w:szCs w:val="20"/>
        </w:rPr>
        <w:t xml:space="preserve">arket review is required for some or all of our tests, the FDA could require that we stop selling our tests and testing services pending clearance or approval and conduct clinical testing prior to making submissions to FDA to obtain premarket clearance or </w:t>
      </w:r>
      <w:r>
        <w:rPr>
          <w:sz w:val="20"/>
          <w:szCs w:val="20"/>
        </w:rPr>
        <w:t>approval. The FDA could also require that we label our tests as investigational or limit the labeling claims we are permitted to make</w:t>
      </w:r>
      <w:r>
        <w:rPr>
          <w:sz w:val="20"/>
          <w:szCs w:val="20"/>
        </w:rPr>
        <w:t>.</w:t>
      </w:r>
      <w:r>
        <w:rPr>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The FDA enforces its medical device requirements by various means, including inspection and market surveillance. If the FDA finds a violation, it can institute a wide variety of enforcement actions, ranging from an Untitled Letter or Warning Letter to more</w:t>
      </w:r>
      <w:r>
        <w:rPr>
          <w:sz w:val="20"/>
          <w:szCs w:val="20"/>
        </w:rPr>
        <w:t xml:space="preserve"> severe sanctions, such as: fines, injunctions and civil penalties; recall or seizure of products; operating restrictions, partial suspension or total shutdown of production; and criminal prosecution. Failure to comply with any applicable FDA requirements </w:t>
      </w:r>
      <w:r>
        <w:rPr>
          <w:sz w:val="20"/>
          <w:szCs w:val="20"/>
        </w:rPr>
        <w:t>could trigger a range of enforcement actions by the FDA, including warning letters, civil monetary penalties, fines, injunctions, criminal prosecution, consent decrees, repairs, replacements, refunds, recalls or seizures of products, operating restrictions</w:t>
      </w:r>
      <w:r>
        <w:rPr>
          <w:sz w:val="20"/>
          <w:szCs w:val="20"/>
        </w:rPr>
        <w:t>, partial suspension or total shutdown of operations and denial of or challenges to applications for clearance or approval, as well as significant adverse publicity</w:t>
      </w:r>
      <w:r>
        <w:rPr>
          <w:sz w:val="20"/>
          <w:szCs w:val="20"/>
        </w:rPr>
        <w:t>.</w:t>
      </w:r>
    </w:p>
    <w:p w:rsidR="00000000" w:rsidRDefault="00477EE8">
      <w:pPr>
        <w:pStyle w:val="a3"/>
        <w:spacing w:before="240" w:beforeAutospacing="0" w:after="0" w:afterAutospacing="0"/>
        <w:jc w:val="center"/>
        <w:rPr>
          <w:sz w:val="20"/>
          <w:szCs w:val="20"/>
        </w:rPr>
      </w:pPr>
      <w:r>
        <w:rPr>
          <w:sz w:val="20"/>
          <w:szCs w:val="20"/>
        </w:rPr>
        <w:t>6</w:t>
      </w:r>
    </w:p>
    <w:p w:rsidR="00000000" w:rsidRDefault="00477EE8">
      <w:pPr>
        <w:rPr>
          <w:rFonts w:eastAsia="Times New Roman"/>
        </w:rPr>
      </w:pPr>
      <w:r>
        <w:rPr>
          <w:rFonts w:eastAsia="Times New Roman"/>
        </w:rPr>
        <w:pict>
          <v:rect id="_x0000_i1045" style="width:0;height:1.5pt" o:hralign="center" o:hrstd="t" o:hr="t" fillcolor="#a0a0a0" stroked="f"/>
        </w:pict>
      </w:r>
    </w:p>
    <w:p w:rsidR="00000000" w:rsidRDefault="00477EE8">
      <w:pPr>
        <w:pStyle w:val="a3"/>
        <w:spacing w:before="360" w:beforeAutospacing="0" w:after="0" w:afterAutospacing="0"/>
        <w:rPr>
          <w:sz w:val="20"/>
          <w:szCs w:val="20"/>
        </w:rPr>
      </w:pPr>
      <w:r>
        <w:rPr>
          <w:b/>
          <w:bCs/>
          <w:sz w:val="20"/>
          <w:szCs w:val="20"/>
        </w:rPr>
        <w:t>Regulations Regarding Advertising of Laboratory Serv</w:t>
      </w:r>
      <w:r>
        <w:rPr>
          <w:b/>
          <w:bCs/>
          <w:sz w:val="20"/>
          <w:szCs w:val="20"/>
        </w:rPr>
        <w:t>ices or LDT</w:t>
      </w:r>
      <w:r>
        <w:rPr>
          <w:b/>
          <w:bCs/>
          <w:sz w:val="20"/>
          <w:szCs w:val="20"/>
        </w:rPr>
        <w:t>s</w:t>
      </w:r>
    </w:p>
    <w:p w:rsidR="00000000" w:rsidRDefault="00477EE8">
      <w:pPr>
        <w:pStyle w:val="a3"/>
        <w:spacing w:before="120" w:beforeAutospacing="0" w:after="0" w:afterAutospacing="0"/>
        <w:ind w:firstLine="555"/>
        <w:rPr>
          <w:sz w:val="20"/>
          <w:szCs w:val="20"/>
        </w:rPr>
      </w:pPr>
      <w:r>
        <w:rPr>
          <w:sz w:val="20"/>
          <w:szCs w:val="20"/>
        </w:rPr>
        <w:t>Our advertising for laboratory services and tests is subject to federal truth-in-advertising laws enforced by the Federal Trade Commission, or FTC, as well as comparable state consumer protection laws. Under the Federal Trade Commission Act, o</w:t>
      </w:r>
      <w:r>
        <w:rPr>
          <w:sz w:val="20"/>
          <w:szCs w:val="20"/>
        </w:rPr>
        <w:t>r the FTC Act, the FTC is empowered, among other things, to (a) prevent unfair methods of competition and unfair or deceptive acts or practices in or affecting commerce; (b) seek monetary redress and other relief for conduct injurious to consumers; and (c)</w:t>
      </w:r>
      <w:r>
        <w:rPr>
          <w:sz w:val="20"/>
          <w:szCs w:val="20"/>
        </w:rPr>
        <w:t xml:space="preserve"> gather and compile information and conduct investigations relating to the organization, business, practices, and management of entities engaged in commerce. The FTC has very broad enforcement authority, and failure to abide by the substantive requirements</w:t>
      </w:r>
      <w:r>
        <w:rPr>
          <w:sz w:val="20"/>
          <w:szCs w:val="20"/>
        </w:rPr>
        <w:t xml:space="preserve"> of the FTC Act and other consumer protection laws can result in administrative or judicial penalties, including civil penalties, injunctions affecting the manner in which we would be able to market services or products in the future, or criminal prosecuti</w:t>
      </w:r>
      <w:r>
        <w:rPr>
          <w:sz w:val="20"/>
          <w:szCs w:val="20"/>
        </w:rPr>
        <w:t>on</w:t>
      </w:r>
      <w:r>
        <w:rPr>
          <w:sz w:val="20"/>
          <w:szCs w:val="20"/>
        </w:rPr>
        <w:t>.</w:t>
      </w:r>
    </w:p>
    <w:p w:rsidR="00000000" w:rsidRDefault="00477EE8">
      <w:pPr>
        <w:pStyle w:val="a3"/>
        <w:spacing w:before="240" w:beforeAutospacing="0" w:after="0" w:afterAutospacing="0"/>
        <w:rPr>
          <w:sz w:val="20"/>
          <w:szCs w:val="20"/>
        </w:rPr>
      </w:pPr>
      <w:r>
        <w:rPr>
          <w:b/>
          <w:bCs/>
          <w:sz w:val="20"/>
          <w:szCs w:val="20"/>
        </w:rPr>
        <w:t>Rules and Regulations Relating to Payor Reimbursement for our Tests and Testing Service</w:t>
      </w:r>
      <w:r>
        <w:rPr>
          <w:b/>
          <w:bCs/>
          <w:sz w:val="20"/>
          <w:szCs w:val="20"/>
        </w:rPr>
        <w:t>s</w:t>
      </w:r>
    </w:p>
    <w:p w:rsidR="00000000" w:rsidRDefault="00477EE8">
      <w:pPr>
        <w:pStyle w:val="a3"/>
        <w:spacing w:before="120" w:beforeAutospacing="0" w:after="0" w:afterAutospacing="0"/>
        <w:ind w:left="238"/>
        <w:rPr>
          <w:sz w:val="20"/>
          <w:szCs w:val="20"/>
        </w:rPr>
      </w:pPr>
      <w:r>
        <w:rPr>
          <w:b/>
          <w:bCs/>
          <w:i/>
          <w:iCs/>
          <w:sz w:val="20"/>
          <w:szCs w:val="20"/>
        </w:rPr>
        <w:t>CPT Code</w:t>
      </w:r>
      <w:r>
        <w:rPr>
          <w:b/>
          <w:bCs/>
          <w:i/>
          <w:iCs/>
          <w:sz w:val="20"/>
          <w:szCs w:val="20"/>
        </w:rPr>
        <w:t>s</w:t>
      </w:r>
      <w:r>
        <w:rPr>
          <w:b/>
          <w:bCs/>
          <w:i/>
          <w:iCs/>
          <w:sz w:val="20"/>
          <w:szCs w:val="20"/>
        </w:rPr>
        <w:t xml:space="preserve"> </w:t>
      </w:r>
    </w:p>
    <w:p w:rsidR="00000000" w:rsidRDefault="00477EE8">
      <w:pPr>
        <w:pStyle w:val="a3"/>
        <w:spacing w:before="120" w:beforeAutospacing="0" w:after="0" w:afterAutospacing="0"/>
        <w:ind w:firstLine="555"/>
        <w:rPr>
          <w:sz w:val="20"/>
          <w:szCs w:val="20"/>
        </w:rPr>
      </w:pPr>
      <w:r>
        <w:rPr>
          <w:sz w:val="20"/>
          <w:szCs w:val="20"/>
        </w:rPr>
        <w:t>We bill third-party payors, both commercial and government, for our tests and testing services using Current Procedural Terminology, or CPT, codes, whic</w:t>
      </w:r>
      <w:r>
        <w:rPr>
          <w:sz w:val="20"/>
          <w:szCs w:val="20"/>
        </w:rPr>
        <w:t>h are published by the American Medical Association, or AMA. CPT codes in their current form are not readily applied to many of the genetic tests we conduct. For example, for many of our multi-gene panels, there may not be an appropriate CPT code for one o</w:t>
      </w:r>
      <w:r>
        <w:rPr>
          <w:sz w:val="20"/>
          <w:szCs w:val="20"/>
        </w:rPr>
        <w:t>r more of the genes in a panel, in which case our test may be billed under a miscellaneous code for an unlisted molecular pathology procedure. Many third-party payors do not have a set reimbursement rate for this miscellaneous code. Prior to performing a t</w:t>
      </w:r>
      <w:r>
        <w:rPr>
          <w:sz w:val="20"/>
          <w:szCs w:val="20"/>
        </w:rPr>
        <w:t xml:space="preserve">est, we may negotiate the reimbursement rate with the payor if the benefits investigation has determined the test to be medically necessary, and the payor has issued prior authorization. When the test results are delivered, after we file the claim, we may </w:t>
      </w:r>
      <w:r>
        <w:rPr>
          <w:sz w:val="20"/>
          <w:szCs w:val="20"/>
        </w:rPr>
        <w:t>also need to resubmit documentation or appeal a denial, which can cause delay in the reimbursement of the claim or our inability to get reimbursed</w:t>
      </w:r>
      <w:r>
        <w:rPr>
          <w:sz w:val="20"/>
          <w:szCs w:val="20"/>
        </w:rPr>
        <w:t>.</w:t>
      </w:r>
    </w:p>
    <w:p w:rsidR="00000000" w:rsidRDefault="00477EE8">
      <w:pPr>
        <w:pStyle w:val="a3"/>
        <w:spacing w:before="240" w:beforeAutospacing="0" w:after="0" w:afterAutospacing="0"/>
        <w:ind w:left="238"/>
        <w:rPr>
          <w:sz w:val="20"/>
          <w:szCs w:val="20"/>
        </w:rPr>
      </w:pPr>
      <w:r>
        <w:rPr>
          <w:b/>
          <w:bCs/>
          <w:i/>
          <w:iCs/>
          <w:sz w:val="20"/>
          <w:szCs w:val="20"/>
        </w:rPr>
        <w:t>PAM</w:t>
      </w:r>
      <w:r>
        <w:rPr>
          <w:b/>
          <w:bCs/>
          <w:i/>
          <w:iCs/>
          <w:sz w:val="20"/>
          <w:szCs w:val="20"/>
        </w:rPr>
        <w:t>A</w:t>
      </w:r>
      <w:r>
        <w:rPr>
          <w:b/>
          <w:bCs/>
          <w:i/>
          <w:iCs/>
          <w:sz w:val="20"/>
          <w:szCs w:val="20"/>
        </w:rPr>
        <w:t xml:space="preserve"> </w:t>
      </w:r>
    </w:p>
    <w:p w:rsidR="00000000" w:rsidRDefault="00477EE8">
      <w:pPr>
        <w:pStyle w:val="a3"/>
        <w:spacing w:before="120" w:beforeAutospacing="0" w:after="0" w:afterAutospacing="0"/>
        <w:ind w:firstLine="555"/>
        <w:rPr>
          <w:sz w:val="20"/>
          <w:szCs w:val="20"/>
        </w:rPr>
      </w:pPr>
      <w:r>
        <w:rPr>
          <w:sz w:val="20"/>
          <w:szCs w:val="20"/>
        </w:rPr>
        <w:t xml:space="preserve">In April 2014, Congress passed the Protecting Access to Medicare Act of 2014, or PAMA, which included </w:t>
      </w:r>
      <w:r>
        <w:rPr>
          <w:sz w:val="20"/>
          <w:szCs w:val="20"/>
        </w:rPr>
        <w:t>substantial changes to the way in which clinical laboratory services are priced and paid under Medicare’s CLFS. On June 23, 2016, CMS published the final rule implementing the reporting and rate-setting requirements. Under PAMA, laboratories that receive t</w:t>
      </w:r>
      <w:r>
        <w:rPr>
          <w:sz w:val="20"/>
          <w:szCs w:val="20"/>
        </w:rPr>
        <w:t>he majority of their Medicare revenue from payments made under the CLFS or the Physician Fee Schedule are required to report private payor payment rates and volumes for clinical diagnostic laboratory tests, or CDLTs, to CMS every three years (or annually f</w:t>
      </w:r>
      <w:r>
        <w:rPr>
          <w:sz w:val="20"/>
          <w:szCs w:val="20"/>
        </w:rPr>
        <w:t>or advanced diagnostic laboratory test, or ADLT). We do not believe that any of our tests meet the current definition of ADLT. We, therefore, must report private payor rates for our tests every three years. Laboratories that fail to report the required pay</w:t>
      </w:r>
      <w:r>
        <w:rPr>
          <w:sz w:val="20"/>
          <w:szCs w:val="20"/>
        </w:rPr>
        <w:t>ment information may be subject to substantial civil monetary penalties</w:t>
      </w:r>
      <w:r>
        <w:rPr>
          <w:sz w:val="20"/>
          <w:szCs w:val="20"/>
        </w:rPr>
        <w:t>.</w:t>
      </w:r>
    </w:p>
    <w:p w:rsidR="00000000" w:rsidRDefault="00477EE8">
      <w:pPr>
        <w:pStyle w:val="a3"/>
        <w:spacing w:before="240" w:beforeAutospacing="0" w:after="0" w:afterAutospacing="0"/>
        <w:ind w:firstLine="555"/>
        <w:rPr>
          <w:sz w:val="20"/>
          <w:szCs w:val="20"/>
        </w:rPr>
      </w:pPr>
      <w:r>
        <w:rPr>
          <w:sz w:val="20"/>
          <w:szCs w:val="20"/>
        </w:rPr>
        <w:t>As required under PAMA, CMS uses the data reported by laboratories to develop Medicare payment rates for laboratory tests equal to the volume-weighted median of the private payor paym</w:t>
      </w:r>
      <w:r>
        <w:rPr>
          <w:sz w:val="20"/>
          <w:szCs w:val="20"/>
        </w:rPr>
        <w:t>ent rates. For tests furnished on or after January 1, 2010, Medicare payments for CDLTs are based upon reported private payor rates. For a CDLT that is assigned a new or substantially revised CPT code, the initial payment rate is assigned using the gap-fil</w:t>
      </w:r>
      <w:r>
        <w:rPr>
          <w:sz w:val="20"/>
          <w:szCs w:val="20"/>
        </w:rPr>
        <w:t>l methodology, as under prior law</w:t>
      </w:r>
      <w:r>
        <w:rPr>
          <w:sz w:val="20"/>
          <w:szCs w:val="20"/>
        </w:rPr>
        <w:t>.</w:t>
      </w:r>
      <w:r>
        <w:rPr>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On December 20, 2019, President Trump signed the Further Consolidated Appropriations Act, which included the Laboratory Access for Beneficiaries Act, or LAB Act. The LAB Act delayed by one year the reporting of payment d</w:t>
      </w:r>
      <w:r>
        <w:rPr>
          <w:sz w:val="20"/>
          <w:szCs w:val="20"/>
        </w:rPr>
        <w:t>ata under PAMA for CDLTs that are not ADLTs until the first quarter of 2021. The Coronavirus Aid, Relief, and Economic Security Act, or the CARES Act, which was signed into law on March 27, 2020, delayed the reporting period by an additional year, until th</w:t>
      </w:r>
      <w:r>
        <w:rPr>
          <w:sz w:val="20"/>
          <w:szCs w:val="20"/>
        </w:rPr>
        <w:t>e first quarter of 2022. Then, on December 10, 2021, Congress passed the Protecting Medicare and American Farmers from Sequester Cuts Act, which included a provision that further delayed the next PAMA reporting period for CDLTs that are not ADLTs to Januar</w:t>
      </w:r>
      <w:r>
        <w:rPr>
          <w:sz w:val="20"/>
          <w:szCs w:val="20"/>
        </w:rPr>
        <w:t>y 1, 2023 through March 31, 2023. The Consolidated Appropriations Act, 2023, enacted on December 29, 2022, delayed the next PAMA reporting period to January 1, 2024 through March 31, 2024. New CLFS rates for CDLTs will be established based on that data beg</w:t>
      </w:r>
      <w:r>
        <w:rPr>
          <w:sz w:val="20"/>
          <w:szCs w:val="20"/>
        </w:rPr>
        <w:t>inning in 2025, subject to phase-in limits. As a result, Medicare payment rates determined by data reported in 2017 will continue through December 31, 2026</w:t>
      </w:r>
      <w:r>
        <w:rPr>
          <w:sz w:val="20"/>
          <w:szCs w:val="20"/>
        </w:rPr>
        <w:t>.</w:t>
      </w:r>
    </w:p>
    <w:p w:rsidR="00000000" w:rsidRDefault="00477EE8">
      <w:pPr>
        <w:pStyle w:val="a3"/>
        <w:spacing w:before="240" w:beforeAutospacing="0" w:after="0" w:afterAutospacing="0"/>
        <w:ind w:firstLine="555"/>
        <w:rPr>
          <w:sz w:val="20"/>
          <w:szCs w:val="20"/>
        </w:rPr>
      </w:pPr>
      <w:r>
        <w:rPr>
          <w:sz w:val="20"/>
          <w:szCs w:val="20"/>
        </w:rPr>
        <w:t>In addition, under PAMA, as amended, the payment reduction cap will be 15% per test per year in eac</w:t>
      </w:r>
      <w:r>
        <w:rPr>
          <w:sz w:val="20"/>
          <w:szCs w:val="20"/>
        </w:rPr>
        <w:t>h of the years 2024 through 2026</w:t>
      </w:r>
      <w:r>
        <w:rPr>
          <w:sz w:val="20"/>
          <w:szCs w:val="20"/>
        </w:rPr>
        <w:t>.</w:t>
      </w:r>
      <w:r>
        <w:rPr>
          <w:sz w:val="20"/>
          <w:szCs w:val="20"/>
        </w:rPr>
        <w:t xml:space="preserve"> </w:t>
      </w:r>
    </w:p>
    <w:p w:rsidR="00000000" w:rsidRDefault="00477EE8">
      <w:pPr>
        <w:pStyle w:val="a3"/>
        <w:spacing w:before="360" w:beforeAutospacing="0" w:after="0" w:afterAutospacing="0"/>
        <w:rPr>
          <w:sz w:val="20"/>
          <w:szCs w:val="20"/>
        </w:rPr>
      </w:pPr>
      <w:r>
        <w:rPr>
          <w:b/>
          <w:bCs/>
          <w:sz w:val="20"/>
          <w:szCs w:val="20"/>
          <w:u w:val="single"/>
        </w:rPr>
        <w:t>Rules and Regulations Applicable to Our Research and Development Activitie</w:t>
      </w:r>
      <w:r>
        <w:rPr>
          <w:b/>
          <w:bCs/>
          <w:sz w:val="20"/>
          <w:szCs w:val="20"/>
          <w:u w:val="single"/>
        </w:rPr>
        <w:t>s</w:t>
      </w:r>
    </w:p>
    <w:p w:rsidR="00000000" w:rsidRDefault="00477EE8">
      <w:pPr>
        <w:pStyle w:val="a3"/>
        <w:spacing w:before="120" w:beforeAutospacing="0" w:after="0" w:afterAutospacing="0"/>
        <w:ind w:firstLine="555"/>
        <w:rPr>
          <w:sz w:val="20"/>
          <w:szCs w:val="20"/>
        </w:rPr>
      </w:pPr>
      <w:r>
        <w:rPr>
          <w:sz w:val="20"/>
          <w:szCs w:val="20"/>
        </w:rPr>
        <w:t>We engage in research and development activities, including research and development activities through our wholly owned subsidiary, Fulgent Phar</w:t>
      </w:r>
      <w:r>
        <w:rPr>
          <w:sz w:val="20"/>
          <w:szCs w:val="20"/>
        </w:rPr>
        <w:t>ma. Development of therapeutic products is subject to extensive regulation by the FDA and other regulatory agencies. Therapeutic products require government authorization before they may be clinically tested and commercially marketed fo</w:t>
      </w:r>
      <w:r>
        <w:rPr>
          <w:sz w:val="20"/>
          <w:szCs w:val="20"/>
        </w:rPr>
        <w:t>r</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7</w:t>
      </w:r>
    </w:p>
    <w:p w:rsidR="00000000" w:rsidRDefault="00477EE8">
      <w:pPr>
        <w:rPr>
          <w:rFonts w:eastAsia="Times New Roman"/>
        </w:rPr>
      </w:pPr>
      <w:r>
        <w:rPr>
          <w:rFonts w:eastAsia="Times New Roman"/>
        </w:rPr>
        <w:pict>
          <v:rect id="_x0000_i1046" style="width:0;height:1.5pt" o:hralign="center" o:hrstd="t" o:hr="t" fillcolor="#a0a0a0" stroked="f"/>
        </w:pict>
      </w:r>
    </w:p>
    <w:p w:rsidR="00000000" w:rsidRDefault="00477EE8">
      <w:pPr>
        <w:pStyle w:val="a3"/>
        <w:spacing w:before="120" w:beforeAutospacing="0" w:after="0" w:afterAutospacing="0"/>
        <w:rPr>
          <w:sz w:val="20"/>
          <w:szCs w:val="20"/>
        </w:rPr>
      </w:pPr>
      <w:r>
        <w:rPr>
          <w:sz w:val="20"/>
          <w:szCs w:val="20"/>
        </w:rPr>
        <w:t>human therapeutic use in the United States and other countries. The precise regulatory requirements with which we will have to comply are undergoing periodic revisions and refinement</w:t>
      </w:r>
      <w:r>
        <w:rPr>
          <w:sz w:val="20"/>
          <w:szCs w:val="20"/>
        </w:rPr>
        <w:t>.</w:t>
      </w:r>
    </w:p>
    <w:p w:rsidR="00000000" w:rsidRDefault="00477EE8">
      <w:pPr>
        <w:pStyle w:val="a3"/>
        <w:spacing w:before="240" w:beforeAutospacing="0" w:after="0" w:afterAutospacing="0"/>
        <w:ind w:firstLine="555"/>
        <w:rPr>
          <w:sz w:val="20"/>
          <w:szCs w:val="20"/>
        </w:rPr>
      </w:pPr>
      <w:r>
        <w:rPr>
          <w:sz w:val="20"/>
          <w:szCs w:val="20"/>
        </w:rPr>
        <w:t>The steps required before a therapeutic product may be marketed in the United States are numerous and include, but are not limited to, the following</w:t>
      </w:r>
      <w:r>
        <w:rPr>
          <w:sz w:val="20"/>
          <w:szCs w:val="20"/>
        </w:rPr>
        <w:t>:</w:t>
      </w:r>
    </w:p>
    <w:p w:rsidR="00000000" w:rsidRDefault="00477EE8">
      <w:pPr>
        <w:divId w:val="1188327089"/>
        <w:rPr>
          <w:rFonts w:eastAsia="Times New Roman"/>
        </w:rPr>
      </w:pPr>
      <w:r>
        <w:rPr>
          <w:rFonts w:eastAsia="Times New Roman"/>
          <w:sz w:val="20"/>
          <w:szCs w:val="20"/>
        </w:rPr>
        <w:t>•</w:t>
      </w:r>
    </w:p>
    <w:p w:rsidR="00000000" w:rsidRDefault="00477EE8">
      <w:pPr>
        <w:divId w:val="335621445"/>
        <w:rPr>
          <w:rFonts w:eastAsia="Times New Roman"/>
        </w:rPr>
      </w:pPr>
      <w:r>
        <w:rPr>
          <w:rFonts w:eastAsia="Times New Roman"/>
          <w:sz w:val="20"/>
          <w:szCs w:val="20"/>
        </w:rPr>
        <w:t>completion of non-clinical laboratory tests, animal studies, chemical process development, and formulati</w:t>
      </w:r>
      <w:r>
        <w:rPr>
          <w:rFonts w:eastAsia="Times New Roman"/>
          <w:sz w:val="20"/>
          <w:szCs w:val="20"/>
        </w:rPr>
        <w:t>on studies according to good laboratory practices and other applicable regulations and guidance;</w:t>
      </w:r>
      <w:r>
        <w:rPr>
          <w:rFonts w:eastAsia="Times New Roman"/>
          <w:sz w:val="20"/>
          <w:szCs w:val="20"/>
        </w:rPr>
        <w:t xml:space="preserve"> </w:t>
      </w:r>
    </w:p>
    <w:p w:rsidR="00000000" w:rsidRDefault="00477EE8">
      <w:pPr>
        <w:divId w:val="876622454"/>
        <w:rPr>
          <w:rFonts w:eastAsia="Times New Roman"/>
        </w:rPr>
      </w:pPr>
      <w:r>
        <w:rPr>
          <w:rFonts w:eastAsia="Times New Roman"/>
          <w:sz w:val="20"/>
          <w:szCs w:val="20"/>
        </w:rPr>
        <w:t>•</w:t>
      </w:r>
    </w:p>
    <w:p w:rsidR="00000000" w:rsidRDefault="00477EE8">
      <w:pPr>
        <w:divId w:val="898784841"/>
        <w:rPr>
          <w:rFonts w:eastAsia="Times New Roman"/>
        </w:rPr>
      </w:pPr>
      <w:r>
        <w:rPr>
          <w:rFonts w:eastAsia="Times New Roman"/>
          <w:sz w:val="20"/>
          <w:szCs w:val="20"/>
        </w:rPr>
        <w:t>the submission to the FDA of an investigational new drug application, or IND, which must become effective before clinical trials may commence</w:t>
      </w:r>
      <w:r>
        <w:rPr>
          <w:rFonts w:eastAsia="Times New Roman"/>
          <w:sz w:val="20"/>
          <w:szCs w:val="20"/>
        </w:rPr>
        <w:t>;</w:t>
      </w:r>
    </w:p>
    <w:p w:rsidR="00000000" w:rsidRDefault="00477EE8">
      <w:pPr>
        <w:divId w:val="1959221118"/>
        <w:rPr>
          <w:rFonts w:eastAsia="Times New Roman"/>
        </w:rPr>
      </w:pPr>
      <w:r>
        <w:rPr>
          <w:rFonts w:eastAsia="Times New Roman"/>
          <w:sz w:val="20"/>
          <w:szCs w:val="20"/>
        </w:rPr>
        <w:t>•</w:t>
      </w:r>
    </w:p>
    <w:p w:rsidR="00000000" w:rsidRDefault="00477EE8">
      <w:pPr>
        <w:divId w:val="1744059179"/>
        <w:rPr>
          <w:rFonts w:eastAsia="Times New Roman"/>
        </w:rPr>
      </w:pPr>
      <w:r>
        <w:rPr>
          <w:rFonts w:eastAsia="Times New Roman"/>
          <w:sz w:val="20"/>
          <w:szCs w:val="20"/>
        </w:rPr>
        <w:t>performance</w:t>
      </w:r>
      <w:r>
        <w:rPr>
          <w:rFonts w:eastAsia="Times New Roman"/>
          <w:sz w:val="20"/>
          <w:szCs w:val="20"/>
        </w:rPr>
        <w:t xml:space="preserve"> of adequate and well-controlled clinical trials according to good clinical practices, or GCPs, to establish the safety and efficacy of the therapeutic candidate for its intended use</w:t>
      </w:r>
      <w:r>
        <w:rPr>
          <w:rFonts w:eastAsia="Times New Roman"/>
          <w:sz w:val="20"/>
          <w:szCs w:val="20"/>
        </w:rPr>
        <w:t>;</w:t>
      </w:r>
    </w:p>
    <w:p w:rsidR="00000000" w:rsidRDefault="00477EE8">
      <w:pPr>
        <w:divId w:val="1905145586"/>
        <w:rPr>
          <w:rFonts w:eastAsia="Times New Roman"/>
        </w:rPr>
      </w:pPr>
      <w:r>
        <w:rPr>
          <w:rFonts w:eastAsia="Times New Roman"/>
          <w:sz w:val="20"/>
          <w:szCs w:val="20"/>
        </w:rPr>
        <w:t>•</w:t>
      </w:r>
    </w:p>
    <w:p w:rsidR="00000000" w:rsidRDefault="00477EE8">
      <w:pPr>
        <w:divId w:val="215360260"/>
        <w:rPr>
          <w:rFonts w:eastAsia="Times New Roman"/>
        </w:rPr>
      </w:pPr>
      <w:r>
        <w:rPr>
          <w:rFonts w:eastAsia="Times New Roman"/>
          <w:sz w:val="20"/>
          <w:szCs w:val="20"/>
        </w:rPr>
        <w:t>the submission of a New Drug Application, or NDA, to the FDA;</w:t>
      </w:r>
      <w:r>
        <w:rPr>
          <w:rFonts w:eastAsia="Times New Roman"/>
          <w:sz w:val="20"/>
          <w:szCs w:val="20"/>
        </w:rPr>
        <w:t xml:space="preserve"> </w:t>
      </w:r>
    </w:p>
    <w:p w:rsidR="00000000" w:rsidRDefault="00477EE8">
      <w:pPr>
        <w:divId w:val="1691294306"/>
        <w:rPr>
          <w:rFonts w:eastAsia="Times New Roman"/>
        </w:rPr>
      </w:pPr>
      <w:r>
        <w:rPr>
          <w:rFonts w:eastAsia="Times New Roman"/>
          <w:sz w:val="20"/>
          <w:szCs w:val="20"/>
        </w:rPr>
        <w:t>•</w:t>
      </w:r>
    </w:p>
    <w:p w:rsidR="00000000" w:rsidRDefault="00477EE8">
      <w:pPr>
        <w:divId w:val="5638524"/>
        <w:rPr>
          <w:rFonts w:eastAsia="Times New Roman"/>
        </w:rPr>
      </w:pPr>
      <w:r>
        <w:rPr>
          <w:rFonts w:eastAsia="Times New Roman"/>
          <w:sz w:val="20"/>
          <w:szCs w:val="20"/>
        </w:rPr>
        <w:t>satis</w:t>
      </w:r>
      <w:r>
        <w:rPr>
          <w:rFonts w:eastAsia="Times New Roman"/>
          <w:sz w:val="20"/>
          <w:szCs w:val="20"/>
        </w:rPr>
        <w:t>factory completion of an FDA inspection of the manufacturing facility or facilities at which the therapeutic candidate is produced to assess readiness for commercial manufacturing and conformance to the manufacturing-related elements of the application, to</w:t>
      </w:r>
      <w:r>
        <w:rPr>
          <w:rFonts w:eastAsia="Times New Roman"/>
          <w:sz w:val="20"/>
          <w:szCs w:val="20"/>
        </w:rPr>
        <w:t xml:space="preserve"> conduct a data integrity audit, and to assess compliance with current Good Manufacturing Practices, or cGMPs, to assure that the facilities, methods and controls are adequate; an</w:t>
      </w:r>
      <w:r>
        <w:rPr>
          <w:rFonts w:eastAsia="Times New Roman"/>
          <w:sz w:val="20"/>
          <w:szCs w:val="20"/>
        </w:rPr>
        <w:t>d</w:t>
      </w:r>
    </w:p>
    <w:p w:rsidR="00000000" w:rsidRDefault="00477EE8">
      <w:pPr>
        <w:divId w:val="838276573"/>
        <w:rPr>
          <w:rFonts w:eastAsia="Times New Roman"/>
        </w:rPr>
      </w:pPr>
      <w:r>
        <w:rPr>
          <w:rFonts w:eastAsia="Times New Roman"/>
          <w:sz w:val="20"/>
          <w:szCs w:val="20"/>
        </w:rPr>
        <w:t>•</w:t>
      </w:r>
    </w:p>
    <w:p w:rsidR="00000000" w:rsidRDefault="00477EE8">
      <w:pPr>
        <w:divId w:val="1084379933"/>
        <w:rPr>
          <w:rFonts w:eastAsia="Times New Roman"/>
        </w:rPr>
      </w:pPr>
      <w:r>
        <w:rPr>
          <w:rFonts w:eastAsia="Times New Roman"/>
          <w:sz w:val="20"/>
          <w:szCs w:val="20"/>
        </w:rPr>
        <w:t>FDA review and approval of the NDA</w:t>
      </w:r>
      <w:r>
        <w:rPr>
          <w:rFonts w:eastAsia="Times New Roman"/>
          <w:sz w:val="20"/>
          <w:szCs w:val="20"/>
        </w:rPr>
        <w:t>.</w:t>
      </w:r>
    </w:p>
    <w:p w:rsidR="00000000" w:rsidRDefault="00477EE8">
      <w:pPr>
        <w:pStyle w:val="a3"/>
        <w:spacing w:before="240" w:beforeAutospacing="0" w:after="0" w:afterAutospacing="0"/>
        <w:ind w:firstLine="555"/>
        <w:rPr>
          <w:sz w:val="20"/>
          <w:szCs w:val="20"/>
        </w:rPr>
      </w:pPr>
      <w:r>
        <w:rPr>
          <w:sz w:val="20"/>
          <w:szCs w:val="20"/>
        </w:rPr>
        <w:t>The testing and formulation processes</w:t>
      </w:r>
      <w:r>
        <w:rPr>
          <w:sz w:val="20"/>
          <w:szCs w:val="20"/>
        </w:rPr>
        <w:t xml:space="preserve"> required to market a therapeutic product involves substantial time, effort, and financial resources; and we cannot be certain that any approvals for any of our future therapeutic products will be granted on a timely basis, if at all</w:t>
      </w:r>
      <w:r>
        <w:rPr>
          <w:sz w:val="20"/>
          <w:szCs w:val="20"/>
        </w:rPr>
        <w:t>.</w:t>
      </w:r>
      <w:r>
        <w:rPr>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An institutional rev</w:t>
      </w:r>
      <w:r>
        <w:rPr>
          <w:sz w:val="20"/>
          <w:szCs w:val="20"/>
        </w:rPr>
        <w:t>iew board, or IRB, for each institution participating in the clinical trial must review and approve a new clinical protocol before a clinical trial commences at that institution and must also approve the information regarding the trial and the consent form</w:t>
      </w:r>
      <w:r>
        <w:rPr>
          <w:sz w:val="20"/>
          <w:szCs w:val="20"/>
        </w:rPr>
        <w:t xml:space="preserve"> that must be provided to each research subject or the subject’s legal representative, monitor the trial until completed, and otherwise comply with IRB regulations. There are also requirements governing the reporting of ongoing clinical trials and complete</w:t>
      </w:r>
      <w:r>
        <w:rPr>
          <w:sz w:val="20"/>
          <w:szCs w:val="20"/>
        </w:rPr>
        <w:t>d clinical trial results to public registries</w:t>
      </w:r>
      <w:r>
        <w:rPr>
          <w:sz w:val="20"/>
          <w:szCs w:val="20"/>
        </w:rPr>
        <w:t>.</w:t>
      </w:r>
      <w:r>
        <w:t xml:space="preserve"> </w:t>
      </w:r>
    </w:p>
    <w:p w:rsidR="00000000" w:rsidRDefault="00477EE8">
      <w:pPr>
        <w:pStyle w:val="a3"/>
        <w:spacing w:before="0" w:beforeAutospacing="0" w:after="0" w:afterAutospacing="0"/>
        <w:rPr>
          <w:sz w:val="20"/>
          <w:szCs w:val="20"/>
        </w:rPr>
      </w:pPr>
      <w:r>
        <w:rPr>
          <w:sz w:val="20"/>
          <w:szCs w:val="20"/>
        </w:rPr>
        <w:t> </w:t>
      </w:r>
    </w:p>
    <w:p w:rsidR="00000000" w:rsidRDefault="00477EE8">
      <w:pPr>
        <w:pStyle w:val="a3"/>
        <w:spacing w:before="0" w:beforeAutospacing="0" w:after="0" w:afterAutospacing="0"/>
        <w:rPr>
          <w:sz w:val="20"/>
          <w:szCs w:val="20"/>
        </w:rPr>
      </w:pPr>
      <w:r>
        <w:rPr>
          <w:sz w:val="20"/>
          <w:szCs w:val="20"/>
        </w:rPr>
        <w:t>Clinical trials are typically conducted in three sequential phases that may overlap or be combined</w:t>
      </w:r>
      <w:r>
        <w:rPr>
          <w:sz w:val="20"/>
          <w:szCs w:val="20"/>
        </w:rPr>
        <w:t>:</w:t>
      </w:r>
    </w:p>
    <w:p w:rsidR="00000000" w:rsidRDefault="00477EE8">
      <w:pPr>
        <w:divId w:val="666709067"/>
        <w:rPr>
          <w:rFonts w:eastAsia="Times New Roman"/>
        </w:rPr>
      </w:pPr>
      <w:r>
        <w:rPr>
          <w:rFonts w:eastAsia="Times New Roman"/>
          <w:sz w:val="20"/>
          <w:szCs w:val="20"/>
        </w:rPr>
        <w:t>•</w:t>
      </w:r>
    </w:p>
    <w:p w:rsidR="00000000" w:rsidRDefault="00477EE8">
      <w:pPr>
        <w:divId w:val="1121457648"/>
        <w:rPr>
          <w:rFonts w:eastAsia="Times New Roman"/>
        </w:rPr>
      </w:pPr>
      <w:r>
        <w:rPr>
          <w:rFonts w:eastAsia="Times New Roman"/>
          <w:sz w:val="20"/>
          <w:szCs w:val="20"/>
        </w:rPr>
        <w:t>Phase 1: Initial safety study in healthy human subjects or patients where the candidate therapy is teste</w:t>
      </w:r>
      <w:r>
        <w:rPr>
          <w:rFonts w:eastAsia="Times New Roman"/>
          <w:sz w:val="20"/>
          <w:szCs w:val="20"/>
        </w:rPr>
        <w:t>d for safety, dosage tolerance, absorption, distribution, metabolism, and excretion.</w:t>
      </w:r>
      <w:r>
        <w:rPr>
          <w:rFonts w:eastAsia="Times New Roman"/>
          <w:sz w:val="20"/>
          <w:szCs w:val="20"/>
        </w:rPr>
        <w:t xml:space="preserve"> </w:t>
      </w:r>
    </w:p>
    <w:p w:rsidR="00000000" w:rsidRDefault="00477EE8">
      <w:pPr>
        <w:divId w:val="995377904"/>
        <w:rPr>
          <w:rFonts w:eastAsia="Times New Roman"/>
        </w:rPr>
      </w:pPr>
      <w:r>
        <w:rPr>
          <w:rFonts w:eastAsia="Times New Roman"/>
          <w:sz w:val="20"/>
          <w:szCs w:val="20"/>
        </w:rPr>
        <w:t>•</w:t>
      </w:r>
    </w:p>
    <w:p w:rsidR="00000000" w:rsidRDefault="00477EE8">
      <w:pPr>
        <w:divId w:val="1615020101"/>
        <w:rPr>
          <w:rFonts w:eastAsia="Times New Roman"/>
        </w:rPr>
      </w:pPr>
      <w:r>
        <w:rPr>
          <w:rFonts w:eastAsia="Times New Roman"/>
          <w:sz w:val="20"/>
          <w:szCs w:val="20"/>
        </w:rPr>
        <w:t>Phase 2: Studies in a limited patient population designed to identify possible adverse effects and safety risks, to determine the efficacy of the product for specific t</w:t>
      </w:r>
      <w:r>
        <w:rPr>
          <w:rFonts w:eastAsia="Times New Roman"/>
          <w:sz w:val="20"/>
          <w:szCs w:val="20"/>
        </w:rPr>
        <w:t>argeted diseases, and to determine tolerance and optimal dosage.</w:t>
      </w:r>
      <w:r>
        <w:rPr>
          <w:rFonts w:eastAsia="Times New Roman"/>
          <w:sz w:val="20"/>
          <w:szCs w:val="20"/>
        </w:rPr>
        <w:t xml:space="preserve"> </w:t>
      </w:r>
    </w:p>
    <w:p w:rsidR="00000000" w:rsidRDefault="00477EE8">
      <w:pPr>
        <w:divId w:val="352728716"/>
        <w:rPr>
          <w:rFonts w:eastAsia="Times New Roman"/>
        </w:rPr>
      </w:pPr>
      <w:r>
        <w:rPr>
          <w:rFonts w:eastAsia="Times New Roman"/>
          <w:sz w:val="20"/>
          <w:szCs w:val="20"/>
        </w:rPr>
        <w:t>•</w:t>
      </w:r>
    </w:p>
    <w:p w:rsidR="00000000" w:rsidRDefault="00477EE8">
      <w:pPr>
        <w:divId w:val="153566163"/>
        <w:rPr>
          <w:rFonts w:eastAsia="Times New Roman"/>
        </w:rPr>
      </w:pPr>
      <w:r>
        <w:rPr>
          <w:rFonts w:eastAsia="Times New Roman"/>
          <w:sz w:val="20"/>
          <w:szCs w:val="20"/>
        </w:rPr>
        <w:t>Phase 3: Studies in an expanded patient population to further evaluate clinical efficacy and to further test for safety</w:t>
      </w:r>
      <w:r>
        <w:rPr>
          <w:rFonts w:eastAsia="Times New Roman"/>
          <w:sz w:val="20"/>
          <w:szCs w:val="20"/>
        </w:rPr>
        <w:t>.</w:t>
      </w:r>
    </w:p>
    <w:p w:rsidR="00000000" w:rsidRDefault="00477EE8">
      <w:pPr>
        <w:pStyle w:val="a3"/>
        <w:spacing w:before="240" w:beforeAutospacing="0" w:after="0" w:afterAutospacing="0"/>
        <w:ind w:firstLine="555"/>
        <w:rPr>
          <w:sz w:val="20"/>
          <w:szCs w:val="20"/>
        </w:rPr>
      </w:pPr>
      <w:r>
        <w:rPr>
          <w:sz w:val="20"/>
          <w:szCs w:val="20"/>
        </w:rPr>
        <w:t>We cannot be certain that we will successfully complete Phase 1, Ph</w:t>
      </w:r>
      <w:r>
        <w:rPr>
          <w:sz w:val="20"/>
          <w:szCs w:val="20"/>
        </w:rPr>
        <w:t>ase 2, or Phase 3 testing of any product candidate within any specific time period, if at all. Post-approval trials, sometimes referred to as “Phase 4” clinical trials, may be conducted after initial marketing approval. These trials are used to gain additi</w:t>
      </w:r>
      <w:r>
        <w:rPr>
          <w:sz w:val="20"/>
          <w:szCs w:val="20"/>
        </w:rPr>
        <w:t>onal experience from the treatment of patients in the intended therapeutic indication. In certain instances, FDA may mandate the performance of “Phase 4” clinical trials</w:t>
      </w:r>
      <w:r>
        <w:rPr>
          <w:sz w:val="20"/>
          <w:szCs w:val="20"/>
        </w:rPr>
        <w:t>.</w:t>
      </w:r>
      <w:r>
        <w:rPr>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Furthermore, the FDA or the sponsor may suspend clinical trials at any time on vario</w:t>
      </w:r>
      <w:r>
        <w:rPr>
          <w:sz w:val="20"/>
          <w:szCs w:val="20"/>
        </w:rPr>
        <w:t>us grounds, including a finding that the research subjects or patients are being exposed to an unacceptable health risk. Similarly, an IRB can suspend or terminate approval of a clinical trial at its institution if the clinical trial is not being conducted</w:t>
      </w:r>
      <w:r>
        <w:rPr>
          <w:sz w:val="20"/>
          <w:szCs w:val="20"/>
        </w:rPr>
        <w:t xml:space="preserve"> in accordance with the IRB’s requirements, or if the therapeutic candidate has been associated with unexpected serious harm to patients</w:t>
      </w:r>
      <w:r>
        <w:rPr>
          <w:sz w:val="20"/>
          <w:szCs w:val="20"/>
        </w:rPr>
        <w:t>.</w:t>
      </w:r>
      <w:r>
        <w:rPr>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Assuming successful completion of the required clinical testing, the results of the non-clinical studies and clinical trials, along with detailed descriptions of the product’s chemistry, manufacturing and controls (CMC), proposed labeling and other relevan</w:t>
      </w:r>
      <w:r>
        <w:rPr>
          <w:sz w:val="20"/>
          <w:szCs w:val="20"/>
        </w:rPr>
        <w:t>t information are submitted to the FDA as part of a NDA requesting approval to market the product. Most innovative drug products obtain FDA marketing approval pursuant to an NDA submitted under Section 505(b)(1) of the FDC Act, commonly referred to as a tr</w:t>
      </w:r>
      <w:r>
        <w:rPr>
          <w:sz w:val="20"/>
          <w:szCs w:val="20"/>
        </w:rPr>
        <w:t xml:space="preserve">aditional or “full NDA.” In 1984, with passage of the Drug Price Competition and Patent Term Restoration Act, informally known as the Hatch-Waxman Act, that established an abbreviated regulatory scheme authorizing the FDA to approve generic drugs based on </w:t>
      </w:r>
      <w:r>
        <w:rPr>
          <w:sz w:val="20"/>
          <w:szCs w:val="20"/>
        </w:rPr>
        <w:t>an innovator or “reference” product, Congress also enacted Section 505(b)(2) of the FDC Act, which provides a hybrid pathway combining features of a traditional NDA and a generic drug application. Section 505(b)(2) enables the applicant to rely, in part, o</w:t>
      </w:r>
      <w:r>
        <w:rPr>
          <w:sz w:val="20"/>
          <w:szCs w:val="20"/>
        </w:rPr>
        <w:t>n the FDA’s prior findings of safety and efficacy data for an existing product, or published literature, in support of its application. Section 505(b)(2) NDAs may provide an alternate path to FDA approval for new or improved formulations or new uses of pre</w:t>
      </w:r>
      <w:r>
        <w:rPr>
          <w:sz w:val="20"/>
          <w:szCs w:val="20"/>
        </w:rPr>
        <w:t>viousl</w:t>
      </w:r>
      <w:r>
        <w:rPr>
          <w:sz w:val="20"/>
          <w:szCs w:val="20"/>
        </w:rPr>
        <w:t>y</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8</w:t>
      </w:r>
    </w:p>
    <w:p w:rsidR="00000000" w:rsidRDefault="00477EE8">
      <w:pPr>
        <w:rPr>
          <w:rFonts w:eastAsia="Times New Roman"/>
        </w:rPr>
      </w:pPr>
      <w:r>
        <w:rPr>
          <w:rFonts w:eastAsia="Times New Roman"/>
        </w:rPr>
        <w:pict>
          <v:rect id="_x0000_i1047" style="width:0;height:1.5pt" o:hralign="center" o:hrstd="t" o:hr="t" fillcolor="#a0a0a0" stroked="f"/>
        </w:pict>
      </w:r>
    </w:p>
    <w:p w:rsidR="00000000" w:rsidRDefault="00477EE8">
      <w:pPr>
        <w:pStyle w:val="a3"/>
        <w:spacing w:before="240" w:beforeAutospacing="0" w:after="0" w:afterAutospacing="0"/>
        <w:rPr>
          <w:sz w:val="20"/>
          <w:szCs w:val="20"/>
        </w:rPr>
      </w:pPr>
      <w:r>
        <w:rPr>
          <w:sz w:val="20"/>
          <w:szCs w:val="20"/>
        </w:rPr>
        <w:t>approved products; for example, an applicant may be seeking approval to market a previously approved drug for new indications or for a new patient population that would require new clinical data to demonstrate safety or effectiveness. Section 505(b)(2) per</w:t>
      </w:r>
      <w:r>
        <w:rPr>
          <w:sz w:val="20"/>
          <w:szCs w:val="20"/>
        </w:rPr>
        <w:t xml:space="preserve">mits the filing of an NDA in which the applicant relies, at least in part, on information from studies made to show whether a drug is safe or effective that were not conducted by or for the applicant and for which the applicant has not obtained a right of </w:t>
      </w:r>
      <w:r>
        <w:rPr>
          <w:sz w:val="20"/>
          <w:szCs w:val="20"/>
        </w:rPr>
        <w:t>reference or use. A Section 505(b)(2) applicant may eliminate or reduce the need to conduct certain non-clinical or clinical studies, if it can establish that reliance on studies conducted for a previously-approved product is scientifically appropriate</w:t>
      </w:r>
      <w:r>
        <w:rPr>
          <w:sz w:val="20"/>
          <w:szCs w:val="20"/>
        </w:rPr>
        <w:t>.</w:t>
      </w:r>
    </w:p>
    <w:p w:rsidR="00000000" w:rsidRDefault="00477EE8">
      <w:pPr>
        <w:pStyle w:val="a3"/>
        <w:spacing w:before="240" w:beforeAutospacing="0" w:after="0" w:afterAutospacing="0"/>
        <w:ind w:firstLine="555"/>
        <w:rPr>
          <w:sz w:val="20"/>
          <w:szCs w:val="20"/>
        </w:rPr>
      </w:pPr>
      <w:r>
        <w:rPr>
          <w:sz w:val="20"/>
          <w:szCs w:val="20"/>
        </w:rPr>
        <w:t>Ev</w:t>
      </w:r>
      <w:r>
        <w:rPr>
          <w:sz w:val="20"/>
          <w:szCs w:val="20"/>
        </w:rPr>
        <w:t>en if a product receives marketing approval, the approval may be limited to specific indications and dosages or the indications for use may otherwise be limited, which could restrict the commercial value of the product. Further, the FDA may require that ce</w:t>
      </w:r>
      <w:r>
        <w:rPr>
          <w:sz w:val="20"/>
          <w:szCs w:val="20"/>
        </w:rPr>
        <w:t>rtain contraindications, warnings, or precautions be included in the product labeling. The FDA may impose restrictions and conditions on product distribution, prescribing, or dispensing in the form of a risk mitigation plan, or otherwise limit the scope of</w:t>
      </w:r>
      <w:r>
        <w:rPr>
          <w:sz w:val="20"/>
          <w:szCs w:val="20"/>
        </w:rPr>
        <w:t xml:space="preserve"> any approval. In addition, the FDA may require post marketing clinical trials and/or testing and surveillance programs to monitor the safety of approved products that have been commercialized. After approval, some types of changes to the approved product,</w:t>
      </w:r>
      <w:r>
        <w:rPr>
          <w:sz w:val="20"/>
          <w:szCs w:val="20"/>
        </w:rPr>
        <w:t xml:space="preserve"> such as adding new indications, manufacturing changes, and additional labeling claims, are subject to further testing requirements and FDA review and approval</w:t>
      </w:r>
      <w:r>
        <w:rPr>
          <w:sz w:val="20"/>
          <w:szCs w:val="20"/>
        </w:rPr>
        <w:t>.</w:t>
      </w:r>
    </w:p>
    <w:p w:rsidR="00000000" w:rsidRDefault="00477EE8">
      <w:pPr>
        <w:pStyle w:val="a3"/>
        <w:spacing w:before="240" w:beforeAutospacing="0" w:after="0" w:afterAutospacing="0"/>
        <w:ind w:firstLine="555"/>
        <w:rPr>
          <w:sz w:val="20"/>
          <w:szCs w:val="20"/>
        </w:rPr>
      </w:pPr>
      <w:r>
        <w:rPr>
          <w:sz w:val="20"/>
          <w:szCs w:val="20"/>
        </w:rPr>
        <w:t>Satisfaction of the above FDA requirements or similar requirements of foreign regulatory agenci</w:t>
      </w:r>
      <w:r>
        <w:rPr>
          <w:sz w:val="20"/>
          <w:szCs w:val="20"/>
        </w:rPr>
        <w:t xml:space="preserve">es typically takes several years, and the actual time required may vary substantially, based upon the type, complexity, and novelty of the product or indication. Government regulation may delay or prevent marketing of potential products for a considerable </w:t>
      </w:r>
      <w:r>
        <w:rPr>
          <w:sz w:val="20"/>
          <w:szCs w:val="20"/>
        </w:rPr>
        <w:t xml:space="preserve">period of time and impose costly procedures upon us or our partners’ activities. The FDA or any other regulatory agency may not grant any approvals on a timely basis, if at all. Success in early-stage clinical trials does not assure success in later-stage </w:t>
      </w:r>
      <w:r>
        <w:rPr>
          <w:sz w:val="20"/>
          <w:szCs w:val="20"/>
        </w:rPr>
        <w:t xml:space="preserve">clinical trials. Data obtained from clinical activities is not always conclusive and may be susceptible to varying interpretations that could delay, limit, or prevent regulatory approval. Even if a product receives regulatory approval, the approval may be </w:t>
      </w:r>
      <w:r>
        <w:rPr>
          <w:sz w:val="20"/>
          <w:szCs w:val="20"/>
        </w:rPr>
        <w:t>significantly limited to specific indications and dosages. Delays in obtaining, or failures to obtain regulatory approvals may have a material adverse effect on our business. In addition, we cannot predict what adverse governmental regulations may arise fr</w:t>
      </w:r>
      <w:r>
        <w:rPr>
          <w:sz w:val="20"/>
          <w:szCs w:val="20"/>
        </w:rPr>
        <w:t>om future U.S. or foreign governmental action</w:t>
      </w:r>
      <w:r>
        <w:rPr>
          <w:sz w:val="20"/>
          <w:szCs w:val="20"/>
        </w:rPr>
        <w:t>.</w:t>
      </w:r>
    </w:p>
    <w:p w:rsidR="00000000" w:rsidRDefault="00477EE8">
      <w:pPr>
        <w:pStyle w:val="a3"/>
        <w:spacing w:before="240" w:beforeAutospacing="0" w:after="0" w:afterAutospacing="0"/>
        <w:ind w:firstLine="555"/>
        <w:rPr>
          <w:sz w:val="20"/>
          <w:szCs w:val="20"/>
        </w:rPr>
      </w:pPr>
      <w:r>
        <w:rPr>
          <w:sz w:val="20"/>
          <w:szCs w:val="20"/>
        </w:rPr>
        <w:t>Following approval of a new therapeutic product, the manufacturer and the approved product are subject to pervasive and continuing regulation by the FDA, including, among other things, monitoring and record-ke</w:t>
      </w:r>
      <w:r>
        <w:rPr>
          <w:sz w:val="20"/>
          <w:szCs w:val="20"/>
        </w:rPr>
        <w:t>eping activities; reporting of adverse experiences with the product, samples, and distribution restrictions; complying with promotion and advertising requirements, which include restrictions on promoting drugs for unapproved uses or patient populations (i.</w:t>
      </w:r>
      <w:r>
        <w:rPr>
          <w:sz w:val="20"/>
          <w:szCs w:val="20"/>
        </w:rPr>
        <w:t>e., “off-label use”) and limitations on industry-sponsored scientific and educational activities. Although physicians may prescribe legally available products for off-label uses, manufacturers may not market or promote such uses</w:t>
      </w:r>
      <w:r>
        <w:rPr>
          <w:sz w:val="20"/>
          <w:szCs w:val="20"/>
        </w:rPr>
        <w:t>.</w:t>
      </w:r>
    </w:p>
    <w:p w:rsidR="00000000" w:rsidRDefault="00477EE8">
      <w:pPr>
        <w:pStyle w:val="a3"/>
        <w:spacing w:before="240" w:beforeAutospacing="0" w:after="0" w:afterAutospacing="0"/>
        <w:ind w:firstLine="555"/>
        <w:rPr>
          <w:sz w:val="20"/>
          <w:szCs w:val="20"/>
        </w:rPr>
      </w:pPr>
      <w:r>
        <w:rPr>
          <w:sz w:val="20"/>
          <w:szCs w:val="20"/>
        </w:rPr>
        <w:t>Moreover, if there are any</w:t>
      </w:r>
      <w:r>
        <w:rPr>
          <w:sz w:val="20"/>
          <w:szCs w:val="20"/>
        </w:rPr>
        <w:t xml:space="preserve"> modifications to the product, including changes in indications, labeling or manufacturing processes or facilities, the applicant may be required to submit and obtain FDA approval of a new NDA or an NDA supplement, which may require the applicant to develo</w:t>
      </w:r>
      <w:r>
        <w:rPr>
          <w:sz w:val="20"/>
          <w:szCs w:val="20"/>
        </w:rPr>
        <w:t>p additional data or conduct additional non-clinical studies and clinical trials. Even if such trials are conducted, the FDA may not approve any expansion of the labeled indications for use in a timely fashion, or at all</w:t>
      </w:r>
      <w:r>
        <w:rPr>
          <w:sz w:val="20"/>
          <w:szCs w:val="20"/>
        </w:rPr>
        <w:t>.</w:t>
      </w:r>
      <w:r>
        <w:rPr>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In addition, FDA regulations requ</w:t>
      </w:r>
      <w:r>
        <w:rPr>
          <w:sz w:val="20"/>
          <w:szCs w:val="20"/>
        </w:rPr>
        <w:t>ire that products be manufactured in specific approved facilities and in accordance with cGMP. The cGMP regulations include requirements relating to organization of personnel, buildings and facilities, equipment, control of components and drug product cont</w:t>
      </w:r>
      <w:r>
        <w:rPr>
          <w:sz w:val="20"/>
          <w:szCs w:val="20"/>
        </w:rPr>
        <w:t xml:space="preserve">ainers and closures, production and process controls, packaging and labeling controls, holding and distribution, laboratory controls, records and reports, and returned or salvaged products. Drug manufacturers and other entities involved in the manufacture </w:t>
      </w:r>
      <w:r>
        <w:rPr>
          <w:sz w:val="20"/>
          <w:szCs w:val="20"/>
        </w:rPr>
        <w:t>and distribution of approved therapeutics are required to register their establishments with the FDA and certain state agencies and are subject to periodic unannounced inspections by the FDA to assess compliance with cGMP and other requirements. Accordingl</w:t>
      </w:r>
      <w:r>
        <w:rPr>
          <w:sz w:val="20"/>
          <w:szCs w:val="20"/>
        </w:rPr>
        <w:t>y, both sponsors and manufacturers must continue to expend time, money, and effort in the area of production and quality control to maintain cGMP compliance and other aspects of quality control and quality assurance, and to ensure ongoing compliance with o</w:t>
      </w:r>
      <w:r>
        <w:rPr>
          <w:sz w:val="20"/>
          <w:szCs w:val="20"/>
        </w:rPr>
        <w:t>ther statutory requirements of the FDC Act. We cannot be certain that we or our suppliers will be able to comply with cGMP regulations and other FDA regulatory requirements</w:t>
      </w:r>
      <w:r>
        <w:rPr>
          <w:sz w:val="20"/>
          <w:szCs w:val="20"/>
        </w:rPr>
        <w:t>.</w:t>
      </w:r>
    </w:p>
    <w:p w:rsidR="00000000" w:rsidRDefault="00477EE8">
      <w:pPr>
        <w:pStyle w:val="a3"/>
        <w:spacing w:before="240" w:beforeAutospacing="0" w:after="0" w:afterAutospacing="0"/>
        <w:ind w:firstLine="555"/>
        <w:rPr>
          <w:sz w:val="20"/>
          <w:szCs w:val="20"/>
        </w:rPr>
      </w:pPr>
      <w:r>
        <w:rPr>
          <w:sz w:val="20"/>
          <w:szCs w:val="20"/>
        </w:rPr>
        <w:t>Accordingly, even after a new drug approval is granted, the FDA may withdraw the a</w:t>
      </w:r>
      <w:r>
        <w:rPr>
          <w:sz w:val="20"/>
          <w:szCs w:val="20"/>
        </w:rPr>
        <w:t>pproval if compliance with regulatory requirements and standards is not maintained, or if problems occur after the product reaches the market. Later discovery of previously unknown problems with a product, including adverse events of unanticipated severity</w:t>
      </w:r>
      <w:r>
        <w:rPr>
          <w:sz w:val="20"/>
          <w:szCs w:val="20"/>
        </w:rPr>
        <w:t xml:space="preserve"> or frequency, or with manufacturing processes, or failure to comply with regulatory requirements, may result in revisions to the approved labeling to add new safety information; imposition of post-market studies or clinical trials to assess new safety ris</w:t>
      </w:r>
      <w:r>
        <w:rPr>
          <w:sz w:val="20"/>
          <w:szCs w:val="20"/>
        </w:rPr>
        <w:t>ks; or the imposition of distribution or other restrictions. Other potential consequences of regulatory non-compliance include, among other things, fines, warning letters or other enforcement-related letters or clinical holds on post-approval clinical tria</w:t>
      </w:r>
      <w:r>
        <w:rPr>
          <w:sz w:val="20"/>
          <w:szCs w:val="20"/>
        </w:rPr>
        <w:t xml:space="preserve">ls; product seizure or detention, or refusal to permit the import or export of products; injunctions or the imposition of civil or criminal penalties; and/or consent decrees, corporate integrity agreements, debarment, or exclusion from federal health care </w:t>
      </w:r>
      <w:r>
        <w:rPr>
          <w:sz w:val="20"/>
          <w:szCs w:val="20"/>
        </w:rPr>
        <w:t>programs</w:t>
      </w:r>
      <w:r>
        <w:rPr>
          <w:sz w:val="20"/>
          <w:szCs w:val="20"/>
        </w:rPr>
        <w:t>.</w:t>
      </w:r>
    </w:p>
    <w:p w:rsidR="00000000" w:rsidRDefault="00477EE8">
      <w:pPr>
        <w:pStyle w:val="a3"/>
        <w:spacing w:before="240" w:beforeAutospacing="0" w:after="0" w:afterAutospacing="0"/>
        <w:jc w:val="center"/>
        <w:rPr>
          <w:sz w:val="20"/>
          <w:szCs w:val="20"/>
        </w:rPr>
      </w:pPr>
      <w:r>
        <w:rPr>
          <w:sz w:val="20"/>
          <w:szCs w:val="20"/>
        </w:rPr>
        <w:t>9</w:t>
      </w:r>
    </w:p>
    <w:p w:rsidR="00000000" w:rsidRDefault="00477EE8">
      <w:pPr>
        <w:rPr>
          <w:rFonts w:eastAsia="Times New Roman"/>
        </w:rPr>
      </w:pPr>
      <w:r>
        <w:rPr>
          <w:rFonts w:eastAsia="Times New Roman"/>
        </w:rPr>
        <w:pict>
          <v:rect id="_x0000_i1048" style="width:0;height:1.5pt" o:hralign="center" o:hrstd="t" o:hr="t" fillcolor="#a0a0a0" stroked="f"/>
        </w:pict>
      </w:r>
    </w:p>
    <w:p w:rsidR="00000000" w:rsidRDefault="00477EE8">
      <w:pPr>
        <w:pStyle w:val="a3"/>
        <w:spacing w:before="240" w:beforeAutospacing="0" w:after="0" w:afterAutospacing="0"/>
        <w:rPr>
          <w:sz w:val="20"/>
          <w:szCs w:val="20"/>
        </w:rPr>
      </w:pPr>
      <w:r>
        <w:rPr>
          <w:b/>
          <w:bCs/>
          <w:sz w:val="20"/>
          <w:szCs w:val="20"/>
        </w:rPr>
        <w:t>Privacy and Security Laws and Regulations and Patient Information Access Laws and Regulations Applicable to Our Busines</w:t>
      </w:r>
      <w:r>
        <w:rPr>
          <w:b/>
          <w:bCs/>
          <w:sz w:val="20"/>
          <w:szCs w:val="20"/>
        </w:rPr>
        <w:t>s</w:t>
      </w:r>
    </w:p>
    <w:p w:rsidR="00000000" w:rsidRDefault="00477EE8">
      <w:pPr>
        <w:pStyle w:val="a3"/>
        <w:spacing w:before="120" w:beforeAutospacing="0" w:after="0" w:afterAutospacing="0"/>
        <w:ind w:left="238"/>
        <w:rPr>
          <w:sz w:val="20"/>
          <w:szCs w:val="20"/>
        </w:rPr>
      </w:pPr>
      <w:r>
        <w:rPr>
          <w:b/>
          <w:bCs/>
          <w:i/>
          <w:iCs/>
          <w:sz w:val="20"/>
          <w:szCs w:val="20"/>
        </w:rPr>
        <w:t>HIPAA and HITEC</w:t>
      </w:r>
      <w:r>
        <w:rPr>
          <w:b/>
          <w:bCs/>
          <w:i/>
          <w:iCs/>
          <w:sz w:val="20"/>
          <w:szCs w:val="20"/>
        </w:rPr>
        <w:t>H</w:t>
      </w:r>
      <w:r>
        <w:rPr>
          <w:b/>
          <w:bCs/>
          <w:i/>
          <w:iCs/>
          <w:sz w:val="20"/>
          <w:szCs w:val="20"/>
        </w:rPr>
        <w:t xml:space="preserve"> </w:t>
      </w:r>
    </w:p>
    <w:p w:rsidR="00000000" w:rsidRDefault="00477EE8">
      <w:pPr>
        <w:pStyle w:val="a3"/>
        <w:spacing w:before="120" w:beforeAutospacing="0" w:after="0" w:afterAutospacing="0"/>
        <w:ind w:firstLine="555"/>
        <w:rPr>
          <w:sz w:val="20"/>
          <w:szCs w:val="20"/>
        </w:rPr>
      </w:pPr>
      <w:r>
        <w:rPr>
          <w:sz w:val="20"/>
          <w:szCs w:val="20"/>
        </w:rPr>
        <w:t>Under the Administrative Simplification provisions of the federal Hea</w:t>
      </w:r>
      <w:r>
        <w:rPr>
          <w:sz w:val="20"/>
          <w:szCs w:val="20"/>
        </w:rPr>
        <w:t>lth Insurance Portability and Accountability Act of 1996, or HIPAA, as amended by the federal Health Information Technology for Economic and Clinical Health Act, or HITECH, the U.S. Department of Health and Human Services, or HHS, has issued regulations, o</w:t>
      </w:r>
      <w:r>
        <w:rPr>
          <w:sz w:val="20"/>
          <w:szCs w:val="20"/>
        </w:rPr>
        <w:t>r HIPAA Regulations, that establish uniform standards governing the conduct of certain electronic healthcare transactions and requirements for protecting the privacy and security of protected health information, or PHI, used or disclosed by healthcare prov</w:t>
      </w:r>
      <w:r>
        <w:rPr>
          <w:sz w:val="20"/>
          <w:szCs w:val="20"/>
        </w:rPr>
        <w:t>iders, health plans, and healthcare clearinghouses that conduct certain healthcare transactions electronically, known as “covered entities.” As a clinical laboratory, we are acting as a covered entity and are subject to HIPAA and HITECH. The following four</w:t>
      </w:r>
      <w:r>
        <w:rPr>
          <w:sz w:val="20"/>
          <w:szCs w:val="20"/>
        </w:rPr>
        <w:t xml:space="preserve"> principal regulations with which we are required to comply have been issued in final form under HIPAA and HITECH: privacy regulations, security regulations, the breach notification rule, and standards for electronic transactions, which establish standards</w:t>
      </w:r>
      <w:r>
        <w:rPr>
          <w:sz w:val="20"/>
          <w:szCs w:val="20"/>
        </w:rPr>
        <w:t xml:space="preserve"> for common healthcare transactions</w:t>
      </w:r>
      <w:r>
        <w:rPr>
          <w:sz w:val="20"/>
          <w:szCs w:val="20"/>
        </w:rPr>
        <w:t>.</w:t>
      </w:r>
      <w:r>
        <w:rPr>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The privacy regulations of HIPAA and HITECH protect medical records and other PHI by limiting their use and release, giving patients a variety of rights, including the right to access their medical records, and limitin</w:t>
      </w:r>
      <w:r>
        <w:rPr>
          <w:sz w:val="20"/>
          <w:szCs w:val="20"/>
        </w:rPr>
        <w:t>g most disclosures of health information to the minimum amount necessary to accomplish an intended purpose. HIPAA also requires covered entities to enter into business associate agreements to obtain a written assurance of compliance with HIPAA from individ</w:t>
      </w:r>
      <w:r>
        <w:rPr>
          <w:sz w:val="20"/>
          <w:szCs w:val="20"/>
        </w:rPr>
        <w:t xml:space="preserve">uals or organizations who provide services to covered entities involving the use or disclosure of PHI, or also known as “business associates.” As a general rule, a covered entity or business associate may not use or disclose PHI, except as permitted under </w:t>
      </w:r>
      <w:r>
        <w:rPr>
          <w:sz w:val="20"/>
          <w:szCs w:val="20"/>
        </w:rPr>
        <w:t>the privacy regulations of HIPAA and HITECH</w:t>
      </w:r>
      <w:r>
        <w:rPr>
          <w:sz w:val="20"/>
          <w:szCs w:val="20"/>
        </w:rPr>
        <w:t>.</w:t>
      </w:r>
      <w:r>
        <w:rPr>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Covered entities must also comply with the security regulations of HIPAA and HITECH, which establish requirements for safeguarding the confidentiality, integrity, and availability of electronic PHI. The HIPAA s</w:t>
      </w:r>
      <w:r>
        <w:rPr>
          <w:sz w:val="20"/>
          <w:szCs w:val="20"/>
        </w:rPr>
        <w:t>ecurity regulations require the implementation of administrative, physical, and technical safeguards and the adoption of written security policies and procedures</w:t>
      </w:r>
      <w:r>
        <w:rPr>
          <w:sz w:val="20"/>
          <w:szCs w:val="20"/>
        </w:rPr>
        <w:t>.</w:t>
      </w:r>
    </w:p>
    <w:p w:rsidR="00000000" w:rsidRDefault="00477EE8">
      <w:pPr>
        <w:pStyle w:val="a3"/>
        <w:spacing w:before="240" w:beforeAutospacing="0" w:after="0" w:afterAutospacing="0"/>
        <w:ind w:firstLine="555"/>
        <w:rPr>
          <w:sz w:val="20"/>
          <w:szCs w:val="20"/>
        </w:rPr>
      </w:pPr>
      <w:r>
        <w:rPr>
          <w:sz w:val="20"/>
          <w:szCs w:val="20"/>
        </w:rPr>
        <w:t>In addition, HITECH established, among other things, certain breach notification requirements</w:t>
      </w:r>
      <w:r>
        <w:rPr>
          <w:sz w:val="20"/>
          <w:szCs w:val="20"/>
        </w:rPr>
        <w:t xml:space="preserve"> with which covered entities must comply. In particular, a covered entity must report breaches of PHI that have not been encrypted or otherwise secured in accordance with guidance from the Secretary of HHS, or the Secretary. Required breach notices must be</w:t>
      </w:r>
      <w:r>
        <w:rPr>
          <w:sz w:val="20"/>
          <w:szCs w:val="20"/>
        </w:rPr>
        <w:t xml:space="preserve"> made as soon as is reasonably practicable, but no later than sixty days following discovery of the breach. Reports must be made to affected individuals, the Secretary, and, depending on the size of the breach, the local and national media. Covered entitie</w:t>
      </w:r>
      <w:r>
        <w:rPr>
          <w:sz w:val="20"/>
          <w:szCs w:val="20"/>
        </w:rPr>
        <w:t>s are also subject to audit under HHS’s HITECH-mandated audit program and may be investigated in connection with privacy or data security</w:t>
      </w:r>
      <w:r>
        <w:rPr>
          <w:sz w:val="20"/>
          <w:szCs w:val="20"/>
        </w:rPr>
        <w:t>.</w:t>
      </w:r>
    </w:p>
    <w:p w:rsidR="00000000" w:rsidRDefault="00477EE8">
      <w:pPr>
        <w:pStyle w:val="a3"/>
        <w:spacing w:before="240" w:beforeAutospacing="0" w:after="0" w:afterAutospacing="0"/>
        <w:ind w:firstLine="555"/>
        <w:rPr>
          <w:sz w:val="20"/>
          <w:szCs w:val="20"/>
        </w:rPr>
      </w:pPr>
      <w:r>
        <w:rPr>
          <w:sz w:val="20"/>
          <w:szCs w:val="20"/>
        </w:rPr>
        <w:t>There are significant civil and criminal fines and other penalties that may be imposed for violating HIPAA. A covered</w:t>
      </w:r>
      <w:r>
        <w:rPr>
          <w:sz w:val="20"/>
          <w:szCs w:val="20"/>
        </w:rPr>
        <w:t xml:space="preserve"> entity or business associate is liable for civil monetary penalties for a violation that is based on an act or omission of any of its agents, including a downstream business associate, as determined according to the federal common law of agency. Penalties</w:t>
      </w:r>
      <w:r>
        <w:rPr>
          <w:sz w:val="20"/>
          <w:szCs w:val="20"/>
        </w:rPr>
        <w:t xml:space="preserve"> for failure to comply with a requirement of HIPAA and HITECH vary significantly depending on the failure and include civil monetary penalties of up to approximately $1.9 million per violation of the same requirement per calendar year (as of March 2022, su</w:t>
      </w:r>
      <w:r>
        <w:rPr>
          <w:sz w:val="20"/>
          <w:szCs w:val="20"/>
        </w:rPr>
        <w:t>bject to annual inflation adjustments). A single breach incident can violate multiple requirements, resulting in potential penalties in excess of $1.9 million. Additionally, a person who knowingly obtains or discloses individually identifiable health infor</w:t>
      </w:r>
      <w:r>
        <w:rPr>
          <w:sz w:val="20"/>
          <w:szCs w:val="20"/>
        </w:rPr>
        <w:t>mation in violation of HIPAA may face a criminal penalty of up to $50,000 and up to one year of imprisonment. These criminal penalties increase if the wrongful conduct involves false pretenses or the intent to sell, transfer or use identifiable health info</w:t>
      </w:r>
      <w:r>
        <w:rPr>
          <w:sz w:val="20"/>
          <w:szCs w:val="20"/>
        </w:rPr>
        <w:t>rmation for commercial advantage, personal gain, or malicious harm. Covered entities are also subject to enforcement by state attorneys general who were given authority to enforce HIPAA under HITECH. Further, to the extent that we submit electronic healthc</w:t>
      </w:r>
      <w:r>
        <w:rPr>
          <w:sz w:val="20"/>
          <w:szCs w:val="20"/>
        </w:rPr>
        <w:t>are claims and payment transactions that do not comply with the electronic data transmission standards established under HIPAA and HITECH, payments to us may be delayed or denied</w:t>
      </w:r>
      <w:r>
        <w:rPr>
          <w:sz w:val="20"/>
          <w:szCs w:val="20"/>
        </w:rPr>
        <w:t>.</w:t>
      </w:r>
      <w:r>
        <w:rPr>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 xml:space="preserve">In addition to our clinical laboratory services, we provide management and </w:t>
      </w:r>
      <w:r>
        <w:rPr>
          <w:sz w:val="20"/>
          <w:szCs w:val="20"/>
        </w:rPr>
        <w:t>technology services to certain companies, institutions, and agencies that are covered entities and have entered into business associate agreements with these entities as business associates. In addition to being directly responsible for compliance with app</w:t>
      </w:r>
      <w:r>
        <w:rPr>
          <w:sz w:val="20"/>
          <w:szCs w:val="20"/>
        </w:rPr>
        <w:t>licable HITECH Act requirements and HIPAA regulations as a business associate, we have contractually agreed to comply with HITECH and HIPAA Regulations; and in some instances, we have agreed to indemnify our covered entity clients if we breach our obligati</w:t>
      </w:r>
      <w:r>
        <w:rPr>
          <w:sz w:val="20"/>
          <w:szCs w:val="20"/>
        </w:rPr>
        <w:t>ons with respect to these laws and regulations and/or in the event of a reportable breach of PHI</w:t>
      </w:r>
      <w:r>
        <w:rPr>
          <w:sz w:val="20"/>
          <w:szCs w:val="20"/>
        </w:rPr>
        <w:t>.</w:t>
      </w:r>
    </w:p>
    <w:p w:rsidR="00000000" w:rsidRDefault="00477EE8">
      <w:pPr>
        <w:pStyle w:val="a3"/>
        <w:spacing w:before="120" w:beforeAutospacing="0" w:after="0" w:afterAutospacing="0"/>
        <w:ind w:left="238"/>
        <w:rPr>
          <w:sz w:val="20"/>
          <w:szCs w:val="20"/>
        </w:rPr>
      </w:pPr>
      <w:r>
        <w:rPr>
          <w:b/>
          <w:bCs/>
          <w:i/>
          <w:iCs/>
          <w:sz w:val="20"/>
          <w:szCs w:val="20"/>
        </w:rPr>
        <w:t>CMI</w:t>
      </w:r>
      <w:r>
        <w:rPr>
          <w:b/>
          <w:bCs/>
          <w:i/>
          <w:iCs/>
          <w:sz w:val="20"/>
          <w:szCs w:val="20"/>
        </w:rPr>
        <w:t>A</w:t>
      </w:r>
    </w:p>
    <w:p w:rsidR="00000000" w:rsidRDefault="00477EE8">
      <w:pPr>
        <w:pStyle w:val="a3"/>
        <w:spacing w:before="120" w:beforeAutospacing="0" w:after="0" w:afterAutospacing="0"/>
        <w:ind w:firstLine="555"/>
        <w:rPr>
          <w:sz w:val="20"/>
          <w:szCs w:val="20"/>
        </w:rPr>
      </w:pPr>
      <w:r>
        <w:rPr>
          <w:sz w:val="20"/>
          <w:szCs w:val="20"/>
        </w:rPr>
        <w:t>The HIPAA privacy, security, and breach notification regulations establish a uniform federal “floor” but do not supersede state laws that are more string</w:t>
      </w:r>
      <w:r>
        <w:rPr>
          <w:sz w:val="20"/>
          <w:szCs w:val="20"/>
        </w:rPr>
        <w:t>ent or that provide individuals with greater rights with respect to the privacy or security of, and access to, their records containing PHI, or insofar as such state laws apply to personal information that is broader in scope than PHI, as defined under HIP</w:t>
      </w:r>
      <w:r>
        <w:rPr>
          <w:sz w:val="20"/>
          <w:szCs w:val="20"/>
        </w:rPr>
        <w:t>AA. The compliance requirements of these laws, including additional breach reporting requirements, and the penalties for violation vary widely, and new privacy and security laws in this area are evolving. For example, several states, such as California, ha</w:t>
      </w:r>
      <w:r>
        <w:rPr>
          <w:sz w:val="20"/>
          <w:szCs w:val="20"/>
        </w:rPr>
        <w:t>ve implemented comprehensive privacy laws and regulations. The California Confidentiality of Medical Information Act, or CMIA, imposes restrictive requirements regulating the use and disclosure of health information and other personally identifiable inform</w:t>
      </w:r>
      <w:r>
        <w:rPr>
          <w:sz w:val="20"/>
          <w:szCs w:val="20"/>
        </w:rPr>
        <w:t>ation</w:t>
      </w:r>
      <w:r>
        <w:rPr>
          <w:sz w:val="20"/>
          <w:szCs w:val="20"/>
        </w:rPr>
        <w:t>.</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1</w:t>
      </w:r>
      <w:r>
        <w:rPr>
          <w:sz w:val="20"/>
          <w:szCs w:val="20"/>
        </w:rPr>
        <w:t>0</w:t>
      </w:r>
    </w:p>
    <w:p w:rsidR="00000000" w:rsidRDefault="00477EE8">
      <w:pPr>
        <w:rPr>
          <w:rFonts w:eastAsia="Times New Roman"/>
        </w:rPr>
      </w:pPr>
      <w:r>
        <w:rPr>
          <w:rFonts w:eastAsia="Times New Roman"/>
        </w:rPr>
        <w:pict>
          <v:rect id="_x0000_i1049" style="width:0;height:1.5pt" o:hralign="center" o:hrstd="t" o:hr="t" fillcolor="#a0a0a0" stroked="f"/>
        </w:pict>
      </w:r>
    </w:p>
    <w:p w:rsidR="00000000" w:rsidRDefault="00477EE8">
      <w:pPr>
        <w:pStyle w:val="a3"/>
        <w:spacing w:before="120" w:beforeAutospacing="0" w:after="0" w:afterAutospacing="0"/>
        <w:rPr>
          <w:sz w:val="20"/>
          <w:szCs w:val="20"/>
        </w:rPr>
      </w:pPr>
      <w:r>
        <w:rPr>
          <w:sz w:val="20"/>
          <w:szCs w:val="20"/>
        </w:rPr>
        <w:t>In addition to fines and penalties imposed upon violators, some of these state laws also afford private rights of action to individuals who believe their personal information has been misused. California’s patient privac</w:t>
      </w:r>
      <w:r>
        <w:rPr>
          <w:sz w:val="20"/>
          <w:szCs w:val="20"/>
        </w:rPr>
        <w:t>y laws, for example, provide for penalties of up to $250,000 and permit injured parties to sue for damages</w:t>
      </w:r>
      <w:r>
        <w:rPr>
          <w:sz w:val="20"/>
          <w:szCs w:val="20"/>
        </w:rPr>
        <w:t>.</w:t>
      </w:r>
      <w:r>
        <w:rPr>
          <w:sz w:val="20"/>
          <w:szCs w:val="20"/>
        </w:rPr>
        <w:t xml:space="preserve"> </w:t>
      </w:r>
    </w:p>
    <w:p w:rsidR="00000000" w:rsidRDefault="00477EE8">
      <w:pPr>
        <w:pStyle w:val="a3"/>
        <w:spacing w:before="360" w:beforeAutospacing="0" w:after="0" w:afterAutospacing="0"/>
        <w:ind w:left="238"/>
        <w:rPr>
          <w:sz w:val="20"/>
          <w:szCs w:val="20"/>
        </w:rPr>
      </w:pPr>
      <w:r>
        <w:rPr>
          <w:b/>
          <w:bCs/>
          <w:i/>
          <w:iCs/>
          <w:sz w:val="20"/>
          <w:szCs w:val="20"/>
        </w:rPr>
        <w:t>CCPA/CPR</w:t>
      </w:r>
      <w:r>
        <w:rPr>
          <w:b/>
          <w:bCs/>
          <w:i/>
          <w:iCs/>
          <w:sz w:val="20"/>
          <w:szCs w:val="20"/>
        </w:rPr>
        <w:t>A</w:t>
      </w:r>
    </w:p>
    <w:p w:rsidR="00000000" w:rsidRDefault="00477EE8">
      <w:pPr>
        <w:pStyle w:val="a3"/>
        <w:spacing w:before="120" w:beforeAutospacing="0" w:after="0" w:afterAutospacing="0"/>
        <w:ind w:firstLine="555"/>
        <w:rPr>
          <w:sz w:val="20"/>
          <w:szCs w:val="20"/>
        </w:rPr>
      </w:pPr>
      <w:r>
        <w:rPr>
          <w:sz w:val="20"/>
          <w:szCs w:val="20"/>
        </w:rPr>
        <w:t>In addition to the CMIA, California recently adopted the California Consumer Privacy Act of 2018, or CCPA, which came into effect on Janu</w:t>
      </w:r>
      <w:r>
        <w:rPr>
          <w:sz w:val="20"/>
          <w:szCs w:val="20"/>
        </w:rPr>
        <w:t>ary 1, 2020. The CCPA established a new privacy framework for covered businesses by creating an expanded definition of personal information, establishing new data privacy rights for California consumers, imposing special rules on the collection of consumer</w:t>
      </w:r>
      <w:r>
        <w:rPr>
          <w:sz w:val="20"/>
          <w:szCs w:val="20"/>
        </w:rPr>
        <w:t xml:space="preserve"> data from minors, and creating a new and potentially severe statutory damages framework for businesses that violate the CCPA and/or fail to implement reasonable security procedures and practices to prevent data breaches. Although the CCPA does not directl</w:t>
      </w:r>
      <w:r>
        <w:rPr>
          <w:sz w:val="20"/>
          <w:szCs w:val="20"/>
        </w:rPr>
        <w:t>y apply to medical information covered by HIPAA or CMIA, certain other personal information that our business may collect and use is within the scope of the CCPA and does not fall under the CCPA exception. Additionally, the California Privacy Rights Act, o</w:t>
      </w:r>
      <w:r>
        <w:rPr>
          <w:sz w:val="20"/>
          <w:szCs w:val="20"/>
        </w:rPr>
        <w:t xml:space="preserve">r CPRA, which expanded the CCPA, became effective on January 1, 2023 and, among other things, it established the California Privacy Protection Agency, or CPPA, a new regulatory authority charged with administering and enforcing the CRPA and privacy rights </w:t>
      </w:r>
      <w:r>
        <w:rPr>
          <w:sz w:val="20"/>
          <w:szCs w:val="20"/>
        </w:rPr>
        <w:t xml:space="preserve">in California. The CPPA has the power to levy fines and bring other enforcement actions and is in the process of implementing further regulations that could have operational impacts. In addition to California, other states have similar privacy laws taking </w:t>
      </w:r>
      <w:r>
        <w:rPr>
          <w:sz w:val="20"/>
          <w:szCs w:val="20"/>
        </w:rPr>
        <w:t>effect in 2023, including Virginia, Colorado, Connecticut, and Utah. There are also several federal privacy proposals under consideration in Congress, and other states have already introduced privacy legislation for consideration in 2023. The CPRA and othe</w:t>
      </w:r>
      <w:r>
        <w:rPr>
          <w:sz w:val="20"/>
          <w:szCs w:val="20"/>
        </w:rPr>
        <w:t>r state privacy laws could impact our operations or that of our collaborators and business partners and impose new regulatory requirements and increase costs of compliance</w:t>
      </w:r>
      <w:r>
        <w:rPr>
          <w:sz w:val="20"/>
          <w:szCs w:val="20"/>
        </w:rPr>
        <w:t>.</w:t>
      </w:r>
    </w:p>
    <w:p w:rsidR="00000000" w:rsidRDefault="00477EE8">
      <w:pPr>
        <w:pStyle w:val="a3"/>
        <w:spacing w:before="360" w:beforeAutospacing="0" w:after="0" w:afterAutospacing="0"/>
        <w:ind w:left="238"/>
        <w:rPr>
          <w:sz w:val="20"/>
          <w:szCs w:val="20"/>
        </w:rPr>
      </w:pPr>
      <w:r>
        <w:rPr>
          <w:b/>
          <w:bCs/>
          <w:i/>
          <w:iCs/>
          <w:sz w:val="20"/>
          <w:szCs w:val="20"/>
        </w:rPr>
        <w:t>Information Blocking Rule</w:t>
      </w:r>
      <w:r>
        <w:rPr>
          <w:b/>
          <w:bCs/>
          <w:i/>
          <w:iCs/>
          <w:sz w:val="20"/>
          <w:szCs w:val="20"/>
        </w:rPr>
        <w:t>s</w:t>
      </w:r>
    </w:p>
    <w:p w:rsidR="00000000" w:rsidRDefault="00477EE8">
      <w:pPr>
        <w:pStyle w:val="a3"/>
        <w:spacing w:before="120" w:beforeAutospacing="0" w:after="0" w:afterAutospacing="0"/>
        <w:ind w:firstLine="555"/>
        <w:rPr>
          <w:sz w:val="20"/>
          <w:szCs w:val="20"/>
        </w:rPr>
      </w:pPr>
      <w:r>
        <w:rPr>
          <w:sz w:val="20"/>
          <w:szCs w:val="20"/>
        </w:rPr>
        <w:t>The National Coordinator for Health Information Technolo</w:t>
      </w:r>
      <w:r>
        <w:rPr>
          <w:sz w:val="20"/>
          <w:szCs w:val="20"/>
        </w:rPr>
        <w:t>gy, or ONC, coordinates the ongoing development of standards to enable interoperable health information technology infrastructure nationwide in the healthcare sector. In May 2020, ONC released the final Information Blocking Rule to implement the interopera</w:t>
      </w:r>
      <w:r>
        <w:rPr>
          <w:sz w:val="20"/>
          <w:szCs w:val="20"/>
        </w:rPr>
        <w:t>bility and patient access provisions of the 21st Century Cures Act, which took effect in 2021. We need to continually engage in ongoing reviews of all potential practices that could be considered likely to interfere with access, exchange, or use of electro</w:t>
      </w:r>
      <w:r>
        <w:rPr>
          <w:sz w:val="20"/>
          <w:szCs w:val="20"/>
        </w:rPr>
        <w:t>nic health information, as those practices are prohibited by the Information Blocking Rule unless one of the exceptions outlined in the Information Blocking Rule applies</w:t>
      </w:r>
      <w:r>
        <w:rPr>
          <w:sz w:val="20"/>
          <w:szCs w:val="20"/>
        </w:rPr>
        <w:t>.</w:t>
      </w:r>
      <w:r>
        <w:t xml:space="preserve"> </w:t>
      </w:r>
      <w:r>
        <w:rPr>
          <w:sz w:val="20"/>
          <w:szCs w:val="20"/>
        </w:rPr>
        <w:t>Among other things, the Information Blocking Rule requires us to provide patients wit</w:t>
      </w:r>
      <w:r>
        <w:rPr>
          <w:sz w:val="20"/>
          <w:szCs w:val="20"/>
        </w:rPr>
        <w:t>h on-demand access to laboratory test results. These requirements can be inconsistent with our obligations under state law and/or medical or ethical standards. It is currently unclear how the ONC will approach delays in providing patient access in these si</w:t>
      </w:r>
      <w:r>
        <w:rPr>
          <w:sz w:val="20"/>
          <w:szCs w:val="20"/>
        </w:rPr>
        <w:t>tuations</w:t>
      </w:r>
      <w:r>
        <w:rPr>
          <w:sz w:val="20"/>
          <w:szCs w:val="20"/>
        </w:rPr>
        <w:t>.</w:t>
      </w:r>
      <w:r>
        <w:t xml:space="preserve"> </w:t>
      </w:r>
      <w:r>
        <w:rPr>
          <w:sz w:val="20"/>
          <w:szCs w:val="20"/>
        </w:rPr>
        <w:t>Health care providers, including laboratories</w:t>
      </w:r>
      <w:r>
        <w:rPr>
          <w:sz w:val="20"/>
          <w:szCs w:val="20"/>
        </w:rPr>
        <w:t>,</w:t>
      </w:r>
      <w:r>
        <w:t xml:space="preserve"> </w:t>
      </w:r>
      <w:r>
        <w:rPr>
          <w:sz w:val="20"/>
          <w:szCs w:val="20"/>
        </w:rPr>
        <w:t>are subject t</w:t>
      </w:r>
      <w:r>
        <w:rPr>
          <w:sz w:val="20"/>
          <w:szCs w:val="20"/>
        </w:rPr>
        <w:t>o</w:t>
      </w:r>
      <w:r>
        <w:rPr>
          <w:sz w:val="20"/>
          <w:szCs w:val="20"/>
        </w:rPr>
        <w:t xml:space="preserve"> civil monetary penalties for violations of the Information Blocking Rule, up to $1 million per violation</w:t>
      </w:r>
      <w:r>
        <w:rPr>
          <w:sz w:val="20"/>
          <w:szCs w:val="20"/>
        </w:rPr>
        <w:t>.</w:t>
      </w:r>
    </w:p>
    <w:p w:rsidR="00000000" w:rsidRDefault="00477EE8">
      <w:pPr>
        <w:pStyle w:val="a3"/>
        <w:spacing w:before="360" w:beforeAutospacing="0" w:after="0" w:afterAutospacing="0"/>
        <w:ind w:left="238"/>
        <w:rPr>
          <w:sz w:val="20"/>
          <w:szCs w:val="20"/>
        </w:rPr>
      </w:pPr>
      <w:r>
        <w:rPr>
          <w:b/>
          <w:bCs/>
          <w:i/>
          <w:iCs/>
          <w:sz w:val="20"/>
          <w:szCs w:val="20"/>
        </w:rPr>
        <w:t>Foreign Laws and Other Law</w:t>
      </w:r>
      <w:r>
        <w:rPr>
          <w:b/>
          <w:bCs/>
          <w:i/>
          <w:iCs/>
          <w:sz w:val="20"/>
          <w:szCs w:val="20"/>
        </w:rPr>
        <w:t>s</w:t>
      </w:r>
    </w:p>
    <w:p w:rsidR="00000000" w:rsidRDefault="00477EE8">
      <w:pPr>
        <w:pStyle w:val="a3"/>
        <w:spacing w:before="120" w:beforeAutospacing="0" w:after="0" w:afterAutospacing="0"/>
        <w:ind w:firstLine="555"/>
        <w:rPr>
          <w:sz w:val="20"/>
          <w:szCs w:val="20"/>
        </w:rPr>
      </w:pPr>
      <w:r>
        <w:rPr>
          <w:sz w:val="20"/>
          <w:szCs w:val="20"/>
        </w:rPr>
        <w:t>We are also subject to foreign privacy laws in the</w:t>
      </w:r>
      <w:r>
        <w:rPr>
          <w:sz w:val="20"/>
          <w:szCs w:val="20"/>
        </w:rPr>
        <w:t xml:space="preserve"> jurisdictions in which we sell our tests. The interpretation, application, and interplay of consumer and health-related data protection laws in the United States, Europe, and elsewhere are often uncertain, contradictory, and in flux. For example, the Gene</w:t>
      </w:r>
      <w:r>
        <w:rPr>
          <w:sz w:val="20"/>
          <w:szCs w:val="20"/>
        </w:rPr>
        <w:t>ral Data Protection Regulation, or GDPR, and Cybersecurity Directive have been enacted in the European Union and became effective in May 2018. These regulations introduced many changes to privacy and security in the European Union, including stricter rules</w:t>
      </w:r>
      <w:r>
        <w:rPr>
          <w:sz w:val="20"/>
          <w:szCs w:val="20"/>
        </w:rPr>
        <w:t xml:space="preserve"> on consent and security duties for critical industries, including for the health sector generally and for genetic data specifically. The interpretation of some rules continues to evolve in guidance from the main regulatory authority, the European Data Pro</w:t>
      </w:r>
      <w:r>
        <w:rPr>
          <w:sz w:val="20"/>
          <w:szCs w:val="20"/>
        </w:rPr>
        <w:t xml:space="preserve">tection Board, and some requirements may be completed by national legislation. This makes it difficult to assess the impact of these foreign data protection laws on our business at this time. More generally, foreign laws and interpretations governing data </w:t>
      </w:r>
      <w:r>
        <w:rPr>
          <w:sz w:val="20"/>
          <w:szCs w:val="20"/>
        </w:rPr>
        <w:t>privacy and security are constantly evolving, and it is possible that laws may be interpreted and applied in a manner that is inconsistent with our current practices, in which case we could be subject to government-imposed fines or orders requiring that we</w:t>
      </w:r>
      <w:r>
        <w:rPr>
          <w:sz w:val="20"/>
          <w:szCs w:val="20"/>
        </w:rPr>
        <w:t xml:space="preserve"> change our practices. These fines can be very high. For instance, the GDPR provides for fines of up to approximately $22 million or 4% of a group’s worldwide annual turnover for certain infringements. In addition, privacy regulations differ widely from co</w:t>
      </w:r>
      <w:r>
        <w:rPr>
          <w:sz w:val="20"/>
          <w:szCs w:val="20"/>
        </w:rPr>
        <w:t>untry to countr</w:t>
      </w:r>
      <w:r>
        <w:rPr>
          <w:sz w:val="20"/>
          <w:szCs w:val="20"/>
        </w:rPr>
        <w:t>y</w:t>
      </w:r>
      <w:r>
        <w:t xml:space="preserve"> </w:t>
      </w:r>
      <w:r>
        <w:rPr>
          <w:sz w:val="20"/>
          <w:szCs w:val="20"/>
        </w:rPr>
        <w:t>and are enforced by individual country data protection authorities, which have power to enforce privacy regulations. Various data protection authorities have issued fines in the millions of euros for violations of privacy laws. Many states</w:t>
      </w:r>
      <w:r>
        <w:rPr>
          <w:sz w:val="20"/>
          <w:szCs w:val="20"/>
        </w:rPr>
        <w:t xml:space="preserve"> have also implemented genetic testing and privacy laws imposing specific patient consent requirements and requirements for protecting test results. The interplay of federal and state laws may be subject to varying interpretations by courts and government </w:t>
      </w:r>
      <w:r>
        <w:rPr>
          <w:sz w:val="20"/>
          <w:szCs w:val="20"/>
        </w:rPr>
        <w:t>agencies, creating complex compliance issues for us and our clients and potentially exposing us to additional expense, adverse publicity, and legal and regulatory liability. Further, as regulatory focus on privacy issues continues to increase, and laws and</w:t>
      </w:r>
      <w:r>
        <w:rPr>
          <w:sz w:val="20"/>
          <w:szCs w:val="20"/>
        </w:rPr>
        <w:t xml:space="preserve"> regulations concerning the protection of personal information expand and become more complex, these potential risks to our business could intensify. In addition, the interpretation and application of consumer, health-related, and data protection laws are </w:t>
      </w:r>
      <w:r>
        <w:rPr>
          <w:sz w:val="20"/>
          <w:szCs w:val="20"/>
        </w:rPr>
        <w:t>often uncertain, contradictory, and in flux. For example, increasing concerns about health information privacy have recently prompted the federal government to issue guidance, taking a newly expansive view of the scope of the laws and regulations that they</w:t>
      </w:r>
      <w:r>
        <w:rPr>
          <w:sz w:val="20"/>
          <w:szCs w:val="20"/>
        </w:rPr>
        <w:t xml:space="preserve"> enforce. The applicability and requirements of these laws and penalties for violations vary widely. Failure to maintain compliance, or changes i</w:t>
      </w:r>
      <w:r>
        <w:rPr>
          <w:sz w:val="20"/>
          <w:szCs w:val="20"/>
        </w:rPr>
        <w:t>n</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1</w:t>
      </w:r>
      <w:r>
        <w:rPr>
          <w:sz w:val="20"/>
          <w:szCs w:val="20"/>
        </w:rPr>
        <w:t>1</w:t>
      </w:r>
    </w:p>
    <w:p w:rsidR="00000000" w:rsidRDefault="00477EE8">
      <w:pPr>
        <w:rPr>
          <w:rFonts w:eastAsia="Times New Roman"/>
        </w:rPr>
      </w:pPr>
      <w:r>
        <w:rPr>
          <w:rFonts w:eastAsia="Times New Roman"/>
        </w:rPr>
        <w:pict>
          <v:rect id="_x0000_i1050" style="width:0;height:1.5pt" o:hralign="center" o:hrstd="t" o:hr="t" fillcolor="#a0a0a0" stroked="f"/>
        </w:pict>
      </w:r>
    </w:p>
    <w:p w:rsidR="00000000" w:rsidRDefault="00477EE8">
      <w:pPr>
        <w:pStyle w:val="a3"/>
        <w:spacing w:before="120" w:beforeAutospacing="0" w:after="0" w:afterAutospacing="0"/>
        <w:rPr>
          <w:sz w:val="20"/>
          <w:szCs w:val="20"/>
        </w:rPr>
      </w:pPr>
      <w:r>
        <w:rPr>
          <w:sz w:val="20"/>
          <w:szCs w:val="20"/>
        </w:rPr>
        <w:t>state or federal laws regarding privacy or security, could result in</w:t>
      </w:r>
      <w:r>
        <w:rPr>
          <w:sz w:val="20"/>
          <w:szCs w:val="20"/>
        </w:rPr>
        <w:t xml:space="preserve"> civil and/or criminal penalties and damages and could have a material adverse effect on our business</w:t>
      </w:r>
      <w:r>
        <w:rPr>
          <w:sz w:val="20"/>
          <w:szCs w:val="20"/>
        </w:rPr>
        <w:t>.</w:t>
      </w:r>
    </w:p>
    <w:p w:rsidR="00000000" w:rsidRDefault="00477EE8">
      <w:pPr>
        <w:pStyle w:val="a3"/>
        <w:spacing w:before="240" w:beforeAutospacing="0" w:after="0" w:afterAutospacing="0"/>
        <w:ind w:firstLine="555"/>
        <w:rPr>
          <w:sz w:val="20"/>
          <w:szCs w:val="20"/>
        </w:rPr>
      </w:pPr>
      <w:r>
        <w:rPr>
          <w:sz w:val="20"/>
          <w:szCs w:val="20"/>
        </w:rPr>
        <w:t>Numerous other federal, state, and foreign laws, including consumer protection laws and regulations, govern the collection, dissemination, use, access to</w:t>
      </w:r>
      <w:r>
        <w:rPr>
          <w:sz w:val="20"/>
          <w:szCs w:val="20"/>
        </w:rPr>
        <w:t>, confidentiality and security of patient health information. In addition, Congress and some states are considering new laws and regulations that further and more broadly protect the privacy and security of medical records or health information. With the r</w:t>
      </w:r>
      <w:r>
        <w:rPr>
          <w:sz w:val="20"/>
          <w:szCs w:val="20"/>
        </w:rPr>
        <w:t>ecent increase in publicity regarding data breaches resulting in improper dissemination of consumer information, all 50 states have passed laws regulating the actions that a business must take if it experiences a data breach, as defined by state law, inclu</w:t>
      </w:r>
      <w:r>
        <w:rPr>
          <w:sz w:val="20"/>
          <w:szCs w:val="20"/>
        </w:rPr>
        <w:t>ding, in certain instances, prompt disclosure within a specified amount of time to affected individuals. Congress has also been considering similar federal legislation relating to data privacy and data protection. The FTC and states’ Attorneys General have</w:t>
      </w:r>
      <w:r>
        <w:rPr>
          <w:sz w:val="20"/>
          <w:szCs w:val="20"/>
        </w:rPr>
        <w:t xml:space="preserve"> also brought enforcement actions and prosecuted some data breach cases as unfair and/or deceptive acts or practices under the FTC Act and comparable state laws. In addition to data breach notification laws, some states have enacted statutes and rules requ</w:t>
      </w:r>
      <w:r>
        <w:rPr>
          <w:sz w:val="20"/>
          <w:szCs w:val="20"/>
        </w:rPr>
        <w:t>iring businesses to reasonably protect certain types of personal information they hold or to otherwise comply with certain specified data security requirements for personal information. We intend to continue to comprehensively protect all personal informat</w:t>
      </w:r>
      <w:r>
        <w:rPr>
          <w:sz w:val="20"/>
          <w:szCs w:val="20"/>
        </w:rPr>
        <w:t>ion and to comply with applicable laws regarding the protection of such information</w:t>
      </w:r>
      <w:r>
        <w:rPr>
          <w:sz w:val="20"/>
          <w:szCs w:val="20"/>
        </w:rPr>
        <w:t>.</w:t>
      </w:r>
      <w:r>
        <w:rPr>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In many activities, including the conduct of clinical trials, we are subject to laws and regulations governing data privacy and the protection of health-related and other</w:t>
      </w:r>
      <w:r>
        <w:rPr>
          <w:sz w:val="20"/>
          <w:szCs w:val="20"/>
        </w:rPr>
        <w:t xml:space="preserve"> personal information. These laws and regulations govern our processing of personal data, including the collection, access, use, analysis, modification, storage, transfer, security breach notification, destruction, and disposal of personal data. We must co</w:t>
      </w:r>
      <w:r>
        <w:rPr>
          <w:sz w:val="20"/>
          <w:szCs w:val="20"/>
        </w:rPr>
        <w:t>mply with laws and regulations associated with the international transfer of personal data based on the location in which the personal data originates and the location in which it is processed</w:t>
      </w:r>
      <w:r>
        <w:rPr>
          <w:sz w:val="20"/>
          <w:szCs w:val="20"/>
        </w:rPr>
        <w:t>.</w:t>
      </w:r>
    </w:p>
    <w:p w:rsidR="00000000" w:rsidRDefault="00477EE8">
      <w:pPr>
        <w:pStyle w:val="a3"/>
        <w:spacing w:before="240" w:beforeAutospacing="0" w:after="0" w:afterAutospacing="0"/>
        <w:ind w:firstLine="555"/>
        <w:rPr>
          <w:sz w:val="20"/>
          <w:szCs w:val="20"/>
        </w:rPr>
      </w:pPr>
      <w:r>
        <w:rPr>
          <w:sz w:val="20"/>
          <w:szCs w:val="20"/>
        </w:rPr>
        <w:t>If we or our vendors fail to comply with applicable data priva</w:t>
      </w:r>
      <w:r>
        <w:rPr>
          <w:sz w:val="20"/>
          <w:szCs w:val="20"/>
        </w:rPr>
        <w:t>cy laws, or if the legal mechanisms we or our vendors rely upon to allow for the transfer of personal data from the European Union to the United States (or other countries not considered by the European Commission to provide an adequate level of data prote</w:t>
      </w:r>
      <w:r>
        <w:rPr>
          <w:sz w:val="20"/>
          <w:szCs w:val="20"/>
        </w:rPr>
        <w:t>ction) are not considered adequate, we could be subject to government enforcement actions and significant penalties against us, and our business could be adversely impacted if our ability to transfer personal data outside of the European Union is restricte</w:t>
      </w:r>
      <w:r>
        <w:rPr>
          <w:sz w:val="20"/>
          <w:szCs w:val="20"/>
        </w:rPr>
        <w:t>d, which could adversely impact our operating results. The GDPR has increased our responsibility and potential liability in relation to European Union personal data that we process, and we may be required to put in place additional mechanisms to ensure com</w:t>
      </w:r>
      <w:r>
        <w:rPr>
          <w:sz w:val="20"/>
          <w:szCs w:val="20"/>
        </w:rPr>
        <w:t>pliance with the GDPR. However, our ongoing efforts related to compliance with the GDPR may not be successful and could increase our cost of doing business. In addition, data protection authorities of the different European Union member states may interpre</w:t>
      </w:r>
      <w:r>
        <w:rPr>
          <w:sz w:val="20"/>
          <w:szCs w:val="20"/>
        </w:rPr>
        <w:t>t the GDPR differently, and guidance on implementation and compliance practices is often updated or otherwise revised, which adds to the complexity of processing personal data in the European Union. In addition to the GDPR, other countries have enacted dat</w:t>
      </w:r>
      <w:r>
        <w:rPr>
          <w:sz w:val="20"/>
          <w:szCs w:val="20"/>
        </w:rPr>
        <w:t>a protection legislation, which increase the complexity of doing international business and transferring sensitive personal information from those countries to the United States</w:t>
      </w:r>
      <w:r>
        <w:rPr>
          <w:sz w:val="20"/>
          <w:szCs w:val="20"/>
        </w:rPr>
        <w:t>.</w:t>
      </w:r>
    </w:p>
    <w:p w:rsidR="00000000" w:rsidRDefault="00477EE8">
      <w:pPr>
        <w:pStyle w:val="a3"/>
        <w:spacing w:before="240" w:beforeAutospacing="0" w:after="0" w:afterAutospacing="0"/>
        <w:ind w:firstLine="555"/>
        <w:rPr>
          <w:sz w:val="20"/>
          <w:szCs w:val="20"/>
        </w:rPr>
      </w:pPr>
      <w:r>
        <w:rPr>
          <w:sz w:val="20"/>
          <w:szCs w:val="20"/>
        </w:rPr>
        <w:t>The privacy and security of personally identifiable information stored, maint</w:t>
      </w:r>
      <w:r>
        <w:rPr>
          <w:sz w:val="20"/>
          <w:szCs w:val="20"/>
        </w:rPr>
        <w:t>ained, received, or transmitted, including electronically, is subject to significant regulation in the United States and abroad. While we strive to comply with all applicable privacy and security laws and regulations, legal standards for privacy continue t</w:t>
      </w:r>
      <w:r>
        <w:rPr>
          <w:sz w:val="20"/>
          <w:szCs w:val="20"/>
        </w:rPr>
        <w:t>o evolve, and any failure or perceived failure to comply may result in proceedings or actions against us by government entities or others, or could cause reputational harm, which could have a material adverse effect on our business</w:t>
      </w:r>
      <w:r>
        <w:rPr>
          <w:sz w:val="20"/>
          <w:szCs w:val="20"/>
        </w:rPr>
        <w:t>.</w:t>
      </w:r>
    </w:p>
    <w:p w:rsidR="00000000" w:rsidRDefault="00477EE8">
      <w:pPr>
        <w:pStyle w:val="a3"/>
        <w:spacing w:before="360" w:beforeAutospacing="0" w:after="0" w:afterAutospacing="0"/>
        <w:rPr>
          <w:sz w:val="20"/>
          <w:szCs w:val="20"/>
        </w:rPr>
      </w:pPr>
      <w:r>
        <w:rPr>
          <w:b/>
          <w:bCs/>
          <w:sz w:val="20"/>
          <w:szCs w:val="20"/>
        </w:rPr>
        <w:t>Healthcare Fraud and Ab</w:t>
      </w:r>
      <w:r>
        <w:rPr>
          <w:b/>
          <w:bCs/>
          <w:sz w:val="20"/>
          <w:szCs w:val="20"/>
        </w:rPr>
        <w:t>use Laws Applicable to Our Busines</w:t>
      </w:r>
      <w:r>
        <w:rPr>
          <w:b/>
          <w:bCs/>
          <w:sz w:val="20"/>
          <w:szCs w:val="20"/>
        </w:rPr>
        <w:t>s</w:t>
      </w:r>
    </w:p>
    <w:p w:rsidR="00000000" w:rsidRDefault="00477EE8">
      <w:pPr>
        <w:pStyle w:val="a3"/>
        <w:spacing w:before="120" w:beforeAutospacing="0" w:after="0" w:afterAutospacing="0"/>
        <w:ind w:firstLine="555"/>
        <w:rPr>
          <w:sz w:val="20"/>
          <w:szCs w:val="20"/>
        </w:rPr>
      </w:pPr>
      <w:r>
        <w:rPr>
          <w:sz w:val="20"/>
          <w:szCs w:val="20"/>
        </w:rPr>
        <w:t>In the United States, we must comply with various fraud and abuse laws, and we are subject to regulation by various federal, stat</w:t>
      </w:r>
      <w:r>
        <w:rPr>
          <w:sz w:val="20"/>
          <w:szCs w:val="20"/>
        </w:rPr>
        <w:t>e</w:t>
      </w:r>
      <w:r>
        <w:rPr>
          <w:sz w:val="20"/>
          <w:szCs w:val="20"/>
          <w:u w:val="single"/>
        </w:rPr>
        <w:t>,</w:t>
      </w:r>
      <w:r>
        <w:rPr>
          <w:sz w:val="20"/>
          <w:szCs w:val="20"/>
        </w:rPr>
        <w:t xml:space="preserve"> and local authorities, including CMS, other divisions of HHS (such as the Office of Insp</w:t>
      </w:r>
      <w:r>
        <w:rPr>
          <w:sz w:val="20"/>
          <w:szCs w:val="20"/>
        </w:rPr>
        <w:t>ector General), the U.S. Department of Justice, individual U.S. Attorney’s Offices within the Department of Justice, and state and local governments. We also may be subject to foreign fraud and abuse laws</w:t>
      </w:r>
      <w:r>
        <w:rPr>
          <w:sz w:val="20"/>
          <w:szCs w:val="20"/>
        </w:rPr>
        <w:t>.</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1</w:t>
      </w:r>
      <w:r>
        <w:rPr>
          <w:sz w:val="20"/>
          <w:szCs w:val="20"/>
        </w:rPr>
        <w:t>2</w:t>
      </w:r>
    </w:p>
    <w:p w:rsidR="00000000" w:rsidRDefault="00477EE8">
      <w:pPr>
        <w:rPr>
          <w:rFonts w:eastAsia="Times New Roman"/>
        </w:rPr>
      </w:pPr>
      <w:r>
        <w:rPr>
          <w:rFonts w:eastAsia="Times New Roman"/>
        </w:rPr>
        <w:pict>
          <v:rect id="_x0000_i1051" style="width:0;height:1.5pt" o:hralign="center" o:hrstd="t" o:hr="t" fillcolor="#a0a0a0" stroked="f"/>
        </w:pict>
      </w:r>
    </w:p>
    <w:p w:rsidR="00000000" w:rsidRDefault="00477EE8">
      <w:pPr>
        <w:pStyle w:val="a3"/>
        <w:spacing w:before="360" w:beforeAutospacing="0" w:after="0" w:afterAutospacing="0"/>
        <w:ind w:left="238"/>
        <w:rPr>
          <w:sz w:val="20"/>
          <w:szCs w:val="20"/>
        </w:rPr>
      </w:pPr>
      <w:r>
        <w:rPr>
          <w:b/>
          <w:bCs/>
          <w:i/>
          <w:iCs/>
          <w:sz w:val="20"/>
          <w:szCs w:val="20"/>
        </w:rPr>
        <w:t>Anti-Kickb</w:t>
      </w:r>
      <w:r>
        <w:rPr>
          <w:b/>
          <w:bCs/>
          <w:i/>
          <w:iCs/>
          <w:sz w:val="20"/>
          <w:szCs w:val="20"/>
        </w:rPr>
        <w:t>ack and Fraud Statute</w:t>
      </w:r>
      <w:r>
        <w:rPr>
          <w:b/>
          <w:bCs/>
          <w:i/>
          <w:iCs/>
          <w:sz w:val="20"/>
          <w:szCs w:val="20"/>
        </w:rPr>
        <w:t>s</w:t>
      </w:r>
      <w:r>
        <w:rPr>
          <w:b/>
          <w:bCs/>
          <w:i/>
          <w:iCs/>
          <w:sz w:val="20"/>
          <w:szCs w:val="20"/>
        </w:rPr>
        <w:t xml:space="preserve"> </w:t>
      </w:r>
    </w:p>
    <w:p w:rsidR="00000000" w:rsidRDefault="00477EE8">
      <w:pPr>
        <w:pStyle w:val="a3"/>
        <w:spacing w:before="120" w:beforeAutospacing="0" w:after="0" w:afterAutospacing="0"/>
        <w:ind w:firstLine="555"/>
        <w:rPr>
          <w:sz w:val="20"/>
          <w:szCs w:val="20"/>
        </w:rPr>
      </w:pPr>
      <w:r>
        <w:rPr>
          <w:sz w:val="20"/>
          <w:szCs w:val="20"/>
        </w:rPr>
        <w:t>In the United States, the federal Anti-Kickback Statute prohibits, among other things, knowingly and willfully offering, paying, soliciting or receiving remuneration, directly or indirectly, overtly or covertly, in cash or in kind, in order to induce or in</w:t>
      </w:r>
      <w:r>
        <w:rPr>
          <w:sz w:val="20"/>
          <w:szCs w:val="20"/>
        </w:rPr>
        <w:t xml:space="preserve"> return for the referral of an individual for the furnishing of, or the recommending or arranging for the furnishing of, purchasing, leasing, ordering or arranging for or recommending purchasing, leasing or ordering of any good, facility, service or item f</w:t>
      </w:r>
      <w:r>
        <w:rPr>
          <w:sz w:val="20"/>
          <w:szCs w:val="20"/>
        </w:rPr>
        <w:t>or which payment may be made in whole or in part by a federal healthcare program. Courts have stated that a financial arrangement may violate the Anti-Kickback Statute if any one purpose of the arrangement is to encourage patient referrals or other federal</w:t>
      </w:r>
      <w:r>
        <w:rPr>
          <w:sz w:val="20"/>
          <w:szCs w:val="20"/>
        </w:rPr>
        <w:t xml:space="preserve"> healthcare program business, regardless of whether there are other legitimate purposes for the arrangement. The definition of “remuneration” has been broadly interpreted to include anything of value, including gifts, discounts, credit arrangements, paymen</w:t>
      </w:r>
      <w:r>
        <w:rPr>
          <w:sz w:val="20"/>
          <w:szCs w:val="20"/>
        </w:rPr>
        <w:t>ts of cash, consulting fees, waivers of co-payments, ownership interests, and providing anything at less than its fair market value. The Anti-Kickback Statute is broad and may technically prohibit many innocuous or beneficial arrangements within the health</w:t>
      </w:r>
      <w:r>
        <w:rPr>
          <w:sz w:val="20"/>
          <w:szCs w:val="20"/>
        </w:rPr>
        <w:t>care industry, although it does contain several exceptions. HHS has issued a series of regulatory “safe harbors” setting forth certain provisions that, if met, will immunize the parties to the arrangement from prosecution under the Anti-Kickback Statute. A</w:t>
      </w:r>
      <w:r>
        <w:rPr>
          <w:sz w:val="20"/>
          <w:szCs w:val="20"/>
        </w:rPr>
        <w:t>lthough full compliance with the statutory exceptions or regulatory safe harbors ensures against prosecution under the federal Anti-Kickback Statute, the failure of a transaction or arrangement to fit within a specific statutory exception or regulatory saf</w:t>
      </w:r>
      <w:r>
        <w:rPr>
          <w:sz w:val="20"/>
          <w:szCs w:val="20"/>
        </w:rPr>
        <w:t xml:space="preserve">e harbor does not necessarily mean that the transaction or arrangement is illegal or that prosecution under the Anti-Kickback Statute will be pursued. Furthermore, a person or entity does not need to have actual knowledge of the statute or specific intent </w:t>
      </w:r>
      <w:r>
        <w:rPr>
          <w:sz w:val="20"/>
          <w:szCs w:val="20"/>
        </w:rPr>
        <w:t>to violate it in order to have committed a violation. Penalties for violations of the Anti-Kickback Statute are severe and include imprisonment, criminal fines, civil monetary penalties, and exclusion from participation in federal healthcare programs. In a</w:t>
      </w:r>
      <w:r>
        <w:rPr>
          <w:sz w:val="20"/>
          <w:szCs w:val="20"/>
        </w:rPr>
        <w:t>ddition, a violation of the federal Anti-Kickback Statute can serve as a basis of liability under the federal False Claims Act (described below). Many states also have anti-kickback statutes, some of which may apply regardless of payor type</w:t>
      </w:r>
      <w:r>
        <w:rPr>
          <w:sz w:val="20"/>
          <w:szCs w:val="20"/>
        </w:rPr>
        <w:t>.</w:t>
      </w:r>
      <w:r>
        <w:rPr>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 xml:space="preserve">In addition, </w:t>
      </w:r>
      <w:r>
        <w:rPr>
          <w:sz w:val="20"/>
          <w:szCs w:val="20"/>
        </w:rPr>
        <w:t>in October 2018, the Eliminating Kickbacks in Recovery Act of 2018, or EKRA, was enacted as part of the Substance Use-Disorder Prevention that Promotes Opioid Recovery and Treatment for Patients and Communities Act. EKRA is an all-payer anti-kickback law t</w:t>
      </w:r>
      <w:r>
        <w:rPr>
          <w:sz w:val="20"/>
          <w:szCs w:val="20"/>
        </w:rPr>
        <w:t>hat makes it a criminal offense to pay any remuneration to induce referrals to, or in exchange for, patients using the services of a recovery home, a substance use clinical treatment facility, or laboratory. However, unlike the federal Anti-Kickback Statut</w:t>
      </w:r>
      <w:r>
        <w:rPr>
          <w:sz w:val="20"/>
          <w:szCs w:val="20"/>
        </w:rPr>
        <w:t>e, EKRA is not limited to services covered by federal or state health care programs but applies more broadly to services covered by “health care benefit programs,” including commercial insurers. Although it appears that EKRA was intended to reach patient b</w:t>
      </w:r>
      <w:r>
        <w:rPr>
          <w:sz w:val="20"/>
          <w:szCs w:val="20"/>
        </w:rPr>
        <w:t>rokering and similar arrangements to induce patronage of substance use recovery and treatment, the language in EKRA is broadly written. Further, certain of EKRA’s exceptions are inconsistent with the federal Anti-Kickback Statute and regulations. Significa</w:t>
      </w:r>
      <w:r>
        <w:rPr>
          <w:sz w:val="20"/>
          <w:szCs w:val="20"/>
        </w:rPr>
        <w:t>ntly, EKRA permits the U.S. Department of Justice to issue regulations clarifying EKRA’s exceptions or adding additional exceptions, but such regulations have not yet been issued</w:t>
      </w:r>
      <w:r>
        <w:rPr>
          <w:sz w:val="20"/>
          <w:szCs w:val="20"/>
        </w:rPr>
        <w:t>.</w:t>
      </w:r>
    </w:p>
    <w:p w:rsidR="00000000" w:rsidRDefault="00477EE8">
      <w:pPr>
        <w:pStyle w:val="a3"/>
        <w:spacing w:before="240" w:beforeAutospacing="0" w:after="0" w:afterAutospacing="0"/>
        <w:ind w:firstLine="555"/>
        <w:rPr>
          <w:sz w:val="20"/>
          <w:szCs w:val="20"/>
        </w:rPr>
      </w:pPr>
      <w:r>
        <w:rPr>
          <w:sz w:val="20"/>
          <w:szCs w:val="20"/>
        </w:rPr>
        <w:t>There are also U.S. federal laws related to healthcare fraud and false state</w:t>
      </w:r>
      <w:r>
        <w:rPr>
          <w:sz w:val="20"/>
          <w:szCs w:val="20"/>
        </w:rPr>
        <w:t>ments relating to healthcare matters. The healthcare fraud statute prohibits, among other things, knowingly and willfully executing a scheme to defraud any healthcare benefit program, including private payors. A violation of this statute is a felony and ma</w:t>
      </w:r>
      <w:r>
        <w:rPr>
          <w:sz w:val="20"/>
          <w:szCs w:val="20"/>
        </w:rPr>
        <w:t>y result in fines, imprisonment or exclusion from government payor programs such as the Medicare and Medicaid programs. The false statements statute prohibits knowingly and willfully falsifying, concealing, or covering up a material fact or making any mate</w:t>
      </w:r>
      <w:r>
        <w:rPr>
          <w:sz w:val="20"/>
          <w:szCs w:val="20"/>
        </w:rPr>
        <w:t>rially false, fictitious, or fraudulent statement in connection with the delivery of or payment for healthcare benefits, items or services. Similar to the federal Anti-Kickback Statute, a person or entity does not need to have actual knowledge of the statu</w:t>
      </w:r>
      <w:r>
        <w:rPr>
          <w:sz w:val="20"/>
          <w:szCs w:val="20"/>
        </w:rPr>
        <w:t>te or specific intent to violate it in order to have committed a violation. A violation of this statute is also a felony and may result in fines, imprisonment or exclusion from government payor programs</w:t>
      </w:r>
      <w:r>
        <w:rPr>
          <w:sz w:val="20"/>
          <w:szCs w:val="20"/>
        </w:rPr>
        <w:t>.</w:t>
      </w:r>
      <w:r>
        <w:rPr>
          <w:sz w:val="20"/>
          <w:szCs w:val="20"/>
        </w:rPr>
        <w:t xml:space="preserve"> </w:t>
      </w:r>
    </w:p>
    <w:p w:rsidR="00000000" w:rsidRDefault="00477EE8">
      <w:pPr>
        <w:pStyle w:val="a3"/>
        <w:spacing w:before="360" w:beforeAutospacing="0" w:after="0" w:afterAutospacing="0"/>
        <w:ind w:left="238"/>
        <w:rPr>
          <w:sz w:val="20"/>
          <w:szCs w:val="20"/>
        </w:rPr>
      </w:pPr>
      <w:r>
        <w:rPr>
          <w:b/>
          <w:bCs/>
          <w:i/>
          <w:iCs/>
          <w:sz w:val="20"/>
          <w:szCs w:val="20"/>
        </w:rPr>
        <w:t>False Claims Ac</w:t>
      </w:r>
      <w:r>
        <w:rPr>
          <w:b/>
          <w:bCs/>
          <w:i/>
          <w:iCs/>
          <w:sz w:val="20"/>
          <w:szCs w:val="20"/>
        </w:rPr>
        <w:t>t</w:t>
      </w:r>
      <w:r>
        <w:rPr>
          <w:b/>
          <w:bCs/>
          <w:i/>
          <w:iCs/>
          <w:sz w:val="20"/>
          <w:szCs w:val="20"/>
        </w:rPr>
        <w:t xml:space="preserve"> </w:t>
      </w:r>
    </w:p>
    <w:p w:rsidR="00000000" w:rsidRDefault="00477EE8">
      <w:pPr>
        <w:pStyle w:val="a3"/>
        <w:spacing w:before="120" w:beforeAutospacing="0" w:after="0" w:afterAutospacing="0"/>
        <w:ind w:firstLine="555"/>
        <w:rPr>
          <w:sz w:val="20"/>
          <w:szCs w:val="20"/>
        </w:rPr>
      </w:pPr>
      <w:r>
        <w:rPr>
          <w:sz w:val="20"/>
          <w:szCs w:val="20"/>
        </w:rPr>
        <w:t>Another development affecting the</w:t>
      </w:r>
      <w:r>
        <w:rPr>
          <w:sz w:val="20"/>
          <w:szCs w:val="20"/>
        </w:rPr>
        <w:t xml:space="preserve"> healthcare industry is the increased enforcement of the federal False Claims Act and, in particular, actions brought pursuant to the False Claims Act’s “whistleblower” or “qui tam” provisions. The False Claims Act imposes liability on any person or entity</w:t>
      </w:r>
      <w:r>
        <w:rPr>
          <w:sz w:val="20"/>
          <w:szCs w:val="20"/>
        </w:rPr>
        <w:t xml:space="preserve"> that, among other things, knowingly presents, or causes to be presented, a false or fraudulent claim for payment to the federal government. The qui tam provisions of the False Claims Act allow a private individual to bring an action under the False Claims</w:t>
      </w:r>
      <w:r>
        <w:rPr>
          <w:sz w:val="20"/>
          <w:szCs w:val="20"/>
        </w:rPr>
        <w:t xml:space="preserve"> Act on behalf of the federal government and permit such an individual to share in any amounts paid by the entity to the government in fines or settlement. In addition, providers and suppliers must report and return any overpayments received from the Medic</w:t>
      </w:r>
      <w:r>
        <w:rPr>
          <w:sz w:val="20"/>
          <w:szCs w:val="20"/>
        </w:rPr>
        <w:t>are and Medicaid programs within 60 days of identification. Failure to identify and return such overpayments exposes the provider or supplier to False Claims Act liability. When an entity is determined to have violated the False Claims Act, it may be requi</w:t>
      </w:r>
      <w:r>
        <w:rPr>
          <w:sz w:val="20"/>
          <w:szCs w:val="20"/>
        </w:rPr>
        <w:t>red to pay up to three times the actual damages sustained by the government, plus civil penalties ranging from $5,500 to $11,000 for each false claim, as set by statute. However, the civil penalty amounts are adjusted annually for inflation. For civil pena</w:t>
      </w:r>
      <w:r>
        <w:rPr>
          <w:sz w:val="20"/>
          <w:szCs w:val="20"/>
        </w:rPr>
        <w:t>lties assessed after June 19, 2020, whose associated violations occurred after November 2, 2015, the civil penalty amount ranges between $11,665 and $23,331 per claim; as of December 13, 2021, the amounts increased to $11,803 and $23,607 per claim</w:t>
      </w:r>
      <w:r>
        <w:rPr>
          <w:sz w:val="20"/>
          <w:szCs w:val="20"/>
        </w:rPr>
        <w:t>.</w:t>
      </w:r>
    </w:p>
    <w:p w:rsidR="00000000" w:rsidRDefault="00477EE8">
      <w:pPr>
        <w:pStyle w:val="a3"/>
        <w:spacing w:before="240" w:beforeAutospacing="0" w:after="0" w:afterAutospacing="0"/>
        <w:ind w:firstLine="555"/>
        <w:rPr>
          <w:sz w:val="20"/>
          <w:szCs w:val="20"/>
        </w:rPr>
      </w:pPr>
      <w:r>
        <w:rPr>
          <w:sz w:val="20"/>
          <w:szCs w:val="20"/>
        </w:rPr>
        <w:t>In addi</w:t>
      </w:r>
      <w:r>
        <w:rPr>
          <w:sz w:val="20"/>
          <w:szCs w:val="20"/>
        </w:rPr>
        <w:t>tion, various states have enacted false claim laws analogous to the federal False Claims Act, although many of these state laws apply where a claim is submitted to any third-party payor and not merely a government payor program</w:t>
      </w:r>
      <w:r>
        <w:rPr>
          <w:sz w:val="20"/>
          <w:szCs w:val="20"/>
        </w:rPr>
        <w:t>.</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1</w:t>
      </w:r>
      <w:r>
        <w:rPr>
          <w:sz w:val="20"/>
          <w:szCs w:val="20"/>
        </w:rPr>
        <w:t>3</w:t>
      </w:r>
    </w:p>
    <w:p w:rsidR="00000000" w:rsidRDefault="00477EE8">
      <w:pPr>
        <w:rPr>
          <w:rFonts w:eastAsia="Times New Roman"/>
        </w:rPr>
      </w:pPr>
      <w:r>
        <w:rPr>
          <w:rFonts w:eastAsia="Times New Roman"/>
        </w:rPr>
        <w:pict>
          <v:rect id="_x0000_i1052" style="width:0;height:1.5pt" o:hralign="center" o:hrstd="t" o:hr="t" fillcolor="#a0a0a0" stroked="f"/>
        </w:pict>
      </w:r>
    </w:p>
    <w:p w:rsidR="00000000" w:rsidRDefault="00477EE8">
      <w:pPr>
        <w:pStyle w:val="a3"/>
        <w:spacing w:before="360" w:beforeAutospacing="0" w:after="0" w:afterAutospacing="0"/>
        <w:ind w:left="238"/>
        <w:rPr>
          <w:sz w:val="20"/>
          <w:szCs w:val="20"/>
        </w:rPr>
      </w:pPr>
      <w:r>
        <w:rPr>
          <w:b/>
          <w:bCs/>
          <w:i/>
          <w:iCs/>
          <w:sz w:val="20"/>
          <w:szCs w:val="20"/>
        </w:rPr>
        <w:t>Civil Monetary Penalties La</w:t>
      </w:r>
      <w:r>
        <w:rPr>
          <w:b/>
          <w:bCs/>
          <w:i/>
          <w:iCs/>
          <w:sz w:val="20"/>
          <w:szCs w:val="20"/>
        </w:rPr>
        <w:t>w</w:t>
      </w:r>
      <w:r>
        <w:rPr>
          <w:b/>
          <w:bCs/>
          <w:i/>
          <w:iCs/>
          <w:sz w:val="20"/>
          <w:szCs w:val="20"/>
        </w:rPr>
        <w:t xml:space="preserve"> </w:t>
      </w:r>
    </w:p>
    <w:p w:rsidR="00000000" w:rsidRDefault="00477EE8">
      <w:pPr>
        <w:pStyle w:val="a3"/>
        <w:spacing w:before="120" w:beforeAutospacing="0" w:after="0" w:afterAutospacing="0"/>
        <w:ind w:firstLine="555"/>
        <w:rPr>
          <w:sz w:val="20"/>
          <w:szCs w:val="20"/>
        </w:rPr>
      </w:pPr>
      <w:r>
        <w:rPr>
          <w:sz w:val="20"/>
          <w:szCs w:val="20"/>
        </w:rPr>
        <w:t xml:space="preserve">The federal Civil Monetary Penalties Law, or the CMP Law, prohibits, among other things, (1) the offering or transfer of remuneration to a Medicare or state health care program beneficiary if the person knows or </w:t>
      </w:r>
      <w:r>
        <w:rPr>
          <w:sz w:val="20"/>
          <w:szCs w:val="20"/>
        </w:rPr>
        <w:t>should know it is likely to influence the beneficiary’s selection of a particular provider, practitioner, or supplier of services reimbursable by Medicare or a state health care program, unless an exception applies; (2) employing or contracting with an ind</w:t>
      </w:r>
      <w:r>
        <w:rPr>
          <w:sz w:val="20"/>
          <w:szCs w:val="20"/>
        </w:rPr>
        <w:t>ividual or entity that the provider knows or should know is excluded from participation in a federal health care program; (3) billing for services requested by an unlicensed physician or an excluded provider; and (4) billing for medically unnecessary servi</w:t>
      </w:r>
      <w:r>
        <w:rPr>
          <w:sz w:val="20"/>
          <w:szCs w:val="20"/>
        </w:rPr>
        <w:t>ces. The penalties for violating the CMP Law include exclusion, substantial fines, and payment of up to three times the amount billed, depending on the nature of the offense</w:t>
      </w:r>
      <w:r>
        <w:rPr>
          <w:sz w:val="20"/>
          <w:szCs w:val="20"/>
        </w:rPr>
        <w:t>.</w:t>
      </w:r>
    </w:p>
    <w:p w:rsidR="00000000" w:rsidRDefault="00477EE8">
      <w:pPr>
        <w:pStyle w:val="a3"/>
        <w:spacing w:before="360" w:beforeAutospacing="0" w:after="0" w:afterAutospacing="0"/>
        <w:rPr>
          <w:sz w:val="20"/>
          <w:szCs w:val="20"/>
        </w:rPr>
      </w:pPr>
      <w:r>
        <w:rPr>
          <w:b/>
          <w:bCs/>
          <w:sz w:val="20"/>
          <w:szCs w:val="20"/>
        </w:rPr>
        <w:t>Physician Referral Prohibitions Laws and Regulation</w:t>
      </w:r>
      <w:r>
        <w:rPr>
          <w:b/>
          <w:bCs/>
          <w:sz w:val="20"/>
          <w:szCs w:val="20"/>
        </w:rPr>
        <w:t>s</w:t>
      </w:r>
    </w:p>
    <w:p w:rsidR="00000000" w:rsidRDefault="00477EE8">
      <w:pPr>
        <w:pStyle w:val="a3"/>
        <w:spacing w:before="120" w:beforeAutospacing="0" w:after="0" w:afterAutospacing="0"/>
        <w:ind w:firstLine="555"/>
        <w:rPr>
          <w:sz w:val="20"/>
          <w:szCs w:val="20"/>
        </w:rPr>
      </w:pPr>
      <w:r>
        <w:rPr>
          <w:sz w:val="20"/>
          <w:szCs w:val="20"/>
        </w:rPr>
        <w:t>We are also subject to the U</w:t>
      </w:r>
      <w:r>
        <w:rPr>
          <w:sz w:val="20"/>
          <w:szCs w:val="20"/>
        </w:rPr>
        <w:t>.S. federal law directed at “self-referrals,” commonly known as the “Stark Law,” which prohibits a physician from making referrals for certain designated health services, including laboratory services, that are covered by the Medicare program, to an entity</w:t>
      </w:r>
      <w:r>
        <w:rPr>
          <w:sz w:val="20"/>
          <w:szCs w:val="20"/>
        </w:rPr>
        <w:t xml:space="preserve"> with which the physician or an immediate family member has a direct or indirect financial relationship, unless an exception applies. Violation of the Stark Law results in a denial of payment for any services provided pursuant to a prohibited referral. A p</w:t>
      </w:r>
      <w:r>
        <w:rPr>
          <w:sz w:val="20"/>
          <w:szCs w:val="20"/>
        </w:rPr>
        <w:t>hysician or entity that engages in a scheme to circumvent the Stark Law’s referral prohibition may be subject to substantial fines for each such arrangement or scheme. In addition, any person who presents or causes to be presented a claim to the Medicare p</w:t>
      </w:r>
      <w:r>
        <w:rPr>
          <w:sz w:val="20"/>
          <w:szCs w:val="20"/>
        </w:rPr>
        <w:t>rogram in violation of the Stark Law is subject to substantial civil monetary penalties of up to, an assessment of up to three times the amount claimed and possible exclusion from participation in federal healthcare programs. The Stark Law is a strict liab</w:t>
      </w:r>
      <w:r>
        <w:rPr>
          <w:sz w:val="20"/>
          <w:szCs w:val="20"/>
        </w:rPr>
        <w:t xml:space="preserve">ility statute, meaning that a physician’s financial relationship with a laboratory must meet an exception under the Stark Law, or the referrals are prohibited. Thus, unlike the Anti-Kickback Statute’s safe harbors, if a laboratory’s financial relationship </w:t>
      </w:r>
      <w:r>
        <w:rPr>
          <w:sz w:val="20"/>
          <w:szCs w:val="20"/>
        </w:rPr>
        <w:t>with a referring physician does not meet the requirements of a Stark Law exception, then the physician is prohibited from making Medicare and Medicaid referrals to the laboratory and any such referrals will result in overpayments to the laboratory and subj</w:t>
      </w:r>
      <w:r>
        <w:rPr>
          <w:sz w:val="20"/>
          <w:szCs w:val="20"/>
        </w:rPr>
        <w:t>ect the laboratory to the Stark Law’s penalties. A violation of the Stark Law can serve as a basis of liability under the federal False Claims Act. Many states, including California, have comparable laws that are not limited to Medicare referrals. The Star</w:t>
      </w:r>
      <w:r>
        <w:rPr>
          <w:sz w:val="20"/>
          <w:szCs w:val="20"/>
        </w:rPr>
        <w:t>k Law also prohibits state receipt of federal Medicaid matching funds for services furnished pursuant to a prohibited referral, but this provision of the Stark Law has not been implemented by regulations</w:t>
      </w:r>
      <w:r>
        <w:rPr>
          <w:sz w:val="20"/>
          <w:szCs w:val="20"/>
        </w:rPr>
        <w:t>.</w:t>
      </w:r>
    </w:p>
    <w:p w:rsidR="00000000" w:rsidRDefault="00477EE8">
      <w:pPr>
        <w:pStyle w:val="a3"/>
        <w:spacing w:before="360" w:beforeAutospacing="0" w:after="0" w:afterAutospacing="0"/>
        <w:rPr>
          <w:sz w:val="20"/>
          <w:szCs w:val="20"/>
        </w:rPr>
      </w:pPr>
      <w:r>
        <w:rPr>
          <w:b/>
          <w:bCs/>
          <w:sz w:val="20"/>
          <w:szCs w:val="20"/>
        </w:rPr>
        <w:t>Physician Sunshine Laws Applicable to Our Busines</w:t>
      </w:r>
      <w:r>
        <w:rPr>
          <w:b/>
          <w:bCs/>
          <w:sz w:val="20"/>
          <w:szCs w:val="20"/>
        </w:rPr>
        <w:t>s</w:t>
      </w:r>
    </w:p>
    <w:p w:rsidR="00000000" w:rsidRDefault="00477EE8">
      <w:pPr>
        <w:pStyle w:val="a3"/>
        <w:spacing w:before="120" w:beforeAutospacing="0" w:after="0" w:afterAutospacing="0"/>
        <w:ind w:firstLine="555"/>
        <w:rPr>
          <w:sz w:val="20"/>
          <w:szCs w:val="20"/>
        </w:rPr>
      </w:pPr>
      <w:r>
        <w:rPr>
          <w:sz w:val="20"/>
          <w:szCs w:val="20"/>
        </w:rPr>
        <w:t>The Physician Payments Sunshine Act imposes reporting requirements on manufacturers of certain devices, drugs, and biologics for certain payments and transfers of value by them (and in some cases their distributors) to physicians, teaching hospitals, and c</w:t>
      </w:r>
      <w:r>
        <w:rPr>
          <w:sz w:val="20"/>
          <w:szCs w:val="20"/>
        </w:rPr>
        <w:t>ertain advanced non-physician health care practitioners, as well as ownership and investment interests held by physicians and their immediate family members. The reporting program, known as the Open Payments program, is administered by CMS. Because we manu</w:t>
      </w:r>
      <w:r>
        <w:rPr>
          <w:sz w:val="20"/>
          <w:szCs w:val="20"/>
        </w:rPr>
        <w:t>facture our own LDTs solely for use by or within our own laboratory, we believe we are exempt from these reporting requirements. We may become subject to such reporting requirements under the terms of current CMS regulations, however, if the Verifying Accu</w:t>
      </w:r>
      <w:r>
        <w:rPr>
          <w:sz w:val="20"/>
          <w:szCs w:val="20"/>
        </w:rPr>
        <w:t>rate, Leading-edge IVCT Development Act, or VALID Act, or other legislation renders our tests regulated by FDA, or if FDA engages in notice-and-comment rulemaking to exercise authority over LDTs or otherwise requires us to obtain premarket clearance or app</w:t>
      </w:r>
      <w:r>
        <w:rPr>
          <w:sz w:val="20"/>
          <w:szCs w:val="20"/>
        </w:rPr>
        <w:t>roval for our tests. We also may become subject to these requirements if any therapeutic products currently in development are successfully approved by FDA and commercialized in the United States</w:t>
      </w:r>
      <w:r>
        <w:rPr>
          <w:sz w:val="20"/>
          <w:szCs w:val="20"/>
        </w:rPr>
        <w:t>.</w:t>
      </w:r>
    </w:p>
    <w:p w:rsidR="00000000" w:rsidRDefault="00477EE8">
      <w:pPr>
        <w:pStyle w:val="a3"/>
        <w:spacing w:before="360" w:beforeAutospacing="0" w:after="0" w:afterAutospacing="0"/>
        <w:rPr>
          <w:sz w:val="20"/>
          <w:szCs w:val="20"/>
        </w:rPr>
      </w:pPr>
      <w:r>
        <w:rPr>
          <w:b/>
          <w:bCs/>
          <w:sz w:val="20"/>
          <w:szCs w:val="20"/>
        </w:rPr>
        <w:t>Anti-Bribery Laws Applicable to Our Busines</w:t>
      </w:r>
      <w:r>
        <w:rPr>
          <w:b/>
          <w:bCs/>
          <w:sz w:val="20"/>
          <w:szCs w:val="20"/>
        </w:rPr>
        <w:t>s</w:t>
      </w:r>
    </w:p>
    <w:p w:rsidR="00000000" w:rsidRDefault="00477EE8">
      <w:pPr>
        <w:pStyle w:val="a3"/>
        <w:spacing w:before="240" w:beforeAutospacing="0" w:after="0" w:afterAutospacing="0"/>
        <w:ind w:left="238"/>
        <w:rPr>
          <w:sz w:val="20"/>
          <w:szCs w:val="20"/>
        </w:rPr>
      </w:pPr>
      <w:r>
        <w:rPr>
          <w:b/>
          <w:bCs/>
          <w:i/>
          <w:iCs/>
          <w:sz w:val="20"/>
          <w:szCs w:val="20"/>
        </w:rPr>
        <w:t>FCP</w:t>
      </w:r>
      <w:r>
        <w:rPr>
          <w:b/>
          <w:bCs/>
          <w:i/>
          <w:iCs/>
          <w:sz w:val="20"/>
          <w:szCs w:val="20"/>
        </w:rPr>
        <w:t>A</w:t>
      </w:r>
      <w:r>
        <w:rPr>
          <w:b/>
          <w:bCs/>
          <w:i/>
          <w:iCs/>
          <w:sz w:val="20"/>
          <w:szCs w:val="20"/>
        </w:rPr>
        <w:t xml:space="preserve"> </w:t>
      </w:r>
    </w:p>
    <w:p w:rsidR="00000000" w:rsidRDefault="00477EE8">
      <w:pPr>
        <w:pStyle w:val="a3"/>
        <w:spacing w:before="120" w:beforeAutospacing="0" w:after="0" w:afterAutospacing="0"/>
        <w:ind w:firstLine="555"/>
        <w:rPr>
          <w:sz w:val="20"/>
          <w:szCs w:val="20"/>
        </w:rPr>
      </w:pPr>
      <w:r>
        <w:rPr>
          <w:sz w:val="20"/>
          <w:szCs w:val="20"/>
        </w:rPr>
        <w:t>We are s</w:t>
      </w:r>
      <w:r>
        <w:rPr>
          <w:sz w:val="20"/>
          <w:szCs w:val="20"/>
        </w:rPr>
        <w:t>ubject to U.S. Foreign Corrupt Practices Act, or FCPA, which prohibits companies and their intermediaries from making payments in violation of law to non-U.S. government officials for the purpose of obtaining or retaining business or securing any other imp</w:t>
      </w:r>
      <w:r>
        <w:rPr>
          <w:sz w:val="20"/>
          <w:szCs w:val="20"/>
        </w:rPr>
        <w:t>roper advantage. The sale of our tests internationally demands a high degree of vigilance in maintaining, implementing and enforcing a policy against participation in corrupt activity. Other U.S. companies in the medical device and pharmaceutical fields ha</w:t>
      </w:r>
      <w:r>
        <w:rPr>
          <w:sz w:val="20"/>
          <w:szCs w:val="20"/>
        </w:rPr>
        <w:t>ve faced substantial monetary fines and criminal penalties under the FCPA for allowing their agents to deviate from appropriate practices in doing business with non-U.S. government officials</w:t>
      </w:r>
      <w:r>
        <w:rPr>
          <w:sz w:val="20"/>
          <w:szCs w:val="20"/>
        </w:rPr>
        <w:t>.</w:t>
      </w:r>
    </w:p>
    <w:p w:rsidR="00000000" w:rsidRDefault="00477EE8">
      <w:pPr>
        <w:pStyle w:val="a3"/>
        <w:spacing w:before="240" w:beforeAutospacing="0" w:after="0" w:afterAutospacing="0"/>
        <w:ind w:left="238"/>
        <w:rPr>
          <w:sz w:val="20"/>
          <w:szCs w:val="20"/>
        </w:rPr>
      </w:pPr>
      <w:r>
        <w:rPr>
          <w:b/>
          <w:bCs/>
          <w:i/>
          <w:iCs/>
          <w:sz w:val="20"/>
          <w:szCs w:val="20"/>
        </w:rPr>
        <w:t>Foreign Law</w:t>
      </w:r>
      <w:r>
        <w:rPr>
          <w:b/>
          <w:bCs/>
          <w:i/>
          <w:iCs/>
          <w:sz w:val="20"/>
          <w:szCs w:val="20"/>
        </w:rPr>
        <w:t>s</w:t>
      </w:r>
      <w:r>
        <w:rPr>
          <w:b/>
          <w:bCs/>
          <w:i/>
          <w:iCs/>
          <w:sz w:val="20"/>
          <w:szCs w:val="20"/>
        </w:rPr>
        <w:t xml:space="preserve"> </w:t>
      </w:r>
    </w:p>
    <w:p w:rsidR="00000000" w:rsidRDefault="00477EE8">
      <w:pPr>
        <w:pStyle w:val="a3"/>
        <w:spacing w:before="120" w:beforeAutospacing="0" w:after="0" w:afterAutospacing="0"/>
        <w:ind w:firstLine="555"/>
        <w:rPr>
          <w:sz w:val="20"/>
          <w:szCs w:val="20"/>
        </w:rPr>
      </w:pPr>
      <w:r>
        <w:rPr>
          <w:sz w:val="20"/>
          <w:szCs w:val="20"/>
        </w:rPr>
        <w:t>We are also subject to similar anti-bribery laws i</w:t>
      </w:r>
      <w:r>
        <w:rPr>
          <w:sz w:val="20"/>
          <w:szCs w:val="20"/>
        </w:rPr>
        <w:t>n the foreign jurisdictions in which we operate. In Europe, various countries have adopted anti-bribery laws providing for severe consequences, in the form of criminal penalties and/or significant fines for individuals and/or companies committing a bribery</w:t>
      </w:r>
      <w:r>
        <w:rPr>
          <w:sz w:val="20"/>
          <w:szCs w:val="20"/>
        </w:rPr>
        <w:t xml:space="preserve"> offence. For instance, in the United Kingdom, under the Bribery Act of 2010, which became effective in July 2011, a bribery occurs when a person offers, gives, or promises to give a financial or other advantage to induce or reward another individual to im</w:t>
      </w:r>
      <w:r>
        <w:rPr>
          <w:sz w:val="20"/>
          <w:szCs w:val="20"/>
        </w:rPr>
        <w:t>properly perform certain functions or activities, including any function of a public or private nature. Bribery of foreign public officials also falls within the scope of the Bribery Act of 2010. An individual found i</w:t>
      </w:r>
      <w:r>
        <w:rPr>
          <w:sz w:val="20"/>
          <w:szCs w:val="20"/>
        </w:rPr>
        <w:t>n</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1</w:t>
      </w:r>
      <w:r>
        <w:rPr>
          <w:sz w:val="20"/>
          <w:szCs w:val="20"/>
        </w:rPr>
        <w:t>4</w:t>
      </w:r>
    </w:p>
    <w:p w:rsidR="00000000" w:rsidRDefault="00477EE8">
      <w:pPr>
        <w:rPr>
          <w:rFonts w:eastAsia="Times New Roman"/>
        </w:rPr>
      </w:pPr>
      <w:r>
        <w:rPr>
          <w:rFonts w:eastAsia="Times New Roman"/>
        </w:rPr>
        <w:pict>
          <v:rect id="_x0000_i1053" style="width:0;height:1.5pt" o:hralign="center" o:hrstd="t" o:hr="t" fillcolor="#a0a0a0" stroked="f"/>
        </w:pict>
      </w:r>
    </w:p>
    <w:p w:rsidR="00000000" w:rsidRDefault="00477EE8">
      <w:pPr>
        <w:pStyle w:val="a3"/>
        <w:spacing w:before="120" w:beforeAutospacing="0" w:after="0" w:afterAutospacing="0"/>
        <w:rPr>
          <w:sz w:val="20"/>
          <w:szCs w:val="20"/>
        </w:rPr>
      </w:pPr>
      <w:r>
        <w:rPr>
          <w:sz w:val="20"/>
          <w:szCs w:val="20"/>
        </w:rPr>
        <w:t>violation of the Bribery Act of 2010 faces imprisonment of up to 10 years and could be subject to an unlimited fine, as could commercial organizations for failure to prevent bribery</w:t>
      </w:r>
      <w:r>
        <w:rPr>
          <w:sz w:val="20"/>
          <w:szCs w:val="20"/>
        </w:rPr>
        <w:t>.</w:t>
      </w:r>
      <w:r>
        <w:rPr>
          <w:sz w:val="20"/>
          <w:szCs w:val="20"/>
        </w:rPr>
        <w:t xml:space="preserve"> </w:t>
      </w:r>
    </w:p>
    <w:p w:rsidR="00000000" w:rsidRDefault="00477EE8">
      <w:pPr>
        <w:pStyle w:val="a3"/>
        <w:spacing w:before="360" w:beforeAutospacing="0" w:after="0" w:afterAutospacing="0"/>
        <w:rPr>
          <w:sz w:val="20"/>
          <w:szCs w:val="20"/>
        </w:rPr>
      </w:pPr>
      <w:r>
        <w:rPr>
          <w:b/>
          <w:bCs/>
          <w:sz w:val="20"/>
          <w:szCs w:val="20"/>
        </w:rPr>
        <w:t>Healthcare Policy Laws Applicable to</w:t>
      </w:r>
      <w:r>
        <w:rPr>
          <w:b/>
          <w:bCs/>
          <w:sz w:val="20"/>
          <w:szCs w:val="20"/>
        </w:rPr>
        <w:t xml:space="preserve"> Our Busines</w:t>
      </w:r>
      <w:r>
        <w:rPr>
          <w:b/>
          <w:bCs/>
          <w:sz w:val="20"/>
          <w:szCs w:val="20"/>
        </w:rPr>
        <w:t>s</w:t>
      </w:r>
    </w:p>
    <w:p w:rsidR="00000000" w:rsidRDefault="00477EE8">
      <w:pPr>
        <w:pStyle w:val="a3"/>
        <w:spacing w:before="120" w:beforeAutospacing="0" w:after="0" w:afterAutospacing="0"/>
        <w:ind w:firstLine="555"/>
        <w:rPr>
          <w:sz w:val="20"/>
          <w:szCs w:val="20"/>
        </w:rPr>
      </w:pPr>
      <w:r>
        <w:rPr>
          <w:sz w:val="20"/>
          <w:szCs w:val="20"/>
        </w:rPr>
        <w:t>In March 2010, the Affordable Care Act, or ACA, was enacted in the United States. The ACA made a number of substantial changes to the way healthcare is financed both by governmental and private payors. Although the ACA included a medical devi</w:t>
      </w:r>
      <w:r>
        <w:rPr>
          <w:sz w:val="20"/>
          <w:szCs w:val="20"/>
        </w:rPr>
        <w:t>ce tax, the tax never went into effect and was fully repealed by Congress with enactment of the 2019 federal spending package signed into law by President Trump on December 20, 2019</w:t>
      </w:r>
      <w:r>
        <w:rPr>
          <w:sz w:val="20"/>
          <w:szCs w:val="20"/>
        </w:rPr>
        <w:t>.</w:t>
      </w:r>
    </w:p>
    <w:p w:rsidR="00000000" w:rsidRDefault="00477EE8">
      <w:pPr>
        <w:pStyle w:val="a3"/>
        <w:spacing w:before="240" w:beforeAutospacing="0" w:after="0" w:afterAutospacing="0"/>
        <w:ind w:firstLine="555"/>
        <w:rPr>
          <w:sz w:val="20"/>
          <w:szCs w:val="20"/>
        </w:rPr>
      </w:pPr>
      <w:r>
        <w:rPr>
          <w:sz w:val="20"/>
          <w:szCs w:val="20"/>
        </w:rPr>
        <w:t>Since the ACA’s enactment, there have been judicial and Congressional cha</w:t>
      </w:r>
      <w:r>
        <w:rPr>
          <w:sz w:val="20"/>
          <w:szCs w:val="20"/>
        </w:rPr>
        <w:t xml:space="preserve">llenges to certain aspects of the ACA, and as a result, certain sections of the ACA have not been fully implemented or were effectively repealed. However, following several years of litigation in the federal courts, in June 2021, the United States Supreme </w:t>
      </w:r>
      <w:r>
        <w:rPr>
          <w:sz w:val="20"/>
          <w:szCs w:val="20"/>
        </w:rPr>
        <w:t>Court, or the Supreme Court, upheld the ACA when it dismissed a legal challenge to the Act’s constitutionality. Further legislative and regulatory changes under the ACA remain possible, although the new Democrat-led presidential administration has been tak</w:t>
      </w:r>
      <w:r>
        <w:rPr>
          <w:sz w:val="20"/>
          <w:szCs w:val="20"/>
        </w:rPr>
        <w:t>ing steps to strengthen the ACA. Future changes or additions to the ACA, the Medicare and Medicaid programs, and changes stemming from other health care reform measures, especially with regard to health care access, financing or other legislation in indivi</w:t>
      </w:r>
      <w:r>
        <w:rPr>
          <w:sz w:val="20"/>
          <w:szCs w:val="20"/>
        </w:rPr>
        <w:t>dual states, could have a material adverse effect on the health care industry in the U.S. The uncertainty around the future of the ACA, and in particular the impact to reimbursement levels and the number of insured individuals, may lead to delay in the pur</w:t>
      </w:r>
      <w:r>
        <w:rPr>
          <w:sz w:val="20"/>
          <w:szCs w:val="20"/>
        </w:rPr>
        <w:t>chasing decisions of our customers</w:t>
      </w:r>
      <w:r>
        <w:rPr>
          <w:sz w:val="20"/>
          <w:szCs w:val="20"/>
        </w:rPr>
        <w:t>.</w:t>
      </w:r>
      <w:r>
        <w:rPr>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In addition to the ACA, there will likely continue to be proposals by legislators at both the federal and state levels, regulators and private third-party payors to reduce costs while expanding individual healthcare ben</w:t>
      </w:r>
      <w:r>
        <w:rPr>
          <w:sz w:val="20"/>
          <w:szCs w:val="20"/>
        </w:rPr>
        <w:t>efits. For example, in August 2022, President Biden signed into the law the Inflation Reduction Act of 2022, or the IRA. Among other things, the IRA has multiple provisions that may impact the prices of drug products that are both sold into the Medicare pr</w:t>
      </w:r>
      <w:r>
        <w:rPr>
          <w:sz w:val="20"/>
          <w:szCs w:val="20"/>
        </w:rPr>
        <w:t>ogram and throughout the United States. Starting in 2023, a manufacturer of drugs or biological products covered by Medicare Parts B or D must pay a rebate to the federal government if their drug product’s price increases faster than the rate of inflation.</w:t>
      </w:r>
      <w:r>
        <w:rPr>
          <w:sz w:val="20"/>
          <w:szCs w:val="20"/>
        </w:rPr>
        <w:t xml:space="preserve"> This calculation is made on a drug product by drug product basis and the amount of the rebate owed to the federal government is directly dependent on the volume of a drug product that is paid for by Medicare Parts B or D. Additionally, starting for paymen</w:t>
      </w:r>
      <w:r>
        <w:rPr>
          <w:sz w:val="20"/>
          <w:szCs w:val="20"/>
        </w:rPr>
        <w:t>t year 2026, CMS will negotiate drug prices annually for a select number of single source Part D drugs without generic or biosimilar competition. CMS will also negotiate drug prices for a select number of Part B drugs starting for payment year 2028. If a d</w:t>
      </w:r>
      <w:r>
        <w:rPr>
          <w:sz w:val="20"/>
          <w:szCs w:val="20"/>
        </w:rPr>
        <w:t>rug product is selected by CMS for negotiation, it is expected that the revenue generated from such drug will decrease</w:t>
      </w:r>
      <w:r>
        <w:rPr>
          <w:sz w:val="20"/>
          <w:szCs w:val="20"/>
        </w:rPr>
        <w:t>.</w:t>
      </w:r>
      <w:r>
        <w:t xml:space="preserve"> </w:t>
      </w:r>
    </w:p>
    <w:p w:rsidR="00000000" w:rsidRDefault="00477EE8">
      <w:pPr>
        <w:pStyle w:val="a3"/>
        <w:spacing w:before="360" w:beforeAutospacing="0" w:after="0" w:afterAutospacing="0"/>
        <w:rPr>
          <w:sz w:val="20"/>
          <w:szCs w:val="20"/>
        </w:rPr>
      </w:pPr>
      <w:r>
        <w:rPr>
          <w:b/>
          <w:bCs/>
          <w:sz w:val="20"/>
          <w:szCs w:val="20"/>
        </w:rPr>
        <w:t>Prohibitions on the Corporate Practice of Medicin</w:t>
      </w:r>
      <w:r>
        <w:rPr>
          <w:b/>
          <w:bCs/>
          <w:sz w:val="20"/>
          <w:szCs w:val="20"/>
        </w:rPr>
        <w:t>e</w:t>
      </w:r>
      <w:r>
        <w:rPr>
          <w:b/>
          <w:bCs/>
          <w:sz w:val="20"/>
          <w:szCs w:val="20"/>
        </w:rPr>
        <w:t xml:space="preserve"> </w:t>
      </w:r>
    </w:p>
    <w:p w:rsidR="00000000" w:rsidRDefault="00477EE8">
      <w:pPr>
        <w:pStyle w:val="a3"/>
        <w:spacing w:before="120" w:beforeAutospacing="0" w:after="0" w:afterAutospacing="0"/>
        <w:ind w:firstLine="555"/>
        <w:rPr>
          <w:sz w:val="20"/>
          <w:szCs w:val="20"/>
        </w:rPr>
      </w:pPr>
      <w:r>
        <w:rPr>
          <w:sz w:val="20"/>
          <w:szCs w:val="20"/>
        </w:rPr>
        <w:t>Numerous states have enacted laws prohibiting business corporations, such as us, fr</w:t>
      </w:r>
      <w:r>
        <w:rPr>
          <w:sz w:val="20"/>
          <w:szCs w:val="20"/>
        </w:rPr>
        <w:t>om practicing medicine and employing or engaging physicians to practice medicine, generally referred to as the prohibition against the corporate practice of medicine. These laws are designed to prevent interference in the medical decision-making process by</w:t>
      </w:r>
      <w:r>
        <w:rPr>
          <w:sz w:val="20"/>
          <w:szCs w:val="20"/>
        </w:rPr>
        <w:t xml:space="preserve"> anyone who is not a licensed physician. For example, California’s Medical Board has indicated that determining the appropriate diagnostic tests for a particular condition and taking responsibility for the ultimate overall care of a patient, including prov</w:t>
      </w:r>
      <w:r>
        <w:rPr>
          <w:sz w:val="20"/>
          <w:szCs w:val="20"/>
        </w:rPr>
        <w:t xml:space="preserve">iding treatment options available to the patient, would constitute the unlicensed practice of medicine if performed by an unlicensed person. Violation of these corporate practice of medicine laws may result in civil or criminal fines, as well as sanctions </w:t>
      </w:r>
      <w:r>
        <w:rPr>
          <w:sz w:val="20"/>
          <w:szCs w:val="20"/>
        </w:rPr>
        <w:t>imposed against the business corporation and/or the professional through licensure proceedings</w:t>
      </w:r>
      <w:r>
        <w:rPr>
          <w:sz w:val="20"/>
          <w:szCs w:val="20"/>
        </w:rPr>
        <w:t>.</w:t>
      </w:r>
      <w:r>
        <w:rPr>
          <w:sz w:val="20"/>
          <w:szCs w:val="20"/>
        </w:rPr>
        <w:t xml:space="preserve"> </w:t>
      </w:r>
    </w:p>
    <w:p w:rsidR="00000000" w:rsidRDefault="00477EE8">
      <w:pPr>
        <w:pStyle w:val="a3"/>
        <w:spacing w:before="360" w:beforeAutospacing="0" w:after="0" w:afterAutospacing="0"/>
        <w:rPr>
          <w:sz w:val="20"/>
          <w:szCs w:val="20"/>
        </w:rPr>
      </w:pPr>
      <w:r>
        <w:rPr>
          <w:b/>
          <w:bCs/>
          <w:sz w:val="20"/>
          <w:szCs w:val="20"/>
        </w:rPr>
        <w:t>Environmental and Other Regulatory Requirement</w:t>
      </w:r>
      <w:r>
        <w:rPr>
          <w:b/>
          <w:bCs/>
          <w:sz w:val="20"/>
          <w:szCs w:val="20"/>
        </w:rPr>
        <w:t>s</w:t>
      </w:r>
      <w:r>
        <w:rPr>
          <w:b/>
          <w:bCs/>
          <w:sz w:val="20"/>
          <w:szCs w:val="20"/>
        </w:rPr>
        <w:t xml:space="preserve"> </w:t>
      </w:r>
    </w:p>
    <w:p w:rsidR="00000000" w:rsidRDefault="00477EE8">
      <w:pPr>
        <w:pStyle w:val="a3"/>
        <w:spacing w:before="120" w:beforeAutospacing="0" w:after="0" w:afterAutospacing="0"/>
        <w:ind w:firstLine="555"/>
        <w:rPr>
          <w:sz w:val="20"/>
          <w:szCs w:val="20"/>
        </w:rPr>
      </w:pPr>
      <w:r>
        <w:rPr>
          <w:sz w:val="20"/>
          <w:szCs w:val="20"/>
        </w:rPr>
        <w:t>Our facilities are subject on an ongoing basis to federal, state, and local laws and regulations governing the</w:t>
      </w:r>
      <w:r>
        <w:rPr>
          <w:sz w:val="20"/>
          <w:szCs w:val="20"/>
        </w:rPr>
        <w:t xml:space="preserve"> use, storage, handling, and disposal of regulated medical waste, hazardous waste, and biohazardous waste, including chemicals, biological agents and compounds and blood and other tissue specimens. Typically, we use licensed or otherwise qualified outside </w:t>
      </w:r>
      <w:r>
        <w:rPr>
          <w:sz w:val="20"/>
          <w:szCs w:val="20"/>
        </w:rPr>
        <w:t>vendors to dispose of this waste. However, many of these laws and regulations provide for strict liability, holding a party potentially liable without regard to fault or negligence. As a result, we could be held liable for damages and fines if our, or othe</w:t>
      </w:r>
      <w:r>
        <w:rPr>
          <w:sz w:val="20"/>
          <w:szCs w:val="20"/>
        </w:rPr>
        <w:t>rs’, business operations or other actions result in contamination of the environment or personal injury due to exposure to hazardous materials. Our costs for complying with these laws and regulations cannot be estimated or predicted and depends on a number</w:t>
      </w:r>
      <w:r>
        <w:rPr>
          <w:sz w:val="20"/>
          <w:szCs w:val="20"/>
        </w:rPr>
        <w:t xml:space="preserve"> of factors, including the amount and nature of waste we produce, which depends in part on the number of tests we perform, and the terms we negotiate with our waste disposal vendors</w:t>
      </w:r>
      <w:r>
        <w:rPr>
          <w:sz w:val="20"/>
          <w:szCs w:val="20"/>
        </w:rPr>
        <w:t>.</w:t>
      </w:r>
    </w:p>
    <w:p w:rsidR="00000000" w:rsidRDefault="00477EE8">
      <w:pPr>
        <w:pStyle w:val="a3"/>
        <w:spacing w:before="240" w:beforeAutospacing="0" w:after="0" w:afterAutospacing="0"/>
        <w:ind w:firstLine="555"/>
        <w:rPr>
          <w:sz w:val="20"/>
          <w:szCs w:val="20"/>
        </w:rPr>
      </w:pPr>
      <w:r>
        <w:rPr>
          <w:sz w:val="20"/>
          <w:szCs w:val="20"/>
        </w:rPr>
        <w:t xml:space="preserve">Our operations are also subject to extensive requirements established by </w:t>
      </w:r>
      <w:r>
        <w:rPr>
          <w:sz w:val="20"/>
          <w:szCs w:val="20"/>
        </w:rPr>
        <w:t>the U.S. Occupational Safety and Health Administration relating to workplace safety for healthcare employees, including requirements to develop and implement programs to protect workers from exposure to blood-borne pathogens by preventing or minimizing any</w:t>
      </w:r>
      <w:r>
        <w:rPr>
          <w:sz w:val="20"/>
          <w:szCs w:val="20"/>
        </w:rPr>
        <w:t xml:space="preserve"> exposure through needle stick or similar penetrating injuries</w:t>
      </w:r>
      <w:r>
        <w:rPr>
          <w:sz w:val="20"/>
          <w:szCs w:val="20"/>
        </w:rPr>
        <w:t>.</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1</w:t>
      </w:r>
      <w:r>
        <w:rPr>
          <w:sz w:val="20"/>
          <w:szCs w:val="20"/>
        </w:rPr>
        <w:t>5</w:t>
      </w:r>
    </w:p>
    <w:p w:rsidR="00000000" w:rsidRDefault="00477EE8">
      <w:pPr>
        <w:rPr>
          <w:rFonts w:eastAsia="Times New Roman"/>
        </w:rPr>
      </w:pPr>
      <w:r>
        <w:rPr>
          <w:rFonts w:eastAsia="Times New Roman"/>
        </w:rPr>
        <w:pict>
          <v:rect id="_x0000_i1054" style="width:0;height:1.5pt" o:hralign="center" o:hrstd="t" o:hr="t" fillcolor="#a0a0a0" stroked="f"/>
        </w:pict>
      </w:r>
    </w:p>
    <w:p w:rsidR="00000000" w:rsidRDefault="00477EE8">
      <w:pPr>
        <w:pStyle w:val="a3"/>
        <w:spacing w:before="360" w:beforeAutospacing="0" w:after="0" w:afterAutospacing="0"/>
        <w:jc w:val="center"/>
        <w:rPr>
          <w:sz w:val="20"/>
          <w:szCs w:val="20"/>
        </w:rPr>
      </w:pPr>
      <w:r>
        <w:rPr>
          <w:b/>
          <w:bCs/>
          <w:sz w:val="20"/>
          <w:szCs w:val="20"/>
        </w:rPr>
        <w:t>Employees and Human Capital Resource</w:t>
      </w:r>
      <w:r>
        <w:rPr>
          <w:b/>
          <w:bCs/>
          <w:sz w:val="20"/>
          <w:szCs w:val="20"/>
        </w:rPr>
        <w:t>s</w:t>
      </w:r>
      <w:r>
        <w:rPr>
          <w:b/>
          <w:bCs/>
          <w:sz w:val="20"/>
          <w:szCs w:val="20"/>
        </w:rPr>
        <w:t xml:space="preserve"> </w:t>
      </w:r>
    </w:p>
    <w:p w:rsidR="00000000" w:rsidRDefault="00477EE8">
      <w:pPr>
        <w:pStyle w:val="a3"/>
        <w:spacing w:before="120" w:beforeAutospacing="0" w:after="0" w:afterAutospacing="0"/>
        <w:ind w:firstLine="555"/>
        <w:rPr>
          <w:sz w:val="20"/>
          <w:szCs w:val="20"/>
        </w:rPr>
      </w:pPr>
      <w:r>
        <w:rPr>
          <w:sz w:val="20"/>
          <w:szCs w:val="20"/>
        </w:rPr>
        <w:t xml:space="preserve">We believe growing and retaining a strong team is crucial to our success. As of February 15, 2023, we had 1,012 full-time employees, engaged in bioinformatics, genetic, COVID-19 and molecular testing, software engineering, laboratory management, sales and </w:t>
      </w:r>
      <w:r>
        <w:rPr>
          <w:sz w:val="20"/>
          <w:szCs w:val="20"/>
        </w:rPr>
        <w:t>marketing, and corporate and administrative activities. Consistent with our core belief in the values of diversity and inclusion, as of December 31, 2022, underrepresented minorities (which include women, Asian, and Hispanic persons) made up 50% or more of</w:t>
      </w:r>
      <w:r>
        <w:rPr>
          <w:sz w:val="20"/>
          <w:szCs w:val="20"/>
        </w:rPr>
        <w:t xml:space="preserve"> each major level of our organization, including our board of directors, senior management, and rank and file staff. To encourage the professional and personal development of every Fulgent employee, we offer reimbursement for qualified educational expenses</w:t>
      </w:r>
      <w:r>
        <w:rPr>
          <w:sz w:val="20"/>
          <w:szCs w:val="20"/>
        </w:rPr>
        <w:t xml:space="preserve"> and successful completion of undergraduate, graduate, post-graduate, professional training, and licensure courses from accredited colleges, universities, and professional organizations. We also provide mandatory training courses on a variety of topics, in</w:t>
      </w:r>
      <w:r>
        <w:rPr>
          <w:sz w:val="20"/>
          <w:szCs w:val="20"/>
        </w:rPr>
        <w:t>cluding discrimination, harassment, HIPAA, insider trading, anti-corruption and anti-bribery internally and/or through third-party providers. We offer a comprehensive compensation program that is designed to attract and reward talented individuals who poss</w:t>
      </w:r>
      <w:r>
        <w:rPr>
          <w:sz w:val="20"/>
          <w:szCs w:val="20"/>
        </w:rPr>
        <w:t>ess the skills necessary to support our business objectives, assist in the achievement of our strategic goals and create long-term value for our stockholders. We provide competitive salaries, stock-based compensation, and bonus programs. We also provide an</w:t>
      </w:r>
      <w:r>
        <w:rPr>
          <w:sz w:val="20"/>
          <w:szCs w:val="20"/>
        </w:rPr>
        <w:t xml:space="preserve"> expansive benefit offering including medical, dental, and vision health care coverage, life and AD&amp;D coverage; optional legal, pet insurance, hospitalization, critical illness and accident coverage; insurance and disability coverage; 401(k) investment pla</w:t>
      </w:r>
      <w:r>
        <w:rPr>
          <w:sz w:val="20"/>
          <w:szCs w:val="20"/>
        </w:rPr>
        <w:t>ns with Company matching; tax-advantaged savings accounts; paid time off and leaves of absence; and wellness programs. We provide added work life balance to our employees through hybrid work arrangements. None of our employees are represented by a labor un</w:t>
      </w:r>
      <w:r>
        <w:rPr>
          <w:sz w:val="20"/>
          <w:szCs w:val="20"/>
        </w:rPr>
        <w:t>ion or covered by collective bargaining agreements, and we believe our relationship with our employees is good</w:t>
      </w:r>
      <w:r>
        <w:rPr>
          <w:sz w:val="20"/>
          <w:szCs w:val="20"/>
        </w:rPr>
        <w:t>.</w:t>
      </w:r>
    </w:p>
    <w:p w:rsidR="00000000" w:rsidRDefault="00477EE8">
      <w:pPr>
        <w:pStyle w:val="a3"/>
        <w:spacing w:before="120" w:beforeAutospacing="0" w:after="0" w:afterAutospacing="0"/>
        <w:ind w:firstLine="555"/>
        <w:rPr>
          <w:sz w:val="20"/>
          <w:szCs w:val="20"/>
        </w:rPr>
      </w:pPr>
      <w:r>
        <w:rPr>
          <w:sz w:val="20"/>
          <w:szCs w:val="20"/>
        </w:rPr>
        <w:t>The following persons currently serve as the directors and executive officers of Fulgent</w:t>
      </w:r>
      <w:r>
        <w:rPr>
          <w:sz w:val="20"/>
          <w:szCs w:val="20"/>
        </w:rPr>
        <w:t>:</w:t>
      </w:r>
    </w:p>
    <w:p w:rsidR="00000000" w:rsidRDefault="00477EE8">
      <w:pPr>
        <w:pStyle w:val="a3"/>
        <w:spacing w:before="0" w:beforeAutospacing="0" w:after="0" w:afterAutospacing="0"/>
        <w:ind w:firstLine="55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44"/>
        <w:gridCol w:w="4362"/>
      </w:tblGrid>
      <w:tr w:rsidR="00000000">
        <w:trPr>
          <w:tblCellSpacing w:w="15" w:type="dxa"/>
        </w:trPr>
        <w:tc>
          <w:tcPr>
            <w:tcW w:w="2373" w:type="pct"/>
            <w:vAlign w:val="center"/>
            <w:hideMark/>
          </w:tcPr>
          <w:p w:rsidR="00000000" w:rsidRDefault="00477EE8">
            <w:pPr>
              <w:rPr>
                <w:sz w:val="20"/>
                <w:szCs w:val="20"/>
              </w:rPr>
            </w:pPr>
          </w:p>
        </w:tc>
        <w:tc>
          <w:tcPr>
            <w:tcW w:w="2626" w:type="pct"/>
            <w:vAlign w:val="center"/>
            <w:hideMark/>
          </w:tcPr>
          <w:p w:rsidR="00000000" w:rsidRDefault="00477EE8">
            <w:pPr>
              <w:rPr>
                <w:rFonts w:eastAsia="Times New Roman"/>
                <w:sz w:val="20"/>
                <w:szCs w:val="20"/>
              </w:rPr>
            </w:pP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jc w:val="center"/>
              <w:rPr>
                <w:sz w:val="16"/>
                <w:szCs w:val="16"/>
              </w:rPr>
            </w:pPr>
            <w:r>
              <w:rPr>
                <w:b/>
                <w:bCs/>
                <w:sz w:val="16"/>
                <w:szCs w:val="16"/>
              </w:rPr>
              <w:t>Directors and Executive Officer</w:t>
            </w:r>
            <w:r>
              <w:rPr>
                <w:b/>
                <w:bCs/>
                <w:sz w:val="16"/>
                <w:szCs w:val="16"/>
              </w:rPr>
              <w:t>s</w:t>
            </w:r>
          </w:p>
        </w:tc>
        <w:tc>
          <w:tcPr>
            <w:tcW w:w="0" w:type="auto"/>
            <w:vAlign w:val="bottom"/>
            <w:hideMark/>
          </w:tcPr>
          <w:p w:rsidR="00000000" w:rsidRDefault="00477EE8">
            <w:pPr>
              <w:pStyle w:val="a3"/>
              <w:spacing w:before="0" w:beforeAutospacing="0" w:after="0" w:afterAutospacing="0"/>
              <w:jc w:val="center"/>
              <w:rPr>
                <w:sz w:val="16"/>
                <w:szCs w:val="16"/>
              </w:rPr>
            </w:pPr>
            <w:r>
              <w:rPr>
                <w:b/>
                <w:bCs/>
                <w:sz w:val="16"/>
                <w:szCs w:val="16"/>
              </w:rPr>
              <w:t>Positio</w:t>
            </w:r>
            <w:r>
              <w:rPr>
                <w:b/>
                <w:bCs/>
                <w:sz w:val="16"/>
                <w:szCs w:val="16"/>
              </w:rPr>
              <w:t>n</w:t>
            </w:r>
          </w:p>
        </w:tc>
      </w:tr>
      <w:tr w:rsidR="00000000">
        <w:trPr>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Ming Hsie</w:t>
            </w:r>
            <w:r>
              <w:rPr>
                <w:sz w:val="20"/>
                <w:szCs w:val="20"/>
              </w:rPr>
              <w:t>h</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Chairman of the Board of Directors and Chief Executive Office</w:t>
            </w:r>
            <w:r>
              <w:rPr>
                <w:sz w:val="20"/>
                <w:szCs w:val="20"/>
              </w:rPr>
              <w:t>r</w:t>
            </w:r>
          </w:p>
        </w:tc>
      </w:tr>
      <w:tr w:rsidR="00000000">
        <w:trPr>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Paul Ki</w:t>
            </w:r>
            <w:r>
              <w:rPr>
                <w:sz w:val="20"/>
                <w:szCs w:val="20"/>
              </w:rPr>
              <w:t>m</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Chief Financial Office</w:t>
            </w:r>
            <w:r>
              <w:rPr>
                <w:sz w:val="20"/>
                <w:szCs w:val="20"/>
              </w:rPr>
              <w:t>r</w:t>
            </w:r>
          </w:p>
        </w:tc>
      </w:tr>
      <w:tr w:rsidR="00000000">
        <w:trPr>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Hanlin (Harry) Gao, M.D., Ph.D., D.A.B.M.G., F.A.C.M.G</w:t>
            </w: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Chief Scientific Office</w:t>
            </w:r>
            <w:r>
              <w:rPr>
                <w:sz w:val="20"/>
                <w:szCs w:val="20"/>
              </w:rPr>
              <w:t>r</w:t>
            </w:r>
          </w:p>
        </w:tc>
      </w:tr>
      <w:tr w:rsidR="00000000">
        <w:trPr>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Jian (James) Xi</w:t>
            </w:r>
            <w:r>
              <w:rPr>
                <w:sz w:val="20"/>
                <w:szCs w:val="20"/>
              </w:rPr>
              <w:t>e</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Presi</w:t>
            </w:r>
            <w:r>
              <w:rPr>
                <w:sz w:val="20"/>
                <w:szCs w:val="20"/>
              </w:rPr>
              <w:t>dent and Chief Operating Office</w:t>
            </w:r>
            <w:r>
              <w:rPr>
                <w:sz w:val="20"/>
                <w:szCs w:val="20"/>
              </w:rPr>
              <w:t>r</w:t>
            </w:r>
          </w:p>
        </w:tc>
      </w:tr>
      <w:tr w:rsidR="00000000">
        <w:trPr>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Regina (Reggie) Grove</w:t>
            </w:r>
            <w:r>
              <w:rPr>
                <w:sz w:val="20"/>
                <w:szCs w:val="20"/>
              </w:rPr>
              <w:t>s</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Non-Employee Directo</w:t>
            </w:r>
            <w:r>
              <w:rPr>
                <w:sz w:val="20"/>
                <w:szCs w:val="20"/>
              </w:rPr>
              <w:t>r</w:t>
            </w:r>
          </w:p>
        </w:tc>
      </w:tr>
      <w:tr w:rsidR="00000000">
        <w:trPr>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Linda Mars</w:t>
            </w:r>
            <w:r>
              <w:rPr>
                <w:sz w:val="20"/>
                <w:szCs w:val="20"/>
              </w:rPr>
              <w:t>h</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Non-Employee Directo</w:t>
            </w:r>
            <w:r>
              <w:rPr>
                <w:sz w:val="20"/>
                <w:szCs w:val="20"/>
              </w:rPr>
              <w:t>r</w:t>
            </w:r>
          </w:p>
        </w:tc>
      </w:tr>
      <w:tr w:rsidR="00000000">
        <w:trPr>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Michael Nohaile, Ph.D</w:t>
            </w: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Non-Employee Directo</w:t>
            </w:r>
            <w:r>
              <w:rPr>
                <w:sz w:val="20"/>
                <w:szCs w:val="20"/>
              </w:rPr>
              <w:t>r</w:t>
            </w:r>
          </w:p>
        </w:tc>
      </w:tr>
    </w:tbl>
    <w:p w:rsidR="00000000" w:rsidRDefault="00477EE8">
      <w:pPr>
        <w:pStyle w:val="a3"/>
        <w:spacing w:before="360" w:beforeAutospacing="0" w:after="0" w:afterAutospacing="0"/>
        <w:jc w:val="center"/>
        <w:rPr>
          <w:sz w:val="20"/>
          <w:szCs w:val="20"/>
        </w:rPr>
      </w:pPr>
      <w:r>
        <w:rPr>
          <w:b/>
          <w:bCs/>
          <w:sz w:val="20"/>
          <w:szCs w:val="20"/>
        </w:rPr>
        <w:t>Corporate Informatio</w:t>
      </w:r>
      <w:r>
        <w:rPr>
          <w:b/>
          <w:bCs/>
          <w:sz w:val="20"/>
          <w:szCs w:val="20"/>
        </w:rPr>
        <w:t>n</w:t>
      </w:r>
    </w:p>
    <w:p w:rsidR="00000000" w:rsidRDefault="00477EE8">
      <w:pPr>
        <w:pStyle w:val="a3"/>
        <w:spacing w:before="120" w:beforeAutospacing="0" w:after="0" w:afterAutospacing="0"/>
        <w:ind w:firstLine="555"/>
        <w:rPr>
          <w:sz w:val="20"/>
          <w:szCs w:val="20"/>
        </w:rPr>
      </w:pPr>
      <w:r>
        <w:rPr>
          <w:sz w:val="20"/>
          <w:szCs w:val="20"/>
        </w:rPr>
        <w:t>We were incorporated in Delaware on May 13, 2016. We are the holding company of our subsidiaries, including primarily Fulgent Therapeutics LLC, which was initially formed in June 2011. On September 30, 2016, Fulgent Therapeutics LLC became our wholly owned</w:t>
      </w:r>
      <w:r>
        <w:rPr>
          <w:sz w:val="20"/>
          <w:szCs w:val="20"/>
        </w:rPr>
        <w:t xml:space="preserve"> subsidiary in a transaction we refer to as the Reorganization, in which the holders of all equity interests in Fulgent Therapeutics LLC immediately prior to the Reorganization became all of our stockholders immediately following the Reorganization</w:t>
      </w:r>
      <w:r>
        <w:rPr>
          <w:sz w:val="20"/>
          <w:szCs w:val="20"/>
        </w:rPr>
        <w:t>.</w:t>
      </w:r>
      <w:r>
        <w:rPr>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Our h</w:t>
      </w:r>
      <w:r>
        <w:rPr>
          <w:sz w:val="20"/>
          <w:szCs w:val="20"/>
        </w:rPr>
        <w:t>eadquarters are located at 4978 Santa Anita Avenue, Temple City, California 91780, and our telephone number is (626) 350-0537. Our website address is</w:t>
      </w:r>
      <w:r>
        <w:rPr>
          <w:sz w:val="20"/>
          <w:szCs w:val="20"/>
        </w:rPr>
        <w:t xml:space="preserve"> </w:t>
      </w:r>
      <w:r>
        <w:rPr>
          <w:i/>
          <w:iCs/>
          <w:sz w:val="20"/>
          <w:szCs w:val="20"/>
        </w:rPr>
        <w:t>www.fulgentgenetics.co</w:t>
      </w:r>
      <w:r>
        <w:rPr>
          <w:i/>
          <w:iCs/>
          <w:sz w:val="20"/>
          <w:szCs w:val="20"/>
        </w:rPr>
        <w:t>m</w:t>
      </w:r>
      <w:r>
        <w:rPr>
          <w:sz w:val="20"/>
          <w:szCs w:val="20"/>
        </w:rPr>
        <w:t>. The information contained on or that can be accessed through our website is not p</w:t>
      </w:r>
      <w:r>
        <w:rPr>
          <w:sz w:val="20"/>
          <w:szCs w:val="20"/>
        </w:rPr>
        <w:t>art of and is not incorporated into this report by this reference</w:t>
      </w:r>
      <w:r>
        <w:rPr>
          <w:sz w:val="20"/>
          <w:szCs w:val="20"/>
        </w:rPr>
        <w:t>.</w:t>
      </w:r>
      <w:r>
        <w:rPr>
          <w:sz w:val="20"/>
          <w:szCs w:val="20"/>
        </w:rPr>
        <w:t xml:space="preserve"> </w:t>
      </w:r>
    </w:p>
    <w:p w:rsidR="00000000" w:rsidRDefault="00477EE8">
      <w:pPr>
        <w:pStyle w:val="a3"/>
        <w:spacing w:before="360" w:beforeAutospacing="0" w:after="0" w:afterAutospacing="0"/>
        <w:jc w:val="center"/>
        <w:rPr>
          <w:sz w:val="20"/>
          <w:szCs w:val="20"/>
        </w:rPr>
      </w:pPr>
      <w:r>
        <w:rPr>
          <w:b/>
          <w:bCs/>
          <w:sz w:val="20"/>
          <w:szCs w:val="20"/>
        </w:rPr>
        <w:t>Available Informatio</w:t>
      </w:r>
      <w:r>
        <w:rPr>
          <w:b/>
          <w:bCs/>
          <w:sz w:val="20"/>
          <w:szCs w:val="20"/>
        </w:rPr>
        <w:t>n</w:t>
      </w:r>
    </w:p>
    <w:p w:rsidR="00000000" w:rsidRDefault="00477EE8">
      <w:pPr>
        <w:pStyle w:val="a3"/>
        <w:spacing w:before="120" w:beforeAutospacing="0" w:after="0" w:afterAutospacing="0"/>
        <w:ind w:firstLine="555"/>
        <w:rPr>
          <w:sz w:val="20"/>
          <w:szCs w:val="20"/>
        </w:rPr>
      </w:pPr>
      <w:r>
        <w:rPr>
          <w:sz w:val="20"/>
          <w:szCs w:val="20"/>
        </w:rPr>
        <w:t>We file reports with the Securities and Exchange Commission, or the SEC, and make available, free of charge, on or through our website, our annual reports on Form 10-</w:t>
      </w:r>
      <w:r>
        <w:rPr>
          <w:sz w:val="20"/>
          <w:szCs w:val="20"/>
        </w:rPr>
        <w:t>K, quarterly reports on Form 10-Q, current reports on Form 8-K, proxy and information statements and amendments to those reports filed or furnished pursuant to Section 13(a) or 15(d) of the Exchange Act as soon as reasonably practicable after we electronic</w:t>
      </w:r>
      <w:r>
        <w:rPr>
          <w:sz w:val="20"/>
          <w:szCs w:val="20"/>
        </w:rPr>
        <w:t>ally file such material with, or furnish it to, the SEC on their website located at www.sec.gov</w:t>
      </w:r>
      <w:r>
        <w:rPr>
          <w:sz w:val="20"/>
          <w:szCs w:val="20"/>
        </w:rPr>
        <w:t>.</w:t>
      </w:r>
    </w:p>
    <w:p w:rsidR="00000000" w:rsidRDefault="00477EE8">
      <w:pPr>
        <w:pStyle w:val="a3"/>
        <w:spacing w:before="240" w:beforeAutospacing="0" w:after="0" w:afterAutospacing="0"/>
        <w:jc w:val="center"/>
        <w:rPr>
          <w:sz w:val="20"/>
          <w:szCs w:val="20"/>
        </w:rPr>
      </w:pPr>
      <w:r>
        <w:rPr>
          <w:sz w:val="20"/>
          <w:szCs w:val="20"/>
        </w:rPr>
        <w:t>1</w:t>
      </w:r>
      <w:r>
        <w:rPr>
          <w:sz w:val="20"/>
          <w:szCs w:val="20"/>
        </w:rPr>
        <w:t>6</w:t>
      </w:r>
    </w:p>
    <w:p w:rsidR="00000000" w:rsidRDefault="00477EE8">
      <w:pPr>
        <w:rPr>
          <w:rFonts w:eastAsia="Times New Roman"/>
        </w:rPr>
      </w:pPr>
      <w:r>
        <w:rPr>
          <w:rFonts w:eastAsia="Times New Roman"/>
        </w:rPr>
        <w:pict>
          <v:rect id="_x0000_i1055" style="width:0;height:1.5pt" o:hralign="center" o:hrstd="t" o:hr="t" fillcolor="#a0a0a0" stroked="f"/>
        </w:pict>
      </w:r>
    </w:p>
    <w:p w:rsidR="00000000" w:rsidRDefault="00477EE8">
      <w:pPr>
        <w:pStyle w:val="a3"/>
        <w:spacing w:before="360" w:beforeAutospacing="0" w:after="0" w:afterAutospacing="0"/>
        <w:rPr>
          <w:sz w:val="20"/>
          <w:szCs w:val="20"/>
        </w:rPr>
      </w:pPr>
      <w:r>
        <w:rPr>
          <w:b/>
          <w:bCs/>
          <w:sz w:val="20"/>
          <w:szCs w:val="20"/>
        </w:rPr>
        <w:t>Item 1A. Ri</w:t>
      </w:r>
      <w:r>
        <w:rPr>
          <w:b/>
          <w:bCs/>
          <w:sz w:val="20"/>
          <w:szCs w:val="20"/>
        </w:rPr>
        <w:t>s</w:t>
      </w:r>
      <w:r>
        <w:rPr>
          <w:b/>
          <w:bCs/>
          <w:sz w:val="20"/>
          <w:szCs w:val="20"/>
        </w:rPr>
        <w:t>k Factors</w:t>
      </w:r>
      <w:r>
        <w:rPr>
          <w:b/>
          <w:bCs/>
          <w:sz w:val="20"/>
          <w:szCs w:val="20"/>
        </w:rPr>
        <w:t>.</w:t>
      </w:r>
    </w:p>
    <w:p w:rsidR="00000000" w:rsidRDefault="00477EE8">
      <w:pPr>
        <w:pStyle w:val="a3"/>
        <w:spacing w:before="120" w:beforeAutospacing="0" w:after="0" w:afterAutospacing="0"/>
        <w:jc w:val="center"/>
        <w:rPr>
          <w:sz w:val="20"/>
          <w:szCs w:val="20"/>
        </w:rPr>
      </w:pPr>
      <w:r>
        <w:rPr>
          <w:b/>
          <w:bCs/>
          <w:sz w:val="20"/>
          <w:szCs w:val="20"/>
        </w:rPr>
        <w:t>Summary Risk Factor</w:t>
      </w:r>
      <w:r>
        <w:rPr>
          <w:b/>
          <w:bCs/>
          <w:sz w:val="20"/>
          <w:szCs w:val="20"/>
        </w:rPr>
        <w:t>s</w:t>
      </w:r>
    </w:p>
    <w:p w:rsidR="00000000" w:rsidRDefault="00477EE8">
      <w:pPr>
        <w:pStyle w:val="a3"/>
        <w:spacing w:before="120" w:beforeAutospacing="0" w:after="0" w:afterAutospacing="0"/>
        <w:ind w:firstLine="555"/>
        <w:rPr>
          <w:sz w:val="20"/>
          <w:szCs w:val="20"/>
        </w:rPr>
      </w:pPr>
      <w:r>
        <w:rPr>
          <w:sz w:val="20"/>
          <w:szCs w:val="20"/>
        </w:rPr>
        <w:t xml:space="preserve">Investing in our common stock involves a high degree of risk. Before making </w:t>
      </w:r>
      <w:r>
        <w:rPr>
          <w:sz w:val="20"/>
          <w:szCs w:val="20"/>
        </w:rPr>
        <w:t>any investment decision with respect to our common stock, you should carefully consider the risks described below, together with the other risk factors set forth in this Item 1A, all other information included in this report, and the other reports and docu</w:t>
      </w:r>
      <w:r>
        <w:rPr>
          <w:sz w:val="20"/>
          <w:szCs w:val="20"/>
        </w:rPr>
        <w:t>ments filed by us with the SEC. The risk factors described below are a summary of the principal risk factors associated with an investment in us</w:t>
      </w:r>
      <w:r>
        <w:rPr>
          <w:sz w:val="20"/>
          <w:szCs w:val="20"/>
        </w:rPr>
        <w:t>.</w:t>
      </w:r>
    </w:p>
    <w:p w:rsidR="00000000" w:rsidRDefault="00477EE8">
      <w:pPr>
        <w:pStyle w:val="a3"/>
        <w:spacing w:before="120" w:beforeAutospacing="0" w:after="0" w:afterAutospacing="0"/>
        <w:jc w:val="center"/>
        <w:rPr>
          <w:sz w:val="20"/>
          <w:szCs w:val="20"/>
        </w:rPr>
      </w:pPr>
      <w:r>
        <w:rPr>
          <w:b/>
          <w:bCs/>
          <w:sz w:val="20"/>
          <w:szCs w:val="20"/>
        </w:rPr>
        <w:t>Business and Strategy Risk</w:t>
      </w:r>
      <w:r>
        <w:rPr>
          <w:b/>
          <w:bCs/>
          <w:sz w:val="20"/>
          <w:szCs w:val="20"/>
        </w:rPr>
        <w:t>s</w:t>
      </w:r>
    </w:p>
    <w:p w:rsidR="00000000" w:rsidRDefault="00477EE8">
      <w:pPr>
        <w:divId w:val="955140856"/>
        <w:rPr>
          <w:rFonts w:eastAsia="Times New Roman"/>
        </w:rPr>
      </w:pPr>
      <w:r>
        <w:rPr>
          <w:rFonts w:eastAsia="Times New Roman"/>
          <w:sz w:val="20"/>
          <w:szCs w:val="20"/>
        </w:rPr>
        <w:t>•</w:t>
      </w:r>
    </w:p>
    <w:p w:rsidR="00000000" w:rsidRDefault="00477EE8">
      <w:pPr>
        <w:divId w:val="1786346943"/>
        <w:rPr>
          <w:rFonts w:eastAsia="Times New Roman"/>
        </w:rPr>
      </w:pPr>
      <w:r>
        <w:rPr>
          <w:rFonts w:eastAsia="Times New Roman"/>
          <w:sz w:val="20"/>
          <w:szCs w:val="20"/>
        </w:rPr>
        <w:t>Our results of operations may fluctuate significantly from period to period and can be difficult to predict</w:t>
      </w:r>
      <w:r>
        <w:rPr>
          <w:rFonts w:eastAsia="Times New Roman"/>
          <w:sz w:val="20"/>
          <w:szCs w:val="20"/>
        </w:rPr>
        <w:t>.</w:t>
      </w:r>
    </w:p>
    <w:p w:rsidR="00000000" w:rsidRDefault="00477EE8">
      <w:pPr>
        <w:divId w:val="1568951524"/>
        <w:rPr>
          <w:rFonts w:eastAsia="Times New Roman"/>
        </w:rPr>
      </w:pPr>
      <w:r>
        <w:rPr>
          <w:rFonts w:eastAsia="Times New Roman"/>
          <w:sz w:val="20"/>
          <w:szCs w:val="20"/>
        </w:rPr>
        <w:t>•</w:t>
      </w:r>
    </w:p>
    <w:p w:rsidR="00000000" w:rsidRDefault="00477EE8">
      <w:pPr>
        <w:divId w:val="989093100"/>
        <w:rPr>
          <w:rFonts w:eastAsia="Times New Roman"/>
        </w:rPr>
      </w:pPr>
      <w:r>
        <w:rPr>
          <w:rFonts w:eastAsia="Times New Roman"/>
          <w:sz w:val="20"/>
          <w:szCs w:val="20"/>
        </w:rPr>
        <w:t>We have a history of losses, and we may not be able to sustain profitability. We anticipate that revenues resulting from our COVID-19 testing wil</w:t>
      </w:r>
      <w:r>
        <w:rPr>
          <w:rFonts w:eastAsia="Times New Roman"/>
          <w:sz w:val="20"/>
          <w:szCs w:val="20"/>
        </w:rPr>
        <w:t>l continue to decrease as and if the prevalence of COVID-19 decreases</w:t>
      </w:r>
      <w:r>
        <w:rPr>
          <w:rFonts w:eastAsia="Times New Roman"/>
          <w:sz w:val="20"/>
          <w:szCs w:val="20"/>
        </w:rPr>
        <w:t>.</w:t>
      </w:r>
    </w:p>
    <w:p w:rsidR="00000000" w:rsidRDefault="00477EE8">
      <w:pPr>
        <w:divId w:val="1076778529"/>
        <w:rPr>
          <w:rFonts w:eastAsia="Times New Roman"/>
        </w:rPr>
      </w:pPr>
      <w:r>
        <w:rPr>
          <w:rFonts w:eastAsia="Times New Roman"/>
          <w:sz w:val="20"/>
          <w:szCs w:val="20"/>
        </w:rPr>
        <w:t>•</w:t>
      </w:r>
    </w:p>
    <w:p w:rsidR="00000000" w:rsidRDefault="00477EE8">
      <w:pPr>
        <w:divId w:val="1697152220"/>
        <w:rPr>
          <w:rFonts w:eastAsia="Times New Roman"/>
        </w:rPr>
      </w:pPr>
      <w:r>
        <w:rPr>
          <w:rFonts w:eastAsia="Times New Roman"/>
          <w:sz w:val="20"/>
          <w:szCs w:val="20"/>
        </w:rPr>
        <w:t>We may not be successful in our efforts to integrate any acquired businesses and technologies, and this may adversely affect our business and results of operations. We may incur unexp</w:t>
      </w:r>
      <w:r>
        <w:rPr>
          <w:rFonts w:eastAsia="Times New Roman"/>
          <w:sz w:val="20"/>
          <w:szCs w:val="20"/>
        </w:rPr>
        <w:t>ected liabilities as a result of our acquisitions</w:t>
      </w:r>
      <w:r>
        <w:rPr>
          <w:rFonts w:eastAsia="Times New Roman"/>
          <w:sz w:val="20"/>
          <w:szCs w:val="20"/>
        </w:rPr>
        <w:t>.</w:t>
      </w:r>
    </w:p>
    <w:p w:rsidR="00000000" w:rsidRDefault="00477EE8">
      <w:pPr>
        <w:divId w:val="1509825974"/>
        <w:rPr>
          <w:rFonts w:eastAsia="Times New Roman"/>
        </w:rPr>
      </w:pPr>
      <w:r>
        <w:rPr>
          <w:rFonts w:eastAsia="Times New Roman"/>
          <w:sz w:val="20"/>
          <w:szCs w:val="20"/>
        </w:rPr>
        <w:t>•</w:t>
      </w:r>
    </w:p>
    <w:p w:rsidR="00000000" w:rsidRDefault="00477EE8">
      <w:pPr>
        <w:divId w:val="1448936564"/>
        <w:rPr>
          <w:rFonts w:eastAsia="Times New Roman"/>
        </w:rPr>
      </w:pPr>
      <w:r>
        <w:rPr>
          <w:rFonts w:eastAsia="Times New Roman"/>
          <w:sz w:val="20"/>
          <w:szCs w:val="20"/>
        </w:rPr>
        <w:t>Actual or attempted security breaches, loss of data, or other disruptions could expose us to material liability and materially and adversely affect our business and our reputation</w:t>
      </w:r>
      <w:r>
        <w:rPr>
          <w:rFonts w:eastAsia="Times New Roman"/>
          <w:sz w:val="20"/>
          <w:szCs w:val="20"/>
        </w:rPr>
        <w:t>.</w:t>
      </w:r>
    </w:p>
    <w:p w:rsidR="00000000" w:rsidRDefault="00477EE8">
      <w:pPr>
        <w:divId w:val="768428360"/>
        <w:rPr>
          <w:rFonts w:eastAsia="Times New Roman"/>
        </w:rPr>
      </w:pPr>
      <w:r>
        <w:rPr>
          <w:rFonts w:eastAsia="Times New Roman"/>
          <w:sz w:val="20"/>
          <w:szCs w:val="20"/>
        </w:rPr>
        <w:t>•</w:t>
      </w:r>
    </w:p>
    <w:p w:rsidR="00000000" w:rsidRDefault="00477EE8">
      <w:pPr>
        <w:divId w:val="1685860954"/>
        <w:rPr>
          <w:rFonts w:eastAsia="Times New Roman"/>
        </w:rPr>
      </w:pPr>
      <w:r>
        <w:rPr>
          <w:rFonts w:eastAsia="Times New Roman"/>
          <w:sz w:val="20"/>
          <w:szCs w:val="20"/>
        </w:rPr>
        <w:t>If our laboratory fa</w:t>
      </w:r>
      <w:r>
        <w:rPr>
          <w:rFonts w:eastAsia="Times New Roman"/>
          <w:sz w:val="20"/>
          <w:szCs w:val="20"/>
        </w:rPr>
        <w:t>cilities become inoperable, if we are forced to vacate a facility, or if we are unable to obtain additional laboratory space as and when needed, we would be unable to perform our tests, and our business would be harmed</w:t>
      </w:r>
      <w:r>
        <w:rPr>
          <w:rFonts w:eastAsia="Times New Roman"/>
          <w:sz w:val="20"/>
          <w:szCs w:val="20"/>
        </w:rPr>
        <w:t>.</w:t>
      </w:r>
    </w:p>
    <w:p w:rsidR="00000000" w:rsidRDefault="00477EE8">
      <w:pPr>
        <w:divId w:val="1088230450"/>
        <w:rPr>
          <w:rFonts w:eastAsia="Times New Roman"/>
        </w:rPr>
      </w:pPr>
      <w:r>
        <w:rPr>
          <w:rFonts w:eastAsia="Times New Roman"/>
          <w:sz w:val="20"/>
          <w:szCs w:val="20"/>
        </w:rPr>
        <w:t>•</w:t>
      </w:r>
    </w:p>
    <w:p w:rsidR="00000000" w:rsidRDefault="00477EE8">
      <w:pPr>
        <w:divId w:val="1541238260"/>
        <w:rPr>
          <w:rFonts w:eastAsia="Times New Roman"/>
        </w:rPr>
      </w:pPr>
      <w:r>
        <w:rPr>
          <w:rFonts w:eastAsia="Times New Roman"/>
          <w:sz w:val="20"/>
          <w:szCs w:val="20"/>
        </w:rPr>
        <w:t>We depend on our information techn</w:t>
      </w:r>
      <w:r>
        <w:rPr>
          <w:rFonts w:eastAsia="Times New Roman"/>
          <w:sz w:val="20"/>
          <w:szCs w:val="20"/>
        </w:rPr>
        <w:t>ology systems and any material failure of these systems, due to hardware or software malfunctions, delays in operation, and/or material failures to implement new or enhanced systems or cybersecurity breaches, could materially harm our business</w:t>
      </w:r>
      <w:r>
        <w:rPr>
          <w:rFonts w:eastAsia="Times New Roman"/>
          <w:sz w:val="20"/>
          <w:szCs w:val="20"/>
        </w:rPr>
        <w:t>.</w:t>
      </w:r>
    </w:p>
    <w:p w:rsidR="00000000" w:rsidRDefault="00477EE8">
      <w:pPr>
        <w:divId w:val="1217623348"/>
        <w:rPr>
          <w:rFonts w:eastAsia="Times New Roman"/>
        </w:rPr>
      </w:pPr>
      <w:r>
        <w:rPr>
          <w:rFonts w:eastAsia="Times New Roman"/>
          <w:sz w:val="20"/>
          <w:szCs w:val="20"/>
        </w:rPr>
        <w:t>•</w:t>
      </w:r>
    </w:p>
    <w:p w:rsidR="00000000" w:rsidRDefault="00477EE8">
      <w:pPr>
        <w:divId w:val="1406103845"/>
        <w:rPr>
          <w:rFonts w:eastAsia="Times New Roman"/>
        </w:rPr>
      </w:pPr>
      <w:r>
        <w:rPr>
          <w:rFonts w:eastAsia="Times New Roman"/>
          <w:sz w:val="20"/>
          <w:szCs w:val="20"/>
        </w:rPr>
        <w:t>Any inabi</w:t>
      </w:r>
      <w:r>
        <w:rPr>
          <w:rFonts w:eastAsia="Times New Roman"/>
          <w:sz w:val="20"/>
          <w:szCs w:val="20"/>
        </w:rPr>
        <w:t>lity to obtain additional capital when needed and on acceptable terms may limit our ability to execute our business plans, and our liquidity needs could be materially affected by market fluctuations and general economic conditions</w:t>
      </w:r>
      <w:r>
        <w:rPr>
          <w:rFonts w:eastAsia="Times New Roman"/>
          <w:sz w:val="20"/>
          <w:szCs w:val="20"/>
        </w:rPr>
        <w:t>.</w:t>
      </w:r>
    </w:p>
    <w:p w:rsidR="00000000" w:rsidRDefault="00477EE8">
      <w:pPr>
        <w:pStyle w:val="a3"/>
        <w:spacing w:before="120" w:beforeAutospacing="0" w:after="0" w:afterAutospacing="0"/>
        <w:jc w:val="center"/>
        <w:rPr>
          <w:sz w:val="20"/>
          <w:szCs w:val="20"/>
        </w:rPr>
      </w:pPr>
      <w:r>
        <w:rPr>
          <w:b/>
          <w:bCs/>
          <w:sz w:val="20"/>
          <w:szCs w:val="20"/>
        </w:rPr>
        <w:t>Reimbursement Risk</w:t>
      </w:r>
      <w:r>
        <w:rPr>
          <w:b/>
          <w:bCs/>
          <w:sz w:val="20"/>
          <w:szCs w:val="20"/>
        </w:rPr>
        <w:t>s</w:t>
      </w:r>
    </w:p>
    <w:p w:rsidR="00000000" w:rsidRDefault="00477EE8">
      <w:pPr>
        <w:divId w:val="1648322361"/>
        <w:rPr>
          <w:rFonts w:eastAsia="Times New Roman"/>
        </w:rPr>
      </w:pPr>
      <w:r>
        <w:rPr>
          <w:rFonts w:eastAsia="Times New Roman"/>
          <w:sz w:val="20"/>
          <w:szCs w:val="20"/>
        </w:rPr>
        <w:t>•</w:t>
      </w:r>
    </w:p>
    <w:p w:rsidR="00000000" w:rsidRDefault="00477EE8">
      <w:pPr>
        <w:divId w:val="138035327"/>
        <w:rPr>
          <w:rFonts w:eastAsia="Times New Roman"/>
        </w:rPr>
      </w:pPr>
      <w:r>
        <w:rPr>
          <w:rFonts w:eastAsia="Times New Roman"/>
          <w:sz w:val="20"/>
          <w:szCs w:val="20"/>
        </w:rPr>
        <w:t>Ou</w:t>
      </w:r>
      <w:r>
        <w:rPr>
          <w:rFonts w:eastAsia="Times New Roman"/>
          <w:sz w:val="20"/>
          <w:szCs w:val="20"/>
        </w:rPr>
        <w:t>r ability to achieve or sustain profitability also depends on our collection of payment for the tests we deliver, which we may not be able to do successfully</w:t>
      </w:r>
      <w:r>
        <w:rPr>
          <w:rFonts w:eastAsia="Times New Roman"/>
          <w:sz w:val="20"/>
          <w:szCs w:val="20"/>
        </w:rPr>
        <w:t xml:space="preserve"> </w:t>
      </w:r>
    </w:p>
    <w:p w:rsidR="00000000" w:rsidRDefault="00477EE8">
      <w:pPr>
        <w:divId w:val="489103229"/>
        <w:rPr>
          <w:rFonts w:eastAsia="Times New Roman"/>
        </w:rPr>
      </w:pPr>
      <w:r>
        <w:rPr>
          <w:rFonts w:eastAsia="Times New Roman"/>
          <w:sz w:val="20"/>
          <w:szCs w:val="20"/>
        </w:rPr>
        <w:t>•</w:t>
      </w:r>
    </w:p>
    <w:p w:rsidR="00000000" w:rsidRDefault="00477EE8">
      <w:pPr>
        <w:divId w:val="452016086"/>
        <w:rPr>
          <w:rFonts w:eastAsia="Times New Roman"/>
        </w:rPr>
      </w:pPr>
      <w:r>
        <w:rPr>
          <w:rFonts w:eastAsia="Times New Roman"/>
          <w:sz w:val="20"/>
          <w:szCs w:val="20"/>
        </w:rPr>
        <w:t xml:space="preserve">Failure to comply with government laws and regulations related to submission of claims for our </w:t>
      </w:r>
      <w:r>
        <w:rPr>
          <w:rFonts w:eastAsia="Times New Roman"/>
          <w:sz w:val="20"/>
          <w:szCs w:val="20"/>
        </w:rPr>
        <w:t>services could result in significant monetary damages and penalties and exclusion from the Medicare and Medicaid programs and corresponding foreign reimbursement programs</w:t>
      </w:r>
      <w:r>
        <w:rPr>
          <w:rFonts w:eastAsia="Times New Roman"/>
          <w:sz w:val="20"/>
          <w:szCs w:val="20"/>
        </w:rPr>
        <w:t>.</w:t>
      </w:r>
    </w:p>
    <w:p w:rsidR="00000000" w:rsidRDefault="00477EE8">
      <w:pPr>
        <w:pStyle w:val="a3"/>
        <w:spacing w:before="120" w:beforeAutospacing="0" w:after="0" w:afterAutospacing="0"/>
        <w:jc w:val="center"/>
        <w:rPr>
          <w:sz w:val="20"/>
          <w:szCs w:val="20"/>
        </w:rPr>
      </w:pPr>
      <w:r>
        <w:rPr>
          <w:b/>
          <w:bCs/>
          <w:sz w:val="20"/>
          <w:szCs w:val="20"/>
        </w:rPr>
        <w:t>Regulatory Risk</w:t>
      </w:r>
      <w:r>
        <w:rPr>
          <w:b/>
          <w:bCs/>
          <w:sz w:val="20"/>
          <w:szCs w:val="20"/>
        </w:rPr>
        <w:t>s</w:t>
      </w:r>
    </w:p>
    <w:p w:rsidR="00000000" w:rsidRDefault="00477EE8">
      <w:pPr>
        <w:divId w:val="1167787560"/>
        <w:rPr>
          <w:rFonts w:eastAsia="Times New Roman"/>
        </w:rPr>
      </w:pPr>
      <w:r>
        <w:rPr>
          <w:rFonts w:eastAsia="Times New Roman"/>
          <w:sz w:val="20"/>
          <w:szCs w:val="20"/>
        </w:rPr>
        <w:t>•</w:t>
      </w:r>
    </w:p>
    <w:p w:rsidR="00000000" w:rsidRDefault="00477EE8">
      <w:pPr>
        <w:divId w:val="274212108"/>
        <w:rPr>
          <w:rFonts w:eastAsia="Times New Roman"/>
        </w:rPr>
      </w:pPr>
      <w:r>
        <w:rPr>
          <w:rFonts w:eastAsia="Times New Roman"/>
          <w:sz w:val="20"/>
          <w:szCs w:val="20"/>
        </w:rPr>
        <w:t>Any changes in laws, regulations or the enforcement discretion of the FDA with respect to the marketing of diagnostic products, or violations of laws or regulations by us, could materially and adversely affect our business, prospects, results of operations</w:t>
      </w:r>
      <w:r>
        <w:rPr>
          <w:rFonts w:eastAsia="Times New Roman"/>
          <w:sz w:val="20"/>
          <w:szCs w:val="20"/>
        </w:rPr>
        <w:t xml:space="preserve"> or financial condition</w:t>
      </w:r>
      <w:r>
        <w:rPr>
          <w:rFonts w:eastAsia="Times New Roman"/>
          <w:sz w:val="20"/>
          <w:szCs w:val="20"/>
        </w:rPr>
        <w:t>.</w:t>
      </w:r>
    </w:p>
    <w:p w:rsidR="00000000" w:rsidRDefault="00477EE8">
      <w:pPr>
        <w:divId w:val="2111076944"/>
        <w:rPr>
          <w:rFonts w:eastAsia="Times New Roman"/>
        </w:rPr>
      </w:pPr>
      <w:r>
        <w:rPr>
          <w:rFonts w:eastAsia="Times New Roman"/>
          <w:sz w:val="20"/>
          <w:szCs w:val="20"/>
        </w:rPr>
        <w:t>•</w:t>
      </w:r>
    </w:p>
    <w:p w:rsidR="00000000" w:rsidRDefault="00477EE8">
      <w:pPr>
        <w:divId w:val="1039208302"/>
        <w:rPr>
          <w:rFonts w:eastAsia="Times New Roman"/>
        </w:rPr>
      </w:pPr>
      <w:r>
        <w:rPr>
          <w:rFonts w:eastAsia="Times New Roman"/>
          <w:sz w:val="20"/>
          <w:szCs w:val="20"/>
        </w:rPr>
        <w:t>If we fail to comply with applicable federal, state, local and foreign laboratory licensing requirements, we could lose the ability to perform our tests or experience material disruptions to our business</w:t>
      </w:r>
      <w:r>
        <w:rPr>
          <w:rFonts w:eastAsia="Times New Roman"/>
          <w:sz w:val="20"/>
          <w:szCs w:val="20"/>
        </w:rPr>
        <w:t>.</w:t>
      </w:r>
    </w:p>
    <w:p w:rsidR="00000000" w:rsidRDefault="00477EE8">
      <w:pPr>
        <w:divId w:val="1169253120"/>
        <w:rPr>
          <w:rFonts w:eastAsia="Times New Roman"/>
        </w:rPr>
      </w:pPr>
      <w:r>
        <w:rPr>
          <w:rFonts w:eastAsia="Times New Roman"/>
          <w:sz w:val="20"/>
          <w:szCs w:val="20"/>
        </w:rPr>
        <w:t>•</w:t>
      </w:r>
    </w:p>
    <w:p w:rsidR="00000000" w:rsidRDefault="00477EE8">
      <w:pPr>
        <w:divId w:val="213007863"/>
        <w:rPr>
          <w:rFonts w:eastAsia="Times New Roman"/>
        </w:rPr>
      </w:pPr>
      <w:r>
        <w:rPr>
          <w:rFonts w:eastAsia="Times New Roman"/>
          <w:sz w:val="20"/>
          <w:szCs w:val="20"/>
        </w:rPr>
        <w:t>We are subject to broad legal requirements regarding the information we test and analyze, and any failure to comply with these requirements could result in materially significant, penalties, materially damage our reputation and materially harm our business</w:t>
      </w:r>
      <w:r>
        <w:rPr>
          <w:rFonts w:eastAsia="Times New Roman"/>
          <w:sz w:val="20"/>
          <w:szCs w:val="20"/>
        </w:rPr>
        <w:t>.</w:t>
      </w:r>
    </w:p>
    <w:p w:rsidR="00000000" w:rsidRDefault="00477EE8">
      <w:pPr>
        <w:divId w:val="1226989625"/>
        <w:rPr>
          <w:rFonts w:eastAsia="Times New Roman"/>
        </w:rPr>
      </w:pPr>
      <w:r>
        <w:rPr>
          <w:rFonts w:eastAsia="Times New Roman"/>
          <w:sz w:val="20"/>
          <w:szCs w:val="20"/>
        </w:rPr>
        <w:t>•</w:t>
      </w:r>
    </w:p>
    <w:p w:rsidR="00000000" w:rsidRDefault="00477EE8">
      <w:pPr>
        <w:divId w:val="757558461"/>
        <w:rPr>
          <w:rFonts w:eastAsia="Times New Roman"/>
        </w:rPr>
      </w:pPr>
      <w:r>
        <w:rPr>
          <w:rFonts w:eastAsia="Times New Roman"/>
          <w:sz w:val="20"/>
          <w:szCs w:val="20"/>
        </w:rPr>
        <w:t>We conduct business in a heavily regulated industry. Complying with the numerous statutes and regulations pertaining to our business is expensive and time-consuming, and any failure by us, our consultants or commercial partners to comply could result i</w:t>
      </w:r>
      <w:r>
        <w:rPr>
          <w:rFonts w:eastAsia="Times New Roman"/>
          <w:sz w:val="20"/>
          <w:szCs w:val="20"/>
        </w:rPr>
        <w:t>n substantial and material penalties</w:t>
      </w:r>
      <w:r>
        <w:rPr>
          <w:rFonts w:eastAsia="Times New Roman"/>
          <w:sz w:val="20"/>
          <w:szCs w:val="20"/>
        </w:rPr>
        <w:t>.</w:t>
      </w:r>
    </w:p>
    <w:p w:rsidR="00000000" w:rsidRDefault="00477EE8">
      <w:pPr>
        <w:divId w:val="1682123436"/>
        <w:rPr>
          <w:rFonts w:eastAsia="Times New Roman"/>
        </w:rPr>
      </w:pPr>
      <w:r>
        <w:rPr>
          <w:rFonts w:eastAsia="Times New Roman"/>
          <w:sz w:val="20"/>
          <w:szCs w:val="20"/>
        </w:rPr>
        <w:t>•</w:t>
      </w:r>
    </w:p>
    <w:p w:rsidR="00000000" w:rsidRDefault="00477EE8">
      <w:pPr>
        <w:divId w:val="283197977"/>
        <w:rPr>
          <w:rFonts w:eastAsia="Times New Roman"/>
        </w:rPr>
      </w:pPr>
      <w:r>
        <w:rPr>
          <w:rFonts w:eastAsia="Times New Roman"/>
          <w:sz w:val="20"/>
          <w:szCs w:val="20"/>
        </w:rPr>
        <w:t>We may be required to modify our business practices, pay fines, incur significant expenses or experience losses due to litigation or governmental investigations</w:t>
      </w:r>
      <w:r>
        <w:rPr>
          <w:rFonts w:eastAsia="Times New Roman"/>
          <w:sz w:val="20"/>
          <w:szCs w:val="20"/>
        </w:rPr>
        <w:t>.</w:t>
      </w:r>
    </w:p>
    <w:p w:rsidR="00000000" w:rsidRDefault="00477EE8">
      <w:pPr>
        <w:pStyle w:val="a3"/>
        <w:spacing w:before="120" w:beforeAutospacing="0" w:after="0" w:afterAutospacing="0"/>
        <w:jc w:val="center"/>
        <w:rPr>
          <w:sz w:val="20"/>
          <w:szCs w:val="20"/>
        </w:rPr>
      </w:pPr>
      <w:r>
        <w:rPr>
          <w:b/>
          <w:bCs/>
          <w:sz w:val="20"/>
          <w:szCs w:val="20"/>
        </w:rPr>
        <w:t>Risk Related to the Development of Therapeutic Candida</w:t>
      </w:r>
      <w:r>
        <w:rPr>
          <w:b/>
          <w:bCs/>
          <w:sz w:val="20"/>
          <w:szCs w:val="20"/>
        </w:rPr>
        <w:t>te</w:t>
      </w:r>
      <w:r>
        <w:rPr>
          <w:b/>
          <w:bCs/>
          <w:sz w:val="20"/>
          <w:szCs w:val="20"/>
        </w:rPr>
        <w:t>s</w:t>
      </w:r>
    </w:p>
    <w:p w:rsidR="00000000" w:rsidRDefault="00477EE8">
      <w:pPr>
        <w:divId w:val="345375049"/>
        <w:rPr>
          <w:rFonts w:eastAsia="Times New Roman"/>
        </w:rPr>
      </w:pPr>
      <w:r>
        <w:rPr>
          <w:rFonts w:eastAsia="Times New Roman"/>
          <w:sz w:val="20"/>
          <w:szCs w:val="20"/>
        </w:rPr>
        <w:t>•</w:t>
      </w:r>
    </w:p>
    <w:p w:rsidR="00000000" w:rsidRDefault="00477EE8">
      <w:pPr>
        <w:divId w:val="361907886"/>
        <w:rPr>
          <w:rFonts w:eastAsia="Times New Roman"/>
        </w:rPr>
      </w:pPr>
      <w:r>
        <w:rPr>
          <w:rFonts w:eastAsia="Times New Roman"/>
          <w:sz w:val="20"/>
          <w:szCs w:val="20"/>
        </w:rPr>
        <w:t>Fulgent Pharma’s therapeutic candidates are in early stages of development and may fail or suffer delays that materially and adversely affect their future commercial viability</w:t>
      </w:r>
      <w:r>
        <w:rPr>
          <w:rFonts w:eastAsia="Times New Roman"/>
          <w:sz w:val="20"/>
          <w:szCs w:val="20"/>
        </w:rPr>
        <w:t>.</w:t>
      </w:r>
    </w:p>
    <w:p w:rsidR="00000000" w:rsidRDefault="00477EE8">
      <w:pPr>
        <w:divId w:val="1771466113"/>
        <w:rPr>
          <w:rFonts w:eastAsia="Times New Roman"/>
        </w:rPr>
      </w:pPr>
      <w:r>
        <w:rPr>
          <w:rFonts w:eastAsia="Times New Roman"/>
          <w:sz w:val="20"/>
          <w:szCs w:val="20"/>
        </w:rPr>
        <w:t>•</w:t>
      </w:r>
    </w:p>
    <w:p w:rsidR="00000000" w:rsidRDefault="00477EE8">
      <w:pPr>
        <w:divId w:val="1613169110"/>
        <w:rPr>
          <w:rFonts w:eastAsia="Times New Roman"/>
        </w:rPr>
      </w:pPr>
      <w:r>
        <w:rPr>
          <w:rFonts w:eastAsia="Times New Roman"/>
          <w:sz w:val="20"/>
          <w:szCs w:val="20"/>
        </w:rPr>
        <w:t>Any therapeutic product candidate that Fulgent Pharma may attempt to de</w:t>
      </w:r>
      <w:r>
        <w:rPr>
          <w:rFonts w:eastAsia="Times New Roman"/>
          <w:sz w:val="20"/>
          <w:szCs w:val="20"/>
        </w:rPr>
        <w:t xml:space="preserve">velop, manufacture or market in the United States will be subject to extensive regulation by the FDA, including regulations relating to development, preclinical testing, performance of clinical trials, manufacturing and post-approval commercialization and </w:t>
      </w:r>
      <w:r>
        <w:rPr>
          <w:rFonts w:eastAsia="Times New Roman"/>
          <w:sz w:val="20"/>
          <w:szCs w:val="20"/>
        </w:rPr>
        <w:t>will be subject to extensive</w:t>
      </w:r>
      <w:r>
        <w:rPr>
          <w:rFonts w:eastAsia="Times New Roman"/>
          <w:sz w:val="20"/>
          <w:szCs w:val="20"/>
        </w:rPr>
        <w:t xml:space="preserve"> </w:t>
      </w:r>
    </w:p>
    <w:p w:rsidR="00000000" w:rsidRDefault="00477EE8">
      <w:pPr>
        <w:pStyle w:val="a3"/>
        <w:spacing w:before="240" w:beforeAutospacing="0" w:after="0" w:afterAutospacing="0"/>
        <w:jc w:val="center"/>
        <w:rPr>
          <w:sz w:val="20"/>
          <w:szCs w:val="20"/>
        </w:rPr>
      </w:pPr>
      <w:r>
        <w:rPr>
          <w:sz w:val="20"/>
          <w:szCs w:val="20"/>
        </w:rPr>
        <w:t>1</w:t>
      </w:r>
      <w:r>
        <w:rPr>
          <w:sz w:val="20"/>
          <w:szCs w:val="20"/>
        </w:rPr>
        <w:t>7</w:t>
      </w:r>
    </w:p>
    <w:p w:rsidR="00000000" w:rsidRDefault="00477EE8">
      <w:pPr>
        <w:rPr>
          <w:rFonts w:eastAsia="Times New Roman"/>
        </w:rPr>
      </w:pPr>
      <w:r>
        <w:rPr>
          <w:rFonts w:eastAsia="Times New Roman"/>
        </w:rPr>
        <w:pict>
          <v:rect id="_x0000_i1056" style="width:0;height:1.5pt" o:hralign="center" o:hrstd="t" o:hr="t" fillcolor="#a0a0a0" stroked="f"/>
        </w:pict>
      </w:r>
    </w:p>
    <w:p w:rsidR="00000000" w:rsidRDefault="00477EE8">
      <w:pPr>
        <w:divId w:val="86124396"/>
        <w:rPr>
          <w:rFonts w:eastAsia="Times New Roman"/>
        </w:rPr>
      </w:pPr>
      <w:r>
        <w:rPr>
          <w:rFonts w:eastAsia="Times New Roman"/>
          <w:sz w:val="20"/>
          <w:szCs w:val="20"/>
        </w:rPr>
        <w:t>regulations outside of the United States. Satisfaction of these and other regulatory requirements is costly, time consuming, uncertain and subject to unanticipated delays. The time requi</w:t>
      </w:r>
      <w:r>
        <w:rPr>
          <w:rFonts w:eastAsia="Times New Roman"/>
          <w:sz w:val="20"/>
          <w:szCs w:val="20"/>
        </w:rPr>
        <w:t>red to obtain FDA approval, and any other required approvals for pharmaceutical products, including any accelerated approval, is unpredictable but typically requires years to several years and may never be obtained</w:t>
      </w:r>
      <w:r>
        <w:rPr>
          <w:rFonts w:eastAsia="Times New Roman"/>
          <w:sz w:val="20"/>
          <w:szCs w:val="20"/>
        </w:rPr>
        <w:t>.</w:t>
      </w:r>
    </w:p>
    <w:p w:rsidR="00000000" w:rsidRDefault="00477EE8">
      <w:pPr>
        <w:pStyle w:val="a3"/>
        <w:spacing w:before="120" w:beforeAutospacing="0" w:after="0" w:afterAutospacing="0"/>
        <w:jc w:val="center"/>
        <w:rPr>
          <w:sz w:val="20"/>
          <w:szCs w:val="20"/>
        </w:rPr>
      </w:pPr>
      <w:r>
        <w:rPr>
          <w:b/>
          <w:bCs/>
          <w:sz w:val="20"/>
          <w:szCs w:val="20"/>
        </w:rPr>
        <w:t>Intellectual Property Risk</w:t>
      </w:r>
      <w:r>
        <w:rPr>
          <w:b/>
          <w:bCs/>
          <w:sz w:val="20"/>
          <w:szCs w:val="20"/>
        </w:rPr>
        <w:t>s</w:t>
      </w:r>
    </w:p>
    <w:p w:rsidR="00000000" w:rsidRDefault="00477EE8">
      <w:pPr>
        <w:divId w:val="1091391133"/>
        <w:rPr>
          <w:rFonts w:eastAsia="Times New Roman"/>
        </w:rPr>
      </w:pPr>
      <w:r>
        <w:rPr>
          <w:rFonts w:eastAsia="Times New Roman"/>
          <w:sz w:val="20"/>
          <w:szCs w:val="20"/>
        </w:rPr>
        <w:t>•</w:t>
      </w:r>
    </w:p>
    <w:p w:rsidR="00000000" w:rsidRDefault="00477EE8">
      <w:pPr>
        <w:divId w:val="1284772620"/>
        <w:rPr>
          <w:rFonts w:eastAsia="Times New Roman"/>
        </w:rPr>
      </w:pPr>
      <w:r>
        <w:rPr>
          <w:rFonts w:eastAsia="Times New Roman"/>
          <w:sz w:val="20"/>
          <w:szCs w:val="20"/>
        </w:rPr>
        <w:t>We primari</w:t>
      </w:r>
      <w:r>
        <w:rPr>
          <w:rFonts w:eastAsia="Times New Roman"/>
          <w:sz w:val="20"/>
          <w:szCs w:val="20"/>
        </w:rPr>
        <w:t>ly rely on trade secret protection, non-disclosure agreements, and invention assignment agreements to protect our proprietary information, which may not be effective</w:t>
      </w:r>
      <w:r>
        <w:rPr>
          <w:rFonts w:eastAsia="Times New Roman"/>
          <w:sz w:val="20"/>
          <w:szCs w:val="20"/>
        </w:rPr>
        <w:t>.</w:t>
      </w:r>
    </w:p>
    <w:p w:rsidR="00000000" w:rsidRDefault="00477EE8">
      <w:pPr>
        <w:divId w:val="1355425043"/>
        <w:rPr>
          <w:rFonts w:eastAsia="Times New Roman"/>
        </w:rPr>
      </w:pPr>
      <w:r>
        <w:rPr>
          <w:rFonts w:eastAsia="Times New Roman"/>
          <w:sz w:val="20"/>
          <w:szCs w:val="20"/>
        </w:rPr>
        <w:t>•</w:t>
      </w:r>
    </w:p>
    <w:p w:rsidR="00000000" w:rsidRDefault="00477EE8">
      <w:pPr>
        <w:divId w:val="1953126171"/>
        <w:rPr>
          <w:rFonts w:eastAsia="Times New Roman"/>
        </w:rPr>
      </w:pPr>
      <w:r>
        <w:rPr>
          <w:rFonts w:eastAsia="Times New Roman"/>
          <w:sz w:val="20"/>
          <w:szCs w:val="20"/>
        </w:rPr>
        <w:t>Litigation or other proceedings or third-party claims of intellectual property infringe</w:t>
      </w:r>
      <w:r>
        <w:rPr>
          <w:rFonts w:eastAsia="Times New Roman"/>
          <w:sz w:val="20"/>
          <w:szCs w:val="20"/>
        </w:rPr>
        <w:t>ment or misappropriation could require us to spend significant time and money and prevent us from selling our tests or developing therapeutic candidates</w:t>
      </w:r>
      <w:r>
        <w:rPr>
          <w:rFonts w:eastAsia="Times New Roman"/>
          <w:sz w:val="20"/>
          <w:szCs w:val="20"/>
        </w:rPr>
        <w:t>.</w:t>
      </w:r>
    </w:p>
    <w:p w:rsidR="00000000" w:rsidRDefault="00477EE8">
      <w:pPr>
        <w:divId w:val="2119569303"/>
        <w:rPr>
          <w:rFonts w:eastAsia="Times New Roman"/>
        </w:rPr>
      </w:pPr>
      <w:r>
        <w:rPr>
          <w:rFonts w:eastAsia="Times New Roman"/>
          <w:sz w:val="20"/>
          <w:szCs w:val="20"/>
        </w:rPr>
        <w:t>•</w:t>
      </w:r>
    </w:p>
    <w:p w:rsidR="00000000" w:rsidRDefault="00477EE8">
      <w:pPr>
        <w:divId w:val="1687515854"/>
        <w:rPr>
          <w:rFonts w:eastAsia="Times New Roman"/>
        </w:rPr>
      </w:pPr>
      <w:r>
        <w:rPr>
          <w:rFonts w:eastAsia="Times New Roman"/>
          <w:sz w:val="20"/>
          <w:szCs w:val="20"/>
        </w:rPr>
        <w:t>If we fail to comply with our obligations under license or technology agreements with third parties,</w:t>
      </w:r>
      <w:r>
        <w:rPr>
          <w:rFonts w:eastAsia="Times New Roman"/>
          <w:sz w:val="20"/>
          <w:szCs w:val="20"/>
        </w:rPr>
        <w:t xml:space="preserve"> we could lose license rights that are critical to our business. If our third-party licensors fail to comply with the terms of our license arrangements, we may be forced to engage in litigation to protection our rights, which may not be successful</w:t>
      </w:r>
      <w:r>
        <w:rPr>
          <w:rFonts w:eastAsia="Times New Roman"/>
          <w:sz w:val="20"/>
          <w:szCs w:val="20"/>
        </w:rPr>
        <w:t>.</w:t>
      </w:r>
    </w:p>
    <w:p w:rsidR="00000000" w:rsidRDefault="00477EE8">
      <w:pPr>
        <w:pStyle w:val="a3"/>
        <w:spacing w:before="120" w:beforeAutospacing="0" w:after="0" w:afterAutospacing="0"/>
        <w:jc w:val="center"/>
        <w:rPr>
          <w:sz w:val="20"/>
          <w:szCs w:val="20"/>
        </w:rPr>
      </w:pPr>
      <w:r>
        <w:rPr>
          <w:b/>
          <w:bCs/>
          <w:sz w:val="20"/>
          <w:szCs w:val="20"/>
        </w:rPr>
        <w:t xml:space="preserve">Common </w:t>
      </w:r>
      <w:r>
        <w:rPr>
          <w:b/>
          <w:bCs/>
          <w:sz w:val="20"/>
          <w:szCs w:val="20"/>
        </w:rPr>
        <w:t>Stock Risk</w:t>
      </w:r>
      <w:r>
        <w:rPr>
          <w:b/>
          <w:bCs/>
          <w:sz w:val="20"/>
          <w:szCs w:val="20"/>
        </w:rPr>
        <w:t>s</w:t>
      </w:r>
    </w:p>
    <w:p w:rsidR="00000000" w:rsidRDefault="00477EE8">
      <w:pPr>
        <w:divId w:val="1891647717"/>
        <w:rPr>
          <w:rFonts w:eastAsia="Times New Roman"/>
        </w:rPr>
      </w:pPr>
      <w:r>
        <w:rPr>
          <w:rFonts w:eastAsia="Times New Roman"/>
          <w:sz w:val="20"/>
          <w:szCs w:val="20"/>
        </w:rPr>
        <w:t>•</w:t>
      </w:r>
    </w:p>
    <w:p w:rsidR="00000000" w:rsidRDefault="00477EE8">
      <w:pPr>
        <w:divId w:val="472407890"/>
        <w:rPr>
          <w:rFonts w:eastAsia="Times New Roman"/>
        </w:rPr>
      </w:pPr>
      <w:r>
        <w:rPr>
          <w:rFonts w:eastAsia="Times New Roman"/>
          <w:sz w:val="20"/>
          <w:szCs w:val="20"/>
        </w:rPr>
        <w:t>An active, liquid trading market for our common stock may not be sustained, which could make it difficult for stockholders to sell their shares of our common stock</w:t>
      </w:r>
      <w:r>
        <w:rPr>
          <w:rFonts w:eastAsia="Times New Roman"/>
          <w:sz w:val="20"/>
          <w:szCs w:val="20"/>
        </w:rPr>
        <w:t>.</w:t>
      </w:r>
    </w:p>
    <w:p w:rsidR="00000000" w:rsidRDefault="00477EE8">
      <w:pPr>
        <w:divId w:val="2005349948"/>
        <w:rPr>
          <w:rFonts w:eastAsia="Times New Roman"/>
        </w:rPr>
      </w:pPr>
      <w:r>
        <w:rPr>
          <w:rFonts w:eastAsia="Times New Roman"/>
          <w:sz w:val="20"/>
          <w:szCs w:val="20"/>
        </w:rPr>
        <w:t>•</w:t>
      </w:r>
    </w:p>
    <w:p w:rsidR="00000000" w:rsidRDefault="00477EE8">
      <w:pPr>
        <w:divId w:val="873350522"/>
        <w:rPr>
          <w:rFonts w:eastAsia="Times New Roman"/>
        </w:rPr>
      </w:pPr>
      <w:r>
        <w:rPr>
          <w:rFonts w:eastAsia="Times New Roman"/>
          <w:sz w:val="20"/>
          <w:szCs w:val="20"/>
        </w:rPr>
        <w:t>The price of our common stock may be volatile, and you could lose all or pa</w:t>
      </w:r>
      <w:r>
        <w:rPr>
          <w:rFonts w:eastAsia="Times New Roman"/>
          <w:sz w:val="20"/>
          <w:szCs w:val="20"/>
        </w:rPr>
        <w:t>rt of your investment</w:t>
      </w:r>
      <w:r>
        <w:rPr>
          <w:rFonts w:eastAsia="Times New Roman"/>
          <w:sz w:val="20"/>
          <w:szCs w:val="20"/>
        </w:rPr>
        <w:t>.</w:t>
      </w:r>
    </w:p>
    <w:p w:rsidR="00000000" w:rsidRDefault="00477EE8">
      <w:pPr>
        <w:divId w:val="53701400"/>
        <w:rPr>
          <w:rFonts w:eastAsia="Times New Roman"/>
        </w:rPr>
      </w:pPr>
      <w:r>
        <w:rPr>
          <w:rFonts w:eastAsia="Times New Roman"/>
          <w:sz w:val="20"/>
          <w:szCs w:val="20"/>
        </w:rPr>
        <w:t>•</w:t>
      </w:r>
    </w:p>
    <w:p w:rsidR="00000000" w:rsidRDefault="00477EE8">
      <w:pPr>
        <w:divId w:val="654838191"/>
        <w:rPr>
          <w:rFonts w:eastAsia="Times New Roman"/>
        </w:rPr>
      </w:pPr>
      <w:r>
        <w:rPr>
          <w:rFonts w:eastAsia="Times New Roman"/>
          <w:sz w:val="20"/>
          <w:szCs w:val="20"/>
        </w:rPr>
        <w:t xml:space="preserve">Future issuances of our common stock or rights to purchase our common stock, including pursuant to our equity incentive plan, could result in additional dilution to the percentage ownership of our stockholders and could cause the price of our common stock </w:t>
      </w:r>
      <w:r>
        <w:rPr>
          <w:rFonts w:eastAsia="Times New Roman"/>
          <w:sz w:val="20"/>
          <w:szCs w:val="20"/>
        </w:rPr>
        <w:t>to fall</w:t>
      </w:r>
      <w:r>
        <w:rPr>
          <w:rFonts w:eastAsia="Times New Roman"/>
          <w:sz w:val="20"/>
          <w:szCs w:val="20"/>
        </w:rPr>
        <w:t>.</w:t>
      </w:r>
    </w:p>
    <w:p w:rsidR="00000000" w:rsidRDefault="00477EE8">
      <w:pPr>
        <w:divId w:val="1443109718"/>
        <w:rPr>
          <w:rFonts w:eastAsia="Times New Roman"/>
        </w:rPr>
      </w:pPr>
      <w:r>
        <w:rPr>
          <w:rFonts w:eastAsia="Times New Roman"/>
          <w:sz w:val="20"/>
          <w:szCs w:val="20"/>
        </w:rPr>
        <w:t>•</w:t>
      </w:r>
    </w:p>
    <w:p w:rsidR="00000000" w:rsidRDefault="00477EE8">
      <w:pPr>
        <w:divId w:val="558782459"/>
        <w:rPr>
          <w:rFonts w:eastAsia="Times New Roman"/>
        </w:rPr>
      </w:pPr>
      <w:r>
        <w:rPr>
          <w:rFonts w:eastAsia="Times New Roman"/>
          <w:sz w:val="20"/>
          <w:szCs w:val="20"/>
        </w:rPr>
        <w:t>We do not intend to pay dividends on our common stock, so any returns will be limited to the value of our common stock</w:t>
      </w:r>
      <w:r>
        <w:rPr>
          <w:rFonts w:eastAsia="Times New Roman"/>
          <w:sz w:val="20"/>
          <w:szCs w:val="20"/>
        </w:rPr>
        <w:t>.</w:t>
      </w:r>
    </w:p>
    <w:p w:rsidR="00000000" w:rsidRDefault="00477EE8">
      <w:pPr>
        <w:pStyle w:val="a3"/>
        <w:spacing w:before="360" w:beforeAutospacing="0" w:after="0" w:afterAutospacing="0"/>
        <w:jc w:val="center"/>
        <w:rPr>
          <w:sz w:val="20"/>
          <w:szCs w:val="20"/>
        </w:rPr>
      </w:pPr>
      <w:r>
        <w:rPr>
          <w:b/>
          <w:bCs/>
          <w:sz w:val="20"/>
          <w:szCs w:val="20"/>
        </w:rPr>
        <w:t>Business and Strategy Risk</w:t>
      </w:r>
      <w:r>
        <w:rPr>
          <w:b/>
          <w:bCs/>
          <w:sz w:val="20"/>
          <w:szCs w:val="20"/>
        </w:rPr>
        <w:t>s</w:t>
      </w:r>
    </w:p>
    <w:p w:rsidR="00000000" w:rsidRDefault="00477EE8">
      <w:pPr>
        <w:pStyle w:val="a3"/>
        <w:spacing w:before="120" w:beforeAutospacing="0" w:after="0" w:afterAutospacing="0"/>
        <w:rPr>
          <w:sz w:val="20"/>
          <w:szCs w:val="20"/>
        </w:rPr>
      </w:pPr>
      <w:r>
        <w:rPr>
          <w:b/>
          <w:bCs/>
          <w:sz w:val="20"/>
          <w:szCs w:val="20"/>
        </w:rPr>
        <w:t xml:space="preserve">Our results of operations may fluctuate significantly from period to period and can be difficult </w:t>
      </w:r>
      <w:r>
        <w:rPr>
          <w:b/>
          <w:bCs/>
          <w:sz w:val="20"/>
          <w:szCs w:val="20"/>
        </w:rPr>
        <w:t>to predict</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 xml:space="preserve">Our results of operations have experienced fluctuations from period to period, which we expect may continue in the future. These fluctuations can occur because of a variety of factors, including, among others, the amount and timing of sales of </w:t>
      </w:r>
      <w:r>
        <w:rPr>
          <w:sz w:val="20"/>
          <w:szCs w:val="20"/>
        </w:rPr>
        <w:t xml:space="preserve">our tests and testing services, the prices we charge for our tests and testing services, customer or payor mix, general price degradation for our tests and testing services or other competitive factors, the rate and timing of our billings and collections, </w:t>
      </w:r>
      <w:r>
        <w:rPr>
          <w:sz w:val="20"/>
          <w:szCs w:val="20"/>
        </w:rPr>
        <w:t xml:space="preserve">and the timing and amount of our commitments and other payments, as well as the other risk factors discussed in this report. Our results have been, and may in the future be, impacted by events that may not recur regularly, in the same amounts or at all in </w:t>
      </w:r>
      <w:r>
        <w:rPr>
          <w:sz w:val="20"/>
          <w:szCs w:val="20"/>
        </w:rPr>
        <w:t xml:space="preserve">the future. For instance in 2020, we developed and began offering a series of COVID-19 tests. We experienced substantial revenue growth in recent years due primarily to the sales of, and growing demand, for these COVID-19 tests. We expect demand for these </w:t>
      </w:r>
      <w:r>
        <w:rPr>
          <w:sz w:val="20"/>
          <w:szCs w:val="20"/>
        </w:rPr>
        <w:t xml:space="preserve">tests to continue to decline when and as the pandemic recedes. This recent growth and other fluctuations in our operating results may render period-to-period comparisons less meaningful, and investors should not rely on the results of any one period as an </w:t>
      </w:r>
      <w:r>
        <w:rPr>
          <w:sz w:val="20"/>
          <w:szCs w:val="20"/>
        </w:rPr>
        <w:t>indicator of future performance. These fluctuations in our operating results could cause our performance in any particular period to fall below the expectations of securities analysts or investors or guidance we have provided to the public, which could neg</w:t>
      </w:r>
      <w:r>
        <w:rPr>
          <w:sz w:val="20"/>
          <w:szCs w:val="20"/>
        </w:rPr>
        <w:t>atively affect the price of our common stock</w:t>
      </w:r>
      <w:r>
        <w:rPr>
          <w:sz w:val="20"/>
          <w:szCs w:val="20"/>
        </w:rPr>
        <w:t>.</w:t>
      </w:r>
      <w:r>
        <w:rPr>
          <w:sz w:val="20"/>
          <w:szCs w:val="20"/>
        </w:rPr>
        <w:t xml:space="preserve"> </w:t>
      </w:r>
    </w:p>
    <w:p w:rsidR="00000000" w:rsidRDefault="00477EE8">
      <w:pPr>
        <w:pStyle w:val="a3"/>
        <w:spacing w:before="240" w:beforeAutospacing="0" w:after="0" w:afterAutospacing="0"/>
        <w:rPr>
          <w:sz w:val="20"/>
          <w:szCs w:val="20"/>
        </w:rPr>
      </w:pPr>
      <w:r>
        <w:rPr>
          <w:b/>
          <w:bCs/>
          <w:sz w:val="20"/>
          <w:szCs w:val="20"/>
        </w:rPr>
        <w:t>We have a history of losses, and we may not be able to sustain profitability. We anticipate that revenues resulting from our COVID-19 testing will continue to decrease as and if the prevalence of COVID-19 decr</w:t>
      </w:r>
      <w:r>
        <w:rPr>
          <w:b/>
          <w:bCs/>
          <w:sz w:val="20"/>
          <w:szCs w:val="20"/>
        </w:rPr>
        <w:t>eases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 xml:space="preserve">We have a history of losses. Although we achieved profitability for the years ended December 31, 2020, 2021 and 2022, we may not be able to maintain profitability in future periods. Further, our revenue levels may not grow at historical rates or at </w:t>
      </w:r>
      <w:r>
        <w:rPr>
          <w:sz w:val="20"/>
          <w:szCs w:val="20"/>
        </w:rPr>
        <w:t>all. We may incur additional losses in the future. While we experienced significant profitability in connection with the sale of our COVID-19 tests, the demand for these tests has declined and we anticipate will continue to decrease as the prevalence of CO</w:t>
      </w:r>
      <w:r>
        <w:rPr>
          <w:sz w:val="20"/>
          <w:szCs w:val="20"/>
        </w:rPr>
        <w:t>VID-19 decreases. Even if there is a reoccurrence of demand for our COVID-19 tests, we may be unable to again manage our resources to effectively respond to this demand such that our revenues will again materially increase. Any future losses may have an ad</w:t>
      </w:r>
      <w:r>
        <w:rPr>
          <w:sz w:val="20"/>
          <w:szCs w:val="20"/>
        </w:rPr>
        <w:t>verse effect on our stockholders’ equity and working capital, which could negatively impact our operations and your investment in the Company. A failure to sustain or grow our revenue levels and to maintain profitability may negatively affect our business,</w:t>
      </w:r>
      <w:r>
        <w:rPr>
          <w:sz w:val="20"/>
          <w:szCs w:val="20"/>
        </w:rPr>
        <w:t xml:space="preserve"> financial condition, results of operations and cash flows, and could cause the market price of our common stock to decline</w:t>
      </w:r>
      <w:r>
        <w:rPr>
          <w:sz w:val="20"/>
          <w:szCs w:val="20"/>
        </w:rPr>
        <w:t>.</w:t>
      </w:r>
    </w:p>
    <w:p w:rsidR="00000000" w:rsidRDefault="00477EE8">
      <w:pPr>
        <w:pStyle w:val="a3"/>
        <w:spacing w:before="240" w:beforeAutospacing="0" w:after="0" w:afterAutospacing="0"/>
        <w:jc w:val="center"/>
        <w:rPr>
          <w:sz w:val="20"/>
          <w:szCs w:val="20"/>
        </w:rPr>
      </w:pPr>
      <w:r>
        <w:rPr>
          <w:sz w:val="20"/>
          <w:szCs w:val="20"/>
        </w:rPr>
        <w:t>1</w:t>
      </w:r>
      <w:r>
        <w:rPr>
          <w:sz w:val="20"/>
          <w:szCs w:val="20"/>
        </w:rPr>
        <w:t>8</w:t>
      </w:r>
    </w:p>
    <w:p w:rsidR="00000000" w:rsidRDefault="00477EE8">
      <w:pPr>
        <w:rPr>
          <w:rFonts w:eastAsia="Times New Roman"/>
        </w:rPr>
      </w:pPr>
      <w:r>
        <w:rPr>
          <w:rFonts w:eastAsia="Times New Roman"/>
        </w:rPr>
        <w:pict>
          <v:rect id="_x0000_i1057" style="width:0;height:1.5pt" o:hralign="center" o:hrstd="t" o:hr="t" fillcolor="#a0a0a0" stroked="f"/>
        </w:pict>
      </w:r>
    </w:p>
    <w:p w:rsidR="00000000" w:rsidRDefault="00477EE8">
      <w:pPr>
        <w:pStyle w:val="a3"/>
        <w:spacing w:before="360" w:beforeAutospacing="0" w:after="0" w:afterAutospacing="0"/>
        <w:rPr>
          <w:sz w:val="20"/>
          <w:szCs w:val="20"/>
        </w:rPr>
      </w:pPr>
      <w:r>
        <w:rPr>
          <w:b/>
          <w:bCs/>
          <w:sz w:val="20"/>
          <w:szCs w:val="20"/>
        </w:rPr>
        <w:t>We may not be successful in our efforts to integrate any acquired businesses and technologie</w:t>
      </w:r>
      <w:r>
        <w:rPr>
          <w:b/>
          <w:bCs/>
          <w:sz w:val="20"/>
          <w:szCs w:val="20"/>
        </w:rPr>
        <w:t>s, and this may adversely affect our business and results of operations. We may incur unexpected liabilities as a result of our acquisitions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Our ability to integrate any organizations or technology that we may acquire, including our acquisitions of CSI, F</w:t>
      </w:r>
      <w:r>
        <w:rPr>
          <w:sz w:val="20"/>
          <w:szCs w:val="20"/>
        </w:rPr>
        <w:t>ulgent Pharma, and Inform Diagnostics, is subject to a number of risks, including the following</w:t>
      </w:r>
      <w:r>
        <w:rPr>
          <w:sz w:val="20"/>
          <w:szCs w:val="20"/>
        </w:rPr>
        <w:t>:</w:t>
      </w:r>
    </w:p>
    <w:p w:rsidR="00000000" w:rsidRDefault="00477EE8">
      <w:pPr>
        <w:divId w:val="255097127"/>
        <w:rPr>
          <w:rFonts w:eastAsia="Times New Roman"/>
        </w:rPr>
      </w:pPr>
      <w:r>
        <w:rPr>
          <w:rFonts w:eastAsia="Times New Roman"/>
          <w:sz w:val="20"/>
          <w:szCs w:val="20"/>
        </w:rPr>
        <w:t>•</w:t>
      </w:r>
    </w:p>
    <w:p w:rsidR="00000000" w:rsidRDefault="00477EE8">
      <w:pPr>
        <w:divId w:val="809053301"/>
        <w:rPr>
          <w:rFonts w:eastAsia="Times New Roman"/>
        </w:rPr>
      </w:pPr>
      <w:r>
        <w:rPr>
          <w:rFonts w:eastAsia="Times New Roman"/>
          <w:sz w:val="20"/>
          <w:szCs w:val="20"/>
        </w:rPr>
        <w:t>failure to integrate successfully the personnel, information systems, technology, and operations of the acquired business</w:t>
      </w:r>
      <w:r>
        <w:rPr>
          <w:rFonts w:eastAsia="Times New Roman"/>
          <w:sz w:val="20"/>
          <w:szCs w:val="20"/>
        </w:rPr>
        <w:t>;</w:t>
      </w:r>
    </w:p>
    <w:p w:rsidR="00000000" w:rsidRDefault="00477EE8">
      <w:pPr>
        <w:divId w:val="1678270170"/>
        <w:rPr>
          <w:rFonts w:eastAsia="Times New Roman"/>
        </w:rPr>
      </w:pPr>
      <w:r>
        <w:rPr>
          <w:rFonts w:eastAsia="Times New Roman"/>
          <w:sz w:val="20"/>
          <w:szCs w:val="20"/>
        </w:rPr>
        <w:t>•</w:t>
      </w:r>
    </w:p>
    <w:p w:rsidR="00000000" w:rsidRDefault="00477EE8">
      <w:pPr>
        <w:divId w:val="1783912553"/>
        <w:rPr>
          <w:rFonts w:eastAsia="Times New Roman"/>
        </w:rPr>
      </w:pPr>
      <w:r>
        <w:rPr>
          <w:rFonts w:eastAsia="Times New Roman"/>
          <w:sz w:val="20"/>
          <w:szCs w:val="20"/>
        </w:rPr>
        <w:t>failure to maximize the potentia</w:t>
      </w:r>
      <w:r>
        <w:rPr>
          <w:rFonts w:eastAsia="Times New Roman"/>
          <w:sz w:val="20"/>
          <w:szCs w:val="20"/>
        </w:rPr>
        <w:t>l financial and strategic benefits of the acquisition</w:t>
      </w:r>
      <w:r>
        <w:rPr>
          <w:rFonts w:eastAsia="Times New Roman"/>
          <w:sz w:val="20"/>
          <w:szCs w:val="20"/>
        </w:rPr>
        <w:t>;</w:t>
      </w:r>
    </w:p>
    <w:p w:rsidR="00000000" w:rsidRDefault="00477EE8">
      <w:pPr>
        <w:divId w:val="727848964"/>
        <w:rPr>
          <w:rFonts w:eastAsia="Times New Roman"/>
        </w:rPr>
      </w:pPr>
      <w:r>
        <w:rPr>
          <w:rFonts w:eastAsia="Times New Roman"/>
          <w:sz w:val="20"/>
          <w:szCs w:val="20"/>
        </w:rPr>
        <w:t>•</w:t>
      </w:r>
    </w:p>
    <w:p w:rsidR="00000000" w:rsidRDefault="00477EE8">
      <w:pPr>
        <w:divId w:val="15543851"/>
        <w:rPr>
          <w:rFonts w:eastAsia="Times New Roman"/>
        </w:rPr>
      </w:pPr>
      <w:r>
        <w:rPr>
          <w:rFonts w:eastAsia="Times New Roman"/>
          <w:sz w:val="20"/>
          <w:szCs w:val="20"/>
        </w:rPr>
        <w:t>failure to realize the expected synergies of the acquired business</w:t>
      </w:r>
      <w:r>
        <w:rPr>
          <w:rFonts w:eastAsia="Times New Roman"/>
          <w:sz w:val="20"/>
          <w:szCs w:val="20"/>
        </w:rPr>
        <w:t>;</w:t>
      </w:r>
    </w:p>
    <w:p w:rsidR="00000000" w:rsidRDefault="00477EE8">
      <w:pPr>
        <w:divId w:val="1886671703"/>
        <w:rPr>
          <w:rFonts w:eastAsia="Times New Roman"/>
        </w:rPr>
      </w:pPr>
      <w:r>
        <w:rPr>
          <w:rFonts w:eastAsia="Times New Roman"/>
          <w:sz w:val="20"/>
          <w:szCs w:val="20"/>
        </w:rPr>
        <w:t>•</w:t>
      </w:r>
    </w:p>
    <w:p w:rsidR="00000000" w:rsidRDefault="00477EE8">
      <w:pPr>
        <w:divId w:val="1550653568"/>
        <w:rPr>
          <w:rFonts w:eastAsia="Times New Roman"/>
        </w:rPr>
      </w:pPr>
      <w:r>
        <w:rPr>
          <w:rFonts w:eastAsia="Times New Roman"/>
          <w:sz w:val="20"/>
          <w:szCs w:val="20"/>
        </w:rPr>
        <w:t>possible impairment of relationships with employees and clients as a result of any integration of new businesses and management personnel</w:t>
      </w:r>
      <w:r>
        <w:rPr>
          <w:rFonts w:eastAsia="Times New Roman"/>
          <w:sz w:val="20"/>
          <w:szCs w:val="20"/>
        </w:rPr>
        <w:t>;</w:t>
      </w:r>
    </w:p>
    <w:p w:rsidR="00000000" w:rsidRDefault="00477EE8">
      <w:pPr>
        <w:divId w:val="1802453764"/>
        <w:rPr>
          <w:rFonts w:eastAsia="Times New Roman"/>
        </w:rPr>
      </w:pPr>
      <w:r>
        <w:rPr>
          <w:rFonts w:eastAsia="Times New Roman"/>
          <w:sz w:val="20"/>
          <w:szCs w:val="20"/>
        </w:rPr>
        <w:t>•</w:t>
      </w:r>
    </w:p>
    <w:p w:rsidR="00000000" w:rsidRDefault="00477EE8">
      <w:pPr>
        <w:divId w:val="1078138744"/>
        <w:rPr>
          <w:rFonts w:eastAsia="Times New Roman"/>
        </w:rPr>
      </w:pPr>
      <w:r>
        <w:rPr>
          <w:rFonts w:eastAsia="Times New Roman"/>
          <w:sz w:val="20"/>
          <w:szCs w:val="20"/>
        </w:rPr>
        <w:t>impairment of goodwill</w:t>
      </w:r>
      <w:r>
        <w:rPr>
          <w:rFonts w:eastAsia="Times New Roman"/>
          <w:sz w:val="20"/>
          <w:szCs w:val="20"/>
        </w:rPr>
        <w:t>;</w:t>
      </w:r>
    </w:p>
    <w:p w:rsidR="00000000" w:rsidRDefault="00477EE8">
      <w:pPr>
        <w:divId w:val="94862096"/>
        <w:rPr>
          <w:rFonts w:eastAsia="Times New Roman"/>
        </w:rPr>
      </w:pPr>
      <w:r>
        <w:rPr>
          <w:rFonts w:eastAsia="Times New Roman"/>
          <w:sz w:val="20"/>
          <w:szCs w:val="20"/>
        </w:rPr>
        <w:t>•</w:t>
      </w:r>
    </w:p>
    <w:p w:rsidR="00000000" w:rsidRDefault="00477EE8">
      <w:pPr>
        <w:divId w:val="4407344"/>
        <w:rPr>
          <w:rFonts w:eastAsia="Times New Roman"/>
        </w:rPr>
      </w:pPr>
      <w:r>
        <w:rPr>
          <w:rFonts w:eastAsia="Times New Roman"/>
          <w:sz w:val="20"/>
          <w:szCs w:val="20"/>
        </w:rPr>
        <w:t>increased demand on human resources and operating systems, procedures and controls; an</w:t>
      </w:r>
      <w:r>
        <w:rPr>
          <w:rFonts w:eastAsia="Times New Roman"/>
          <w:sz w:val="20"/>
          <w:szCs w:val="20"/>
        </w:rPr>
        <w:t>d</w:t>
      </w:r>
    </w:p>
    <w:p w:rsidR="00000000" w:rsidRDefault="00477EE8">
      <w:pPr>
        <w:divId w:val="958222660"/>
        <w:rPr>
          <w:rFonts w:eastAsia="Times New Roman"/>
        </w:rPr>
      </w:pPr>
      <w:r>
        <w:rPr>
          <w:rFonts w:eastAsia="Times New Roman"/>
          <w:sz w:val="20"/>
          <w:szCs w:val="20"/>
        </w:rPr>
        <w:t>•</w:t>
      </w:r>
    </w:p>
    <w:p w:rsidR="00000000" w:rsidRDefault="00477EE8">
      <w:pPr>
        <w:divId w:val="1147554669"/>
        <w:rPr>
          <w:rFonts w:eastAsia="Times New Roman"/>
        </w:rPr>
      </w:pPr>
      <w:r>
        <w:rPr>
          <w:rFonts w:eastAsia="Times New Roman"/>
          <w:sz w:val="20"/>
          <w:szCs w:val="20"/>
        </w:rPr>
        <w:t>reductions in future operating results as a result of the amortization of intangible assets</w:t>
      </w:r>
      <w:r>
        <w:rPr>
          <w:rFonts w:eastAsia="Times New Roman"/>
          <w:sz w:val="20"/>
          <w:szCs w:val="20"/>
        </w:rPr>
        <w:t>.</w:t>
      </w:r>
    </w:p>
    <w:p w:rsidR="00000000" w:rsidRDefault="00477EE8">
      <w:pPr>
        <w:pStyle w:val="a3"/>
        <w:spacing w:before="240" w:beforeAutospacing="0" w:after="0" w:afterAutospacing="0"/>
        <w:ind w:firstLine="555"/>
        <w:rPr>
          <w:sz w:val="20"/>
          <w:szCs w:val="20"/>
        </w:rPr>
      </w:pPr>
      <w:r>
        <w:rPr>
          <w:sz w:val="20"/>
          <w:szCs w:val="20"/>
        </w:rPr>
        <w:t>Acquisitions are also accompanied by the risk that obligations and liabil</w:t>
      </w:r>
      <w:r>
        <w:rPr>
          <w:sz w:val="20"/>
          <w:szCs w:val="20"/>
        </w:rPr>
        <w:t>ities of an acquired business may not be adequately reflected in the historical financial statements of that business and the risk that historical financial statements may be based on assumptions, which are incorrect or inconsistent with our assumptions or</w:t>
      </w:r>
      <w:r>
        <w:rPr>
          <w:sz w:val="20"/>
          <w:szCs w:val="20"/>
        </w:rPr>
        <w:t xml:space="preserve"> approach to accounting policies. The acquisition and integration of businesses may not be managed effectively and any failure to manage the integration process could lead to disruptions in the overall activities of the Company, a loss of clients and reven</w:t>
      </w:r>
      <w:r>
        <w:rPr>
          <w:sz w:val="20"/>
          <w:szCs w:val="20"/>
        </w:rPr>
        <w:t>ue and increased expenses. Further, integration of an acquired business or technology could involve significant difficulties and could require management and capital resources that otherwise would be available for ongoing development of our existing busine</w:t>
      </w:r>
      <w:r>
        <w:rPr>
          <w:sz w:val="20"/>
          <w:szCs w:val="20"/>
        </w:rPr>
        <w:t>ss or pursuit of other opportunities. We may also acquire contingent liabilities in connection with the acquisitions of a business, which may be material, and any estimates we might make regarding any acquired contingent liabilities and the likelihood that</w:t>
      </w:r>
      <w:r>
        <w:rPr>
          <w:sz w:val="20"/>
          <w:szCs w:val="20"/>
        </w:rPr>
        <w:t xml:space="preserve"> these liabilities will materialize could differ materially from the liabilities actually incurred. These circumstances could materially harm our business, results of operations and prospects</w:t>
      </w:r>
      <w:r>
        <w:rPr>
          <w:sz w:val="20"/>
          <w:szCs w:val="20"/>
        </w:rPr>
        <w:t>.</w:t>
      </w:r>
    </w:p>
    <w:p w:rsidR="00000000" w:rsidRDefault="00477EE8">
      <w:pPr>
        <w:pStyle w:val="a3"/>
        <w:spacing w:before="360" w:beforeAutospacing="0" w:after="0" w:afterAutospacing="0"/>
        <w:rPr>
          <w:sz w:val="20"/>
          <w:szCs w:val="20"/>
        </w:rPr>
      </w:pPr>
      <w:r>
        <w:rPr>
          <w:b/>
          <w:bCs/>
          <w:sz w:val="20"/>
          <w:szCs w:val="20"/>
        </w:rPr>
        <w:t>We have previously and may again in the future acquire business</w:t>
      </w:r>
      <w:r>
        <w:rPr>
          <w:b/>
          <w:bCs/>
          <w:sz w:val="20"/>
          <w:szCs w:val="20"/>
        </w:rPr>
        <w:t>es or assets, form joint ventures, make investments in other companies or technologies, or establish other strategic relationships, any of which could harm our operating results or dilute our stockholders’ ownership</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As part of our business strategy, we ha</w:t>
      </w:r>
      <w:r>
        <w:rPr>
          <w:sz w:val="20"/>
          <w:szCs w:val="20"/>
        </w:rPr>
        <w:t>ve previously and may again in the future pursue acquisitions of complementary businesses or assets (such as our acquisitions of CSI, Fulgent Pharma, and Inform Diagnostics), investments in other companies (such as our investment in Helio Health), technolo</w:t>
      </w:r>
      <w:r>
        <w:rPr>
          <w:sz w:val="20"/>
          <w:szCs w:val="20"/>
        </w:rPr>
        <w:t>gy licensing arrangements, joint ventures, or other strategic relationships. As an organization, we have relatively limited experience with respect to acquisitions, investments, or the formation of strategic relationships or joint ventures. If we pursue re</w:t>
      </w:r>
      <w:r>
        <w:rPr>
          <w:sz w:val="20"/>
          <w:szCs w:val="20"/>
        </w:rPr>
        <w:t xml:space="preserve">lationships with strategic partners or other strategic relationships, our ability to establish and maintain these relationships could be challenging due to several factors. Factors include competition with other testing companies and internal and external </w:t>
      </w:r>
      <w:r>
        <w:rPr>
          <w:sz w:val="20"/>
          <w:szCs w:val="20"/>
        </w:rPr>
        <w:t>constraints placed on pharmaceutical and other organizations that limit the number and type of relationships they can establish with companies like ours. Moreover, we may not be able to identify or complete any future acquisition, investment, technology li</w:t>
      </w:r>
      <w:r>
        <w:rPr>
          <w:sz w:val="20"/>
          <w:szCs w:val="20"/>
        </w:rPr>
        <w:t>cense, joint venture, or other strategic relationship in a timely manner, on a cost-effective basis or at all, and we may not realize the anticipated benefits of any acquisition, investment, or joint venture as needed to recoup our costs</w:t>
      </w:r>
      <w:r>
        <w:rPr>
          <w:sz w:val="20"/>
          <w:szCs w:val="20"/>
        </w:rPr>
        <w:t>.</w:t>
      </w:r>
    </w:p>
    <w:p w:rsidR="00000000" w:rsidRDefault="00477EE8">
      <w:pPr>
        <w:pStyle w:val="a3"/>
        <w:spacing w:before="240" w:beforeAutospacing="0" w:after="0" w:afterAutospacing="0"/>
        <w:ind w:firstLine="555"/>
        <w:rPr>
          <w:sz w:val="20"/>
          <w:szCs w:val="20"/>
        </w:rPr>
      </w:pPr>
      <w:r>
        <w:rPr>
          <w:sz w:val="20"/>
          <w:szCs w:val="20"/>
        </w:rPr>
        <w:t>To finance any ac</w:t>
      </w:r>
      <w:r>
        <w:rPr>
          <w:sz w:val="20"/>
          <w:szCs w:val="20"/>
        </w:rPr>
        <w:t>quisitions, investments, joint ventures or other strategic relationships, we may seek to raise additional funds through securities offerings, credit facilities, asset sales or collaborations or licensing arrangements. To the extent these financing transact</w:t>
      </w:r>
      <w:r>
        <w:rPr>
          <w:sz w:val="20"/>
          <w:szCs w:val="20"/>
        </w:rPr>
        <w:t>ions call for the issuance of shares of our capital stock, our existing stockholder would experience dilution in their relative ownership of shares of our capital stock. Each of these methods of fundraising is subject to a variety of risks, including those</w:t>
      </w:r>
      <w:r>
        <w:rPr>
          <w:sz w:val="20"/>
          <w:szCs w:val="20"/>
        </w:rPr>
        <w:t xml:space="preserve"> discussed above under “Any inability to obtain additional capital when needed and on acceptable terms may limit our ability to execute our business plans, and our liquidity needs could be materially affected by market fluctuations and general economic con</w:t>
      </w:r>
      <w:r>
        <w:rPr>
          <w:sz w:val="20"/>
          <w:szCs w:val="20"/>
        </w:rPr>
        <w:t>ditions.” Further, additional funds from capital-raising transactions may not be available when needed, on acceptable terms or at all. Any inability to fund any acquisitions, investments or strategic relationships we pursue could cause us to forfeit opport</w:t>
      </w:r>
      <w:r>
        <w:rPr>
          <w:sz w:val="20"/>
          <w:szCs w:val="20"/>
        </w:rPr>
        <w:t>unities we believe are promising or valuable, which could harm our prospects</w:t>
      </w:r>
      <w:r>
        <w:rPr>
          <w:sz w:val="20"/>
          <w:szCs w:val="20"/>
        </w:rPr>
        <w:t>.</w:t>
      </w:r>
    </w:p>
    <w:p w:rsidR="00000000" w:rsidRDefault="00477EE8">
      <w:pPr>
        <w:pStyle w:val="a3"/>
        <w:spacing w:before="240" w:beforeAutospacing="0" w:after="0" w:afterAutospacing="0"/>
        <w:jc w:val="center"/>
        <w:rPr>
          <w:sz w:val="20"/>
          <w:szCs w:val="20"/>
        </w:rPr>
      </w:pPr>
      <w:r>
        <w:rPr>
          <w:sz w:val="20"/>
          <w:szCs w:val="20"/>
        </w:rPr>
        <w:t>1</w:t>
      </w:r>
      <w:r>
        <w:rPr>
          <w:sz w:val="20"/>
          <w:szCs w:val="20"/>
        </w:rPr>
        <w:t>9</w:t>
      </w:r>
    </w:p>
    <w:p w:rsidR="00000000" w:rsidRDefault="00477EE8">
      <w:pPr>
        <w:rPr>
          <w:rFonts w:eastAsia="Times New Roman"/>
        </w:rPr>
      </w:pPr>
      <w:r>
        <w:rPr>
          <w:rFonts w:eastAsia="Times New Roman"/>
        </w:rPr>
        <w:pict>
          <v:rect id="_x0000_i1058" style="width:0;height:1.5pt" o:hralign="center" o:hrstd="t" o:hr="t" fillcolor="#a0a0a0" stroked="f"/>
        </w:pict>
      </w:r>
    </w:p>
    <w:p w:rsidR="00000000" w:rsidRDefault="00477EE8">
      <w:pPr>
        <w:pStyle w:val="a3"/>
        <w:spacing w:before="360" w:beforeAutospacing="0" w:after="0" w:afterAutospacing="0"/>
        <w:rPr>
          <w:sz w:val="20"/>
          <w:szCs w:val="20"/>
        </w:rPr>
      </w:pPr>
      <w:r>
        <w:rPr>
          <w:b/>
          <w:bCs/>
          <w:sz w:val="20"/>
          <w:szCs w:val="20"/>
        </w:rPr>
        <w:t>Our mix of customers fluctuates from period to period, and our revenue is often concentrated among only a small number of customers, and t</w:t>
      </w:r>
      <w:r>
        <w:rPr>
          <w:b/>
          <w:bCs/>
          <w:sz w:val="20"/>
          <w:szCs w:val="20"/>
        </w:rPr>
        <w:t>he loss of or a reduction in sales to any of our customers could materially harm our business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The composition and concentration of our customer base often fluctuates from period to period, and in certain prior periods, a small number of customers accounte</w:t>
      </w:r>
      <w:r>
        <w:rPr>
          <w:sz w:val="20"/>
          <w:szCs w:val="20"/>
        </w:rPr>
        <w:t>d for a significant portion of our revenue. When customers who, to our knowledge, are under common control or otherwise affiliated with each other are aggregated, one customer, the County of Los Angeles, contributed 19% of our total revenue during the year</w:t>
      </w:r>
      <w:r>
        <w:rPr>
          <w:sz w:val="20"/>
          <w:szCs w:val="20"/>
        </w:rPr>
        <w:t xml:space="preserve"> ended December 31, 2022. For these customers and for customers generally, tests are purchased on a test-by-test basis and not pursuant to any long-term purchasing arrangements. As a result, any or all of our customers, including affiliated customers or cu</w:t>
      </w:r>
      <w:r>
        <w:rPr>
          <w:sz w:val="20"/>
          <w:szCs w:val="20"/>
        </w:rPr>
        <w:t xml:space="preserve">stomers under common control who purchase large quantities of tests, could decide at any time to decrease, delay, or discontinue their orders from us which could adversely affect our revenue. We believe some of these fluctuations in customer demand may be </w:t>
      </w:r>
      <w:r>
        <w:rPr>
          <w:sz w:val="20"/>
          <w:szCs w:val="20"/>
        </w:rPr>
        <w:t>attributable, in part, to the nature of our business. Our traditional genetic testing customers can experience significant volatility in their genetic testing demand from period to period in the ordinary course of their operations. These demand fluctuation</w:t>
      </w:r>
      <w:r>
        <w:rPr>
          <w:sz w:val="20"/>
          <w:szCs w:val="20"/>
        </w:rPr>
        <w:t>s, particularly for any key customers, often have a significant impact on our period-to-period performance regardless of their cause. In addition, the failure to receive payment on a timely basis negatively impacts our results and cash flows. Our ability t</w:t>
      </w:r>
      <w:r>
        <w:rPr>
          <w:sz w:val="20"/>
          <w:szCs w:val="20"/>
        </w:rPr>
        <w:t>o maintain or increase sales to our existing customers depends on a variety of factors, including the other risk factors discussed in this report, many of which are beyond our control. Because of these and other factors, sales to any of our customers, incl</w:t>
      </w:r>
      <w:r>
        <w:rPr>
          <w:sz w:val="20"/>
          <w:szCs w:val="20"/>
        </w:rPr>
        <w:t>uding any key, affiliated, or commonly controlled customers, may not continue in the amounts or at the rates as they have in the past, and such sales may never reach or exceed historical levels in any future period. The loss of any of our customers, or a r</w:t>
      </w:r>
      <w:r>
        <w:rPr>
          <w:sz w:val="20"/>
          <w:szCs w:val="20"/>
        </w:rPr>
        <w:t>eduction in orders or difficulties collecting payments for tests ordered by any of them, could significantly reduce our revenue and adversely affect our operating results</w:t>
      </w:r>
      <w:r>
        <w:rPr>
          <w:sz w:val="20"/>
          <w:szCs w:val="20"/>
        </w:rPr>
        <w:t>.</w:t>
      </w:r>
    </w:p>
    <w:p w:rsidR="00000000" w:rsidRDefault="00477EE8">
      <w:pPr>
        <w:pStyle w:val="a3"/>
        <w:spacing w:before="360" w:beforeAutospacing="0" w:after="0" w:afterAutospacing="0"/>
        <w:rPr>
          <w:sz w:val="20"/>
          <w:szCs w:val="20"/>
        </w:rPr>
      </w:pPr>
      <w:r>
        <w:rPr>
          <w:b/>
          <w:bCs/>
          <w:sz w:val="20"/>
          <w:szCs w:val="20"/>
        </w:rPr>
        <w:t>We face intense competition, which could intensify further in the future, and we may</w:t>
      </w:r>
      <w:r>
        <w:rPr>
          <w:b/>
          <w:bCs/>
          <w:sz w:val="20"/>
          <w:szCs w:val="20"/>
        </w:rPr>
        <w:t xml:space="preserve"> fail to maintain or again increase our revenue levels or sustain profitability if we cannot compete successfully</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We operate our business in very competitive and evolving fields. Our competitors include dozens of companies focused on pathology, genetic, a</w:t>
      </w:r>
      <w:r>
        <w:rPr>
          <w:sz w:val="20"/>
          <w:szCs w:val="20"/>
        </w:rPr>
        <w:t>nd diagnostic testing services, including specialty and reference laboratories that offer traditional single-gene and multi-gene tests. As such, we face intense competition from other life science, biotechnology, pharmaceutical, research and development, a</w:t>
      </w:r>
      <w:r>
        <w:rPr>
          <w:sz w:val="20"/>
          <w:szCs w:val="20"/>
        </w:rPr>
        <w:t xml:space="preserve">nd diagnostic companies. This competition is subject to rapid change, could be significantly affected by new product or testing introductions and may intensify further in the future. While we believe that we compare favorably to these competitors, some of </w:t>
      </w:r>
      <w:r>
        <w:rPr>
          <w:sz w:val="20"/>
          <w:szCs w:val="20"/>
        </w:rPr>
        <w:t>our competitors may have technical, competitive, or other advantages over us for the development of technologies and processes or greater experience in particular diagnostics or therapeutic development areas, and consolidation among pharmaceutical, diagnos</w:t>
      </w:r>
      <w:r>
        <w:rPr>
          <w:sz w:val="20"/>
          <w:szCs w:val="20"/>
        </w:rPr>
        <w:t>tic, and biotechnology companies can enhance such advantages</w:t>
      </w:r>
      <w:r>
        <w:rPr>
          <w:sz w:val="20"/>
          <w:szCs w:val="20"/>
        </w:rPr>
        <w:t>.</w:t>
      </w:r>
    </w:p>
    <w:p w:rsidR="00000000" w:rsidRDefault="00477EE8">
      <w:pPr>
        <w:pStyle w:val="a3"/>
        <w:spacing w:before="240" w:beforeAutospacing="0" w:after="0" w:afterAutospacing="0"/>
        <w:ind w:firstLine="555"/>
        <w:rPr>
          <w:sz w:val="20"/>
          <w:szCs w:val="20"/>
        </w:rPr>
      </w:pPr>
      <w:r>
        <w:rPr>
          <w:sz w:val="20"/>
          <w:szCs w:val="20"/>
        </w:rPr>
        <w:t>Many of our competitors have longer operating histories, larger customer bases, more expansive brand recognition and deeper market penetration, substantially greater financial, technological and</w:t>
      </w:r>
      <w:r>
        <w:rPr>
          <w:sz w:val="20"/>
          <w:szCs w:val="20"/>
        </w:rPr>
        <w:t xml:space="preserve"> research and development resources and selling and marketing capabilities and considerably more experience dealing with third-party payors. As a result, they may be able to respond more quickly to changes in customer requirements or preferences, develop f</w:t>
      </w:r>
      <w:r>
        <w:rPr>
          <w:sz w:val="20"/>
          <w:szCs w:val="20"/>
        </w:rPr>
        <w:t xml:space="preserve">aster and better advancements for their technologies and tests, create and implement more successful strategies for the promotion and sale of their tests, obtain more favorable results from third-party payors regarding coverage and reimbursement for their </w:t>
      </w:r>
      <w:r>
        <w:rPr>
          <w:sz w:val="20"/>
          <w:szCs w:val="20"/>
        </w:rPr>
        <w:t>offerings, adopt more aggressive pricing policies for their tests, secure supplies from vendors on more favorable terms or devote substantially more resources to infrastructure and systems development. In addition, competitors may be acquired by, receive i</w:t>
      </w:r>
      <w:r>
        <w:rPr>
          <w:sz w:val="20"/>
          <w:szCs w:val="20"/>
        </w:rPr>
        <w:t>nvestments from or enter into other commercial relationships with larger, well-established and well-financed companies. We may not be able to compete effectively against these organizations. If we are unable to compete effectively, this could have a materi</w:t>
      </w:r>
      <w:r>
        <w:rPr>
          <w:sz w:val="20"/>
          <w:szCs w:val="20"/>
        </w:rPr>
        <w:t>al adverse effect on our business and results of operations</w:t>
      </w:r>
      <w:r>
        <w:rPr>
          <w:sz w:val="20"/>
          <w:szCs w:val="20"/>
        </w:rPr>
        <w:t>.</w:t>
      </w:r>
    </w:p>
    <w:p w:rsidR="00000000" w:rsidRDefault="00477EE8">
      <w:pPr>
        <w:pStyle w:val="a3"/>
        <w:spacing w:before="360" w:beforeAutospacing="0" w:after="0" w:afterAutospacing="0"/>
        <w:rPr>
          <w:sz w:val="20"/>
          <w:szCs w:val="20"/>
        </w:rPr>
      </w:pPr>
      <w:r>
        <w:rPr>
          <w:b/>
          <w:bCs/>
          <w:sz w:val="20"/>
          <w:szCs w:val="20"/>
        </w:rPr>
        <w:t>Actual or attempted security breaches, loss of data, or other disruptions could expose us to material liability and materially and adversely affect our business and our reputation</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In the ordinar</w:t>
      </w:r>
      <w:r>
        <w:rPr>
          <w:sz w:val="20"/>
          <w:szCs w:val="20"/>
        </w:rPr>
        <w:t>y course of our business, we generate, collect and store sensitive data, including PHI, personally identifiable information, intellectual property, and proprietary and other business-critical information, such as research and development data, commercial d</w:t>
      </w:r>
      <w:r>
        <w:rPr>
          <w:sz w:val="20"/>
          <w:szCs w:val="20"/>
        </w:rPr>
        <w:t>ata, and other business and financial information. We manage and maintain the data we generate, collect and store utilizing a combination of on-site systems and managed data center systems. We also communicate sensitive patient data when we deliver reports</w:t>
      </w:r>
      <w:r>
        <w:rPr>
          <w:sz w:val="20"/>
          <w:szCs w:val="20"/>
        </w:rPr>
        <w:t xml:space="preserve"> summarizing test results to our customers, which we deliver via our online encrypted web portal, encrypted email, or fax, or overnight courier. The secure processing, storage, maintenance and transmission of this information is vital to our operations and</w:t>
      </w:r>
      <w:r>
        <w:rPr>
          <w:sz w:val="20"/>
          <w:szCs w:val="20"/>
        </w:rPr>
        <w:t xml:space="preserve"> business strategy, and we devote significant resources to protecting the confidentiality and integrity of this information. Although we have implemented security measures and other controls designed to protect sensitive information from unauthorized acces</w:t>
      </w:r>
      <w:r>
        <w:rPr>
          <w:sz w:val="20"/>
          <w:szCs w:val="20"/>
        </w:rPr>
        <w:t>s, use, or disclosure, one of our subsidiaries has experienced security incidents to its information systems that resulted in the unauthorized access, use, and disclosure of PHI and other confidential information. To date, these incidents have not material</w:t>
      </w:r>
      <w:r>
        <w:rPr>
          <w:sz w:val="20"/>
          <w:szCs w:val="20"/>
        </w:rPr>
        <w:t>ly affected our business. A breach or interruption could result in material legal claims or proceedings and could result in material liability or penalties under federal, state, or foreign laws that protect the privacy of personal information, discussed be</w:t>
      </w:r>
      <w:r>
        <w:rPr>
          <w:sz w:val="20"/>
          <w:szCs w:val="20"/>
        </w:rPr>
        <w:t>low under “We are subject to broad legal requirements regarding the information we test and analyze, and any failure to comply with these requirements could result in materially significant, penalties, materially damage our reputation and materially harm o</w:t>
      </w:r>
      <w:r>
        <w:rPr>
          <w:sz w:val="20"/>
          <w:szCs w:val="20"/>
        </w:rPr>
        <w:t>ur business.” Additionally, unauthorize</w:t>
      </w:r>
      <w:r>
        <w:rPr>
          <w:sz w:val="20"/>
          <w:szCs w:val="20"/>
        </w:rPr>
        <w:t>d</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2</w:t>
      </w:r>
      <w:r>
        <w:rPr>
          <w:sz w:val="20"/>
          <w:szCs w:val="20"/>
        </w:rPr>
        <w:t>0</w:t>
      </w:r>
    </w:p>
    <w:p w:rsidR="00000000" w:rsidRDefault="00477EE8">
      <w:pPr>
        <w:rPr>
          <w:rFonts w:eastAsia="Times New Roman"/>
        </w:rPr>
      </w:pPr>
      <w:r>
        <w:rPr>
          <w:rFonts w:eastAsia="Times New Roman"/>
        </w:rPr>
        <w:pict>
          <v:rect id="_x0000_i1059" style="width:0;height:1.5pt" o:hralign="center" o:hrstd="t" o:hr="t" fillcolor="#a0a0a0" stroked="f"/>
        </w:pict>
      </w:r>
    </w:p>
    <w:p w:rsidR="00000000" w:rsidRDefault="00477EE8">
      <w:pPr>
        <w:pStyle w:val="a3"/>
        <w:spacing w:before="120" w:beforeAutospacing="0" w:after="0" w:afterAutospacing="0"/>
        <w:rPr>
          <w:sz w:val="20"/>
          <w:szCs w:val="20"/>
        </w:rPr>
      </w:pPr>
      <w:r>
        <w:rPr>
          <w:sz w:val="20"/>
          <w:szCs w:val="20"/>
        </w:rPr>
        <w:t>access, manipulation, loss, or dissemination could significantly damage our reputation and disrupt our operations, including our ability to perform our tests, analyze and pro</w:t>
      </w:r>
      <w:r>
        <w:rPr>
          <w:sz w:val="20"/>
          <w:szCs w:val="20"/>
        </w:rPr>
        <w:t>vide test results, bill customers or other payors, process claims for reimbursement, provide customer service, conduct research and development activities, collect, process, and prepare company financial information, conduct education and outreach activiti</w:t>
      </w:r>
      <w:r>
        <w:rPr>
          <w:sz w:val="20"/>
          <w:szCs w:val="20"/>
        </w:rPr>
        <w:t>es and manage the administrative aspects of our operations, as described further below under “We depend on our information technology systems and any material failure of these systems, due to hardware or software malfunctions, delays in operation, and/or m</w:t>
      </w:r>
      <w:r>
        <w:rPr>
          <w:sz w:val="20"/>
          <w:szCs w:val="20"/>
        </w:rPr>
        <w:t>aterial failures to implement new or enhanced systems or cybersecurity breaches, could materially harm our business.</w:t>
      </w:r>
      <w:r>
        <w:rPr>
          <w:sz w:val="20"/>
          <w:szCs w:val="20"/>
        </w:rPr>
        <w:t>”</w:t>
      </w:r>
    </w:p>
    <w:p w:rsidR="00000000" w:rsidRDefault="00477EE8">
      <w:pPr>
        <w:pStyle w:val="a3"/>
        <w:spacing w:before="360" w:beforeAutospacing="0" w:after="0" w:afterAutospacing="0"/>
        <w:rPr>
          <w:sz w:val="20"/>
          <w:szCs w:val="20"/>
        </w:rPr>
      </w:pPr>
      <w:r>
        <w:rPr>
          <w:b/>
          <w:bCs/>
          <w:sz w:val="20"/>
          <w:szCs w:val="20"/>
        </w:rPr>
        <w:t>If our laboratory facilities become inoperable, if we are forced to vacate a facility, or if we are unable to obtain additional laboratory</w:t>
      </w:r>
      <w:r>
        <w:rPr>
          <w:b/>
          <w:bCs/>
          <w:sz w:val="20"/>
          <w:szCs w:val="20"/>
        </w:rPr>
        <w:t xml:space="preserve"> space as and when needed, we would be unable to perform our tests and our business would be harmed</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We perform our tests at our CLIA-certified laboratories in Temple City and El Monte, California; Irving, Texas; Needham, Massachusetts; Phoenix, Arizona; A</w:t>
      </w:r>
      <w:r>
        <w:rPr>
          <w:sz w:val="20"/>
          <w:szCs w:val="20"/>
        </w:rPr>
        <w:t>lpharetta, Georgia; and New York, New York. Our laboratories and the equipment we use to perform our tests would be costly to replace and could require substantial lead time to replace and qualify for use. Additionally, any other laboratory facilities or e</w:t>
      </w:r>
      <w:r>
        <w:rPr>
          <w:sz w:val="20"/>
          <w:szCs w:val="20"/>
        </w:rPr>
        <w:t xml:space="preserve">quipment we may use could be damaged or rendered inoperable by natural disasters, which may be exacerbated by the effects of climate change, or man-made disasters which could render it difficult or impossible for us to perform our tests for some period of </w:t>
      </w:r>
      <w:r>
        <w:rPr>
          <w:sz w:val="20"/>
          <w:szCs w:val="20"/>
        </w:rPr>
        <w:t>time. The inability to perform our tests or the backlog that could develop if a laboratory becomes inoperable for even a short time could result in the loss of customers or harm to our reputation. Although we maintain insurance for damage to our property a</w:t>
      </w:r>
      <w:r>
        <w:rPr>
          <w:sz w:val="20"/>
          <w:szCs w:val="20"/>
        </w:rPr>
        <w:t>nd disruption of our business, this insurance may not be sufficient to cover all of our potential losses and may not continue to be available to us on acceptable terms, if at all</w:t>
      </w:r>
      <w:r>
        <w:rPr>
          <w:sz w:val="20"/>
          <w:szCs w:val="20"/>
        </w:rPr>
        <w:t>.</w:t>
      </w:r>
    </w:p>
    <w:p w:rsidR="00000000" w:rsidRDefault="00477EE8">
      <w:pPr>
        <w:pStyle w:val="a3"/>
        <w:spacing w:before="240" w:beforeAutospacing="0" w:after="0" w:afterAutospacing="0"/>
        <w:ind w:firstLine="555"/>
        <w:rPr>
          <w:sz w:val="20"/>
          <w:szCs w:val="20"/>
        </w:rPr>
      </w:pPr>
      <w:r>
        <w:rPr>
          <w:sz w:val="20"/>
          <w:szCs w:val="20"/>
        </w:rPr>
        <w:t>Further, if we need to relocate from one laboratory facility to another laboratory facility or obtain additional laboratory space, we may have difficulty locating suitable space in a timely manner, on reasonable terms or at all. Even if acceptable space wa</w:t>
      </w:r>
      <w:r>
        <w:rPr>
          <w:sz w:val="20"/>
          <w:szCs w:val="20"/>
        </w:rPr>
        <w:t xml:space="preserve">s available, it would be challenging, time-consuming, and expensive to obtain or transfer the licensure and accreditation required for a commercial laboratory like ours and the equipment used to perform our tests. These challenges could be amplified if we </w:t>
      </w:r>
      <w:r>
        <w:rPr>
          <w:sz w:val="20"/>
          <w:szCs w:val="20"/>
        </w:rPr>
        <w:t>or our joint ventures or other commercial partners seek to procure and maintain laboratory space outside the United States as we pursue international expansion. If we are unable to obtain or are delayed in obtaining new laboratory space as needed, we may n</w:t>
      </w:r>
      <w:r>
        <w:rPr>
          <w:sz w:val="20"/>
          <w:szCs w:val="20"/>
        </w:rPr>
        <w:t>ot be able to provide our existing tests or develop and launch new tests, which could result in harm to our business, reputation, financial condition and results of operations</w:t>
      </w:r>
      <w:r>
        <w:rPr>
          <w:sz w:val="20"/>
          <w:szCs w:val="20"/>
        </w:rPr>
        <w:t>.</w:t>
      </w:r>
    </w:p>
    <w:p w:rsidR="00000000" w:rsidRDefault="00477EE8">
      <w:pPr>
        <w:pStyle w:val="a3"/>
        <w:spacing w:before="360" w:beforeAutospacing="0" w:after="0" w:afterAutospacing="0"/>
        <w:rPr>
          <w:sz w:val="20"/>
          <w:szCs w:val="20"/>
        </w:rPr>
      </w:pPr>
      <w:r>
        <w:rPr>
          <w:b/>
          <w:bCs/>
          <w:sz w:val="20"/>
          <w:szCs w:val="20"/>
        </w:rPr>
        <w:t>We rely on commercial courier delivery services to transport specimens to our l</w:t>
      </w:r>
      <w:r>
        <w:rPr>
          <w:b/>
          <w:bCs/>
          <w:sz w:val="20"/>
          <w:szCs w:val="20"/>
        </w:rPr>
        <w:t>aboratory facilities in a timely and cost-efficient manner, and if these delivery services are disrupted, our business could be materially harmed</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Our business depends on our ability to quickly and reliably deliver test results to our customers. We typical</w:t>
      </w:r>
      <w:r>
        <w:rPr>
          <w:sz w:val="20"/>
          <w:szCs w:val="20"/>
        </w:rPr>
        <w:t>ly receive specimens from customers within days of shipment, or in some cases overnight, for analysis at our laboratory facilities. Disruptions in delivery service, whether due to labor disruptions, bad weather or natural disasters (including severe weathe</w:t>
      </w:r>
      <w:r>
        <w:rPr>
          <w:sz w:val="20"/>
          <w:szCs w:val="20"/>
        </w:rPr>
        <w:t>r, fires or other natural events which may be exacerbated by climate change), pandemics or epidemics, terrorist acts or threats or for other reasons, could adversely affect specimen integrity and our ability to process specimens in a timely manner and othe</w:t>
      </w:r>
      <w:r>
        <w:rPr>
          <w:sz w:val="20"/>
          <w:szCs w:val="20"/>
        </w:rPr>
        <w:t>rwise service our customers, and ultimately materially and adversely affect our reputation and our business. In addition, if we are unable to continue to obtain expedited delivery services on commercially reasonable terms, our operating results may be mate</w:t>
      </w:r>
      <w:r>
        <w:rPr>
          <w:sz w:val="20"/>
          <w:szCs w:val="20"/>
        </w:rPr>
        <w:t>rially and adversely affected</w:t>
      </w:r>
      <w:r>
        <w:rPr>
          <w:sz w:val="20"/>
          <w:szCs w:val="20"/>
        </w:rPr>
        <w:t>.</w:t>
      </w:r>
    </w:p>
    <w:p w:rsidR="00000000" w:rsidRDefault="00477EE8">
      <w:pPr>
        <w:pStyle w:val="a3"/>
        <w:spacing w:before="360" w:beforeAutospacing="0" w:after="0" w:afterAutospacing="0"/>
        <w:rPr>
          <w:sz w:val="20"/>
          <w:szCs w:val="20"/>
        </w:rPr>
      </w:pPr>
      <w:r>
        <w:rPr>
          <w:b/>
          <w:bCs/>
          <w:sz w:val="20"/>
          <w:szCs w:val="20"/>
        </w:rPr>
        <w:t>We depend on our information technology systems and any material failure of these systems, due to hardware or software malfunctions, delays in operation, and/or material failures to implement new or enhanced systems or cybers</w:t>
      </w:r>
      <w:r>
        <w:rPr>
          <w:b/>
          <w:bCs/>
          <w:sz w:val="20"/>
          <w:szCs w:val="20"/>
        </w:rPr>
        <w:t>ecurity breaches, could materially harm our business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 xml:space="preserve">We depend on information technology and telecommunications systems for significant elements of our operations, such as our laboratory information management systems, including test validation, specimen </w:t>
      </w:r>
      <w:r>
        <w:rPr>
          <w:sz w:val="20"/>
          <w:szCs w:val="20"/>
        </w:rPr>
        <w:t>tracking and quality control; our bioinformatics analytical software systems; our reference library of information relating to genetic variants and their role in disease; personal information storage, maintenance, and transmission; our customer-facing web-</w:t>
      </w:r>
      <w:r>
        <w:rPr>
          <w:sz w:val="20"/>
          <w:szCs w:val="20"/>
        </w:rPr>
        <w:t>based portal and customer service functions; our report production systems; our billing and reimbursement procedures; our scientific and medical data analysis and other research and development activities and programs; and our general and administrative ac</w:t>
      </w:r>
      <w:r>
        <w:rPr>
          <w:sz w:val="20"/>
          <w:szCs w:val="20"/>
        </w:rPr>
        <w:t>tivities, including disclosure controls, internal control over financial reporting and other public reporting functions. In addition, our third-party service providers depend on technology and telecommunications systems in order to provide contracted servi</w:t>
      </w:r>
      <w:r>
        <w:rPr>
          <w:sz w:val="20"/>
          <w:szCs w:val="20"/>
        </w:rPr>
        <w:t>ces for us. We expect we will need to continue to expand and strengthen a number of enterprise software systems that affect a broad range of business processes and functions, particularly if and as our operations grow, including, for example, systems handl</w:t>
      </w:r>
      <w:r>
        <w:rPr>
          <w:sz w:val="20"/>
          <w:szCs w:val="20"/>
        </w:rPr>
        <w:t>ing human resources, financial and other disclosure controls and reporting, customer relationship management, regulatory compliance, security controls, and other infrastructure functions</w:t>
      </w:r>
      <w:r>
        <w:rPr>
          <w:sz w:val="20"/>
          <w:szCs w:val="20"/>
        </w:rPr>
        <w:t>.</w:t>
      </w:r>
    </w:p>
    <w:p w:rsidR="00000000" w:rsidRDefault="00477EE8">
      <w:pPr>
        <w:pStyle w:val="a3"/>
        <w:spacing w:before="240" w:beforeAutospacing="0" w:after="0" w:afterAutospacing="0"/>
        <w:ind w:firstLine="555"/>
        <w:rPr>
          <w:sz w:val="20"/>
          <w:szCs w:val="20"/>
        </w:rPr>
      </w:pPr>
      <w:r>
        <w:rPr>
          <w:sz w:val="20"/>
          <w:szCs w:val="20"/>
        </w:rPr>
        <w:t>Information technology and telecommunications systems are vulnerable</w:t>
      </w:r>
      <w:r>
        <w:rPr>
          <w:sz w:val="20"/>
          <w:szCs w:val="20"/>
        </w:rPr>
        <w:t xml:space="preserve"> to disruption and damage from a variety of sources, including power outages and other telecommunications or network failures, natural disasters, and the outbreak of war or acts of terrorism. Breaches resulting in the compromise, disruption, degradation, m</w:t>
      </w:r>
      <w:r>
        <w:rPr>
          <w:sz w:val="20"/>
          <w:szCs w:val="20"/>
        </w:rPr>
        <w:t>anipulation, loss, theft, destruction, or unauthorize</w:t>
      </w:r>
      <w:r>
        <w:rPr>
          <w:sz w:val="20"/>
          <w:szCs w:val="20"/>
        </w:rPr>
        <w:t>d</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2</w:t>
      </w:r>
      <w:r>
        <w:rPr>
          <w:sz w:val="20"/>
          <w:szCs w:val="20"/>
        </w:rPr>
        <w:t>1</w:t>
      </w:r>
    </w:p>
    <w:p w:rsidR="00000000" w:rsidRDefault="00477EE8">
      <w:pPr>
        <w:rPr>
          <w:rFonts w:eastAsia="Times New Roman"/>
        </w:rPr>
      </w:pPr>
      <w:r>
        <w:rPr>
          <w:rFonts w:eastAsia="Times New Roman"/>
        </w:rPr>
        <w:pict>
          <v:rect id="_x0000_i1060" style="width:0;height:1.5pt" o:hralign="center" o:hrstd="t" o:hr="t" fillcolor="#a0a0a0" stroked="f"/>
        </w:pict>
      </w:r>
    </w:p>
    <w:p w:rsidR="00000000" w:rsidRDefault="00477EE8">
      <w:pPr>
        <w:pStyle w:val="a3"/>
        <w:spacing w:before="240" w:beforeAutospacing="0" w:after="0" w:afterAutospacing="0"/>
        <w:rPr>
          <w:sz w:val="20"/>
          <w:szCs w:val="20"/>
        </w:rPr>
      </w:pPr>
      <w:r>
        <w:rPr>
          <w:sz w:val="20"/>
          <w:szCs w:val="20"/>
        </w:rPr>
        <w:t>disclosure of sensitive information can occur in a variety of ways, including but not limited to, negligent or wrongful conduct by employees or former employees</w:t>
      </w:r>
      <w:r>
        <w:rPr>
          <w:sz w:val="20"/>
          <w:szCs w:val="20"/>
        </w:rPr>
        <w:t xml:space="preserve"> or others with permitted access to our information technology systems and information, or wrongful conduct by hackers, competitors, or certain governments. Our third-party vendors and business partners face similar risks. Moreover, despite network securit</w:t>
      </w:r>
      <w:r>
        <w:rPr>
          <w:sz w:val="20"/>
          <w:szCs w:val="20"/>
        </w:rPr>
        <w:t>y and back-up measures, our servers and other electronic systems are vulnerable to cybersecurity breaches, such as physical or electronic break-ins, computer viruses, ransomware attacks, phishing schemes, and similar disruptive events. Despite the precauti</w:t>
      </w:r>
      <w:r>
        <w:rPr>
          <w:sz w:val="20"/>
          <w:szCs w:val="20"/>
        </w:rPr>
        <w:t>onary measures we have taken to detect and prevent or solve problems that could affect our information technology and telecommunications systems, one of our subsidiaries has experienced security incidents to its information systems that resulted in the una</w:t>
      </w:r>
      <w:r>
        <w:rPr>
          <w:sz w:val="20"/>
          <w:szCs w:val="20"/>
        </w:rPr>
        <w:t>uthorized access, use, and disclosure of PHI and other confidential information. To date, these incidents have not materially affected our business, however such incidents could cause significant downtime or failures of our systems or those used by our thi</w:t>
      </w:r>
      <w:r>
        <w:rPr>
          <w:sz w:val="20"/>
          <w:szCs w:val="20"/>
        </w:rPr>
        <w:t>rd-party service providers. Cyber-attacks come in many forms, including the deployment of harmful malware or ransomware, exploitation of vulnerabilities, phishing, and other use of social engineering, and other means to compromise the confidentiality, inte</w:t>
      </w:r>
      <w:r>
        <w:rPr>
          <w:sz w:val="20"/>
          <w:szCs w:val="20"/>
        </w:rPr>
        <w:t>grity, and availability of our IT systems and confidential information. The techniques used by criminal elements to attack computer systems are sophisticated, change frequently and may originate from less regulated or remote areas of the world. Although we</w:t>
      </w:r>
      <w:r>
        <w:rPr>
          <w:sz w:val="20"/>
          <w:szCs w:val="20"/>
        </w:rPr>
        <w:t xml:space="preserve"> carry property, business interruption, and cyber liability insurance, the coverage may not be adequate to compensate for all losses that may occur in the event of system downtime or failure. Any such disruption or loss of information technology or telecom</w:t>
      </w:r>
      <w:r>
        <w:rPr>
          <w:sz w:val="20"/>
          <w:szCs w:val="20"/>
        </w:rPr>
        <w:t>munications systems on which critical aspects of our operations depend could have a material adverse effect on our business and our reputation</w:t>
      </w:r>
      <w:r>
        <w:rPr>
          <w:sz w:val="20"/>
          <w:szCs w:val="20"/>
        </w:rPr>
        <w:t>.</w:t>
      </w:r>
    </w:p>
    <w:p w:rsidR="00000000" w:rsidRDefault="00477EE8">
      <w:pPr>
        <w:pStyle w:val="a3"/>
        <w:spacing w:before="240" w:beforeAutospacing="0" w:after="0" w:afterAutospacing="0"/>
        <w:ind w:firstLine="555"/>
        <w:rPr>
          <w:sz w:val="20"/>
          <w:szCs w:val="20"/>
        </w:rPr>
      </w:pPr>
      <w:r>
        <w:rPr>
          <w:sz w:val="20"/>
          <w:szCs w:val="20"/>
        </w:rPr>
        <w:t>Additionally, if and as our business grows, we will need to continually improve and expand the scope of our tech</w:t>
      </w:r>
      <w:r>
        <w:rPr>
          <w:sz w:val="20"/>
          <w:szCs w:val="20"/>
        </w:rPr>
        <w:t xml:space="preserve">nology systems in order to maintain their adequacy for the scale of our operations. Any failure to make such improvements or any significant delay in the planned implementation of new or enhanced systems could render our systems obsolete or inadequate, in </w:t>
      </w:r>
      <w:r>
        <w:rPr>
          <w:sz w:val="20"/>
          <w:szCs w:val="20"/>
        </w:rPr>
        <w:t>which case our service to our customers and our other business activities could suffer, and we could be more vulnerable to electronic breaches from outside sources</w:t>
      </w:r>
      <w:r>
        <w:rPr>
          <w:sz w:val="20"/>
          <w:szCs w:val="20"/>
        </w:rPr>
        <w:t>.</w:t>
      </w:r>
      <w:r>
        <w:rPr>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If our computer systems are compromised, we could be subject to significant fines, damages</w:t>
      </w:r>
      <w:r>
        <w:rPr>
          <w:sz w:val="20"/>
          <w:szCs w:val="20"/>
        </w:rPr>
        <w:t>, reputational harm, litigation and enforcement actions, and we could lose trade secrets, the occurrence of which could materially harm our business, in addition to possibly requiring substantial and material expenditures of resources to remedy</w:t>
      </w:r>
      <w:r>
        <w:rPr>
          <w:sz w:val="20"/>
          <w:szCs w:val="20"/>
        </w:rPr>
        <w:t>.</w:t>
      </w:r>
      <w:r>
        <w:rPr>
          <w:sz w:val="20"/>
          <w:szCs w:val="20"/>
        </w:rPr>
        <w:t xml:space="preserve"> </w:t>
      </w:r>
    </w:p>
    <w:p w:rsidR="00000000" w:rsidRDefault="00477EE8">
      <w:pPr>
        <w:pStyle w:val="a3"/>
        <w:spacing w:before="360" w:beforeAutospacing="0" w:after="0" w:afterAutospacing="0"/>
        <w:rPr>
          <w:sz w:val="20"/>
          <w:szCs w:val="20"/>
        </w:rPr>
      </w:pPr>
      <w:r>
        <w:rPr>
          <w:b/>
          <w:bCs/>
          <w:sz w:val="20"/>
          <w:szCs w:val="20"/>
        </w:rPr>
        <w:t>We rely o</w:t>
      </w:r>
      <w:r>
        <w:rPr>
          <w:b/>
          <w:bCs/>
          <w:sz w:val="20"/>
          <w:szCs w:val="20"/>
        </w:rPr>
        <w:t>n a limited number of suppliers and, in some cases, a sole supplier, for certain laboratory substances, equipment and other materials, and any delays or difficulties securing these materials could disrupt our laboratory operations and materially harm our b</w:t>
      </w:r>
      <w:r>
        <w:rPr>
          <w:b/>
          <w:bCs/>
          <w:sz w:val="20"/>
          <w:szCs w:val="20"/>
        </w:rPr>
        <w:t>usiness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 xml:space="preserve">We rely on a limited number of suppliers for certain laboratory substances used in the chemical reactions incorporated into our tests and testing services, which we refer to as reagents, as well as for the sequencers, collection kits, and various </w:t>
      </w:r>
      <w:r>
        <w:rPr>
          <w:sz w:val="20"/>
          <w:szCs w:val="20"/>
        </w:rPr>
        <w:t>other equipment and materials we use in our laboratory operations. In particular, we rely on Illumina, Inc. as the sole supplier of the next generation sequencers and associated reagents we use to perform our genetic tests and as the sole provider of maint</w:t>
      </w:r>
      <w:r>
        <w:rPr>
          <w:sz w:val="20"/>
          <w:szCs w:val="20"/>
        </w:rPr>
        <w:t xml:space="preserve">enance and repair services for these sequencers; on Roche Holdings AG for certain laboratory equipment, supplies and services for our immunohistochemistry services; on Beckman Coulter Diagnostics for certain laboratory equipment, supplies and services for </w:t>
      </w:r>
      <w:r>
        <w:rPr>
          <w:sz w:val="20"/>
          <w:szCs w:val="20"/>
        </w:rPr>
        <w:t>our flow cytometry tests and testing services; and on Abbott laboratories for certain laboratory equipment, supplies and services for our FISH tests and testing services. We do not have long-term agreements with most of our suppliers and, as a result, they</w:t>
      </w:r>
      <w:r>
        <w:rPr>
          <w:sz w:val="20"/>
          <w:szCs w:val="20"/>
        </w:rPr>
        <w:t xml:space="preserve"> could cease supplying these materials and equipment generally to us at any time due to an inability to reach agreement with us on supply terms, disruptions in their operations, a determination to pursue other activities or lines of business, or they could</w:t>
      </w:r>
      <w:r>
        <w:rPr>
          <w:sz w:val="20"/>
          <w:szCs w:val="20"/>
        </w:rPr>
        <w:t xml:space="preserve"> fail to provide us with sufficient quantities of materials that meet our specifications, among other reasons. These suppliers may also be affected by natural disasters such as extreme weather events, fires or flooding (which may be exacerbated as a result</w:t>
      </w:r>
      <w:r>
        <w:rPr>
          <w:sz w:val="20"/>
          <w:szCs w:val="20"/>
        </w:rPr>
        <w:t xml:space="preserve"> of climate change), pandemics and health events, and disruptions of the global supply chain. While there are several sequencer suppliers that we believe could replace Illumina, and while we believe that we have sufficient alternative suppliers for our oth</w:t>
      </w:r>
      <w:r>
        <w:rPr>
          <w:sz w:val="20"/>
          <w:szCs w:val="20"/>
        </w:rPr>
        <w:t>er needs, transitioning to a new supplier or locating a temporary substitute, if any are available, would be time-consuming and expensive, could result in interruptions in or otherwise affect the performance specifications of our laboratory operations or c</w:t>
      </w:r>
      <w:r>
        <w:rPr>
          <w:sz w:val="20"/>
          <w:szCs w:val="20"/>
        </w:rPr>
        <w:t>ould require that we revalidate our tests. In addition, the use of equipment or materials provided by a replacement supplier could require us to alter our laboratory operations and procedures. Moreover, we believe there are currently only a few manufacture</w:t>
      </w:r>
      <w:r>
        <w:rPr>
          <w:sz w:val="20"/>
          <w:szCs w:val="20"/>
        </w:rPr>
        <w:t>rs that are capable of supplying and servicing certain equipment and other materials necessary for our laboratory operations, including sequencers and various associated reagents. As a result, replacement equipment and materials that meet our quality contr</w:t>
      </w:r>
      <w:r>
        <w:rPr>
          <w:sz w:val="20"/>
          <w:szCs w:val="20"/>
        </w:rPr>
        <w:t>ol and performance requirements may not be available on reasonable terms, in a timely manner or at all. If we encounter delays or difficulties securing, reconfiguring or revalidating the equipment, reagents and other materials required for our tests our op</w:t>
      </w:r>
      <w:r>
        <w:rPr>
          <w:sz w:val="20"/>
          <w:szCs w:val="20"/>
        </w:rPr>
        <w:t>erations could be materially disrupted; and our business, financial condition, results of operations and reputation could be adversely affected</w:t>
      </w:r>
      <w:r>
        <w:rPr>
          <w:sz w:val="20"/>
          <w:szCs w:val="20"/>
        </w:rPr>
        <w:t>.</w:t>
      </w:r>
    </w:p>
    <w:p w:rsidR="00000000" w:rsidRDefault="00477EE8">
      <w:pPr>
        <w:pStyle w:val="a3"/>
        <w:spacing w:before="360" w:beforeAutospacing="0" w:after="0" w:afterAutospacing="0"/>
        <w:rPr>
          <w:sz w:val="20"/>
          <w:szCs w:val="20"/>
        </w:rPr>
      </w:pPr>
      <w:r>
        <w:rPr>
          <w:b/>
          <w:bCs/>
          <w:sz w:val="20"/>
          <w:szCs w:val="20"/>
        </w:rPr>
        <w:t>The loss of any member of our senior management team could adversely affect our business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Our success depends i</w:t>
      </w:r>
      <w:r>
        <w:rPr>
          <w:sz w:val="20"/>
          <w:szCs w:val="20"/>
        </w:rPr>
        <w:t>n large part on the skill, experience, and performance of our executive management team and others in key leadership positions, especially Ming Hsieh, our founder, Chief Executive Officer and Chairman of our board of directors; Pau</w:t>
      </w:r>
      <w:r>
        <w:rPr>
          <w:sz w:val="20"/>
          <w:szCs w:val="20"/>
        </w:rPr>
        <w:t>l</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2</w:t>
      </w:r>
      <w:r>
        <w:rPr>
          <w:sz w:val="20"/>
          <w:szCs w:val="20"/>
        </w:rPr>
        <w:t>2</w:t>
      </w:r>
    </w:p>
    <w:p w:rsidR="00000000" w:rsidRDefault="00477EE8">
      <w:pPr>
        <w:rPr>
          <w:rFonts w:eastAsia="Times New Roman"/>
        </w:rPr>
      </w:pPr>
      <w:r>
        <w:rPr>
          <w:rFonts w:eastAsia="Times New Roman"/>
        </w:rPr>
        <w:pict>
          <v:rect id="_x0000_i1061" style="width:0;height:1.5pt" o:hralign="center" o:hrstd="t" o:hr="t" fillcolor="#a0a0a0" stroked="f"/>
        </w:pict>
      </w:r>
    </w:p>
    <w:p w:rsidR="00000000" w:rsidRDefault="00477EE8">
      <w:pPr>
        <w:pStyle w:val="a3"/>
        <w:spacing w:before="120" w:beforeAutospacing="0" w:after="0" w:afterAutospacing="0"/>
        <w:rPr>
          <w:sz w:val="20"/>
          <w:szCs w:val="20"/>
        </w:rPr>
      </w:pPr>
      <w:r>
        <w:rPr>
          <w:sz w:val="20"/>
          <w:szCs w:val="20"/>
        </w:rPr>
        <w:t>Kim, our Chief Financial Officer; Dr. Han Lin Gao, our Chief Scientific Officer and Laboratory Director; and Jian Xie, our Chief Operating Officer. The continued efforts of these persons will be critical to us as we continue to develop ou</w:t>
      </w:r>
      <w:r>
        <w:rPr>
          <w:sz w:val="20"/>
          <w:szCs w:val="20"/>
        </w:rPr>
        <w:t>r technologies and focus on growing our business. If we lose one or more of these key executives, we could experience difficulties maintaining our operations, including our ability to compete effectively, advance our technologies, develop new tests and imp</w:t>
      </w:r>
      <w:r>
        <w:rPr>
          <w:sz w:val="20"/>
          <w:szCs w:val="20"/>
        </w:rPr>
        <w:t xml:space="preserve">lement our business strategies. All of our executives and employees, including Messrs. Hsieh, Kim, and Xie, and Dr. Gao, are at-will, meaning either we or the executive may terminate his employment at any time. We do not carry key person insurance for any </w:t>
      </w:r>
      <w:r>
        <w:rPr>
          <w:sz w:val="20"/>
          <w:szCs w:val="20"/>
        </w:rPr>
        <w:t>of our executives or other employees. In addition, we do not have long-term retention agreements in place with any of our executives or key employees</w:t>
      </w:r>
      <w:r>
        <w:rPr>
          <w:sz w:val="20"/>
          <w:szCs w:val="20"/>
        </w:rPr>
        <w:t>.</w:t>
      </w:r>
    </w:p>
    <w:p w:rsidR="00000000" w:rsidRDefault="00477EE8">
      <w:pPr>
        <w:pStyle w:val="a3"/>
        <w:spacing w:before="360" w:beforeAutospacing="0" w:after="0" w:afterAutospacing="0"/>
        <w:rPr>
          <w:sz w:val="20"/>
          <w:szCs w:val="20"/>
        </w:rPr>
      </w:pPr>
      <w:r>
        <w:rPr>
          <w:b/>
          <w:bCs/>
          <w:sz w:val="20"/>
          <w:szCs w:val="20"/>
        </w:rPr>
        <w:t>We rely on highly skilled personnel in a broad array of disciplines, and if we are unable to hire, retain</w:t>
      </w:r>
      <w:r>
        <w:rPr>
          <w:b/>
          <w:bCs/>
          <w:sz w:val="20"/>
          <w:szCs w:val="20"/>
        </w:rPr>
        <w:t>, or motivate these individuals, we may not be able to maintain the quality of our tests or grow our business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Our business, including our research and development programs, laboratory operations, and administrative functions, largely depend on our continu</w:t>
      </w:r>
      <w:r>
        <w:rPr>
          <w:sz w:val="20"/>
          <w:szCs w:val="20"/>
        </w:rPr>
        <w:t>ed ability to identify, hire, train, motivate, and retain highly skilled personnel for all areas of our organization, including biostatisticians, geneticists, software engineers, laboratory directors, and specialists, sales, and marketing experts and other</w:t>
      </w:r>
      <w:r>
        <w:rPr>
          <w:sz w:val="20"/>
          <w:szCs w:val="20"/>
        </w:rPr>
        <w:t xml:space="preserve"> scientific, technical, and managerial personnel. Competition in our industry for qualified executives and other employees is intense, and we may not be able to attract or retain the qualified personnel we need to execute our business plans due to high lev</w:t>
      </w:r>
      <w:r>
        <w:rPr>
          <w:sz w:val="20"/>
          <w:szCs w:val="20"/>
        </w:rPr>
        <w:t>els of competition for these personnel among our competitors, other life science businesses, universities and public and private research institutions. In addition, our compensation arrangements may not be successful in attracting new employees and retaini</w:t>
      </w:r>
      <w:r>
        <w:rPr>
          <w:sz w:val="20"/>
          <w:szCs w:val="20"/>
        </w:rPr>
        <w:t>ng and motivating our existing employees. If we are not able to attract and retain the necessary personnel to accomplish our business objectives, we may experience constraints that could adversely affect our ability to expand our business and support our c</w:t>
      </w:r>
      <w:r>
        <w:rPr>
          <w:sz w:val="20"/>
          <w:szCs w:val="20"/>
        </w:rPr>
        <w:t>linical laboratory operations, and our sales and marketing and research and development efforts, which would negatively affect our prospects for future growth and success</w:t>
      </w:r>
      <w:r>
        <w:rPr>
          <w:sz w:val="20"/>
          <w:szCs w:val="20"/>
        </w:rPr>
        <w:t>.</w:t>
      </w:r>
    </w:p>
    <w:p w:rsidR="00000000" w:rsidRDefault="00477EE8">
      <w:pPr>
        <w:pStyle w:val="a3"/>
        <w:spacing w:before="360" w:beforeAutospacing="0" w:after="0" w:afterAutospacing="0"/>
        <w:rPr>
          <w:sz w:val="20"/>
          <w:szCs w:val="20"/>
        </w:rPr>
      </w:pPr>
      <w:r>
        <w:rPr>
          <w:b/>
          <w:bCs/>
          <w:sz w:val="20"/>
          <w:szCs w:val="20"/>
        </w:rPr>
        <w:t>Our reputation and business could be damaged by negative publicity</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We have been and may again be subject to negative publicity. Reputational risk, including as a result of negative publicity, is inherent in our business. Negative publicity can result from actual or alleged conduct in a number of areas, including legal and</w:t>
      </w:r>
      <w:r>
        <w:rPr>
          <w:sz w:val="20"/>
          <w:szCs w:val="20"/>
        </w:rPr>
        <w:t xml:space="preserve"> regulatory compliance, corporate governance, litigation, inadequate protection of health information, illegal or unauthorized acts taken by third parties that supply products or services to us, and the conduct of our employees or agents. In particular, CO</w:t>
      </w:r>
      <w:r>
        <w:rPr>
          <w:sz w:val="20"/>
          <w:szCs w:val="20"/>
        </w:rPr>
        <w:t>VID-19 has been a politically controversial topic, and our provision of COVID-19 testing and related services has subjected us to negative publicity. Negative publicity can damage our reputation and business even if these statements about us are untrue. Da</w:t>
      </w:r>
      <w:r>
        <w:rPr>
          <w:sz w:val="20"/>
          <w:szCs w:val="20"/>
        </w:rPr>
        <w:t>mage to our reputation could adversely impact our ability to attract new and to maintain existing customers, employees, and business relationships. This damage and these circumstances may have a material adverse effect on our financial condition, prospects</w:t>
      </w:r>
      <w:r>
        <w:rPr>
          <w:sz w:val="20"/>
          <w:szCs w:val="20"/>
        </w:rPr>
        <w:t xml:space="preserve"> and results of operations</w:t>
      </w:r>
      <w:r>
        <w:rPr>
          <w:sz w:val="20"/>
          <w:szCs w:val="20"/>
        </w:rPr>
        <w:t>.</w:t>
      </w:r>
    </w:p>
    <w:p w:rsidR="00000000" w:rsidRDefault="00477EE8">
      <w:pPr>
        <w:pStyle w:val="a3"/>
        <w:spacing w:before="360" w:beforeAutospacing="0" w:after="0" w:afterAutospacing="0"/>
        <w:rPr>
          <w:sz w:val="20"/>
          <w:szCs w:val="20"/>
        </w:rPr>
      </w:pPr>
      <w:r>
        <w:rPr>
          <w:b/>
          <w:bCs/>
          <w:sz w:val="20"/>
          <w:szCs w:val="20"/>
        </w:rPr>
        <w:t>We may not be successful in developing and marketing new tests, which could negatively impact our performance and prospects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We believe our future success will depend in part on our ability to continue to expand our test and tes</w:t>
      </w:r>
      <w:r>
        <w:rPr>
          <w:sz w:val="20"/>
          <w:szCs w:val="20"/>
        </w:rPr>
        <w:t>ting service offerings and develop and sell new tests and testing services and on our ability to expand our presence in new and existing markets, including our presence in the molecular diagnostic and cancer testing markets. We may not be successful in lau</w:t>
      </w:r>
      <w:r>
        <w:rPr>
          <w:sz w:val="20"/>
          <w:szCs w:val="20"/>
        </w:rPr>
        <w:t>nching or marketing any new tests we may develop; in expanding into any new or existing markets; and, even if we are successful, the demand for our tests could decrease or may not continue to increase at historical rates due to resulting sales of any new t</w:t>
      </w:r>
      <w:r>
        <w:rPr>
          <w:sz w:val="20"/>
          <w:szCs w:val="20"/>
        </w:rPr>
        <w:t>ests. Development of new tests is time-consuming and costly, as development and marketing of new tests requires us to conduct research and development activities regarding the new tests and to further scale our laboratory processes and infrastructure to be</w:t>
      </w:r>
      <w:r>
        <w:rPr>
          <w:sz w:val="20"/>
          <w:szCs w:val="20"/>
        </w:rPr>
        <w:t xml:space="preserve"> able to analyze increasing amounts of more diverse data. Further, we may be unable to discover or develop and launch new tests for a variety of reasons, including failure of any proposed test to perform as expected, lack of validation or reference data fo</w:t>
      </w:r>
      <w:r>
        <w:rPr>
          <w:sz w:val="20"/>
          <w:szCs w:val="20"/>
        </w:rPr>
        <w:t>r the test or failure to demonstrate the utility of the test. Any new test we are able to discover and develop may not be launched in a timely manner, meet applicable regulatory standards, successfully compete with other technologies and available tests, a</w:t>
      </w:r>
      <w:r>
        <w:rPr>
          <w:sz w:val="20"/>
          <w:szCs w:val="20"/>
        </w:rPr>
        <w:t>void infringing the proprietary rights of others, achieve coverage and adequate reimbursement from third-party payors, be capable of performance at commercial levels and at reasonable costs, be successfully marketed, or achieve sufficient market acceptance</w:t>
      </w:r>
      <w:r>
        <w:rPr>
          <w:sz w:val="20"/>
          <w:szCs w:val="20"/>
        </w:rPr>
        <w:t xml:space="preserve"> for us to recoup our time and capital investment in the development of the test. Any failure to successfully develop, market, and sell new tests could negatively impact our ability to attract and retain customers, our revenue and prospects</w:t>
      </w:r>
      <w:r>
        <w:rPr>
          <w:sz w:val="20"/>
          <w:szCs w:val="20"/>
        </w:rPr>
        <w:t>.</w:t>
      </w:r>
    </w:p>
    <w:p w:rsidR="00000000" w:rsidRDefault="00477EE8">
      <w:pPr>
        <w:pStyle w:val="a3"/>
        <w:spacing w:before="360" w:beforeAutospacing="0" w:after="0" w:afterAutospacing="0"/>
        <w:rPr>
          <w:sz w:val="20"/>
          <w:szCs w:val="20"/>
        </w:rPr>
      </w:pPr>
      <w:r>
        <w:rPr>
          <w:b/>
          <w:bCs/>
          <w:sz w:val="20"/>
          <w:szCs w:val="20"/>
        </w:rPr>
        <w:t>We are exposed</w:t>
      </w:r>
      <w:r>
        <w:rPr>
          <w:b/>
          <w:bCs/>
          <w:sz w:val="20"/>
          <w:szCs w:val="20"/>
        </w:rPr>
        <w:t xml:space="preserve"> to additional business, regulatory, political, operational, financial, and economic risks related to our international operations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Our existing customer base includes international customers from a variety of geographic markets. As part of our strategy, w</w:t>
      </w:r>
      <w:r>
        <w:rPr>
          <w:sz w:val="20"/>
          <w:szCs w:val="20"/>
        </w:rPr>
        <w:t>e aim to increase our volume of direct sales to international customers in a variety of markets by conducting targeted marketing outreach activities and, if opportunities arise, engaging distributors or establishing other types of arrangements, such as add</w:t>
      </w:r>
      <w:r>
        <w:rPr>
          <w:sz w:val="20"/>
          <w:szCs w:val="20"/>
        </w:rPr>
        <w:t>itional joint venture</w:t>
      </w:r>
      <w:r>
        <w:rPr>
          <w:sz w:val="20"/>
          <w:szCs w:val="20"/>
        </w:rPr>
        <w:t>s</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2</w:t>
      </w:r>
      <w:r>
        <w:rPr>
          <w:sz w:val="20"/>
          <w:szCs w:val="20"/>
        </w:rPr>
        <w:t>3</w:t>
      </w:r>
    </w:p>
    <w:p w:rsidR="00000000" w:rsidRDefault="00477EE8">
      <w:pPr>
        <w:rPr>
          <w:rFonts w:eastAsia="Times New Roman"/>
        </w:rPr>
      </w:pPr>
      <w:r>
        <w:rPr>
          <w:rFonts w:eastAsia="Times New Roman"/>
        </w:rPr>
        <w:pict>
          <v:rect id="_x0000_i1062" style="width:0;height:1.5pt" o:hralign="center" o:hrstd="t" o:hr="t" fillcolor="#a0a0a0" stroked="f"/>
        </w:pict>
      </w:r>
    </w:p>
    <w:p w:rsidR="00000000" w:rsidRDefault="00477EE8">
      <w:pPr>
        <w:pStyle w:val="a3"/>
        <w:spacing w:before="120" w:beforeAutospacing="0" w:after="0" w:afterAutospacing="0"/>
        <w:rPr>
          <w:sz w:val="20"/>
          <w:szCs w:val="20"/>
        </w:rPr>
      </w:pPr>
      <w:r>
        <w:rPr>
          <w:sz w:val="20"/>
          <w:szCs w:val="20"/>
        </w:rPr>
        <w:t xml:space="preserve">or other relationships. However, we may never be successful in achieving these objectives, and even if we are successful, these strategies may not result in meaningful or any increases in our </w:t>
      </w:r>
      <w:r>
        <w:rPr>
          <w:sz w:val="20"/>
          <w:szCs w:val="20"/>
        </w:rPr>
        <w:t>customer base, test volumes or revenue</w:t>
      </w:r>
      <w:r>
        <w:rPr>
          <w:sz w:val="20"/>
          <w:szCs w:val="20"/>
        </w:rPr>
        <w:t>.</w:t>
      </w:r>
    </w:p>
    <w:p w:rsidR="00000000" w:rsidRDefault="00477EE8">
      <w:pPr>
        <w:pStyle w:val="a3"/>
        <w:spacing w:before="240" w:beforeAutospacing="0" w:after="0" w:afterAutospacing="0"/>
        <w:ind w:firstLine="555"/>
        <w:rPr>
          <w:sz w:val="20"/>
          <w:szCs w:val="20"/>
        </w:rPr>
      </w:pPr>
      <w:r>
        <w:rPr>
          <w:sz w:val="20"/>
          <w:szCs w:val="20"/>
        </w:rPr>
        <w:t>Doing business internationally involves a number of risks, including, among others</w:t>
      </w:r>
      <w:r>
        <w:rPr>
          <w:sz w:val="20"/>
          <w:szCs w:val="20"/>
        </w:rPr>
        <w:t>:</w:t>
      </w:r>
    </w:p>
    <w:p w:rsidR="00000000" w:rsidRDefault="00477EE8">
      <w:pPr>
        <w:divId w:val="1498840389"/>
        <w:rPr>
          <w:rFonts w:eastAsia="Times New Roman"/>
        </w:rPr>
      </w:pPr>
      <w:r>
        <w:rPr>
          <w:rFonts w:eastAsia="Times New Roman"/>
          <w:sz w:val="20"/>
          <w:szCs w:val="20"/>
        </w:rPr>
        <w:t>•</w:t>
      </w:r>
    </w:p>
    <w:p w:rsidR="00000000" w:rsidRDefault="00477EE8">
      <w:pPr>
        <w:divId w:val="1158693758"/>
        <w:rPr>
          <w:rFonts w:eastAsia="Times New Roman"/>
        </w:rPr>
      </w:pPr>
      <w:r>
        <w:rPr>
          <w:rFonts w:eastAsia="Times New Roman"/>
          <w:sz w:val="20"/>
          <w:szCs w:val="20"/>
        </w:rPr>
        <w:t>compliance with the laws and regulations of multiple jurisdictions, which may be conflicting or subject to increasing stringency o</w:t>
      </w:r>
      <w:r>
        <w:rPr>
          <w:rFonts w:eastAsia="Times New Roman"/>
          <w:sz w:val="20"/>
          <w:szCs w:val="20"/>
        </w:rPr>
        <w:t>r other changes, including privacy and data protection regulations, tax laws, employment laws, healthcare regulatory requirements, and other related approvals, including permitting and licensing requirements</w:t>
      </w:r>
      <w:r>
        <w:rPr>
          <w:rFonts w:eastAsia="Times New Roman"/>
          <w:sz w:val="20"/>
          <w:szCs w:val="20"/>
        </w:rPr>
        <w:t>;</w:t>
      </w:r>
    </w:p>
    <w:p w:rsidR="00000000" w:rsidRDefault="00477EE8">
      <w:pPr>
        <w:divId w:val="861480417"/>
        <w:rPr>
          <w:rFonts w:eastAsia="Times New Roman"/>
        </w:rPr>
      </w:pPr>
      <w:r>
        <w:rPr>
          <w:rFonts w:eastAsia="Times New Roman"/>
          <w:sz w:val="20"/>
          <w:szCs w:val="20"/>
        </w:rPr>
        <w:t>•</w:t>
      </w:r>
    </w:p>
    <w:p w:rsidR="00000000" w:rsidRDefault="00477EE8">
      <w:pPr>
        <w:divId w:val="1831021709"/>
        <w:rPr>
          <w:rFonts w:eastAsia="Times New Roman"/>
        </w:rPr>
      </w:pPr>
      <w:r>
        <w:rPr>
          <w:rFonts w:eastAsia="Times New Roman"/>
          <w:sz w:val="20"/>
          <w:szCs w:val="20"/>
        </w:rPr>
        <w:t>logistics associated with the shipment of blo</w:t>
      </w:r>
      <w:r>
        <w:rPr>
          <w:rFonts w:eastAsia="Times New Roman"/>
          <w:sz w:val="20"/>
          <w:szCs w:val="20"/>
        </w:rPr>
        <w:t>od or other tissue specimens, including infrastructure conditions, transportation delays, and the impact of U.S. and local laws and regulations, such as export and import restrictions, tariffs, or other charges and other trade barriers, all of which involv</w:t>
      </w:r>
      <w:r>
        <w:rPr>
          <w:rFonts w:eastAsia="Times New Roman"/>
          <w:sz w:val="20"/>
          <w:szCs w:val="20"/>
        </w:rPr>
        <w:t>e increased risk related to the trade policies of the current administration, which may threaten existing and proposed trade agreements and impose more restrictive U.S. export-import regulations that impact our business</w:t>
      </w:r>
      <w:r>
        <w:rPr>
          <w:rFonts w:eastAsia="Times New Roman"/>
          <w:sz w:val="20"/>
          <w:szCs w:val="20"/>
        </w:rPr>
        <w:t>;</w:t>
      </w:r>
    </w:p>
    <w:p w:rsidR="00000000" w:rsidRDefault="00477EE8">
      <w:pPr>
        <w:divId w:val="1367637813"/>
        <w:rPr>
          <w:rFonts w:eastAsia="Times New Roman"/>
        </w:rPr>
      </w:pPr>
      <w:r>
        <w:rPr>
          <w:rFonts w:eastAsia="Times New Roman"/>
          <w:sz w:val="20"/>
          <w:szCs w:val="20"/>
        </w:rPr>
        <w:t>•</w:t>
      </w:r>
    </w:p>
    <w:p w:rsidR="00000000" w:rsidRDefault="00477EE8">
      <w:pPr>
        <w:divId w:val="845170862"/>
        <w:rPr>
          <w:rFonts w:eastAsia="Times New Roman"/>
        </w:rPr>
      </w:pPr>
      <w:r>
        <w:rPr>
          <w:rFonts w:eastAsia="Times New Roman"/>
          <w:sz w:val="20"/>
          <w:szCs w:val="20"/>
        </w:rPr>
        <w:t>limits on our ability to penetrat</w:t>
      </w:r>
      <w:r>
        <w:rPr>
          <w:rFonts w:eastAsia="Times New Roman"/>
          <w:sz w:val="20"/>
          <w:szCs w:val="20"/>
        </w:rPr>
        <w:t>e international markets, including legal and regulatory requirements that would force us to conduct our tests locally by building additional laboratories or engaging in joint ventures or other relationships in order to offer our tests in certain countries,</w:t>
      </w:r>
      <w:r>
        <w:rPr>
          <w:rFonts w:eastAsia="Times New Roman"/>
          <w:sz w:val="20"/>
          <w:szCs w:val="20"/>
        </w:rPr>
        <w:t xml:space="preserve"> which relationships could involve significant time and resources to establish, deny us control over certain aspects of the foreign operations, or reduce the economic value to us of these operations</w:t>
      </w:r>
      <w:r>
        <w:rPr>
          <w:rFonts w:eastAsia="Times New Roman"/>
          <w:sz w:val="20"/>
          <w:szCs w:val="20"/>
        </w:rPr>
        <w:t>;</w:t>
      </w:r>
    </w:p>
    <w:p w:rsidR="00000000" w:rsidRDefault="00477EE8">
      <w:pPr>
        <w:divId w:val="1200625128"/>
        <w:rPr>
          <w:rFonts w:eastAsia="Times New Roman"/>
        </w:rPr>
      </w:pPr>
      <w:r>
        <w:rPr>
          <w:rFonts w:eastAsia="Times New Roman"/>
          <w:sz w:val="20"/>
          <w:szCs w:val="20"/>
        </w:rPr>
        <w:t>•</w:t>
      </w:r>
    </w:p>
    <w:p w:rsidR="00000000" w:rsidRDefault="00477EE8">
      <w:pPr>
        <w:divId w:val="1162625621"/>
        <w:rPr>
          <w:rFonts w:eastAsia="Times New Roman"/>
        </w:rPr>
      </w:pPr>
      <w:r>
        <w:rPr>
          <w:rFonts w:eastAsia="Times New Roman"/>
          <w:sz w:val="20"/>
          <w:szCs w:val="20"/>
        </w:rPr>
        <w:t>failure by us, any joint venturers, or other arrangeme</w:t>
      </w:r>
      <w:r>
        <w:rPr>
          <w:rFonts w:eastAsia="Times New Roman"/>
          <w:sz w:val="20"/>
          <w:szCs w:val="20"/>
        </w:rPr>
        <w:t>nts we have or may establish, or by any distributors or other commercial partners we have engaged or may engage to obtain any regulatory approvals required to market, sell, and use our tests in various countries</w:t>
      </w:r>
      <w:r>
        <w:rPr>
          <w:rFonts w:eastAsia="Times New Roman"/>
          <w:sz w:val="20"/>
          <w:szCs w:val="20"/>
        </w:rPr>
        <w:t>;</w:t>
      </w:r>
    </w:p>
    <w:p w:rsidR="00000000" w:rsidRDefault="00477EE8">
      <w:pPr>
        <w:divId w:val="1126050049"/>
        <w:rPr>
          <w:rFonts w:eastAsia="Times New Roman"/>
        </w:rPr>
      </w:pPr>
      <w:r>
        <w:rPr>
          <w:rFonts w:eastAsia="Times New Roman"/>
          <w:sz w:val="20"/>
          <w:szCs w:val="20"/>
        </w:rPr>
        <w:t>•</w:t>
      </w:r>
    </w:p>
    <w:p w:rsidR="00000000" w:rsidRDefault="00477EE8">
      <w:pPr>
        <w:divId w:val="31465099"/>
        <w:rPr>
          <w:rFonts w:eastAsia="Times New Roman"/>
        </w:rPr>
      </w:pPr>
      <w:r>
        <w:rPr>
          <w:rFonts w:eastAsia="Times New Roman"/>
          <w:sz w:val="20"/>
          <w:szCs w:val="20"/>
        </w:rPr>
        <w:t xml:space="preserve">challenges predicting the market for our </w:t>
      </w:r>
      <w:r>
        <w:rPr>
          <w:rFonts w:eastAsia="Times New Roman"/>
          <w:sz w:val="20"/>
          <w:szCs w:val="20"/>
        </w:rPr>
        <w:t>tests and services generally and tailoring our test menu to meet varying customer expectations in different countries and territories</w:t>
      </w:r>
      <w:r>
        <w:rPr>
          <w:rFonts w:eastAsia="Times New Roman"/>
          <w:sz w:val="20"/>
          <w:szCs w:val="20"/>
        </w:rPr>
        <w:t>;</w:t>
      </w:r>
    </w:p>
    <w:p w:rsidR="00000000" w:rsidRDefault="00477EE8">
      <w:pPr>
        <w:divId w:val="1948611941"/>
        <w:rPr>
          <w:rFonts w:eastAsia="Times New Roman"/>
        </w:rPr>
      </w:pPr>
      <w:r>
        <w:rPr>
          <w:rFonts w:eastAsia="Times New Roman"/>
          <w:sz w:val="20"/>
          <w:szCs w:val="20"/>
        </w:rPr>
        <w:t>•</w:t>
      </w:r>
    </w:p>
    <w:p w:rsidR="00000000" w:rsidRDefault="00477EE8">
      <w:pPr>
        <w:divId w:val="516818961"/>
        <w:rPr>
          <w:rFonts w:eastAsia="Times New Roman"/>
        </w:rPr>
      </w:pPr>
      <w:r>
        <w:rPr>
          <w:rFonts w:eastAsia="Times New Roman"/>
          <w:sz w:val="20"/>
          <w:szCs w:val="20"/>
        </w:rPr>
        <w:t>difficulties gaining market share in territories in which we do not have a strong physical presence or brand awareness</w:t>
      </w:r>
      <w:r>
        <w:rPr>
          <w:rFonts w:eastAsia="Times New Roman"/>
          <w:sz w:val="20"/>
          <w:szCs w:val="20"/>
        </w:rPr>
        <w:t>;</w:t>
      </w:r>
    </w:p>
    <w:p w:rsidR="00000000" w:rsidRDefault="00477EE8">
      <w:pPr>
        <w:divId w:val="1636370515"/>
        <w:rPr>
          <w:rFonts w:eastAsia="Times New Roman"/>
        </w:rPr>
      </w:pPr>
      <w:r>
        <w:rPr>
          <w:rFonts w:eastAsia="Times New Roman"/>
          <w:sz w:val="20"/>
          <w:szCs w:val="20"/>
        </w:rPr>
        <w:t>•</w:t>
      </w:r>
    </w:p>
    <w:p w:rsidR="00000000" w:rsidRDefault="00477EE8">
      <w:pPr>
        <w:divId w:val="1057894102"/>
        <w:rPr>
          <w:rFonts w:eastAsia="Times New Roman"/>
        </w:rPr>
      </w:pPr>
      <w:r>
        <w:rPr>
          <w:rFonts w:eastAsia="Times New Roman"/>
          <w:sz w:val="20"/>
          <w:szCs w:val="20"/>
        </w:rPr>
        <w:t>complexities and difficulties obtaining protection for and enforcing our intellectual property rights</w:t>
      </w:r>
      <w:r>
        <w:rPr>
          <w:rFonts w:eastAsia="Times New Roman"/>
          <w:sz w:val="20"/>
          <w:szCs w:val="20"/>
        </w:rPr>
        <w:t>;</w:t>
      </w:r>
    </w:p>
    <w:p w:rsidR="00000000" w:rsidRDefault="00477EE8">
      <w:pPr>
        <w:divId w:val="435949635"/>
        <w:rPr>
          <w:rFonts w:eastAsia="Times New Roman"/>
        </w:rPr>
      </w:pPr>
      <w:r>
        <w:rPr>
          <w:rFonts w:eastAsia="Times New Roman"/>
          <w:sz w:val="20"/>
          <w:szCs w:val="20"/>
        </w:rPr>
        <w:t>•</w:t>
      </w:r>
    </w:p>
    <w:p w:rsidR="00000000" w:rsidRDefault="00477EE8">
      <w:pPr>
        <w:divId w:val="1408959132"/>
        <w:rPr>
          <w:rFonts w:eastAsia="Times New Roman"/>
        </w:rPr>
      </w:pPr>
      <w:r>
        <w:rPr>
          <w:rFonts w:eastAsia="Times New Roman"/>
          <w:sz w:val="20"/>
          <w:szCs w:val="20"/>
        </w:rPr>
        <w:t>difficulties in staffing and managing foreign operations</w:t>
      </w:r>
      <w:r>
        <w:rPr>
          <w:rFonts w:eastAsia="Times New Roman"/>
          <w:sz w:val="20"/>
          <w:szCs w:val="20"/>
        </w:rPr>
        <w:t>;</w:t>
      </w:r>
    </w:p>
    <w:p w:rsidR="00000000" w:rsidRDefault="00477EE8">
      <w:pPr>
        <w:divId w:val="1644578897"/>
        <w:rPr>
          <w:rFonts w:eastAsia="Times New Roman"/>
        </w:rPr>
      </w:pPr>
      <w:r>
        <w:rPr>
          <w:rFonts w:eastAsia="Times New Roman"/>
          <w:sz w:val="20"/>
          <w:szCs w:val="20"/>
        </w:rPr>
        <w:t>•</w:t>
      </w:r>
    </w:p>
    <w:p w:rsidR="00000000" w:rsidRDefault="00477EE8">
      <w:pPr>
        <w:divId w:val="1802765395"/>
        <w:rPr>
          <w:rFonts w:eastAsia="Times New Roman"/>
        </w:rPr>
      </w:pPr>
      <w:r>
        <w:rPr>
          <w:rFonts w:eastAsia="Times New Roman"/>
          <w:sz w:val="20"/>
          <w:szCs w:val="20"/>
        </w:rPr>
        <w:t>complexities associated with managing multiple payor coverage and reimbursement regimes, go</w:t>
      </w:r>
      <w:r>
        <w:rPr>
          <w:rFonts w:eastAsia="Times New Roman"/>
          <w:sz w:val="20"/>
          <w:szCs w:val="20"/>
        </w:rPr>
        <w:t>vernment payors, or patient self-pay systems</w:t>
      </w:r>
      <w:r>
        <w:rPr>
          <w:rFonts w:eastAsia="Times New Roman"/>
          <w:sz w:val="20"/>
          <w:szCs w:val="20"/>
        </w:rPr>
        <w:t>;</w:t>
      </w:r>
    </w:p>
    <w:p w:rsidR="00000000" w:rsidRDefault="00477EE8">
      <w:pPr>
        <w:divId w:val="442042228"/>
        <w:rPr>
          <w:rFonts w:eastAsia="Times New Roman"/>
        </w:rPr>
      </w:pPr>
      <w:r>
        <w:rPr>
          <w:rFonts w:eastAsia="Times New Roman"/>
          <w:sz w:val="20"/>
          <w:szCs w:val="20"/>
        </w:rPr>
        <w:t>•</w:t>
      </w:r>
    </w:p>
    <w:p w:rsidR="00000000" w:rsidRDefault="00477EE8">
      <w:pPr>
        <w:divId w:val="1570845310"/>
        <w:rPr>
          <w:rFonts w:eastAsia="Times New Roman"/>
        </w:rPr>
      </w:pPr>
      <w:r>
        <w:rPr>
          <w:rFonts w:eastAsia="Times New Roman"/>
          <w:sz w:val="20"/>
          <w:szCs w:val="20"/>
        </w:rPr>
        <w:t>financial risks, such as longer payment cycles, difficulty collecting trade accounts receivable and the impact of local and regional financial conditions on demand and payment for our tests</w:t>
      </w:r>
      <w:r>
        <w:rPr>
          <w:rFonts w:eastAsia="Times New Roman"/>
          <w:sz w:val="20"/>
          <w:szCs w:val="20"/>
        </w:rPr>
        <w:t>;</w:t>
      </w:r>
    </w:p>
    <w:p w:rsidR="00000000" w:rsidRDefault="00477EE8">
      <w:pPr>
        <w:divId w:val="107354575"/>
        <w:rPr>
          <w:rFonts w:eastAsia="Times New Roman"/>
        </w:rPr>
      </w:pPr>
      <w:r>
        <w:rPr>
          <w:rFonts w:eastAsia="Times New Roman"/>
          <w:sz w:val="20"/>
          <w:szCs w:val="20"/>
        </w:rPr>
        <w:t>•</w:t>
      </w:r>
    </w:p>
    <w:p w:rsidR="00000000" w:rsidRDefault="00477EE8">
      <w:pPr>
        <w:divId w:val="1846701240"/>
        <w:rPr>
          <w:rFonts w:eastAsia="Times New Roman"/>
        </w:rPr>
      </w:pPr>
      <w:r>
        <w:rPr>
          <w:rFonts w:eastAsia="Times New Roman"/>
          <w:sz w:val="20"/>
          <w:szCs w:val="20"/>
        </w:rPr>
        <w:t>exposure to for</w:t>
      </w:r>
      <w:r>
        <w:rPr>
          <w:rFonts w:eastAsia="Times New Roman"/>
          <w:sz w:val="20"/>
          <w:szCs w:val="20"/>
        </w:rPr>
        <w:t>eign currency exchange rate fluctuations, conversions of currencies, and the risk of repatriation of certain foreign currencies</w:t>
      </w:r>
      <w:r>
        <w:rPr>
          <w:rFonts w:eastAsia="Times New Roman"/>
          <w:sz w:val="20"/>
          <w:szCs w:val="20"/>
        </w:rPr>
        <w:t>;</w:t>
      </w:r>
    </w:p>
    <w:p w:rsidR="00000000" w:rsidRDefault="00477EE8">
      <w:pPr>
        <w:divId w:val="993024052"/>
        <w:rPr>
          <w:rFonts w:eastAsia="Times New Roman"/>
        </w:rPr>
      </w:pPr>
      <w:r>
        <w:rPr>
          <w:rFonts w:eastAsia="Times New Roman"/>
          <w:sz w:val="20"/>
          <w:szCs w:val="20"/>
        </w:rPr>
        <w:t>•</w:t>
      </w:r>
    </w:p>
    <w:p w:rsidR="00000000" w:rsidRDefault="00477EE8">
      <w:pPr>
        <w:divId w:val="686640558"/>
        <w:rPr>
          <w:rFonts w:eastAsia="Times New Roman"/>
        </w:rPr>
      </w:pPr>
      <w:r>
        <w:rPr>
          <w:rFonts w:eastAsia="Times New Roman"/>
          <w:sz w:val="20"/>
          <w:szCs w:val="20"/>
        </w:rPr>
        <w:t>natural disasters, political and economic instability, including wars (e.g. the war in Ukraine), terrorism and political unre</w:t>
      </w:r>
      <w:r>
        <w:rPr>
          <w:rFonts w:eastAsia="Times New Roman"/>
          <w:sz w:val="20"/>
          <w:szCs w:val="20"/>
        </w:rPr>
        <w:t>st, outbreak of disease, boycotts, and other business restrictions; an</w:t>
      </w:r>
      <w:r>
        <w:rPr>
          <w:rFonts w:eastAsia="Times New Roman"/>
          <w:sz w:val="20"/>
          <w:szCs w:val="20"/>
        </w:rPr>
        <w:t>d</w:t>
      </w:r>
    </w:p>
    <w:p w:rsidR="00000000" w:rsidRDefault="00477EE8">
      <w:pPr>
        <w:divId w:val="486557400"/>
        <w:rPr>
          <w:rFonts w:eastAsia="Times New Roman"/>
        </w:rPr>
      </w:pPr>
      <w:r>
        <w:rPr>
          <w:rFonts w:eastAsia="Times New Roman"/>
          <w:sz w:val="20"/>
          <w:szCs w:val="20"/>
        </w:rPr>
        <w:t>•</w:t>
      </w:r>
    </w:p>
    <w:p w:rsidR="00000000" w:rsidRDefault="00477EE8">
      <w:pPr>
        <w:divId w:val="1507744572"/>
        <w:rPr>
          <w:rFonts w:eastAsia="Times New Roman"/>
        </w:rPr>
      </w:pPr>
      <w:r>
        <w:rPr>
          <w:rFonts w:eastAsia="Times New Roman"/>
          <w:sz w:val="20"/>
          <w:szCs w:val="20"/>
        </w:rPr>
        <w:t xml:space="preserve">regulatory and compliance risks related to applicable anti-bribery laws, including requirements to maintain accurate information and control over activities that may fall within the </w:t>
      </w:r>
      <w:r>
        <w:rPr>
          <w:rFonts w:eastAsia="Times New Roman"/>
          <w:sz w:val="20"/>
          <w:szCs w:val="20"/>
        </w:rPr>
        <w:t>purview of these laws</w:t>
      </w:r>
      <w:r>
        <w:rPr>
          <w:rFonts w:eastAsia="Times New Roman"/>
          <w:sz w:val="20"/>
          <w:szCs w:val="20"/>
        </w:rPr>
        <w:t>.</w:t>
      </w:r>
    </w:p>
    <w:p w:rsidR="00000000" w:rsidRDefault="00477EE8">
      <w:pPr>
        <w:pStyle w:val="a3"/>
        <w:spacing w:before="240" w:beforeAutospacing="0" w:after="0" w:afterAutospacing="0"/>
        <w:ind w:firstLine="555"/>
        <w:rPr>
          <w:sz w:val="20"/>
          <w:szCs w:val="20"/>
        </w:rPr>
      </w:pPr>
      <w:r>
        <w:rPr>
          <w:sz w:val="20"/>
          <w:szCs w:val="20"/>
        </w:rPr>
        <w:t>Any of these factors could significantly harm our existing relationships with international customers or derail our international expansion plans, which would cause our revenue and results of operations to suffer</w:t>
      </w:r>
      <w:r>
        <w:rPr>
          <w:sz w:val="20"/>
          <w:szCs w:val="20"/>
        </w:rPr>
        <w:t>.</w:t>
      </w:r>
    </w:p>
    <w:p w:rsidR="00000000" w:rsidRDefault="00477EE8">
      <w:pPr>
        <w:pStyle w:val="a3"/>
        <w:spacing w:before="240" w:beforeAutospacing="0" w:after="0" w:afterAutospacing="0"/>
        <w:ind w:firstLine="555"/>
        <w:rPr>
          <w:sz w:val="20"/>
          <w:szCs w:val="20"/>
        </w:rPr>
      </w:pPr>
      <w:r>
        <w:rPr>
          <w:sz w:val="20"/>
          <w:szCs w:val="20"/>
        </w:rPr>
        <w:t>In addition, we are</w:t>
      </w:r>
      <w:r>
        <w:rPr>
          <w:sz w:val="20"/>
          <w:szCs w:val="20"/>
        </w:rPr>
        <w:t xml:space="preserve"> exposed to a number of additional risks and challenges related to our joint venture in China. These risks include, among others, difficulties predicting the market for genetic testing in Asia; competitive factors in this market, including challenges secur</w:t>
      </w:r>
      <w:r>
        <w:rPr>
          <w:sz w:val="20"/>
          <w:szCs w:val="20"/>
        </w:rPr>
        <w:t>ing market share; local differences in customer demands and preferences and regulatory requirements; and many of the other risks of doing business internationally that are discussed above. Although we believe this joint venture could result in expanded lon</w:t>
      </w:r>
      <w:r>
        <w:rPr>
          <w:sz w:val="20"/>
          <w:szCs w:val="20"/>
        </w:rPr>
        <w:t xml:space="preserve">g-term opportunities to address the genetic testing market in Asia, this belief could turn out to be wrong, and we may never realize these or any other benefits we anticipate from our joint venture. Moreover, any joint venture we may seek to establish may </w:t>
      </w:r>
      <w:r>
        <w:rPr>
          <w:sz w:val="20"/>
          <w:szCs w:val="20"/>
        </w:rPr>
        <w:t>never produce sufficient revenue for us to recover our capital and other investments in the joint venture, and we could become subject to liabilities based on our involvement in the joint venture’s operations. The materialization of any of these risks coul</w:t>
      </w:r>
      <w:r>
        <w:rPr>
          <w:sz w:val="20"/>
          <w:szCs w:val="20"/>
        </w:rPr>
        <w:t>d materially harm our performance and prospects</w:t>
      </w:r>
      <w:r>
        <w:rPr>
          <w:sz w:val="20"/>
          <w:szCs w:val="20"/>
        </w:rPr>
        <w:t>.</w:t>
      </w:r>
    </w:p>
    <w:p w:rsidR="00000000" w:rsidRDefault="00477EE8">
      <w:pPr>
        <w:pStyle w:val="a3"/>
        <w:spacing w:before="360" w:beforeAutospacing="0" w:after="0" w:afterAutospacing="0"/>
        <w:rPr>
          <w:sz w:val="20"/>
          <w:szCs w:val="20"/>
        </w:rPr>
      </w:pPr>
      <w:r>
        <w:rPr>
          <w:b/>
          <w:bCs/>
          <w:sz w:val="20"/>
          <w:szCs w:val="20"/>
        </w:rPr>
        <w:t>If we are sued for product or professional liability, we could face substantial liabilities that exceed our resources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Our business depends on our ability to provide reliable and accurate test results, inclu</w:t>
      </w:r>
      <w:r>
        <w:rPr>
          <w:sz w:val="20"/>
          <w:szCs w:val="20"/>
        </w:rPr>
        <w:t>ding tests that incorporate rapidly evolving information about the role of genes and gene variants in disease and clinically relevant outcomes associated with these variants</w:t>
      </w:r>
      <w:r>
        <w:rPr>
          <w:sz w:val="20"/>
          <w:szCs w:val="20"/>
        </w:rPr>
        <w:t>.</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2</w:t>
      </w:r>
      <w:r>
        <w:rPr>
          <w:sz w:val="20"/>
          <w:szCs w:val="20"/>
        </w:rPr>
        <w:t>4</w:t>
      </w:r>
    </w:p>
    <w:p w:rsidR="00000000" w:rsidRDefault="00477EE8">
      <w:pPr>
        <w:rPr>
          <w:rFonts w:eastAsia="Times New Roman"/>
        </w:rPr>
      </w:pPr>
      <w:r>
        <w:rPr>
          <w:rFonts w:eastAsia="Times New Roman"/>
        </w:rPr>
        <w:pict>
          <v:rect id="_x0000_i1063" style="width:0;height:1.5pt" o:hralign="center" o:hrstd="t" o:hr="t" fillcolor="#a0a0a0" stroked="f"/>
        </w:pict>
      </w:r>
    </w:p>
    <w:p w:rsidR="00000000" w:rsidRDefault="00477EE8">
      <w:pPr>
        <w:pStyle w:val="a3"/>
        <w:spacing w:before="120" w:beforeAutospacing="0" w:after="0" w:afterAutospacing="0"/>
        <w:rPr>
          <w:sz w:val="20"/>
          <w:szCs w:val="20"/>
        </w:rPr>
      </w:pPr>
      <w:r>
        <w:rPr>
          <w:sz w:val="20"/>
          <w:szCs w:val="20"/>
        </w:rPr>
        <w:t>Hundreds of genes can be implicated in s</w:t>
      </w:r>
      <w:r>
        <w:rPr>
          <w:sz w:val="20"/>
          <w:szCs w:val="20"/>
        </w:rPr>
        <w:t>ome disorders. Overlapping networks of genes and symptoms can be implicated in multiple conditions. As a result, and particularly with respect to pathology tests, substantial judgment is required in order to interpret the results of each test we perform an</w:t>
      </w:r>
      <w:r>
        <w:rPr>
          <w:sz w:val="20"/>
          <w:szCs w:val="20"/>
        </w:rPr>
        <w:t>d produce a report summarizing these results. Errors, such as failures to detect genomic variants with high accuracy, or mistakes, such as failures to completely and correctly identify the significance of gene variants or to detect disease, could subject u</w:t>
      </w:r>
      <w:r>
        <w:rPr>
          <w:sz w:val="20"/>
          <w:szCs w:val="20"/>
        </w:rPr>
        <w:t>s to product liability or professional liability claims. Any such claim against us could result in substantial damages and be costly and time-consuming to defend. Although we maintain liability insurance, including for errors and omissions, our insurance m</w:t>
      </w:r>
      <w:r>
        <w:rPr>
          <w:sz w:val="20"/>
          <w:szCs w:val="20"/>
        </w:rPr>
        <w:t>ay not fully protect us from the financial impact of defending against these types of claims or any judgments, fines, or settlement costs arising out of any such claims. Additionally, any liability claim brought against us, with or without merit, could inc</w:t>
      </w:r>
      <w:r>
        <w:rPr>
          <w:sz w:val="20"/>
          <w:szCs w:val="20"/>
        </w:rPr>
        <w:t>rease our insurance rates or prevent us from securing adequate insurance coverage in the future. Moreover, any liability lawsuit could damage our reputation or force us to suspend sales of our tests. The occurrence of any of these events could have a mater</w:t>
      </w:r>
      <w:r>
        <w:rPr>
          <w:sz w:val="20"/>
          <w:szCs w:val="20"/>
        </w:rPr>
        <w:t>ial adverse effect on our business, reputation and results of operations</w:t>
      </w:r>
      <w:r>
        <w:rPr>
          <w:sz w:val="20"/>
          <w:szCs w:val="20"/>
        </w:rPr>
        <w:t>.</w:t>
      </w:r>
    </w:p>
    <w:p w:rsidR="00000000" w:rsidRDefault="00477EE8">
      <w:pPr>
        <w:pStyle w:val="a3"/>
        <w:spacing w:before="240" w:beforeAutospacing="0" w:after="0" w:afterAutospacing="0"/>
        <w:ind w:firstLine="555"/>
        <w:rPr>
          <w:sz w:val="20"/>
          <w:szCs w:val="20"/>
        </w:rPr>
      </w:pPr>
      <w:r>
        <w:rPr>
          <w:sz w:val="20"/>
          <w:szCs w:val="20"/>
        </w:rPr>
        <w:t xml:space="preserve">Fulgent Pharma’s business may involve the testing of new drugs on patients in clinical trials in the future and, if marketing approval is granted, the availability of these drugs to </w:t>
      </w:r>
      <w:r>
        <w:rPr>
          <w:sz w:val="20"/>
          <w:szCs w:val="20"/>
        </w:rPr>
        <w:t>be prescribed to patients. Our involvement in the clinical trials and development process creates a risk of liability for personal injury to or death of patients, particularly those with life-threatening illnesses, resulting from adverse reactions to the d</w:t>
      </w:r>
      <w:r>
        <w:rPr>
          <w:sz w:val="20"/>
          <w:szCs w:val="20"/>
        </w:rPr>
        <w:t xml:space="preserve">rugs administered during testing or after product launch, respectively. Although we maintain the types and amounts of insurance we view as customary and appropriate in the industries and countries in which we operate, if we are required to pay significant </w:t>
      </w:r>
      <w:r>
        <w:rPr>
          <w:sz w:val="20"/>
          <w:szCs w:val="20"/>
        </w:rPr>
        <w:t>damages or incur significant defense costs in connection with any personal injury claim that is outside the scope of indemnification agreements we have with our clients, if any indemnification agreement is not performed in accordance with its terms or if o</w:t>
      </w:r>
      <w:r>
        <w:rPr>
          <w:sz w:val="20"/>
          <w:szCs w:val="20"/>
        </w:rPr>
        <w:t>ur liability exceeds the amount of any applicable indemnification limits or available insurance coverage, our financial condition, results of operations and reputation could be materially and adversely affected</w:t>
      </w:r>
      <w:r>
        <w:rPr>
          <w:sz w:val="20"/>
          <w:szCs w:val="20"/>
        </w:rPr>
        <w:t>.</w:t>
      </w:r>
      <w:r>
        <w:rPr>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In addition, insurance coverage is increasi</w:t>
      </w:r>
      <w:r>
        <w:rPr>
          <w:sz w:val="20"/>
          <w:szCs w:val="20"/>
        </w:rPr>
        <w:t>ngly expensive and difficult to obtain. Inability to obtain or maintain sufficient insurance coverage at an acceptable cost or to otherwise protect against potential product or other legal or administrative liability claims could prevent or inhibit custome</w:t>
      </w:r>
      <w:r>
        <w:rPr>
          <w:sz w:val="20"/>
          <w:szCs w:val="20"/>
        </w:rPr>
        <w:t>r relationships, the clinical development, commercial production, and sale of any of our products and product candidates, which could adversely affect our business</w:t>
      </w:r>
      <w:r>
        <w:rPr>
          <w:sz w:val="20"/>
          <w:szCs w:val="20"/>
        </w:rPr>
        <w:t>.</w:t>
      </w:r>
      <w:r>
        <w:rPr>
          <w:sz w:val="20"/>
          <w:szCs w:val="20"/>
        </w:rPr>
        <w:t xml:space="preserve"> </w:t>
      </w:r>
    </w:p>
    <w:p w:rsidR="00000000" w:rsidRDefault="00477EE8">
      <w:pPr>
        <w:pStyle w:val="a3"/>
        <w:spacing w:before="360" w:beforeAutospacing="0" w:after="0" w:afterAutospacing="0"/>
        <w:rPr>
          <w:sz w:val="20"/>
          <w:szCs w:val="20"/>
        </w:rPr>
      </w:pPr>
      <w:r>
        <w:rPr>
          <w:b/>
          <w:bCs/>
          <w:sz w:val="20"/>
          <w:szCs w:val="20"/>
        </w:rPr>
        <w:t>Any inability to obtain additional capital when needed and on acceptable terms may limit our ability to execute our business plans, and our liquidity needs could be materially affected by market fluctuations and general economic conditions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We expect our c</w:t>
      </w:r>
      <w:r>
        <w:rPr>
          <w:sz w:val="20"/>
          <w:szCs w:val="20"/>
        </w:rPr>
        <w:t>apital expenditures and operating expenses to increase over the next several years as we seek to expand our infrastructure, other commercial operations, and research and development activities. As of December 31, 2022, we had cash, cash equivalents, and ma</w:t>
      </w:r>
      <w:r>
        <w:rPr>
          <w:sz w:val="20"/>
          <w:szCs w:val="20"/>
        </w:rPr>
        <w:t>rketable securities of approximately $852.9 million. We maintain our cash, cash equivalents, and marketable securities with high quality, accredited financial institutions. However, some of these accounts exceed federally insured limits, and, while we beli</w:t>
      </w:r>
      <w:r>
        <w:rPr>
          <w:sz w:val="20"/>
          <w:szCs w:val="20"/>
        </w:rPr>
        <w:t>eve the Company is not exposed to significant credit risk due to the financial strength of these depository institutions or investments, the failure or collapse of one or more of these depository institutions or default on these investments could materiall</w:t>
      </w:r>
      <w:r>
        <w:rPr>
          <w:sz w:val="20"/>
          <w:szCs w:val="20"/>
        </w:rPr>
        <w:t>y adversely affect our ability to recover these assets and/or materially harm our financial condition. We may seek to fund future cash needs through securities offerings, credit facilities, or other debt financings, asset sales, collaborations or licensing</w:t>
      </w:r>
      <w:r>
        <w:rPr>
          <w:sz w:val="20"/>
          <w:szCs w:val="20"/>
        </w:rPr>
        <w:t xml:space="preserve"> arrangements. Additional funding may not be available to us when needed, on acceptable terms or at all. For example, the COVID-19 pandemic initially caused extreme disruption and volatility in the global capital markets and some investment banks and econo</w:t>
      </w:r>
      <w:r>
        <w:rPr>
          <w:sz w:val="20"/>
          <w:szCs w:val="20"/>
        </w:rPr>
        <w:t>mists are predicting a recession in 2023. These circumstances and high volatility in capital markets generally may reduce our ability to access capital and/or adversely affect the stability of the depository institutions maintaining our assets</w:t>
      </w:r>
      <w:r>
        <w:rPr>
          <w:sz w:val="20"/>
          <w:szCs w:val="20"/>
        </w:rPr>
        <w:t>.</w:t>
      </w:r>
    </w:p>
    <w:p w:rsidR="00000000" w:rsidRDefault="00477EE8">
      <w:pPr>
        <w:pStyle w:val="a3"/>
        <w:spacing w:before="240" w:beforeAutospacing="0" w:after="0" w:afterAutospacing="0"/>
        <w:ind w:firstLine="555"/>
        <w:rPr>
          <w:sz w:val="20"/>
          <w:szCs w:val="20"/>
        </w:rPr>
      </w:pPr>
      <w:r>
        <w:rPr>
          <w:sz w:val="20"/>
          <w:szCs w:val="20"/>
        </w:rPr>
        <w:t>If we raise</w:t>
      </w:r>
      <w:r>
        <w:rPr>
          <w:sz w:val="20"/>
          <w:szCs w:val="20"/>
        </w:rPr>
        <w:t xml:space="preserve"> additional funds by issuing equity securities, our existing stockholders could experience substantial dilution. Additionally, any preferred stock we issue could provide for rights, preferences, or privileges senior to those of our common stock, and our is</w:t>
      </w:r>
      <w:r>
        <w:rPr>
          <w:sz w:val="20"/>
          <w:szCs w:val="20"/>
        </w:rPr>
        <w:t>suance of any additional equity securities, or the possibility of such an issuance, could cause the market price of our common stock to decline. The terms of any debt securities we issue or borrowings we incur, if available, could impose significant restri</w:t>
      </w:r>
      <w:r>
        <w:rPr>
          <w:sz w:val="20"/>
          <w:szCs w:val="20"/>
        </w:rPr>
        <w:t>ctions on our operations, such as limitations on our ability to incur additional debt or issue additional equity or other restrictions that could adversely affect our ability to conduct our business, and would result in increased fixed payment obligations.</w:t>
      </w:r>
      <w:r>
        <w:rPr>
          <w:sz w:val="20"/>
          <w:szCs w:val="20"/>
        </w:rPr>
        <w:t xml:space="preserve"> If we seek to sell assets or enter into collaborations or licensing arrangements to raise capital, we may be required to accept unfavorable terms or relinquish or license to a third party our rights to important or valuable technologies or tests we may ot</w:t>
      </w:r>
      <w:r>
        <w:rPr>
          <w:sz w:val="20"/>
          <w:szCs w:val="20"/>
        </w:rPr>
        <w:t>herwise seek to develop ourselves. Moreover, we may incur substantial costs in pursuing future capital, including investment banking, legal, and accounting fees, printing and distribution expenses and other similar costs. If we are unable to secure funding</w:t>
      </w:r>
      <w:r>
        <w:rPr>
          <w:sz w:val="20"/>
          <w:szCs w:val="20"/>
        </w:rPr>
        <w:t xml:space="preserve"> if and when needed and on reasonable terms, we may be forced to delay, reduce the scope of or eliminate one or more sales and marketing initiatives, research and development programs or other growth plans or strategies. In addition, we may be forced to wo</w:t>
      </w:r>
      <w:r>
        <w:rPr>
          <w:sz w:val="20"/>
          <w:szCs w:val="20"/>
        </w:rPr>
        <w:t>rk with a partner on one or more aspects of our tests or market development programs or initiatives, which could lower the economic value to us of these tests, programs or initiatives. Any such outcome could significantly harm our business, performance and</w:t>
      </w:r>
      <w:r>
        <w:rPr>
          <w:sz w:val="20"/>
          <w:szCs w:val="20"/>
        </w:rPr>
        <w:t xml:space="preserve"> prospects</w:t>
      </w:r>
      <w:r>
        <w:rPr>
          <w:sz w:val="20"/>
          <w:szCs w:val="20"/>
        </w:rPr>
        <w:t>.</w:t>
      </w:r>
      <w:r>
        <w:rPr>
          <w:b/>
          <w:bCs/>
          <w:i/>
          <w:iCs/>
          <w:sz w:val="20"/>
          <w:szCs w:val="20"/>
        </w:rPr>
        <w:t xml:space="preserve"> </w:t>
      </w:r>
    </w:p>
    <w:p w:rsidR="00000000" w:rsidRDefault="00477EE8">
      <w:pPr>
        <w:pStyle w:val="a3"/>
        <w:spacing w:before="360" w:beforeAutospacing="0" w:after="0" w:afterAutospacing="0"/>
        <w:rPr>
          <w:sz w:val="20"/>
          <w:szCs w:val="20"/>
        </w:rPr>
      </w:pPr>
      <w:r>
        <w:rPr>
          <w:b/>
          <w:bCs/>
          <w:sz w:val="20"/>
          <w:szCs w:val="20"/>
        </w:rPr>
        <w:t>Inflation may adversely affect us by materially increasing our costs</w:t>
      </w:r>
      <w:r>
        <w:rPr>
          <w:b/>
          <w:bCs/>
          <w:sz w:val="20"/>
          <w:szCs w:val="20"/>
        </w:rPr>
        <w:t>.</w:t>
      </w:r>
    </w:p>
    <w:p w:rsidR="00000000" w:rsidRDefault="00477EE8">
      <w:pPr>
        <w:pStyle w:val="a3"/>
        <w:spacing w:before="240" w:beforeAutospacing="0" w:after="0" w:afterAutospacing="0"/>
        <w:jc w:val="center"/>
        <w:rPr>
          <w:sz w:val="20"/>
          <w:szCs w:val="20"/>
        </w:rPr>
      </w:pPr>
      <w:r>
        <w:rPr>
          <w:sz w:val="20"/>
          <w:szCs w:val="20"/>
        </w:rPr>
        <w:t>2</w:t>
      </w:r>
      <w:r>
        <w:rPr>
          <w:sz w:val="20"/>
          <w:szCs w:val="20"/>
        </w:rPr>
        <w:t>5</w:t>
      </w:r>
    </w:p>
    <w:p w:rsidR="00000000" w:rsidRDefault="00477EE8">
      <w:pPr>
        <w:rPr>
          <w:rFonts w:eastAsia="Times New Roman"/>
        </w:rPr>
      </w:pPr>
      <w:r>
        <w:rPr>
          <w:rFonts w:eastAsia="Times New Roman"/>
        </w:rPr>
        <w:pict>
          <v:rect id="_x0000_i1064" style="width:0;height:1.5pt" o:hralign="center" o:hrstd="t" o:hr="t" fillcolor="#a0a0a0" stroked="f"/>
        </w:pict>
      </w:r>
    </w:p>
    <w:p w:rsidR="00000000" w:rsidRDefault="00477EE8">
      <w:pPr>
        <w:pStyle w:val="a3"/>
        <w:spacing w:before="120" w:beforeAutospacing="0" w:after="0" w:afterAutospacing="0"/>
        <w:ind w:firstLine="555"/>
        <w:rPr>
          <w:sz w:val="20"/>
          <w:szCs w:val="20"/>
        </w:rPr>
      </w:pPr>
      <w:r>
        <w:rPr>
          <w:sz w:val="20"/>
          <w:szCs w:val="20"/>
        </w:rPr>
        <w:t>Recently, inflation has increased throughout the U.S. economy. Inflation can adversely affect us by materially increasing the costs of</w:t>
      </w:r>
      <w:r>
        <w:rPr>
          <w:sz w:val="20"/>
          <w:szCs w:val="20"/>
        </w:rPr>
        <w:t xml:space="preserve"> clinical trials and research, the development of our tests and product candidates, administration and other costs of doing business. We may experience material increases in the prices of labor and other costs of doing business. In an inflationary environm</w:t>
      </w:r>
      <w:r>
        <w:rPr>
          <w:sz w:val="20"/>
          <w:szCs w:val="20"/>
        </w:rPr>
        <w:t>ent, cost increases may materially outpace our expectations, causing us to use our cash and other liquid assets faster than forecasted. If this happens, we may need to raise additional capital to fund our operations, which may not be available in sufficien</w:t>
      </w:r>
      <w:r>
        <w:rPr>
          <w:sz w:val="20"/>
          <w:szCs w:val="20"/>
        </w:rPr>
        <w:t>t amounts or on reasonable terms, if at all, sooner than expected</w:t>
      </w:r>
      <w:r>
        <w:rPr>
          <w:sz w:val="20"/>
          <w:szCs w:val="20"/>
        </w:rPr>
        <w:t>.</w:t>
      </w:r>
      <w:r>
        <w:rPr>
          <w:b/>
          <w:bCs/>
          <w:sz w:val="20"/>
          <w:szCs w:val="20"/>
        </w:rPr>
        <w:t xml:space="preserve"> </w:t>
      </w:r>
    </w:p>
    <w:p w:rsidR="00000000" w:rsidRDefault="00477EE8">
      <w:pPr>
        <w:pStyle w:val="a3"/>
        <w:spacing w:before="360" w:beforeAutospacing="0" w:after="0" w:afterAutospacing="0"/>
        <w:rPr>
          <w:sz w:val="20"/>
          <w:szCs w:val="20"/>
        </w:rPr>
      </w:pPr>
      <w:r>
        <w:rPr>
          <w:b/>
          <w:bCs/>
          <w:sz w:val="20"/>
          <w:szCs w:val="20"/>
        </w:rPr>
        <w:t>If we are unable to maintain effective internal control over financial reporting, investors could lose confidence in the accuracy and completeness of our reported financial information, an</w:t>
      </w:r>
      <w:r>
        <w:rPr>
          <w:b/>
          <w:bCs/>
          <w:sz w:val="20"/>
          <w:szCs w:val="20"/>
        </w:rPr>
        <w:t>d the market price of our common stock could decline</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We are required to maintain internal control over financial reporting and report any material weaknesses in these internal controls. Section 404 of the Sarbanes-Oxley Act requires that we evaluate and d</w:t>
      </w:r>
      <w:r>
        <w:rPr>
          <w:sz w:val="20"/>
          <w:szCs w:val="20"/>
        </w:rPr>
        <w:t>etermine the effectiveness of our internal control over financial reporting and annually provide a management report on these internal controls. Although we have implemented systems, processes and controls and performed this evaluation as of the end of 202</w:t>
      </w:r>
      <w:r>
        <w:rPr>
          <w:sz w:val="20"/>
          <w:szCs w:val="20"/>
        </w:rPr>
        <w:t>2, we will need to maintain and enhance these controls if and as we grow. Moreover, we may need to hire additional personnel and devote more resources to our financial reporting function in order to do so</w:t>
      </w:r>
      <w:r>
        <w:rPr>
          <w:sz w:val="20"/>
          <w:szCs w:val="20"/>
        </w:rPr>
        <w:t>.</w:t>
      </w:r>
    </w:p>
    <w:p w:rsidR="00000000" w:rsidRDefault="00477EE8">
      <w:pPr>
        <w:pStyle w:val="a3"/>
        <w:spacing w:before="240" w:beforeAutospacing="0" w:after="0" w:afterAutospacing="0"/>
        <w:ind w:firstLine="555"/>
        <w:rPr>
          <w:sz w:val="20"/>
          <w:szCs w:val="20"/>
        </w:rPr>
      </w:pPr>
      <w:r>
        <w:rPr>
          <w:sz w:val="20"/>
          <w:szCs w:val="20"/>
        </w:rPr>
        <w:t>If one or more material weaknesses is identified d</w:t>
      </w:r>
      <w:r>
        <w:rPr>
          <w:sz w:val="20"/>
          <w:szCs w:val="20"/>
        </w:rPr>
        <w:t>uring the process of evaluating our internal controls or if we do not detect errors on a timely basis, our financial statements may be materially misstated. In addition, in that event, our management would be unable to conclude that our internal control ov</w:t>
      </w:r>
      <w:r>
        <w:rPr>
          <w:sz w:val="20"/>
          <w:szCs w:val="20"/>
        </w:rPr>
        <w:t>er financial reporting is effective. In addition, now that we are no longer an emerging growth company, we are required to include an attestation report on internal control over financial reporting issued by our independent registered public accounting fir</w:t>
      </w:r>
      <w:r>
        <w:rPr>
          <w:sz w:val="20"/>
          <w:szCs w:val="20"/>
        </w:rPr>
        <w:t>m. Any failure to develop or maintain effective controls, or any difficulties encountered in their implementation or improvement, could materially harm our results of operations, cause us to fail to meet our reporting obligations, result in a restatement o</w:t>
      </w:r>
      <w:r>
        <w:rPr>
          <w:sz w:val="20"/>
          <w:szCs w:val="20"/>
        </w:rPr>
        <w:t>f our financial statements for prior periods, or adversely affect the results of management evaluations and independent registered public accounting firm audits of our internal control over financial reporting that we are required to include in our periodi</w:t>
      </w:r>
      <w:r>
        <w:rPr>
          <w:sz w:val="20"/>
          <w:szCs w:val="20"/>
        </w:rPr>
        <w:t>c reports that will be filed with the SEC. If we or our auditors were to conclude that our internal control over financial reporting was not effective because one or more material weaknesses had been identified or if internal control deficiencies result in</w:t>
      </w:r>
      <w:r>
        <w:rPr>
          <w:sz w:val="20"/>
          <w:szCs w:val="20"/>
        </w:rPr>
        <w:t xml:space="preserve"> the restatement of our financial results, investors could lose confidence in the accuracy and completeness of our financial disclosures and the price of our common stock could decline</w:t>
      </w:r>
      <w:r>
        <w:rPr>
          <w:sz w:val="20"/>
          <w:szCs w:val="20"/>
        </w:rPr>
        <w:t>.</w:t>
      </w:r>
    </w:p>
    <w:p w:rsidR="00000000" w:rsidRDefault="00477EE8">
      <w:pPr>
        <w:pStyle w:val="a3"/>
        <w:spacing w:before="360" w:beforeAutospacing="0" w:after="0" w:afterAutospacing="0"/>
        <w:rPr>
          <w:sz w:val="20"/>
          <w:szCs w:val="20"/>
        </w:rPr>
      </w:pPr>
      <w:r>
        <w:rPr>
          <w:b/>
          <w:bCs/>
          <w:sz w:val="20"/>
          <w:szCs w:val="20"/>
        </w:rPr>
        <w:t>Our disclosure controls and procedures may not prevent or detect all e</w:t>
      </w:r>
      <w:r>
        <w:rPr>
          <w:b/>
          <w:bCs/>
          <w:sz w:val="20"/>
          <w:szCs w:val="20"/>
        </w:rPr>
        <w:t>rrors or acts of fraud</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We are subject to the periodic reporting and other requirements of the Exchange Act. We have implemented disclosure controls and procedures designed to provide reasonable assurance that information we must disclose in reports we fil</w:t>
      </w:r>
      <w:r>
        <w:rPr>
          <w:sz w:val="20"/>
          <w:szCs w:val="20"/>
        </w:rPr>
        <w:t>e or submit under the Exchange Act is accumulated and communicated to management and recorded, processed, summarized and reported within the time periods specified in the rules and forms of the SEC. However, any disclosure controls and procedures, no matte</w:t>
      </w:r>
      <w:r>
        <w:rPr>
          <w:sz w:val="20"/>
          <w:szCs w:val="20"/>
        </w:rPr>
        <w:t xml:space="preserve">r how well-conceived and operated, can provide only reasonable, not absolute, assurance that the objectives of the control system are met. These inherent limitations include the realities that judgments in decision-making can be faulty and that breakdowns </w:t>
      </w:r>
      <w:r>
        <w:rPr>
          <w:sz w:val="20"/>
          <w:szCs w:val="20"/>
        </w:rPr>
        <w:t>can occur because of simple errors or mistakes. Additionally, controls can be circumvented by the individual acts of some persons, by collusion of two or more people or by an unauthorized override of the controls. As a result, because of these inherent lim</w:t>
      </w:r>
      <w:r>
        <w:rPr>
          <w:sz w:val="20"/>
          <w:szCs w:val="20"/>
        </w:rPr>
        <w:t>itations in our control system, misstatements or omissions due to error or fraud may occur and may not be detected, which could result in failures to file required reports in a timely manner and filing reports containing incorrect information. Any of these</w:t>
      </w:r>
      <w:r>
        <w:rPr>
          <w:sz w:val="20"/>
          <w:szCs w:val="20"/>
        </w:rPr>
        <w:t xml:space="preserve"> outcomes could result in SEC enforcement actions, monetary fines or other penalties, damage to our reputation and harm to our financial condition and stock price</w:t>
      </w:r>
      <w:r>
        <w:rPr>
          <w:sz w:val="20"/>
          <w:szCs w:val="20"/>
        </w:rPr>
        <w:t>.</w:t>
      </w:r>
    </w:p>
    <w:p w:rsidR="00000000" w:rsidRDefault="00477EE8">
      <w:pPr>
        <w:pStyle w:val="a3"/>
        <w:spacing w:before="360" w:beforeAutospacing="0" w:after="0" w:afterAutospacing="0"/>
        <w:rPr>
          <w:sz w:val="20"/>
          <w:szCs w:val="20"/>
        </w:rPr>
      </w:pPr>
      <w:r>
        <w:rPr>
          <w:b/>
          <w:bCs/>
          <w:sz w:val="20"/>
          <w:szCs w:val="20"/>
        </w:rPr>
        <w:t>Our investments in marketable securities are subject to certain risks which could affect our</w:t>
      </w:r>
      <w:r>
        <w:rPr>
          <w:b/>
          <w:bCs/>
          <w:sz w:val="20"/>
          <w:szCs w:val="20"/>
        </w:rPr>
        <w:t xml:space="preserve"> overall financial condition, results of operations, or cash flows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 xml:space="preserve">We invest a portion of our available cash and cash equivalents by purchasing marketable securities in a managed portfolio and direct investments in a variety of debt securities, including </w:t>
      </w:r>
      <w:r>
        <w:rPr>
          <w:sz w:val="20"/>
          <w:szCs w:val="20"/>
        </w:rPr>
        <w:t>corporate debt securities, municipal bonds, U.S. government and agency debt securities, and debt instruments issued by foreign governments. The primary objective of our investment activity is to maintain the safety of principal, preserve capital and provid</w:t>
      </w:r>
      <w:r>
        <w:rPr>
          <w:sz w:val="20"/>
          <w:szCs w:val="20"/>
        </w:rPr>
        <w:t>e for future liquidity requirements while maximizing yields without significantly increasing risk. Should any of our investments or marketable securities lose value or have their liquidity impaired, it could materially affect our overall financial conditio</w:t>
      </w:r>
      <w:r>
        <w:rPr>
          <w:sz w:val="20"/>
          <w:szCs w:val="20"/>
        </w:rPr>
        <w:t>n. Additionally, should we choose or are required to sell these securities in the future at a loss, our consolidated operating results or cash flows may be materially and adversely affected</w:t>
      </w:r>
      <w:r>
        <w:rPr>
          <w:sz w:val="20"/>
          <w:szCs w:val="20"/>
        </w:rPr>
        <w:t>.</w:t>
      </w:r>
    </w:p>
    <w:p w:rsidR="00000000" w:rsidRDefault="00477EE8">
      <w:pPr>
        <w:pStyle w:val="a3"/>
        <w:spacing w:before="360" w:beforeAutospacing="0" w:after="0" w:afterAutospacing="0"/>
        <w:rPr>
          <w:sz w:val="20"/>
          <w:szCs w:val="20"/>
        </w:rPr>
      </w:pPr>
      <w:r>
        <w:rPr>
          <w:b/>
          <w:bCs/>
          <w:sz w:val="20"/>
          <w:szCs w:val="20"/>
        </w:rPr>
        <w:t>We have been the subject of a shareholder class action, which was</w:t>
      </w:r>
      <w:r>
        <w:rPr>
          <w:b/>
          <w:bCs/>
          <w:sz w:val="20"/>
          <w:szCs w:val="20"/>
        </w:rPr>
        <w:t xml:space="preserve"> recently dismissed without prejudice; and may be subject to further shareholder litigation in the future; our costs of defending such litigation, arbitration and other proceedings and any adverse outcome of such litigation, arbitration, or other proceedin</w:t>
      </w:r>
      <w:r>
        <w:rPr>
          <w:b/>
          <w:bCs/>
          <w:sz w:val="20"/>
          <w:szCs w:val="20"/>
        </w:rPr>
        <w:t>g may have a material adverse effect on our business and the results of our operations</w:t>
      </w:r>
      <w:r>
        <w:rPr>
          <w:b/>
          <w:bCs/>
          <w:sz w:val="20"/>
          <w:szCs w:val="20"/>
        </w:rPr>
        <w:t>.</w:t>
      </w:r>
    </w:p>
    <w:p w:rsidR="00000000" w:rsidRDefault="00477EE8">
      <w:pPr>
        <w:pStyle w:val="a3"/>
        <w:spacing w:before="240" w:beforeAutospacing="0" w:after="0" w:afterAutospacing="0"/>
        <w:jc w:val="center"/>
        <w:rPr>
          <w:sz w:val="20"/>
          <w:szCs w:val="20"/>
        </w:rPr>
      </w:pPr>
      <w:r>
        <w:rPr>
          <w:sz w:val="20"/>
          <w:szCs w:val="20"/>
        </w:rPr>
        <w:t>2</w:t>
      </w:r>
      <w:r>
        <w:rPr>
          <w:sz w:val="20"/>
          <w:szCs w:val="20"/>
        </w:rPr>
        <w:t>6</w:t>
      </w:r>
    </w:p>
    <w:p w:rsidR="00000000" w:rsidRDefault="00477EE8">
      <w:pPr>
        <w:rPr>
          <w:rFonts w:eastAsia="Times New Roman"/>
        </w:rPr>
      </w:pPr>
      <w:r>
        <w:rPr>
          <w:rFonts w:eastAsia="Times New Roman"/>
        </w:rPr>
        <w:pict>
          <v:rect id="_x0000_i1065" style="width:0;height:1.5pt" o:hralign="center" o:hrstd="t" o:hr="t" fillcolor="#a0a0a0" stroked="f"/>
        </w:pict>
      </w:r>
    </w:p>
    <w:p w:rsidR="00000000" w:rsidRDefault="00477EE8">
      <w:pPr>
        <w:pStyle w:val="a3"/>
        <w:spacing w:before="120" w:beforeAutospacing="0" w:after="0" w:afterAutospacing="0"/>
        <w:ind w:firstLine="555"/>
        <w:rPr>
          <w:sz w:val="20"/>
          <w:szCs w:val="20"/>
        </w:rPr>
      </w:pPr>
      <w:r>
        <w:rPr>
          <w:sz w:val="20"/>
          <w:szCs w:val="20"/>
        </w:rPr>
        <w:t>We have been, and may from time to time in the future be, involved in and subject to material litigation and other legal proceed</w:t>
      </w:r>
      <w:r>
        <w:rPr>
          <w:sz w:val="20"/>
          <w:szCs w:val="20"/>
        </w:rPr>
        <w:t>ings. These proceedings may not always resolve in our favor and may materially and adversely affect our business. While the recent shareholder class action was dismissed, it was dismissed without prejudice, so there is no assurance that another complaint m</w:t>
      </w:r>
      <w:r>
        <w:rPr>
          <w:sz w:val="20"/>
          <w:szCs w:val="20"/>
        </w:rPr>
        <w:t>ay not be filed in the future. Regardless of outcome, litigation can have an adverse impact on us due to defense and settlement costs, diversion of management resources, negative publicity and reputational harm, among other factors</w:t>
      </w:r>
      <w:r>
        <w:rPr>
          <w:sz w:val="20"/>
          <w:szCs w:val="20"/>
        </w:rPr>
        <w:t>.</w:t>
      </w:r>
    </w:p>
    <w:p w:rsidR="00000000" w:rsidRDefault="00477EE8">
      <w:pPr>
        <w:pStyle w:val="a3"/>
        <w:spacing w:before="360" w:beforeAutospacing="0" w:after="0" w:afterAutospacing="0"/>
        <w:jc w:val="center"/>
        <w:rPr>
          <w:sz w:val="20"/>
          <w:szCs w:val="20"/>
        </w:rPr>
      </w:pPr>
      <w:r>
        <w:rPr>
          <w:b/>
          <w:bCs/>
          <w:sz w:val="20"/>
          <w:szCs w:val="20"/>
        </w:rPr>
        <w:t>Reimbursement Risk</w:t>
      </w:r>
      <w:r>
        <w:rPr>
          <w:b/>
          <w:bCs/>
          <w:sz w:val="20"/>
          <w:szCs w:val="20"/>
        </w:rPr>
        <w:t>s</w:t>
      </w:r>
    </w:p>
    <w:p w:rsidR="00000000" w:rsidRDefault="00477EE8">
      <w:pPr>
        <w:pStyle w:val="a3"/>
        <w:spacing w:before="120" w:beforeAutospacing="0" w:after="0" w:afterAutospacing="0"/>
        <w:rPr>
          <w:sz w:val="20"/>
          <w:szCs w:val="20"/>
        </w:rPr>
      </w:pPr>
      <w:r>
        <w:rPr>
          <w:b/>
          <w:bCs/>
          <w:sz w:val="20"/>
          <w:szCs w:val="20"/>
        </w:rPr>
        <w:t>Our</w:t>
      </w:r>
      <w:r>
        <w:rPr>
          <w:b/>
          <w:bCs/>
          <w:sz w:val="20"/>
          <w:szCs w:val="20"/>
        </w:rPr>
        <w:t xml:space="preserve"> ability to achieve or sustain profitability also depends on our collection of payment for the tests we deliver, which we may not be able to do successfully</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We have historically focused primarily on providing our tests to hospitals, medical institutions a</w:t>
      </w:r>
      <w:r>
        <w:rPr>
          <w:sz w:val="20"/>
          <w:szCs w:val="20"/>
        </w:rPr>
        <w:t>nd other laboratories, our traditional genetic testing customer base. Our customer base for our COVID-19 tests is principally comprised of governmental bodies, municipalities, and large corporations who pay us directly or through third-party payors. In Mar</w:t>
      </w:r>
      <w:r>
        <w:rPr>
          <w:sz w:val="20"/>
          <w:szCs w:val="20"/>
        </w:rPr>
        <w:t>ch 2020, the Coronavirus Aid, Relief, and Economic Security Act, or CARES Act, was enacted, providing for reimbursement to healthcare providers for COVID-19 tests provided to uninsured individuals through a program administered by HRSA. However, HRSA annou</w:t>
      </w:r>
      <w:r>
        <w:rPr>
          <w:sz w:val="20"/>
          <w:szCs w:val="20"/>
        </w:rPr>
        <w:t>nced that the program ceased accepting COVID-19 testing claims as of March 22, 2022, due to a lack of sufficient funds. While we believe we are entitled to all claims submitted to HRSA, we may be unable to fully collect payment for any unpaid claims submit</w:t>
      </w:r>
      <w:r>
        <w:rPr>
          <w:sz w:val="20"/>
          <w:szCs w:val="20"/>
        </w:rPr>
        <w:t>ted to HRSA prior to that time. Further, healthcare policy changes that influence the way healthcare is financed or other changes in the market that impact payment rates by institutional or non-institutional customers could also affect our collection rates</w:t>
      </w:r>
      <w:r>
        <w:rPr>
          <w:sz w:val="20"/>
          <w:szCs w:val="20"/>
        </w:rPr>
        <w:t xml:space="preserve">. If we are unable to convince hospitals, medical institutions and other laboratories of the value and benefit provided by our tests and testing services, these customers may slow, or stop altogether, their purchases of our tests. Moreover, our ability to </w:t>
      </w:r>
      <w:r>
        <w:rPr>
          <w:sz w:val="20"/>
          <w:szCs w:val="20"/>
        </w:rPr>
        <w:t xml:space="preserve">collect payment for our tests and testing services in a timely manner or at all from our healthcare provider customers may decline to the extent we expand our business into new healthcare provider customer groups, including individual physicians and other </w:t>
      </w:r>
      <w:r>
        <w:rPr>
          <w:sz w:val="20"/>
          <w:szCs w:val="20"/>
        </w:rPr>
        <w:t>practitioners, from which collection rates are often significantly lower than hospitals, medical institutions and other laboratories and which involve substantial additional risks that are discussed in these risk factors below. Our collection risks also in</w:t>
      </w:r>
      <w:r>
        <w:rPr>
          <w:sz w:val="20"/>
          <w:szCs w:val="20"/>
        </w:rPr>
        <w:t>clude the potential for default or bankruptcy by the party responsible for payment and other risks associated with payment collection generally. Any inability to maintain our past payment collection levels could cause our revenue and ability to achieve pro</w:t>
      </w:r>
      <w:r>
        <w:rPr>
          <w:sz w:val="20"/>
          <w:szCs w:val="20"/>
        </w:rPr>
        <w:t>fitability to decline and adversely affect our business, prospects and financial condition</w:t>
      </w:r>
      <w:r>
        <w:rPr>
          <w:sz w:val="20"/>
          <w:szCs w:val="20"/>
        </w:rPr>
        <w:t>.</w:t>
      </w:r>
    </w:p>
    <w:p w:rsidR="00000000" w:rsidRDefault="00477EE8">
      <w:pPr>
        <w:pStyle w:val="a3"/>
        <w:spacing w:before="240" w:beforeAutospacing="0" w:after="0" w:afterAutospacing="0"/>
        <w:ind w:firstLine="555"/>
        <w:rPr>
          <w:sz w:val="20"/>
          <w:szCs w:val="20"/>
        </w:rPr>
      </w:pPr>
      <w:r>
        <w:rPr>
          <w:sz w:val="20"/>
          <w:szCs w:val="20"/>
        </w:rPr>
        <w:t>If third-party payors do not provide coverage and adequate reimbursement for our tests and testing services, our potential for growth and our ability to collect revenue for these tests and testing services could be limited and our results of operations may</w:t>
      </w:r>
      <w:r>
        <w:rPr>
          <w:sz w:val="20"/>
          <w:szCs w:val="20"/>
        </w:rPr>
        <w:t xml:space="preserve"> be materially and adversely affected</w:t>
      </w:r>
      <w:r>
        <w:rPr>
          <w:sz w:val="20"/>
          <w:szCs w:val="20"/>
        </w:rPr>
        <w:t>.</w:t>
      </w:r>
    </w:p>
    <w:p w:rsidR="00000000" w:rsidRDefault="00477EE8">
      <w:pPr>
        <w:pStyle w:val="a3"/>
        <w:spacing w:before="240" w:beforeAutospacing="0" w:after="0" w:afterAutospacing="0"/>
        <w:ind w:firstLine="555"/>
        <w:rPr>
          <w:sz w:val="20"/>
          <w:szCs w:val="20"/>
        </w:rPr>
      </w:pPr>
      <w:r>
        <w:rPr>
          <w:sz w:val="20"/>
          <w:szCs w:val="20"/>
        </w:rPr>
        <w:t xml:space="preserve">Coverage and reimbursement by third-party payors, including managed care organizations, private health insurers and government healthcare programs, such as Medicare and Medicaid, for the types of tests we perform can </w:t>
      </w:r>
      <w:r>
        <w:rPr>
          <w:sz w:val="20"/>
          <w:szCs w:val="20"/>
        </w:rPr>
        <w:t>be limited and uncertain. Our customers may not order our tests or testing services unless third-party payors cover and provide adequate reimbursement for a substantial portion of the price of the tests. If we are not able to obtain coverage and an accepta</w:t>
      </w:r>
      <w:r>
        <w:rPr>
          <w:sz w:val="20"/>
          <w:szCs w:val="20"/>
        </w:rPr>
        <w:t>ble level of reimbursement for our tests from third-party payors, the patient for whom the test is ordered typically will owe a greater co-insurance, deductible or co-payment amount or may be expected to pay the entire cost of the test out-of-pocket, which</w:t>
      </w:r>
      <w:r>
        <w:rPr>
          <w:sz w:val="20"/>
          <w:szCs w:val="20"/>
        </w:rPr>
        <w:t xml:space="preserve"> could dissuade practitioners from ordering our tests and, if ordered, could result in a delay in or decreased likelihood of collecting payment, whether from patients or from third-party payors. We believe our ability to increase the amount of tests and te</w:t>
      </w:r>
      <w:r>
        <w:rPr>
          <w:sz w:val="20"/>
          <w:szCs w:val="20"/>
        </w:rPr>
        <w:t>sting services we sell to our healthcare provider customers and any corresponding revenue depends in part on our ability to achieve and maintain broad coverage and reimbursement for our tests from third-party payors</w:t>
      </w:r>
      <w:r>
        <w:rPr>
          <w:sz w:val="20"/>
          <w:szCs w:val="20"/>
        </w:rPr>
        <w:t>.</w:t>
      </w:r>
    </w:p>
    <w:p w:rsidR="00000000" w:rsidRDefault="00477EE8">
      <w:pPr>
        <w:pStyle w:val="a3"/>
        <w:spacing w:before="240" w:beforeAutospacing="0" w:after="0" w:afterAutospacing="0"/>
        <w:ind w:firstLine="555"/>
        <w:rPr>
          <w:sz w:val="20"/>
          <w:szCs w:val="20"/>
        </w:rPr>
      </w:pPr>
      <w:r>
        <w:rPr>
          <w:sz w:val="20"/>
          <w:szCs w:val="20"/>
        </w:rPr>
        <w:t>Coverage and reimbursement by a third-p</w:t>
      </w:r>
      <w:r>
        <w:rPr>
          <w:sz w:val="20"/>
          <w:szCs w:val="20"/>
        </w:rPr>
        <w:t>arty payor depends on a number of factors, including a payor’s determination that a test or testing service is appropriate, medically necessary and cost-effective. Each payor makes its own decision as to whether to establish a policy or enter into a contra</w:t>
      </w:r>
      <w:r>
        <w:rPr>
          <w:sz w:val="20"/>
          <w:szCs w:val="20"/>
        </w:rPr>
        <w:t xml:space="preserve">ct to cover our tests and the amount it will reimburse for each test, and any determination by a payor regarding coverage and amount of reimbursement for our tests would likely be made on an indication-by-indication basis. Even if a test has been approved </w:t>
      </w:r>
      <w:r>
        <w:rPr>
          <w:sz w:val="20"/>
          <w:szCs w:val="20"/>
        </w:rPr>
        <w:t>for reimbursement for any particular indication or in any particular jurisdiction, there is no guarantee this test will remain approved for reimbursement or that any similar or additional tests will be approved for reimbursement in the future. Moreover, th</w:t>
      </w:r>
      <w:r>
        <w:rPr>
          <w:sz w:val="20"/>
          <w:szCs w:val="20"/>
        </w:rPr>
        <w:t>ere can be no assurance that any new tests we launch will be reimbursed at all or at rates comparable to the rates of any previously reimbursed tests. In addition, the coding procedure used by all third-party payors with respect to establishing payment rat</w:t>
      </w:r>
      <w:r>
        <w:rPr>
          <w:sz w:val="20"/>
          <w:szCs w:val="20"/>
        </w:rPr>
        <w:t>es for various procedures, including our tests, is complex, does not currently adapt well to the tests we perform and may not enable coverage and adequate reimbursement rates for our tests. If physicians fail to provide appropriate diagnosis codes for test</w:t>
      </w:r>
      <w:r>
        <w:rPr>
          <w:sz w:val="20"/>
          <w:szCs w:val="20"/>
        </w:rPr>
        <w:t>s that they order, we may not be reimbursed for our tests. Additionally, if we are not able to obtain sufficient clinical information in support of our tests, third-party payors could designate our tests as experimental or investigational and decline to co</w:t>
      </w:r>
      <w:r>
        <w:rPr>
          <w:sz w:val="20"/>
          <w:szCs w:val="20"/>
        </w:rPr>
        <w:t>ver and reimburse our tests because of this designation. As a result of these factors, obtaining approvals from third-party payors to cover our tests and testing services and establishing adequate reimbursement levels is an unpredictable, challenging, time</w:t>
      </w:r>
      <w:r>
        <w:rPr>
          <w:sz w:val="20"/>
          <w:szCs w:val="20"/>
        </w:rPr>
        <w:t>-consuming and costly process, and we may never be successful</w:t>
      </w:r>
      <w:r>
        <w:rPr>
          <w:sz w:val="20"/>
          <w:szCs w:val="20"/>
        </w:rPr>
        <w:t>.</w:t>
      </w:r>
    </w:p>
    <w:p w:rsidR="00000000" w:rsidRDefault="00477EE8">
      <w:pPr>
        <w:pStyle w:val="a3"/>
        <w:spacing w:before="240" w:beforeAutospacing="0" w:after="0" w:afterAutospacing="0"/>
        <w:jc w:val="center"/>
        <w:rPr>
          <w:sz w:val="20"/>
          <w:szCs w:val="20"/>
        </w:rPr>
      </w:pPr>
      <w:r>
        <w:rPr>
          <w:sz w:val="20"/>
          <w:szCs w:val="20"/>
        </w:rPr>
        <w:t>2</w:t>
      </w:r>
      <w:r>
        <w:rPr>
          <w:sz w:val="20"/>
          <w:szCs w:val="20"/>
        </w:rPr>
        <w:t>7</w:t>
      </w:r>
    </w:p>
    <w:p w:rsidR="00000000" w:rsidRDefault="00477EE8">
      <w:pPr>
        <w:rPr>
          <w:rFonts w:eastAsia="Times New Roman"/>
        </w:rPr>
      </w:pPr>
      <w:r>
        <w:rPr>
          <w:rFonts w:eastAsia="Times New Roman"/>
        </w:rPr>
        <w:pict>
          <v:rect id="_x0000_i1066" style="width:0;height:1.5pt" o:hralign="center" o:hrstd="t" o:hr="t" fillcolor="#a0a0a0" stroked="f"/>
        </w:pict>
      </w:r>
    </w:p>
    <w:p w:rsidR="00000000" w:rsidRDefault="00477EE8">
      <w:pPr>
        <w:pStyle w:val="a3"/>
        <w:spacing w:before="240" w:beforeAutospacing="0" w:after="0" w:afterAutospacing="0"/>
        <w:ind w:firstLine="555"/>
        <w:rPr>
          <w:sz w:val="20"/>
          <w:szCs w:val="20"/>
        </w:rPr>
      </w:pPr>
      <w:r>
        <w:rPr>
          <w:sz w:val="20"/>
          <w:szCs w:val="20"/>
        </w:rPr>
        <w:t xml:space="preserve">To date, we have contracted directly with national health insurance companies to become an in-network provider and enrolled as a supplier in the Medicare </w:t>
      </w:r>
      <w:r>
        <w:rPr>
          <w:sz w:val="20"/>
          <w:szCs w:val="20"/>
        </w:rPr>
        <w:t xml:space="preserve">program and a provider in some state Medicaid programs, and we have also received payment for our tests from other third-party payors as an out-of-network provider. Although becoming an in-network provider or enrolling as a supplier or provider means that </w:t>
      </w:r>
      <w:r>
        <w:rPr>
          <w:sz w:val="20"/>
          <w:szCs w:val="20"/>
        </w:rPr>
        <w:t>we have agreed with these payors to provide certain of our tests at negotiated or set fee schedule rates, it does not obligate any physicians or other practitioners to order our tests or guarantee that we will receive reimbursement for our tests from these</w:t>
      </w:r>
      <w:r>
        <w:rPr>
          <w:sz w:val="20"/>
          <w:szCs w:val="20"/>
        </w:rPr>
        <w:t xml:space="preserve"> or any other payors at adequate levels. As a result, these payor relationships, any other similar relationships we may establish in the future, or any additional payments we may receive from other payors as an out-of-network provider, may not amount to ac</w:t>
      </w:r>
      <w:r>
        <w:rPr>
          <w:sz w:val="20"/>
          <w:szCs w:val="20"/>
        </w:rPr>
        <w:t>ceptable levels of reimbursement for our tests or meaningful or any increases in our customer base or the number of tests we sell. We expect to focus on increasing coverage and reimbursement for our current tests and any future tests we may develop, but we</w:t>
      </w:r>
      <w:r>
        <w:rPr>
          <w:sz w:val="20"/>
          <w:szCs w:val="20"/>
        </w:rPr>
        <w:t xml:space="preserve"> cannot predict whether, under what circumstances, or at what payment levels payors will cover and reimburse us for our tests. Further, even if we are successful, we believe it could take several years to achieve coverage and adequate contracted reimbursem</w:t>
      </w:r>
      <w:r>
        <w:rPr>
          <w:sz w:val="20"/>
          <w:szCs w:val="20"/>
        </w:rPr>
        <w:t>ent with third-party payors. If we fail to establish and maintain broad coverage and reimbursement for our tests, our ability to maintain or grow our test volume, customer base, collectability rates and revenue levels could be limited and our future prospe</w:t>
      </w:r>
      <w:r>
        <w:rPr>
          <w:sz w:val="20"/>
          <w:szCs w:val="20"/>
        </w:rPr>
        <w:t>cts and our business could suffer</w:t>
      </w:r>
      <w:r>
        <w:rPr>
          <w:sz w:val="20"/>
          <w:szCs w:val="20"/>
        </w:rPr>
        <w:t>.</w:t>
      </w:r>
    </w:p>
    <w:p w:rsidR="00000000" w:rsidRDefault="00477EE8">
      <w:pPr>
        <w:pStyle w:val="a3"/>
        <w:spacing w:before="360" w:beforeAutospacing="0" w:after="0" w:afterAutospacing="0"/>
        <w:rPr>
          <w:sz w:val="20"/>
          <w:szCs w:val="20"/>
        </w:rPr>
      </w:pPr>
      <w:r>
        <w:rPr>
          <w:b/>
          <w:bCs/>
          <w:sz w:val="20"/>
          <w:szCs w:val="20"/>
        </w:rPr>
        <w:t xml:space="preserve">Failure to comply with government laws and regulations related to submission of claims for our services could result in significant monetary damages and penalties and exclusion from the Medicare and Medicaid programs and </w:t>
      </w:r>
      <w:r>
        <w:rPr>
          <w:b/>
          <w:bCs/>
          <w:sz w:val="20"/>
          <w:szCs w:val="20"/>
        </w:rPr>
        <w:t>corresponding foreign reimbursement programs</w:t>
      </w:r>
      <w:r>
        <w:rPr>
          <w:b/>
          <w:bCs/>
          <w:sz w:val="20"/>
          <w:szCs w:val="20"/>
        </w:rPr>
        <w:t>.</w:t>
      </w:r>
      <w:r>
        <w:rPr>
          <w:b/>
          <w:bCs/>
          <w:sz w:val="20"/>
          <w:szCs w:val="20"/>
        </w:rPr>
        <w:t xml:space="preserve"> </w:t>
      </w:r>
    </w:p>
    <w:p w:rsidR="00000000" w:rsidRDefault="00477EE8">
      <w:pPr>
        <w:pStyle w:val="a3"/>
        <w:spacing w:before="120" w:beforeAutospacing="0" w:after="0" w:afterAutospacing="0"/>
        <w:ind w:firstLine="555"/>
        <w:rPr>
          <w:sz w:val="20"/>
          <w:szCs w:val="20"/>
        </w:rPr>
      </w:pPr>
      <w:r>
        <w:rPr>
          <w:sz w:val="20"/>
          <w:szCs w:val="20"/>
        </w:rPr>
        <w:t xml:space="preserve">We are subject to laws and regulations governing the submission of claims for payment for our services, such as those relating to: coverage of our tests and testing services under Medicare, Medicaid and other </w:t>
      </w:r>
      <w:r>
        <w:rPr>
          <w:sz w:val="20"/>
          <w:szCs w:val="20"/>
        </w:rPr>
        <w:t>state, federal and foreign health care programs; the amounts that we may bill for our services; and the party to which we must submit claims. Our failure to comply with applicable laws and regulations could result in our inability to receive payment for ou</w:t>
      </w:r>
      <w:r>
        <w:rPr>
          <w:sz w:val="20"/>
          <w:szCs w:val="20"/>
        </w:rPr>
        <w:t>r services or in attempts by state and federal health care programs, such as Medicare and Medicaid, to recover payments already made. Submission of claims in violation of these laws and regulations can result in recoupment of payments already received, sub</w:t>
      </w:r>
      <w:r>
        <w:rPr>
          <w:sz w:val="20"/>
          <w:szCs w:val="20"/>
        </w:rPr>
        <w:t>stantial civil monetary penalties, and exclusion from state and federal health care programs, and can subject us to liability under the federal False Claims Act and similar laws. The failure to report and return an overpayment to the Medicare or Medicaid p</w:t>
      </w:r>
      <w:r>
        <w:rPr>
          <w:sz w:val="20"/>
          <w:szCs w:val="20"/>
        </w:rPr>
        <w:t>rogram within 60 days of identifying its existence can give rise to liability under the False Claims Act. Further, a government agency could attempt to hold us liable for causing the improper submission of claims by another entity for services that we perf</w:t>
      </w:r>
      <w:r>
        <w:rPr>
          <w:sz w:val="20"/>
          <w:szCs w:val="20"/>
        </w:rPr>
        <w:t>ormed if we were found to have knowingly participated in the arrangement at issue</w:t>
      </w:r>
      <w:r>
        <w:rPr>
          <w:sz w:val="20"/>
          <w:szCs w:val="20"/>
        </w:rPr>
        <w:t>.</w:t>
      </w:r>
    </w:p>
    <w:p w:rsidR="00000000" w:rsidRDefault="00477EE8">
      <w:pPr>
        <w:pStyle w:val="a3"/>
        <w:spacing w:before="360" w:beforeAutospacing="0" w:after="0" w:afterAutospacing="0"/>
        <w:rPr>
          <w:sz w:val="20"/>
          <w:szCs w:val="20"/>
        </w:rPr>
      </w:pPr>
      <w:r>
        <w:rPr>
          <w:b/>
          <w:bCs/>
          <w:sz w:val="20"/>
          <w:szCs w:val="20"/>
        </w:rPr>
        <w:t>Billing and collections processing for our tests is complex and time-consuming, and any delay in transmitting and collecting claims could have an adverse effect on our reven</w:t>
      </w:r>
      <w:r>
        <w:rPr>
          <w:b/>
          <w:bCs/>
          <w:sz w:val="20"/>
          <w:szCs w:val="20"/>
        </w:rPr>
        <w:t>ue</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Billing for our tests is complex, time-consuming and expensive. Depending on the billing arrangement and applicable law, we may bill various different parties for our tests. This includes billing customers directly, as in the case of our hospital and o</w:t>
      </w:r>
      <w:r>
        <w:rPr>
          <w:sz w:val="20"/>
          <w:szCs w:val="20"/>
        </w:rPr>
        <w:t>ther medical institution customers, as well as billing through Medicare, Medicaid, insurance companies and patients, all of which may have different billing requirements. We may face increased risk in our collection efforts due to the complexities of these</w:t>
      </w:r>
      <w:r>
        <w:rPr>
          <w:sz w:val="20"/>
          <w:szCs w:val="20"/>
        </w:rPr>
        <w:t xml:space="preserve"> billing requirements, including long collection cycles and lower collection rates, which could adversely affect our business, results of operations and financial condition</w:t>
      </w:r>
      <w:r>
        <w:rPr>
          <w:sz w:val="20"/>
          <w:szCs w:val="20"/>
        </w:rPr>
        <w:t>.</w:t>
      </w:r>
    </w:p>
    <w:p w:rsidR="00000000" w:rsidRDefault="00477EE8">
      <w:pPr>
        <w:pStyle w:val="a3"/>
        <w:spacing w:before="0" w:beforeAutospacing="0" w:after="0" w:afterAutospacing="0"/>
        <w:rPr>
          <w:sz w:val="20"/>
          <w:szCs w:val="20"/>
        </w:rPr>
      </w:pPr>
      <w:r>
        <w:rPr>
          <w:sz w:val="20"/>
          <w:szCs w:val="20"/>
        </w:rPr>
        <w:t> </w:t>
      </w:r>
    </w:p>
    <w:p w:rsidR="00000000" w:rsidRDefault="00477EE8">
      <w:pPr>
        <w:pStyle w:val="a3"/>
        <w:spacing w:before="0" w:beforeAutospacing="0" w:after="0" w:afterAutospacing="0"/>
        <w:rPr>
          <w:sz w:val="20"/>
          <w:szCs w:val="20"/>
        </w:rPr>
      </w:pPr>
      <w:r>
        <w:rPr>
          <w:sz w:val="20"/>
          <w:szCs w:val="20"/>
        </w:rPr>
        <w:t>Several factors make this billing process complex, including</w:t>
      </w:r>
      <w:r>
        <w:rPr>
          <w:sz w:val="20"/>
          <w:szCs w:val="20"/>
        </w:rPr>
        <w:t>:</w:t>
      </w:r>
    </w:p>
    <w:p w:rsidR="00000000" w:rsidRDefault="00477EE8">
      <w:pPr>
        <w:divId w:val="1653681260"/>
        <w:rPr>
          <w:rFonts w:eastAsia="Times New Roman"/>
        </w:rPr>
      </w:pPr>
      <w:r>
        <w:rPr>
          <w:rFonts w:eastAsia="Times New Roman"/>
          <w:sz w:val="20"/>
          <w:szCs w:val="20"/>
        </w:rPr>
        <w:t>•</w:t>
      </w:r>
    </w:p>
    <w:p w:rsidR="00000000" w:rsidRDefault="00477EE8">
      <w:pPr>
        <w:divId w:val="2065835794"/>
        <w:rPr>
          <w:rFonts w:eastAsia="Times New Roman"/>
        </w:rPr>
      </w:pPr>
      <w:r>
        <w:rPr>
          <w:rFonts w:eastAsia="Times New Roman"/>
          <w:sz w:val="20"/>
          <w:szCs w:val="20"/>
        </w:rPr>
        <w:t>contractual rest</w:t>
      </w:r>
      <w:r>
        <w:rPr>
          <w:rFonts w:eastAsia="Times New Roman"/>
          <w:sz w:val="20"/>
          <w:szCs w:val="20"/>
        </w:rPr>
        <w:t>rictions in our customer contracts that may limit our ability to utilize certain third-party billing service providers</w:t>
      </w:r>
      <w:r>
        <w:rPr>
          <w:rFonts w:eastAsia="Times New Roman"/>
          <w:sz w:val="20"/>
          <w:szCs w:val="20"/>
        </w:rPr>
        <w:t>;</w:t>
      </w:r>
    </w:p>
    <w:p w:rsidR="00000000" w:rsidRDefault="00477EE8">
      <w:pPr>
        <w:divId w:val="1869831739"/>
        <w:rPr>
          <w:rFonts w:eastAsia="Times New Roman"/>
        </w:rPr>
      </w:pPr>
      <w:r>
        <w:rPr>
          <w:rFonts w:eastAsia="Times New Roman"/>
          <w:sz w:val="20"/>
          <w:szCs w:val="20"/>
        </w:rPr>
        <w:t>•</w:t>
      </w:r>
    </w:p>
    <w:p w:rsidR="00000000" w:rsidRDefault="00477EE8">
      <w:pPr>
        <w:divId w:val="1046445401"/>
        <w:rPr>
          <w:rFonts w:eastAsia="Times New Roman"/>
        </w:rPr>
      </w:pPr>
      <w:r>
        <w:rPr>
          <w:rFonts w:eastAsia="Times New Roman"/>
          <w:sz w:val="20"/>
          <w:szCs w:val="20"/>
        </w:rPr>
        <w:t>differences between the list price for our tests and the reimbursement rates of payors</w:t>
      </w:r>
      <w:r>
        <w:rPr>
          <w:rFonts w:eastAsia="Times New Roman"/>
          <w:sz w:val="20"/>
          <w:szCs w:val="20"/>
        </w:rPr>
        <w:t>;</w:t>
      </w:r>
    </w:p>
    <w:p w:rsidR="00000000" w:rsidRDefault="00477EE8">
      <w:pPr>
        <w:divId w:val="930746833"/>
        <w:rPr>
          <w:rFonts w:eastAsia="Times New Roman"/>
        </w:rPr>
      </w:pPr>
      <w:r>
        <w:rPr>
          <w:rFonts w:eastAsia="Times New Roman"/>
          <w:sz w:val="20"/>
          <w:szCs w:val="20"/>
        </w:rPr>
        <w:t>•</w:t>
      </w:r>
    </w:p>
    <w:p w:rsidR="00000000" w:rsidRDefault="00477EE8">
      <w:pPr>
        <w:divId w:val="547689084"/>
        <w:rPr>
          <w:rFonts w:eastAsia="Times New Roman"/>
        </w:rPr>
      </w:pPr>
      <w:r>
        <w:rPr>
          <w:rFonts w:eastAsia="Times New Roman"/>
          <w:sz w:val="20"/>
          <w:szCs w:val="20"/>
        </w:rPr>
        <w:t>compliance with complex federal and state regulations related to billing government healthcare programs, including Medicare and Medicaid</w:t>
      </w:r>
      <w:r>
        <w:rPr>
          <w:rFonts w:eastAsia="Times New Roman"/>
          <w:sz w:val="20"/>
          <w:szCs w:val="20"/>
        </w:rPr>
        <w:t>;</w:t>
      </w:r>
    </w:p>
    <w:p w:rsidR="00000000" w:rsidRDefault="00477EE8">
      <w:pPr>
        <w:divId w:val="1484128546"/>
        <w:rPr>
          <w:rFonts w:eastAsia="Times New Roman"/>
        </w:rPr>
      </w:pPr>
      <w:r>
        <w:rPr>
          <w:rFonts w:eastAsia="Times New Roman"/>
          <w:sz w:val="20"/>
          <w:szCs w:val="20"/>
        </w:rPr>
        <w:t>•</w:t>
      </w:r>
    </w:p>
    <w:p w:rsidR="00000000" w:rsidRDefault="00477EE8">
      <w:pPr>
        <w:divId w:val="76176783"/>
        <w:rPr>
          <w:rFonts w:eastAsia="Times New Roman"/>
        </w:rPr>
      </w:pPr>
      <w:r>
        <w:rPr>
          <w:rFonts w:eastAsia="Times New Roman"/>
          <w:sz w:val="20"/>
          <w:szCs w:val="20"/>
        </w:rPr>
        <w:t>disputes among payors as t</w:t>
      </w:r>
      <w:r>
        <w:rPr>
          <w:rFonts w:eastAsia="Times New Roman"/>
          <w:sz w:val="20"/>
          <w:szCs w:val="20"/>
        </w:rPr>
        <w:t>o which party is responsible for payment</w:t>
      </w:r>
      <w:r>
        <w:rPr>
          <w:rFonts w:eastAsia="Times New Roman"/>
          <w:sz w:val="20"/>
          <w:szCs w:val="20"/>
        </w:rPr>
        <w:t>;</w:t>
      </w:r>
    </w:p>
    <w:p w:rsidR="00000000" w:rsidRDefault="00477EE8">
      <w:pPr>
        <w:divId w:val="2076973718"/>
        <w:rPr>
          <w:rFonts w:eastAsia="Times New Roman"/>
        </w:rPr>
      </w:pPr>
      <w:r>
        <w:rPr>
          <w:rFonts w:eastAsia="Times New Roman"/>
          <w:sz w:val="20"/>
          <w:szCs w:val="20"/>
        </w:rPr>
        <w:t>•</w:t>
      </w:r>
    </w:p>
    <w:p w:rsidR="00000000" w:rsidRDefault="00477EE8">
      <w:pPr>
        <w:divId w:val="2083142116"/>
        <w:rPr>
          <w:rFonts w:eastAsia="Times New Roman"/>
        </w:rPr>
      </w:pPr>
      <w:r>
        <w:rPr>
          <w:rFonts w:eastAsia="Times New Roman"/>
          <w:sz w:val="20"/>
          <w:szCs w:val="20"/>
        </w:rPr>
        <w:t>differences in coverage among payors and the effect of patient co-payments or co-insurance</w:t>
      </w:r>
      <w:r>
        <w:rPr>
          <w:rFonts w:eastAsia="Times New Roman"/>
          <w:sz w:val="20"/>
          <w:szCs w:val="20"/>
        </w:rPr>
        <w:t>;</w:t>
      </w:r>
    </w:p>
    <w:p w:rsidR="00000000" w:rsidRDefault="00477EE8">
      <w:pPr>
        <w:divId w:val="1554580609"/>
        <w:rPr>
          <w:rFonts w:eastAsia="Times New Roman"/>
        </w:rPr>
      </w:pPr>
      <w:r>
        <w:rPr>
          <w:rFonts w:eastAsia="Times New Roman"/>
          <w:sz w:val="20"/>
          <w:szCs w:val="20"/>
        </w:rPr>
        <w:t>•</w:t>
      </w:r>
    </w:p>
    <w:p w:rsidR="00000000" w:rsidRDefault="00477EE8">
      <w:pPr>
        <w:divId w:val="91366899"/>
        <w:rPr>
          <w:rFonts w:eastAsia="Times New Roman"/>
        </w:rPr>
      </w:pPr>
      <w:r>
        <w:rPr>
          <w:rFonts w:eastAsia="Times New Roman"/>
          <w:sz w:val="20"/>
          <w:szCs w:val="20"/>
        </w:rPr>
        <w:t>differences in information and billing requirements among payors</w:t>
      </w:r>
      <w:r>
        <w:rPr>
          <w:rFonts w:eastAsia="Times New Roman"/>
          <w:sz w:val="20"/>
          <w:szCs w:val="20"/>
        </w:rPr>
        <w:t>;</w:t>
      </w:r>
    </w:p>
    <w:p w:rsidR="00000000" w:rsidRDefault="00477EE8">
      <w:pPr>
        <w:divId w:val="1513182801"/>
        <w:rPr>
          <w:rFonts w:eastAsia="Times New Roman"/>
        </w:rPr>
      </w:pPr>
      <w:r>
        <w:rPr>
          <w:rFonts w:eastAsia="Times New Roman"/>
          <w:sz w:val="20"/>
          <w:szCs w:val="20"/>
        </w:rPr>
        <w:t>•</w:t>
      </w:r>
    </w:p>
    <w:p w:rsidR="00000000" w:rsidRDefault="00477EE8">
      <w:pPr>
        <w:divId w:val="1345329469"/>
        <w:rPr>
          <w:rFonts w:eastAsia="Times New Roman"/>
        </w:rPr>
      </w:pPr>
      <w:r>
        <w:rPr>
          <w:rFonts w:eastAsia="Times New Roman"/>
          <w:sz w:val="20"/>
          <w:szCs w:val="20"/>
        </w:rPr>
        <w:t>incorrect or missing billing information; an</w:t>
      </w:r>
      <w:r>
        <w:rPr>
          <w:rFonts w:eastAsia="Times New Roman"/>
          <w:sz w:val="20"/>
          <w:szCs w:val="20"/>
        </w:rPr>
        <w:t>d</w:t>
      </w:r>
    </w:p>
    <w:p w:rsidR="00000000" w:rsidRDefault="00477EE8">
      <w:pPr>
        <w:divId w:val="110515894"/>
        <w:rPr>
          <w:rFonts w:eastAsia="Times New Roman"/>
        </w:rPr>
      </w:pPr>
      <w:r>
        <w:rPr>
          <w:rFonts w:eastAsia="Times New Roman"/>
          <w:sz w:val="20"/>
          <w:szCs w:val="20"/>
        </w:rPr>
        <w:t>•</w:t>
      </w:r>
    </w:p>
    <w:p w:rsidR="00000000" w:rsidRDefault="00477EE8">
      <w:pPr>
        <w:divId w:val="351805552"/>
        <w:rPr>
          <w:rFonts w:eastAsia="Times New Roman"/>
        </w:rPr>
      </w:pPr>
      <w:r>
        <w:rPr>
          <w:rFonts w:eastAsia="Times New Roman"/>
          <w:sz w:val="20"/>
          <w:szCs w:val="20"/>
        </w:rPr>
        <w:t>the resources required to manage the billing and claims appeals process</w:t>
      </w:r>
      <w:r>
        <w:rPr>
          <w:rFonts w:eastAsia="Times New Roman"/>
          <w:sz w:val="20"/>
          <w:szCs w:val="20"/>
        </w:rPr>
        <w:t>.</w:t>
      </w:r>
    </w:p>
    <w:p w:rsidR="00000000" w:rsidRDefault="00477EE8">
      <w:pPr>
        <w:pStyle w:val="a3"/>
        <w:spacing w:before="240" w:beforeAutospacing="0" w:after="0" w:afterAutospacing="0"/>
        <w:ind w:firstLine="555"/>
        <w:rPr>
          <w:sz w:val="20"/>
          <w:szCs w:val="20"/>
        </w:rPr>
      </w:pPr>
      <w:r>
        <w:rPr>
          <w:sz w:val="20"/>
          <w:szCs w:val="20"/>
        </w:rPr>
        <w:t>We have developed internal systems and procedures to handle these b</w:t>
      </w:r>
      <w:r>
        <w:rPr>
          <w:sz w:val="20"/>
          <w:szCs w:val="20"/>
        </w:rPr>
        <w:t xml:space="preserve">illing and collections functions, but we will need to make significant efforts and expend substantial resources to further develop our systems and procedures to handle these aspects of our business, which could become increasingly important as we focus on </w:t>
      </w:r>
      <w:r>
        <w:rPr>
          <w:sz w:val="20"/>
          <w:szCs w:val="20"/>
        </w:rPr>
        <w:t>increasing test volumes from non-hospital and medical institution customer groups and establishing coverage and reimbursement policies with third-party payors. As a result, these billin</w:t>
      </w:r>
      <w:r>
        <w:rPr>
          <w:sz w:val="20"/>
          <w:szCs w:val="20"/>
        </w:rPr>
        <w:t>g</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2</w:t>
      </w:r>
      <w:r>
        <w:rPr>
          <w:sz w:val="20"/>
          <w:szCs w:val="20"/>
        </w:rPr>
        <w:t>8</w:t>
      </w:r>
    </w:p>
    <w:p w:rsidR="00000000" w:rsidRDefault="00477EE8">
      <w:pPr>
        <w:rPr>
          <w:rFonts w:eastAsia="Times New Roman"/>
        </w:rPr>
      </w:pPr>
      <w:r>
        <w:rPr>
          <w:rFonts w:eastAsia="Times New Roman"/>
        </w:rPr>
        <w:pict>
          <v:rect id="_x0000_i1067" style="width:0;height:1.5pt" o:hralign="center" o:hrstd="t" o:hr="t" fillcolor="#a0a0a0" stroked="f"/>
        </w:pict>
      </w:r>
    </w:p>
    <w:p w:rsidR="00000000" w:rsidRDefault="00477EE8">
      <w:pPr>
        <w:pStyle w:val="a3"/>
        <w:spacing w:before="240" w:beforeAutospacing="0" w:after="0" w:afterAutospacing="0"/>
        <w:rPr>
          <w:sz w:val="20"/>
          <w:szCs w:val="20"/>
        </w:rPr>
      </w:pPr>
      <w:r>
        <w:rPr>
          <w:sz w:val="20"/>
          <w:szCs w:val="20"/>
        </w:rPr>
        <w:t>complexities, along with the</w:t>
      </w:r>
      <w:r>
        <w:rPr>
          <w:sz w:val="20"/>
          <w:szCs w:val="20"/>
        </w:rPr>
        <w:t xml:space="preserve"> related uncertainty in obtaining payment for our tests, could negatively affect our revenue and cash flow, our ability to achieve or sustain profitability and the consistency and comparability of our results of operations. In addition, if claims for our t</w:t>
      </w:r>
      <w:r>
        <w:rPr>
          <w:sz w:val="20"/>
          <w:szCs w:val="20"/>
        </w:rPr>
        <w:t>ests are not submitted to payors on a timely basis, or if we are required to switch to a different provider to handle our processing and collections functions, our revenue and our business could be adversely affected</w:t>
      </w:r>
      <w:r>
        <w:rPr>
          <w:sz w:val="20"/>
          <w:szCs w:val="20"/>
        </w:rPr>
        <w:t>.</w:t>
      </w:r>
    </w:p>
    <w:p w:rsidR="00000000" w:rsidRDefault="00477EE8">
      <w:pPr>
        <w:pStyle w:val="a3"/>
        <w:spacing w:before="360" w:beforeAutospacing="0" w:after="0" w:afterAutospacing="0"/>
        <w:jc w:val="center"/>
        <w:rPr>
          <w:sz w:val="20"/>
          <w:szCs w:val="20"/>
        </w:rPr>
      </w:pPr>
      <w:r>
        <w:rPr>
          <w:b/>
          <w:bCs/>
          <w:sz w:val="20"/>
          <w:szCs w:val="20"/>
        </w:rPr>
        <w:t>Regulatory Risk</w:t>
      </w:r>
      <w:r>
        <w:rPr>
          <w:b/>
          <w:bCs/>
          <w:sz w:val="20"/>
          <w:szCs w:val="20"/>
        </w:rPr>
        <w:t>s</w:t>
      </w:r>
    </w:p>
    <w:p w:rsidR="00000000" w:rsidRDefault="00477EE8">
      <w:pPr>
        <w:pStyle w:val="a3"/>
        <w:spacing w:before="120" w:beforeAutospacing="0" w:after="0" w:afterAutospacing="0"/>
        <w:rPr>
          <w:sz w:val="20"/>
          <w:szCs w:val="20"/>
        </w:rPr>
      </w:pPr>
      <w:r>
        <w:rPr>
          <w:b/>
          <w:bCs/>
          <w:sz w:val="20"/>
          <w:szCs w:val="20"/>
        </w:rPr>
        <w:t xml:space="preserve">Any changes in laws, </w:t>
      </w:r>
      <w:r>
        <w:rPr>
          <w:b/>
          <w:bCs/>
          <w:sz w:val="20"/>
          <w:szCs w:val="20"/>
        </w:rPr>
        <w:t>regulations, or the enforcement discretion of the FDA with respect to the marketing of diagnostic products, or violations of laws or regulations by us, could materially and adversely affect our business, prospects, results of operations or financial condit</w:t>
      </w:r>
      <w:r>
        <w:rPr>
          <w:b/>
          <w:bCs/>
          <w:sz w:val="20"/>
          <w:szCs w:val="20"/>
        </w:rPr>
        <w:t>ion</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The laws and regulations governing the marketing of diagnostic products are evolving, extremely complex and in many instances, have no significant regulatory or judicial interpretations of these laws and regulations. Pursuant to its authority under th</w:t>
      </w:r>
      <w:r>
        <w:rPr>
          <w:sz w:val="20"/>
          <w:szCs w:val="20"/>
        </w:rPr>
        <w:t>e federal FDC Act, the FDA has jurisdiction over medical devices, including IVDs, and, therefore, potentially our clinical laboratory tests. Among other things, pursuant to the FDC Act and its implementing regulations, the FDA regulates the research, testi</w:t>
      </w:r>
      <w:r>
        <w:rPr>
          <w:sz w:val="20"/>
          <w:szCs w:val="20"/>
        </w:rPr>
        <w:t xml:space="preserve">ng, manufacturing, safety, labeling, storage, recordkeeping, premarket clearance or approval, marketing and promotion, and sales and distribution of medical devices in the United States to ensure that medical products distributed domestically are safe and </w:t>
      </w:r>
      <w:r>
        <w:rPr>
          <w:sz w:val="20"/>
          <w:szCs w:val="20"/>
        </w:rPr>
        <w:t>effective for their intended uses. In addition, the FDA regulates the import and export of medical devices</w:t>
      </w:r>
      <w:r>
        <w:rPr>
          <w:sz w:val="20"/>
          <w:szCs w:val="20"/>
        </w:rPr>
        <w:t>.</w:t>
      </w:r>
    </w:p>
    <w:p w:rsidR="00000000" w:rsidRDefault="00477EE8">
      <w:pPr>
        <w:pStyle w:val="a3"/>
        <w:spacing w:before="240" w:beforeAutospacing="0" w:after="0" w:afterAutospacing="0"/>
        <w:ind w:firstLine="555"/>
        <w:rPr>
          <w:sz w:val="20"/>
          <w:szCs w:val="20"/>
        </w:rPr>
      </w:pPr>
      <w:r>
        <w:rPr>
          <w:sz w:val="20"/>
          <w:szCs w:val="20"/>
        </w:rPr>
        <w:t xml:space="preserve">Although the FDA has statutory authority to assure that medical devices and IVDs, including potentially our tests, are safe and effective for their </w:t>
      </w:r>
      <w:r>
        <w:rPr>
          <w:sz w:val="20"/>
          <w:szCs w:val="20"/>
        </w:rPr>
        <w:t>intended uses, the FDA has historically exercised its enforcement discretion and not enforced applicable provisions of the FDC Act and regulations with respect to laboratory developed tests, or LDTs, which are a particular type of medical device. We believ</w:t>
      </w:r>
      <w:r>
        <w:rPr>
          <w:sz w:val="20"/>
          <w:szCs w:val="20"/>
        </w:rPr>
        <w:t>e our tests are LDTs. As a result, we believe our tests are not currently subject to the FDA’s enforcement of its medical device regulations and the applicable FDC Act provisions</w:t>
      </w:r>
      <w:r>
        <w:rPr>
          <w:sz w:val="20"/>
          <w:szCs w:val="20"/>
        </w:rPr>
        <w:t>.</w:t>
      </w:r>
    </w:p>
    <w:p w:rsidR="00000000" w:rsidRDefault="00477EE8">
      <w:pPr>
        <w:pStyle w:val="a3"/>
        <w:spacing w:before="240" w:beforeAutospacing="0" w:after="0" w:afterAutospacing="0"/>
        <w:ind w:firstLine="555"/>
        <w:rPr>
          <w:sz w:val="20"/>
          <w:szCs w:val="20"/>
        </w:rPr>
      </w:pPr>
      <w:r>
        <w:rPr>
          <w:sz w:val="20"/>
          <w:szCs w:val="20"/>
        </w:rPr>
        <w:t xml:space="preserve">Even though we commercialize our tests as LDTs, our tests may in the future </w:t>
      </w:r>
      <w:r>
        <w:rPr>
          <w:sz w:val="20"/>
          <w:szCs w:val="20"/>
        </w:rPr>
        <w:t>become subject to more onerous regulation by the FDA. For example, the FDA may disagree with our assessment that our tests fall within the definition of an LDT and seek to regulate our tests as medical devices. Moreover, the FDA issued draft guidance and a</w:t>
      </w:r>
      <w:r>
        <w:rPr>
          <w:sz w:val="20"/>
          <w:szCs w:val="20"/>
        </w:rPr>
        <w:t xml:space="preserve"> 2017 Discussion Paper to allow for further public discussion about an appropriate LDT oversight approach and to give congressional committees the opportunity to develop a legislative solution. The FDA also solicited public input and published two final gu</w:t>
      </w:r>
      <w:r>
        <w:rPr>
          <w:sz w:val="20"/>
          <w:szCs w:val="20"/>
        </w:rPr>
        <w:t xml:space="preserve">idance documents in April 2018 relating to FDA oversight of NGS-based tests. These two guidance documents describe the FDA’s thinking and recommendations regarding test developer’s use of FDA-recognized standards to support analytical validity, and public </w:t>
      </w:r>
      <w:r>
        <w:rPr>
          <w:sz w:val="20"/>
          <w:szCs w:val="20"/>
        </w:rPr>
        <w:t>human genetic variant databases to support clinical validity, of these tests</w:t>
      </w:r>
      <w:r>
        <w:rPr>
          <w:sz w:val="20"/>
          <w:szCs w:val="20"/>
        </w:rPr>
        <w:t>.</w:t>
      </w:r>
      <w:r>
        <w:rPr>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Separately, members of Congress have been working with stakeholders for several years on a possible bill to reform the regulation of in vitro clinical tests including LDTs. Most</w:t>
      </w:r>
      <w:r>
        <w:rPr>
          <w:sz w:val="20"/>
          <w:szCs w:val="20"/>
        </w:rPr>
        <w:t xml:space="preserve"> recently the VALID Act has been garnering bipartisan and bicameral support. The VALID Act would codify into law the term “in vitro clinical test” to create a new medical product category separate from medical devices that includes products currently regul</w:t>
      </w:r>
      <w:r>
        <w:rPr>
          <w:sz w:val="20"/>
          <w:szCs w:val="20"/>
        </w:rPr>
        <w:t>ated as IVDs, as well as LDTs. The VALID Act would also create a new system for labs and hospitals to use to submit their tests electronically to the FDA for approval, which is aimed at reducing the amount of time it takes for the agency to approve such te</w:t>
      </w:r>
      <w:r>
        <w:rPr>
          <w:sz w:val="20"/>
          <w:szCs w:val="20"/>
        </w:rPr>
        <w:t>sts, and establish a new program to expedite the development of diagnostic tests that can be used to address a current unmet need for patients</w:t>
      </w:r>
      <w:r>
        <w:rPr>
          <w:sz w:val="20"/>
          <w:szCs w:val="20"/>
        </w:rPr>
        <w:t>.</w:t>
      </w:r>
    </w:p>
    <w:p w:rsidR="00000000" w:rsidRDefault="00477EE8">
      <w:pPr>
        <w:pStyle w:val="a3"/>
        <w:spacing w:before="240" w:beforeAutospacing="0" w:after="0" w:afterAutospacing="0"/>
        <w:ind w:firstLine="555"/>
        <w:rPr>
          <w:sz w:val="20"/>
          <w:szCs w:val="20"/>
        </w:rPr>
      </w:pPr>
      <w:r>
        <w:rPr>
          <w:sz w:val="20"/>
          <w:szCs w:val="20"/>
        </w:rPr>
        <w:t>It is unclear whether the VALID Act would be passed by Congress in its current form or signed into law by Presid</w:t>
      </w:r>
      <w:r>
        <w:rPr>
          <w:sz w:val="20"/>
          <w:szCs w:val="20"/>
        </w:rPr>
        <w:t>ent Biden. Until the FDA promulgates binding regulations through notice-and-comment rulemaking regarding LDTs, or the VALID Act or other legislation is passed reforming the federal government’s regulation of LDTs, it is unknown how the FDA may regulate our</w:t>
      </w:r>
      <w:r>
        <w:rPr>
          <w:sz w:val="20"/>
          <w:szCs w:val="20"/>
        </w:rPr>
        <w:t xml:space="preserve"> tests in the future and what testing and data may be required to support any required clearance or approval</w:t>
      </w:r>
      <w:r>
        <w:rPr>
          <w:sz w:val="20"/>
          <w:szCs w:val="20"/>
        </w:rPr>
        <w:t>.</w:t>
      </w:r>
    </w:p>
    <w:p w:rsidR="00000000" w:rsidRDefault="00477EE8">
      <w:pPr>
        <w:pStyle w:val="a3"/>
        <w:spacing w:before="240" w:beforeAutospacing="0" w:after="0" w:afterAutospacing="0"/>
        <w:ind w:firstLine="555"/>
        <w:rPr>
          <w:sz w:val="20"/>
          <w:szCs w:val="20"/>
        </w:rPr>
      </w:pPr>
      <w:r>
        <w:rPr>
          <w:sz w:val="20"/>
          <w:szCs w:val="20"/>
        </w:rPr>
        <w:t>If the FDA creates a new regulation to enforce its medical device requirements for LDTs, or if the FDA disagrees with our assessment that our test</w:t>
      </w:r>
      <w:r>
        <w:rPr>
          <w:sz w:val="20"/>
          <w:szCs w:val="20"/>
        </w:rPr>
        <w:t>s are LDTs, we could, for the first time, be subject to enforcement of a variety of regulatory requirements, including registration and listing, medical device reporting and quality control, and we could be required to obtain premarket clearance or approva</w:t>
      </w:r>
      <w:r>
        <w:rPr>
          <w:sz w:val="20"/>
          <w:szCs w:val="20"/>
        </w:rPr>
        <w:t>l for our existing tests and any new tests we may develop, which may force us to cease marketing our tests until we obtain the required clearance or approval. The premarket review process can be lengthy, expensive, time-consuming and unpredictable. Further</w:t>
      </w:r>
      <w:r>
        <w:rPr>
          <w:sz w:val="20"/>
          <w:szCs w:val="20"/>
        </w:rPr>
        <w:t xml:space="preserve">, obtaining premarket clearance may involve, among other things, successfully completing clinical trials. Clinical trials require significant time and cash resources and are subject to a high degree of risk, including risks of experiencing delays, failing </w:t>
      </w:r>
      <w:r>
        <w:rPr>
          <w:sz w:val="20"/>
          <w:szCs w:val="20"/>
        </w:rPr>
        <w:t xml:space="preserve">to complete the trial or obtaining unexpected or negative results. If we are required to obtain premarket clearance or approval and/or conduct premarket clinical trials, our development costs could significantly increase, our introduction of any new tests </w:t>
      </w:r>
      <w:r>
        <w:rPr>
          <w:sz w:val="20"/>
          <w:szCs w:val="20"/>
        </w:rPr>
        <w:t xml:space="preserve">we may develop may be delayed and sales of our existing tests could be interrupted or stopped. Any of these outcomes could reduce our revenue or increase our costs and materially adversely affect our business, prospects, results of operations or financial </w:t>
      </w:r>
      <w:r>
        <w:rPr>
          <w:sz w:val="20"/>
          <w:szCs w:val="20"/>
        </w:rPr>
        <w:t>condition. Moreover, any cleared or approved labeling claims may not be consistent with our current claims or adequate to support continued adoption of and reimbursement for our tests. For instance, if we are required by the FDA to label our tests as inves</w:t>
      </w:r>
      <w:r>
        <w:rPr>
          <w:sz w:val="20"/>
          <w:szCs w:val="20"/>
        </w:rPr>
        <w:t>tigational, or if labeling claims th</w:t>
      </w:r>
      <w:r>
        <w:rPr>
          <w:sz w:val="20"/>
          <w:szCs w:val="20"/>
        </w:rPr>
        <w:t>e</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2</w:t>
      </w:r>
      <w:r>
        <w:rPr>
          <w:sz w:val="20"/>
          <w:szCs w:val="20"/>
        </w:rPr>
        <w:t>9</w:t>
      </w:r>
    </w:p>
    <w:p w:rsidR="00000000" w:rsidRDefault="00477EE8">
      <w:pPr>
        <w:rPr>
          <w:rFonts w:eastAsia="Times New Roman"/>
        </w:rPr>
      </w:pPr>
      <w:r>
        <w:rPr>
          <w:rFonts w:eastAsia="Times New Roman"/>
        </w:rPr>
        <w:pict>
          <v:rect id="_x0000_i1068" style="width:0;height:1.5pt" o:hralign="center" o:hrstd="t" o:hr="t" fillcolor="#a0a0a0" stroked="f"/>
        </w:pict>
      </w:r>
    </w:p>
    <w:p w:rsidR="00000000" w:rsidRDefault="00477EE8">
      <w:pPr>
        <w:pStyle w:val="a3"/>
        <w:spacing w:before="240" w:beforeAutospacing="0" w:after="0" w:afterAutospacing="0"/>
        <w:rPr>
          <w:sz w:val="20"/>
          <w:szCs w:val="20"/>
        </w:rPr>
      </w:pPr>
      <w:r>
        <w:rPr>
          <w:sz w:val="20"/>
          <w:szCs w:val="20"/>
        </w:rPr>
        <w:t>FDA allows us to make are limited, order levels may decline and reimbursement may be adversely affected. As a result, we could experience significantly increased development cost</w:t>
      </w:r>
      <w:r>
        <w:rPr>
          <w:sz w:val="20"/>
          <w:szCs w:val="20"/>
        </w:rPr>
        <w:t>s and a delay in generating additional revenue from our existing tests or from tests we may develop</w:t>
      </w:r>
      <w:r>
        <w:rPr>
          <w:sz w:val="20"/>
          <w:szCs w:val="20"/>
        </w:rPr>
        <w:t>.</w:t>
      </w:r>
    </w:p>
    <w:p w:rsidR="00000000" w:rsidRDefault="00477EE8">
      <w:pPr>
        <w:pStyle w:val="a3"/>
        <w:spacing w:before="240" w:beforeAutospacing="0" w:after="0" w:afterAutospacing="0"/>
        <w:ind w:firstLine="555"/>
        <w:rPr>
          <w:sz w:val="20"/>
          <w:szCs w:val="20"/>
        </w:rPr>
      </w:pPr>
      <w:r>
        <w:rPr>
          <w:sz w:val="20"/>
          <w:szCs w:val="20"/>
        </w:rPr>
        <w:t>In addition, while we qualify all materials used in our products in accordance with the regulations and guidelines of CLIA, the FDA could promulgate regulations or guidance documents impacting our ability to purchase materials necessary for the performance</w:t>
      </w:r>
      <w:r>
        <w:rPr>
          <w:sz w:val="20"/>
          <w:szCs w:val="20"/>
        </w:rPr>
        <w:t xml:space="preserve"> of our tests. If any of the reagents we obtain from suppliers and use in our tests are affected by future regulatory actions, our business could be adversely affected, including by increasing the cost of testing or delaying, limiting or prohibiting the pu</w:t>
      </w:r>
      <w:r>
        <w:rPr>
          <w:sz w:val="20"/>
          <w:szCs w:val="20"/>
        </w:rPr>
        <w:t>rchase of reagents necessary to perform testing with our products</w:t>
      </w:r>
      <w:r>
        <w:rPr>
          <w:sz w:val="20"/>
          <w:szCs w:val="20"/>
        </w:rPr>
        <w:t>.</w:t>
      </w:r>
    </w:p>
    <w:p w:rsidR="00000000" w:rsidRDefault="00477EE8">
      <w:pPr>
        <w:pStyle w:val="a3"/>
        <w:spacing w:before="240" w:beforeAutospacing="0" w:after="0" w:afterAutospacing="0"/>
        <w:ind w:firstLine="555"/>
        <w:rPr>
          <w:sz w:val="20"/>
          <w:szCs w:val="20"/>
        </w:rPr>
      </w:pPr>
      <w:r>
        <w:rPr>
          <w:sz w:val="20"/>
          <w:szCs w:val="20"/>
        </w:rPr>
        <w:t>Failure to comply with any applicable FDA requirements could trigger a range of enforcement actions by the FDA, including warning letters, civil monetary penalties, injunctions, criminal pr</w:t>
      </w:r>
      <w:r>
        <w:rPr>
          <w:sz w:val="20"/>
          <w:szCs w:val="20"/>
        </w:rPr>
        <w:t>osecution, recall or seizure, operating restrictions, partial suspension or total shutdown of operations and denial of or challenges to applications for clearance or approval, as well as significant adverse publicity</w:t>
      </w:r>
      <w:r>
        <w:rPr>
          <w:sz w:val="20"/>
          <w:szCs w:val="20"/>
        </w:rPr>
        <w:t>.</w:t>
      </w:r>
    </w:p>
    <w:p w:rsidR="00000000" w:rsidRDefault="00477EE8">
      <w:pPr>
        <w:pStyle w:val="a3"/>
        <w:spacing w:before="360" w:beforeAutospacing="0" w:after="0" w:afterAutospacing="0"/>
        <w:rPr>
          <w:sz w:val="20"/>
          <w:szCs w:val="20"/>
        </w:rPr>
      </w:pPr>
      <w:r>
        <w:rPr>
          <w:b/>
          <w:bCs/>
          <w:sz w:val="20"/>
          <w:szCs w:val="20"/>
        </w:rPr>
        <w:t>If we fail to comply with applicable f</w:t>
      </w:r>
      <w:r>
        <w:rPr>
          <w:b/>
          <w:bCs/>
          <w:sz w:val="20"/>
          <w:szCs w:val="20"/>
        </w:rPr>
        <w:t>ederal, state, local and foreign laboratory licensing requirements, we could lose the ability to perform our tests and experience material disruptions to our business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We are subject to CLIA, a federal law that establishes quality standards for all laborat</w:t>
      </w:r>
      <w:r>
        <w:rPr>
          <w:sz w:val="20"/>
          <w:szCs w:val="20"/>
        </w:rPr>
        <w:t>ory testing and is intended to ensure the accuracy, reliability and timeliness of patient results. CLIA requires that we hold a certificate specific to the categories of laboratory testing that we perform and that we comply with various standards with resp</w:t>
      </w:r>
      <w:r>
        <w:rPr>
          <w:sz w:val="20"/>
          <w:szCs w:val="20"/>
        </w:rPr>
        <w:t>ect to personnel qualifications, facility administration, proficiency testing, quality control, quality assurance and inspections. CLIA certification is required in order for us to be eligible to bill federal and state health care programs, as well as many</w:t>
      </w:r>
      <w:r>
        <w:rPr>
          <w:sz w:val="20"/>
          <w:szCs w:val="20"/>
        </w:rPr>
        <w:t xml:space="preserve"> private third-party payors, for our tests. We have obtained CLIA certification to conduct our tests at our laboratories in Temple City and El Monte, California; Irving, Texas; Needham, Massachusetts; Phoenix, Arizona; Alpharetta, Georgia; and New York, Ne</w:t>
      </w:r>
      <w:r>
        <w:rPr>
          <w:sz w:val="20"/>
          <w:szCs w:val="20"/>
        </w:rPr>
        <w:t>w York</w:t>
      </w:r>
      <w:r>
        <w:rPr>
          <w:sz w:val="20"/>
          <w:szCs w:val="20"/>
        </w:rPr>
        <w:t>.</w:t>
      </w:r>
    </w:p>
    <w:p w:rsidR="00000000" w:rsidRDefault="00477EE8">
      <w:pPr>
        <w:pStyle w:val="a3"/>
        <w:spacing w:before="240" w:beforeAutospacing="0" w:after="0" w:afterAutospacing="0"/>
        <w:ind w:firstLine="555"/>
        <w:rPr>
          <w:sz w:val="20"/>
          <w:szCs w:val="20"/>
        </w:rPr>
      </w:pPr>
      <w:r>
        <w:rPr>
          <w:sz w:val="20"/>
          <w:szCs w:val="20"/>
        </w:rPr>
        <w:t>In addition to CLIA requirements, we elect to have our laboratories accredited by CAP. CMS has deemed CAP standards to be equally or more stringent than CLIA regulations and has approved CAP as a recognized accrediting organization. Inspection by C</w:t>
      </w:r>
      <w:r>
        <w:rPr>
          <w:sz w:val="20"/>
          <w:szCs w:val="20"/>
        </w:rPr>
        <w:t>AP is performed in lieu of inspection by CMS for CAP-accredited laboratories. Because we are accredited by CAP, we are deemed to also comply with CLIA. In addition, some countries outside the United States require CAP accreditation as a condition to permit</w:t>
      </w:r>
      <w:r>
        <w:rPr>
          <w:sz w:val="20"/>
          <w:szCs w:val="20"/>
        </w:rPr>
        <w:t>ting clinical laboratories to test samples taken from their citizens. Failure to maintain CAP accreditation could have a material adverse effect on the sales of our tests and the results of our operations</w:t>
      </w:r>
      <w:r>
        <w:rPr>
          <w:sz w:val="20"/>
          <w:szCs w:val="20"/>
        </w:rPr>
        <w:t>.</w:t>
      </w:r>
    </w:p>
    <w:p w:rsidR="00000000" w:rsidRDefault="00477EE8">
      <w:pPr>
        <w:pStyle w:val="a3"/>
        <w:spacing w:before="240" w:beforeAutospacing="0" w:after="0" w:afterAutospacing="0"/>
        <w:ind w:firstLine="555"/>
        <w:rPr>
          <w:sz w:val="20"/>
          <w:szCs w:val="20"/>
        </w:rPr>
      </w:pPr>
      <w:r>
        <w:rPr>
          <w:sz w:val="20"/>
          <w:szCs w:val="20"/>
        </w:rPr>
        <w:t>We are also required to maintain a license to cond</w:t>
      </w:r>
      <w:r>
        <w:rPr>
          <w:sz w:val="20"/>
          <w:szCs w:val="20"/>
        </w:rPr>
        <w:t xml:space="preserve">uct testing in the State of California. California laws establish standards for day-to-day operation of our clinical reference laboratory in Temple City and El Monte, including with respect to the training and skills required of personnel, quality control </w:t>
      </w:r>
      <w:r>
        <w:rPr>
          <w:sz w:val="20"/>
          <w:szCs w:val="20"/>
        </w:rPr>
        <w:t>and proficiency testing requirements. In addition, because we receive test specimens originating from New York, we have obtained a state laboratory permit for our Temple City laboratory from the New York State Department of Health, or DOH. The New York sta</w:t>
      </w:r>
      <w:r>
        <w:rPr>
          <w:sz w:val="20"/>
          <w:szCs w:val="20"/>
        </w:rPr>
        <w:t>te laboratory laws and regulations are equal to or more stringent than CLIA. In addition, the laboratory director must maintain a Certificate of Qualification issued by New York’s DOH in permitted categories</w:t>
      </w:r>
      <w:r>
        <w:rPr>
          <w:sz w:val="20"/>
          <w:szCs w:val="20"/>
        </w:rPr>
        <w:t>.</w:t>
      </w:r>
      <w:r>
        <w:rPr>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We are subject to on-site routine and complain</w:t>
      </w:r>
      <w:r>
        <w:rPr>
          <w:sz w:val="20"/>
          <w:szCs w:val="20"/>
        </w:rPr>
        <w:t>t-driven inspections under both California and New York state laboratory laws and regulations. If we are found to be out of compliance with either California or New York requirements, the CA Department of Public Health or New York’s DOH may suspend, restri</w:t>
      </w:r>
      <w:r>
        <w:rPr>
          <w:sz w:val="20"/>
          <w:szCs w:val="20"/>
        </w:rPr>
        <w:t>ct or revoke our license or laboratory permit, respectively (and, with respect to California, may exclude persons or entities from owning, operating or directing a laboratory for two years following such license revocation), assess civil monetary penalties</w:t>
      </w:r>
      <w:r>
        <w:rPr>
          <w:sz w:val="20"/>
          <w:szCs w:val="20"/>
        </w:rPr>
        <w:t>, or impose specific corrective action plans, among other sanctions. Any such actions could materially and adversely affect our business by prohibiting or limiting our ability to offer testing</w:t>
      </w:r>
      <w:r>
        <w:rPr>
          <w:sz w:val="20"/>
          <w:szCs w:val="20"/>
        </w:rPr>
        <w:t>.</w:t>
      </w:r>
    </w:p>
    <w:p w:rsidR="00000000" w:rsidRDefault="00477EE8">
      <w:pPr>
        <w:pStyle w:val="a3"/>
        <w:spacing w:before="240" w:beforeAutospacing="0" w:after="0" w:afterAutospacing="0"/>
        <w:ind w:firstLine="555"/>
        <w:rPr>
          <w:sz w:val="20"/>
          <w:szCs w:val="20"/>
        </w:rPr>
      </w:pPr>
      <w:r>
        <w:rPr>
          <w:sz w:val="20"/>
          <w:szCs w:val="20"/>
        </w:rPr>
        <w:t>Moreover, certain other states require us to maintain out-of-s</w:t>
      </w:r>
      <w:r>
        <w:rPr>
          <w:sz w:val="20"/>
          <w:szCs w:val="20"/>
        </w:rPr>
        <w:t>tate laboratory licenses or obtain approval on a test-specific basis to perform testing on specimens from these states. Additional states could adopt similar licensure requirements in the future, which could require us to modify, delay or discontinue our o</w:t>
      </w:r>
      <w:r>
        <w:rPr>
          <w:sz w:val="20"/>
          <w:szCs w:val="20"/>
        </w:rPr>
        <w:t>perations in such jurisdictions. We are also subject to regulation in foreign jurisdictions, which we expect will increase as we seek to expand international utilization of our tests or if jurisdictions in which we pursue operations adopt new or modified l</w:t>
      </w:r>
      <w:r>
        <w:rPr>
          <w:sz w:val="20"/>
          <w:szCs w:val="20"/>
        </w:rPr>
        <w:t>icensure requirements. Foreign licensure requirements could require review and modification of our tests in order to offer them in certain jurisdictions or could impose other limitations, such as restrictions on the transport of human blood or other tissue</w:t>
      </w:r>
      <w:r>
        <w:rPr>
          <w:sz w:val="20"/>
          <w:szCs w:val="20"/>
        </w:rPr>
        <w:t xml:space="preserve"> necessary for us to perform our tests that may limit our ability to make our tests available outside the United States. Additionally, complying with licensure requirements in new jurisdictions may be expensive, time-consuming and subject us to significant</w:t>
      </w:r>
      <w:r>
        <w:rPr>
          <w:sz w:val="20"/>
          <w:szCs w:val="20"/>
        </w:rPr>
        <w:t xml:space="preserve"> and unanticipated delays</w:t>
      </w:r>
      <w:r>
        <w:rPr>
          <w:sz w:val="20"/>
          <w:szCs w:val="20"/>
        </w:rPr>
        <w:t>.</w:t>
      </w:r>
    </w:p>
    <w:p w:rsidR="00000000" w:rsidRDefault="00477EE8">
      <w:pPr>
        <w:pStyle w:val="a3"/>
        <w:spacing w:before="240" w:beforeAutospacing="0" w:after="0" w:afterAutospacing="0"/>
        <w:ind w:firstLine="555"/>
        <w:rPr>
          <w:sz w:val="20"/>
          <w:szCs w:val="20"/>
        </w:rPr>
      </w:pPr>
      <w:r>
        <w:rPr>
          <w:sz w:val="20"/>
          <w:szCs w:val="20"/>
        </w:rPr>
        <w:t xml:space="preserve">Failure to comply with applicable clinical laboratory licensure requirements could result in a range of enforcement actions, including license suspension, limitation or revocation, directed plan of correction, onsite monitoring, </w:t>
      </w:r>
      <w:r>
        <w:rPr>
          <w:sz w:val="20"/>
          <w:szCs w:val="20"/>
        </w:rPr>
        <w:t>civil monetary penalties, civil injunctive suits, criminal sanctions and exclusion from the Medicare and Medicaid programs, as well as significant adverse publicity</w:t>
      </w:r>
      <w:r>
        <w:rPr>
          <w:sz w:val="20"/>
          <w:szCs w:val="20"/>
        </w:rPr>
        <w:t>.</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3</w:t>
      </w:r>
      <w:r>
        <w:rPr>
          <w:sz w:val="20"/>
          <w:szCs w:val="20"/>
        </w:rPr>
        <w:t>0</w:t>
      </w:r>
    </w:p>
    <w:p w:rsidR="00000000" w:rsidRDefault="00477EE8">
      <w:pPr>
        <w:rPr>
          <w:rFonts w:eastAsia="Times New Roman"/>
        </w:rPr>
      </w:pPr>
      <w:r>
        <w:rPr>
          <w:rFonts w:eastAsia="Times New Roman"/>
        </w:rPr>
        <w:pict>
          <v:rect id="_x0000_i1069" style="width:0;height:1.5pt" o:hralign="center" o:hrstd="t" o:hr="t" fillcolor="#a0a0a0" stroked="f"/>
        </w:pict>
      </w:r>
    </w:p>
    <w:p w:rsidR="00000000" w:rsidRDefault="00477EE8">
      <w:pPr>
        <w:pStyle w:val="a3"/>
        <w:spacing w:before="240" w:beforeAutospacing="0" w:after="0" w:afterAutospacing="0"/>
        <w:rPr>
          <w:sz w:val="20"/>
          <w:szCs w:val="20"/>
        </w:rPr>
      </w:pPr>
      <w:r>
        <w:rPr>
          <w:sz w:val="20"/>
          <w:szCs w:val="20"/>
        </w:rPr>
        <w:t xml:space="preserve">Any sanction imposed under CLIA, its implementing </w:t>
      </w:r>
      <w:r>
        <w:rPr>
          <w:sz w:val="20"/>
          <w:szCs w:val="20"/>
        </w:rPr>
        <w:t>regulations or state or foreign laws or regulations governing clinical laboratory licensure, or our failure to renew our CLIA certificate or any other required local, state or foreign license or accreditation, could have a material adverse effect on our bu</w:t>
      </w:r>
      <w:r>
        <w:rPr>
          <w:sz w:val="20"/>
          <w:szCs w:val="20"/>
        </w:rPr>
        <w:t>siness, financial condition and results of operations. In such case, even if we were able to bring our laboratory back into compliance, we could incur significant expenses and lose revenue while doing so</w:t>
      </w:r>
      <w:r>
        <w:rPr>
          <w:sz w:val="20"/>
          <w:szCs w:val="20"/>
        </w:rPr>
        <w:t>.</w:t>
      </w:r>
    </w:p>
    <w:p w:rsidR="00000000" w:rsidRDefault="00477EE8">
      <w:pPr>
        <w:pStyle w:val="a3"/>
        <w:spacing w:before="360" w:beforeAutospacing="0" w:after="0" w:afterAutospacing="0"/>
        <w:rPr>
          <w:sz w:val="20"/>
          <w:szCs w:val="20"/>
        </w:rPr>
      </w:pPr>
      <w:r>
        <w:rPr>
          <w:b/>
          <w:bCs/>
          <w:sz w:val="20"/>
          <w:szCs w:val="20"/>
        </w:rPr>
        <w:t>We are subject to broad legal requirements regardin</w:t>
      </w:r>
      <w:r>
        <w:rPr>
          <w:b/>
          <w:bCs/>
          <w:sz w:val="20"/>
          <w:szCs w:val="20"/>
        </w:rPr>
        <w:t>g the information we test and analyze, and any failure to comply with these requirements could result in materially significant, penalties, materially damage our reputation and materially harm our business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Our business is subject to federal and state laws</w:t>
      </w:r>
      <w:r>
        <w:rPr>
          <w:sz w:val="20"/>
          <w:szCs w:val="20"/>
        </w:rPr>
        <w:t xml:space="preserve"> that protect the privacy and security of personal information, including the HIPAA, HITECH, and similar state laws, as well as numerous other federal, state and foreign laws, including consumer protection laws and regulations, that govern the collection, </w:t>
      </w:r>
      <w:r>
        <w:rPr>
          <w:sz w:val="20"/>
          <w:szCs w:val="20"/>
        </w:rPr>
        <w:t>dissemination, use, access to, confidentiality and security of patient health information. In addition, new laws and regulations that further protect the privacy and security of medical records or medical information are regularly considered by federal and</w:t>
      </w:r>
      <w:r>
        <w:rPr>
          <w:sz w:val="20"/>
          <w:szCs w:val="20"/>
        </w:rPr>
        <w:t xml:space="preserve"> state governments. Further, with the recent increase in publicity regarding data breaches resulting in improper dissemination of consumer information, federal and state governments have passed or are considering laws regulating the actions that a business</w:t>
      </w:r>
      <w:r>
        <w:rPr>
          <w:sz w:val="20"/>
          <w:szCs w:val="20"/>
        </w:rPr>
        <w:t xml:space="preserve"> must take if it experiences a data breach, such as prompt disclosure to affected customers. The FTC and states’ Attorneys General have also brought enforcement actions and prosecuted some data breach cases as unfair and/or deceptive acts or practices unde</w:t>
      </w:r>
      <w:r>
        <w:rPr>
          <w:sz w:val="20"/>
          <w:szCs w:val="20"/>
        </w:rPr>
        <w:t>r the FTC Act and comparable state laws. In addition to data breach notification laws, some states have enacted statutes and rules requiring businesses to reasonably protect certain types of personal information they hold or to otherwise comply with certai</w:t>
      </w:r>
      <w:r>
        <w:rPr>
          <w:sz w:val="20"/>
          <w:szCs w:val="20"/>
        </w:rPr>
        <w:t>n specified data security requirements for personal information. We intend to continue to comprehensively protect all personal information and to comply with all applicable laws regarding the protection of such information</w:t>
      </w:r>
      <w:r>
        <w:rPr>
          <w:sz w:val="20"/>
          <w:szCs w:val="20"/>
        </w:rPr>
        <w:t>.</w:t>
      </w:r>
    </w:p>
    <w:p w:rsidR="00000000" w:rsidRDefault="00477EE8">
      <w:pPr>
        <w:pStyle w:val="a3"/>
        <w:spacing w:before="240" w:beforeAutospacing="0" w:after="0" w:afterAutospacing="0"/>
        <w:ind w:firstLine="555"/>
        <w:rPr>
          <w:sz w:val="20"/>
          <w:szCs w:val="20"/>
        </w:rPr>
      </w:pPr>
      <w:r>
        <w:rPr>
          <w:sz w:val="20"/>
          <w:szCs w:val="20"/>
        </w:rPr>
        <w:t>Any failure to implement appropr</w:t>
      </w:r>
      <w:r>
        <w:rPr>
          <w:sz w:val="20"/>
          <w:szCs w:val="20"/>
        </w:rPr>
        <w:t>iate security measures to protect the confidentiality and integrity of personal information or any breach or other failure of these systems resulting in the unauthorized access, manipulation, disclosure, or loss of this information could result in our nonc</w:t>
      </w:r>
      <w:r>
        <w:rPr>
          <w:sz w:val="20"/>
          <w:szCs w:val="20"/>
        </w:rPr>
        <w:t>ompliance with these laws. Penalties for failure to comply with a requirement of HIPAA and HITECH vary significantly depending on the failure and could include civil monetary or criminal penalties</w:t>
      </w:r>
      <w:r>
        <w:rPr>
          <w:sz w:val="20"/>
          <w:szCs w:val="20"/>
        </w:rPr>
        <w:t>.</w:t>
      </w:r>
    </w:p>
    <w:p w:rsidR="00000000" w:rsidRDefault="00477EE8">
      <w:pPr>
        <w:pStyle w:val="a3"/>
        <w:spacing w:before="240" w:beforeAutospacing="0" w:after="0" w:afterAutospacing="0"/>
        <w:ind w:firstLine="555"/>
        <w:rPr>
          <w:sz w:val="20"/>
          <w:szCs w:val="20"/>
        </w:rPr>
      </w:pPr>
      <w:r>
        <w:rPr>
          <w:sz w:val="20"/>
          <w:szCs w:val="20"/>
        </w:rPr>
        <w:t>The European Union formally adopted the GDPR, which applie</w:t>
      </w:r>
      <w:r>
        <w:rPr>
          <w:sz w:val="20"/>
          <w:szCs w:val="20"/>
        </w:rPr>
        <w:t>s to all European Union member states. The GDPR introduced stringent new data protection and operational requirements in the European Union for companies that receive or process personal data of European residents, as well as substantial fines for breaches</w:t>
      </w:r>
      <w:r>
        <w:rPr>
          <w:sz w:val="20"/>
          <w:szCs w:val="20"/>
        </w:rPr>
        <w:t xml:space="preserve"> of the data protection rules. It has increased our responsibility and liability in relation to personal data that we process and we are required to maintain additional mechanisms ensuring compliance with the GDPR. The GDPR is a complex law and the regulat</w:t>
      </w:r>
      <w:r>
        <w:rPr>
          <w:sz w:val="20"/>
          <w:szCs w:val="20"/>
        </w:rPr>
        <w:t>ory guidance is still evolving, including with respect to how the GDPR should be applied in the context of clinical studies and the collection, processing, and storage of sensitive personal data, including genetic information and testing. Furthermore, many</w:t>
      </w:r>
      <w:r>
        <w:rPr>
          <w:sz w:val="20"/>
          <w:szCs w:val="20"/>
        </w:rPr>
        <w:t xml:space="preserve"> of the countries within the European Union are still in the process of drafting supplementary data protection legislation in key fields where the GDPR allows for national variation, including the fields of clinical study and other health-related informati</w:t>
      </w:r>
      <w:r>
        <w:rPr>
          <w:sz w:val="20"/>
          <w:szCs w:val="20"/>
        </w:rPr>
        <w:t>on. These variations in the law may raise our costs of compliance and result in greater legal risks. On July 16, 2020, the highest Court of Justice of the European Union or the CJEU, issued a landmark opinion in the case Maximilian Schrems vs. Facebook (Ca</w:t>
      </w:r>
      <w:r>
        <w:rPr>
          <w:sz w:val="20"/>
          <w:szCs w:val="20"/>
        </w:rPr>
        <w:t>se C-311/18), or Schrems II. This decision calls into question certain data transfer mechanisms as between the European Union member states and the U.S. The CJEU is the highest court in Europe, and the Schrems II decision heightens the burden on data impor</w:t>
      </w:r>
      <w:r>
        <w:rPr>
          <w:sz w:val="20"/>
          <w:szCs w:val="20"/>
        </w:rPr>
        <w:t>ters to assess U.S. national security laws on their business and future actions of European Union data protection authorities are difficult to predict at this early date. Consequently, there is some risk of any such data transfers from the European Union b</w:t>
      </w:r>
      <w:r>
        <w:rPr>
          <w:sz w:val="20"/>
          <w:szCs w:val="20"/>
        </w:rPr>
        <w:t xml:space="preserve">eing halted by one or more European Union member states. Any contractual arrangements requiring the transfer of personal data from the European Union to us in the United States will require greater scrutiny and assessments as required under Schrems II and </w:t>
      </w:r>
      <w:r>
        <w:rPr>
          <w:sz w:val="20"/>
          <w:szCs w:val="20"/>
        </w:rPr>
        <w:t>may have an adverse impact on cross-border transfers of personal data or increase costs of compliance</w:t>
      </w:r>
      <w:r>
        <w:rPr>
          <w:sz w:val="20"/>
          <w:szCs w:val="20"/>
        </w:rPr>
        <w:t>.</w:t>
      </w:r>
    </w:p>
    <w:p w:rsidR="00000000" w:rsidRDefault="00477EE8">
      <w:pPr>
        <w:pStyle w:val="a3"/>
        <w:spacing w:before="240" w:beforeAutospacing="0" w:after="0" w:afterAutospacing="0"/>
        <w:ind w:firstLine="555"/>
        <w:rPr>
          <w:sz w:val="20"/>
          <w:szCs w:val="20"/>
        </w:rPr>
      </w:pPr>
      <w:r>
        <w:rPr>
          <w:sz w:val="20"/>
          <w:szCs w:val="20"/>
        </w:rPr>
        <w:t xml:space="preserve">In addition, many states, such as California (where one of our clinical laboratories is located), have implemented similar privacy laws and regulations, </w:t>
      </w:r>
      <w:r>
        <w:rPr>
          <w:sz w:val="20"/>
          <w:szCs w:val="20"/>
        </w:rPr>
        <w:t>such as the California Confidentiality of Medical Information Act, that impose restrictive requirements regulating the use and disclosure of patient health information and other personal information. In addition to fines and penalties imposed upon violator</w:t>
      </w:r>
      <w:r>
        <w:rPr>
          <w:sz w:val="20"/>
          <w:szCs w:val="20"/>
        </w:rPr>
        <w:t>s, some of these state laws also afford private rights of action to individuals who believe their personal information has been misused. California’s patient privacy laws, for example, provide for penalties of up to $250,000 and permit injured parties to s</w:t>
      </w:r>
      <w:r>
        <w:rPr>
          <w:sz w:val="20"/>
          <w:szCs w:val="20"/>
        </w:rPr>
        <w:t>ue for damages. In addition to the California Confidentiality of Medical Information Act, California also recently enacted the California Consumer Privacy Act of 2018, or CCPA, which became effective on January 1, 2020. The CCPA has been characterized as t</w:t>
      </w:r>
      <w:r>
        <w:rPr>
          <w:sz w:val="20"/>
          <w:szCs w:val="20"/>
        </w:rPr>
        <w:t>he first “GDPR-like” privacy statute to be enacted in the United States because it mirrors a number of the key provisions of the GDPR. The CCPA establishes a new privacy framework for covered businesses in the State of California by creating an expanded de</w:t>
      </w:r>
      <w:r>
        <w:rPr>
          <w:sz w:val="20"/>
          <w:szCs w:val="20"/>
        </w:rPr>
        <w:t xml:space="preserve">finition of personal information, establishing new data privacy rights for California residents, imposing special rules on the collection of personal data from minors, and creating a new and potentially severe statutory damages framework for violations of </w:t>
      </w:r>
      <w:r>
        <w:rPr>
          <w:sz w:val="20"/>
          <w:szCs w:val="20"/>
        </w:rPr>
        <w:t>the CCPA and for businesses that fail to implement reasonable security procedures and practices to prevent data breaches. Additionally, the California Privacy Rights Act, or CPRA, took full effect on January 1, 2023. The CPRA amends and expands the CCPA si</w:t>
      </w:r>
      <w:r>
        <w:rPr>
          <w:sz w:val="20"/>
          <w:szCs w:val="20"/>
        </w:rPr>
        <w:t>gnificantly, potentially resulting in further uncertainty, additional costs and expenses in an effort to comply, and additional harm and liability for failure to comply. Among other things, the CPRA established the California Privacy Protection Agency, o</w:t>
      </w:r>
      <w:r>
        <w:rPr>
          <w:sz w:val="20"/>
          <w:szCs w:val="20"/>
        </w:rPr>
        <w:t>r</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3</w:t>
      </w:r>
      <w:r>
        <w:rPr>
          <w:sz w:val="20"/>
          <w:szCs w:val="20"/>
        </w:rPr>
        <w:t>1</w:t>
      </w:r>
    </w:p>
    <w:p w:rsidR="00000000" w:rsidRDefault="00477EE8">
      <w:pPr>
        <w:rPr>
          <w:rFonts w:eastAsia="Times New Roman"/>
        </w:rPr>
      </w:pPr>
      <w:r>
        <w:rPr>
          <w:rFonts w:eastAsia="Times New Roman"/>
        </w:rPr>
        <w:pict>
          <v:rect id="_x0000_i1070" style="width:0;height:1.5pt" o:hralign="center" o:hrstd="t" o:hr="t" fillcolor="#a0a0a0" stroked="f"/>
        </w:pict>
      </w:r>
    </w:p>
    <w:p w:rsidR="00000000" w:rsidRDefault="00477EE8">
      <w:pPr>
        <w:pStyle w:val="a3"/>
        <w:spacing w:before="240" w:beforeAutospacing="0" w:after="0" w:afterAutospacing="0"/>
        <w:rPr>
          <w:sz w:val="20"/>
          <w:szCs w:val="20"/>
        </w:rPr>
      </w:pPr>
      <w:r>
        <w:rPr>
          <w:sz w:val="20"/>
          <w:szCs w:val="20"/>
        </w:rPr>
        <w:t>CPPA, a new regulatory authority charged with administering and enforcing the CRPA and privacy rights in California. The CPPA has the power to levy fines and bring other enforcement actions. The CPRA could impact our</w:t>
      </w:r>
      <w:r>
        <w:rPr>
          <w:sz w:val="20"/>
          <w:szCs w:val="20"/>
        </w:rPr>
        <w:t xml:space="preserve"> operations or that of our collaborators and business partners and impose new regulatory requirements and increase costs of compliance. Virginia, Connecticut, Utah, and Colorado enacted their own consumer privacy laws similar to CCPA and CPRA, all of which</w:t>
      </w:r>
      <w:r>
        <w:rPr>
          <w:sz w:val="20"/>
          <w:szCs w:val="20"/>
        </w:rPr>
        <w:t xml:space="preserve"> will take effect at various points in 2023. Other states are considering similar legislation, adding to the complexity, costs, and risk of compliance. Like the GDPR and CCPA, many of these state laws categorize medical or health data, genetic data, and bi</w:t>
      </w:r>
      <w:r>
        <w:rPr>
          <w:sz w:val="20"/>
          <w:szCs w:val="20"/>
        </w:rPr>
        <w:t>ometric data that can be identify a natural person as “sensitive data” and the processing or collection of such will require additional compliance obligations</w:t>
      </w:r>
      <w:r>
        <w:rPr>
          <w:sz w:val="20"/>
          <w:szCs w:val="20"/>
        </w:rPr>
        <w:t>.</w:t>
      </w:r>
    </w:p>
    <w:p w:rsidR="00000000" w:rsidRDefault="00477EE8">
      <w:pPr>
        <w:pStyle w:val="a3"/>
        <w:spacing w:before="240" w:beforeAutospacing="0" w:after="0" w:afterAutospacing="0"/>
        <w:ind w:firstLine="555"/>
        <w:rPr>
          <w:sz w:val="20"/>
          <w:szCs w:val="20"/>
        </w:rPr>
      </w:pPr>
      <w:r>
        <w:rPr>
          <w:sz w:val="20"/>
          <w:szCs w:val="20"/>
        </w:rPr>
        <w:t xml:space="preserve">The interplay of federal and state laws may be subject to varying interpretations by courts and </w:t>
      </w:r>
      <w:r>
        <w:rPr>
          <w:sz w:val="20"/>
          <w:szCs w:val="20"/>
        </w:rPr>
        <w:t xml:space="preserve">government agencies, creating complex compliance issues for us and potentially exposing us to additional expense, adverse publicity and liability. Further, as regulatory focus on privacy issues continues to increase and laws and regulations concerning the </w:t>
      </w:r>
      <w:r>
        <w:rPr>
          <w:sz w:val="20"/>
          <w:szCs w:val="20"/>
        </w:rPr>
        <w:t xml:space="preserve">protection of personal information expand and become more complex, these potential risks to our business could intensify. Additionally, the interpretation, application and interplay of consumer and health-related data protection laws in the United States, </w:t>
      </w:r>
      <w:r>
        <w:rPr>
          <w:sz w:val="20"/>
          <w:szCs w:val="20"/>
        </w:rPr>
        <w:t>Europe and elsewhere are often uncertain, contradictory and in flux. As a result, it is possible that laws may be interpreted and applied in a manner that is inconsistent with our current practices. Moreover, these laws and their interpretations are consta</w:t>
      </w:r>
      <w:r>
        <w:rPr>
          <w:sz w:val="20"/>
          <w:szCs w:val="20"/>
        </w:rPr>
        <w:t>ntly evolving and may become more stringent or inclusive over time. For example, increasing concerns about health information privacy have recently prompted the federal government to issue guidance taking a newly expansive view of the scope of the laws and</w:t>
      </w:r>
      <w:r>
        <w:rPr>
          <w:sz w:val="20"/>
          <w:szCs w:val="20"/>
        </w:rPr>
        <w:t xml:space="preserve"> regulations that they enforce. Complying with these laws or any new laws or interpretations of their application could involve significant time and substantial costs or require us to change our business practices and compliance procedures in a manner pote</w:t>
      </w:r>
      <w:r>
        <w:rPr>
          <w:sz w:val="20"/>
          <w:szCs w:val="20"/>
        </w:rPr>
        <w:t>ntially adverse to our business. We may not be able to obtain or maintain compliance with the diverse privacy and security requirements in all of the jurisdictions in which we currently or plan to do business, and failure to comply with any of these requir</w:t>
      </w:r>
      <w:r>
        <w:rPr>
          <w:sz w:val="20"/>
          <w:szCs w:val="20"/>
        </w:rPr>
        <w:t>ements could result in material civil or criminal penalties, materially harm our reputation and materially adversely affect our business</w:t>
      </w:r>
      <w:r>
        <w:rPr>
          <w:sz w:val="20"/>
          <w:szCs w:val="20"/>
        </w:rPr>
        <w:t>.</w:t>
      </w:r>
    </w:p>
    <w:p w:rsidR="00000000" w:rsidRDefault="00477EE8">
      <w:pPr>
        <w:pStyle w:val="a3"/>
        <w:spacing w:before="240" w:beforeAutospacing="0" w:after="0" w:afterAutospacing="0"/>
        <w:ind w:firstLine="555"/>
        <w:rPr>
          <w:sz w:val="20"/>
          <w:szCs w:val="20"/>
        </w:rPr>
      </w:pPr>
      <w:r>
        <w:rPr>
          <w:sz w:val="20"/>
          <w:szCs w:val="20"/>
        </w:rPr>
        <w:t>Many states, such as California and Massachusetts, have also implemented genetic testing and privacy laws imposing spe</w:t>
      </w:r>
      <w:r>
        <w:rPr>
          <w:sz w:val="20"/>
          <w:szCs w:val="20"/>
        </w:rPr>
        <w:t>cific patient consent requirements and requirements for protecting certain test results. As regulatory focus on genetic privacy issues continues to increase and laws and regulations concerning the protection of personal information expand and become more c</w:t>
      </w:r>
      <w:r>
        <w:rPr>
          <w:sz w:val="20"/>
          <w:szCs w:val="20"/>
        </w:rPr>
        <w:t>omplex, these potential risks to our business could intensify</w:t>
      </w:r>
      <w:r>
        <w:rPr>
          <w:sz w:val="20"/>
          <w:szCs w:val="20"/>
        </w:rPr>
        <w:t>.</w:t>
      </w:r>
    </w:p>
    <w:p w:rsidR="00000000" w:rsidRDefault="00477EE8">
      <w:pPr>
        <w:pStyle w:val="a3"/>
        <w:spacing w:before="360" w:beforeAutospacing="0" w:after="0" w:afterAutospacing="0"/>
        <w:rPr>
          <w:sz w:val="20"/>
          <w:szCs w:val="20"/>
        </w:rPr>
      </w:pPr>
      <w:r>
        <w:rPr>
          <w:b/>
          <w:bCs/>
          <w:sz w:val="20"/>
          <w:szCs w:val="20"/>
        </w:rPr>
        <w:t>Ethical, legal and social concerns related to the use of genetic information could reduce demand for our tests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 xml:space="preserve">Genetic testing has raised ethical, legal and social issues regarding privacy and the appropriate uses of the resulting information. Government </w:t>
      </w:r>
      <w:r>
        <w:rPr>
          <w:sz w:val="20"/>
          <w:szCs w:val="20"/>
        </w:rPr>
        <w:t>authorities could, for social or other purposes, limit or regulate the use of genetic information or genetic testing or prohibit testing for genetic predisposition to certain conditions, particularly for those that have no known cure. Similarly, these conc</w:t>
      </w:r>
      <w:r>
        <w:rPr>
          <w:sz w:val="20"/>
          <w:szCs w:val="20"/>
        </w:rPr>
        <w:t>erns may cause patients to refuse to use, or physicians to be reluctant to order, genetic tests such as ours, even if permissible. These and other ethical, legal and social concerns may limit market acceptance and adoption of our tests or reduce the potent</w:t>
      </w:r>
      <w:r>
        <w:rPr>
          <w:sz w:val="20"/>
          <w:szCs w:val="20"/>
        </w:rPr>
        <w:t>ial markets for our tests, any of which could have an adverse effect on our business, financial condition and results of operations. In addition, California has enacted the Genetic Information Privacy Act that imposes privacy requirements on direct-to-cons</w:t>
      </w:r>
      <w:r>
        <w:rPr>
          <w:sz w:val="20"/>
          <w:szCs w:val="20"/>
        </w:rPr>
        <w:t>umer genetic testing companies that could change the discussion among patients and physicians related to genetic testing as a whole, and potentially reduce consumer interest in such testing more broadly</w:t>
      </w:r>
      <w:r>
        <w:rPr>
          <w:sz w:val="20"/>
          <w:szCs w:val="20"/>
        </w:rPr>
        <w:t>.</w:t>
      </w:r>
    </w:p>
    <w:p w:rsidR="00000000" w:rsidRDefault="00477EE8">
      <w:pPr>
        <w:pStyle w:val="a3"/>
        <w:spacing w:before="360" w:beforeAutospacing="0" w:after="0" w:afterAutospacing="0"/>
        <w:rPr>
          <w:sz w:val="20"/>
          <w:szCs w:val="20"/>
        </w:rPr>
      </w:pPr>
      <w:r>
        <w:rPr>
          <w:b/>
          <w:bCs/>
          <w:sz w:val="20"/>
          <w:szCs w:val="20"/>
        </w:rPr>
        <w:t>We conduct business in a heavily regulated industry.</w:t>
      </w:r>
      <w:r>
        <w:rPr>
          <w:b/>
          <w:bCs/>
          <w:sz w:val="20"/>
          <w:szCs w:val="20"/>
        </w:rPr>
        <w:t xml:space="preserve"> Complying with the numerous statutes and regulations pertaining to our business is expensive and time-consuming, and any failure by us, our consultants or commercial partners to comply could result in substantial and material penalties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Our industry and o</w:t>
      </w:r>
      <w:r>
        <w:rPr>
          <w:sz w:val="20"/>
          <w:szCs w:val="20"/>
        </w:rPr>
        <w:t xml:space="preserve">ur operations are heavily regulated by various federal, state, local and foreign laws and regulations, and the regulatory environment in which we operate could change significantly and adversely in the future. These laws and regulations currently include, </w:t>
      </w:r>
      <w:r>
        <w:rPr>
          <w:sz w:val="20"/>
          <w:szCs w:val="20"/>
        </w:rPr>
        <w:t>among others</w:t>
      </w:r>
      <w:r>
        <w:rPr>
          <w:sz w:val="20"/>
          <w:szCs w:val="20"/>
        </w:rPr>
        <w:t>:</w:t>
      </w:r>
    </w:p>
    <w:p w:rsidR="00000000" w:rsidRDefault="00477EE8">
      <w:pPr>
        <w:divId w:val="1974289246"/>
        <w:rPr>
          <w:rFonts w:eastAsia="Times New Roman"/>
        </w:rPr>
      </w:pPr>
      <w:r>
        <w:rPr>
          <w:rFonts w:eastAsia="Times New Roman"/>
          <w:sz w:val="20"/>
          <w:szCs w:val="20"/>
        </w:rPr>
        <w:t>•</w:t>
      </w:r>
    </w:p>
    <w:p w:rsidR="00000000" w:rsidRDefault="00477EE8">
      <w:pPr>
        <w:divId w:val="361977118"/>
        <w:rPr>
          <w:rFonts w:eastAsia="Times New Roman"/>
        </w:rPr>
      </w:pPr>
      <w:r>
        <w:rPr>
          <w:rFonts w:eastAsia="Times New Roman"/>
          <w:sz w:val="20"/>
          <w:szCs w:val="20"/>
        </w:rPr>
        <w:t>CLIA’s and CAP’s regulation of our laboratory activities</w:t>
      </w:r>
      <w:r>
        <w:rPr>
          <w:rFonts w:eastAsia="Times New Roman"/>
          <w:sz w:val="20"/>
          <w:szCs w:val="20"/>
        </w:rPr>
        <w:t>;</w:t>
      </w:r>
    </w:p>
    <w:p w:rsidR="00000000" w:rsidRDefault="00477EE8">
      <w:pPr>
        <w:divId w:val="772163745"/>
        <w:rPr>
          <w:rFonts w:eastAsia="Times New Roman"/>
        </w:rPr>
      </w:pPr>
      <w:r>
        <w:rPr>
          <w:rFonts w:eastAsia="Times New Roman"/>
          <w:sz w:val="20"/>
          <w:szCs w:val="20"/>
        </w:rPr>
        <w:t>•</w:t>
      </w:r>
    </w:p>
    <w:p w:rsidR="00000000" w:rsidRDefault="00477EE8">
      <w:pPr>
        <w:divId w:val="25568096"/>
        <w:rPr>
          <w:rFonts w:eastAsia="Times New Roman"/>
        </w:rPr>
      </w:pPr>
      <w:r>
        <w:rPr>
          <w:rFonts w:eastAsia="Times New Roman"/>
          <w:sz w:val="20"/>
          <w:szCs w:val="20"/>
        </w:rPr>
        <w:t>FDA laws and regulations, including but not limited to requirements for offering LDTs;</w:t>
      </w:r>
      <w:r>
        <w:rPr>
          <w:rFonts w:eastAsia="Times New Roman"/>
          <w:sz w:val="20"/>
          <w:szCs w:val="20"/>
        </w:rPr>
        <w:t xml:space="preserve"> </w:t>
      </w:r>
    </w:p>
    <w:p w:rsidR="00000000" w:rsidRDefault="00477EE8">
      <w:pPr>
        <w:divId w:val="332925760"/>
        <w:rPr>
          <w:rFonts w:eastAsia="Times New Roman"/>
        </w:rPr>
      </w:pPr>
      <w:r>
        <w:rPr>
          <w:rFonts w:eastAsia="Times New Roman"/>
          <w:sz w:val="20"/>
          <w:szCs w:val="20"/>
        </w:rPr>
        <w:t>•</w:t>
      </w:r>
    </w:p>
    <w:p w:rsidR="00000000" w:rsidRDefault="00477EE8">
      <w:pPr>
        <w:divId w:val="1643387423"/>
        <w:rPr>
          <w:rFonts w:eastAsia="Times New Roman"/>
        </w:rPr>
      </w:pPr>
      <w:r>
        <w:rPr>
          <w:rFonts w:eastAsia="Times New Roman"/>
          <w:sz w:val="20"/>
          <w:szCs w:val="20"/>
        </w:rPr>
        <w:t>federal and state laws and standards affecting reimbursement by government health care pro</w:t>
      </w:r>
      <w:r>
        <w:rPr>
          <w:rFonts w:eastAsia="Times New Roman"/>
          <w:sz w:val="20"/>
          <w:szCs w:val="20"/>
        </w:rPr>
        <w:t>grams, including certain coding requirements to obtain reimbursement and certain changes to the payment mechanism for clinical laboratory services resulting from the Protecting Access to Medicare Act of 2014, or PAMA</w:t>
      </w:r>
      <w:r>
        <w:rPr>
          <w:rFonts w:eastAsia="Times New Roman"/>
          <w:sz w:val="20"/>
          <w:szCs w:val="20"/>
        </w:rPr>
        <w:t>;</w:t>
      </w:r>
    </w:p>
    <w:p w:rsidR="00000000" w:rsidRDefault="00477EE8">
      <w:pPr>
        <w:divId w:val="1230112747"/>
        <w:rPr>
          <w:rFonts w:eastAsia="Times New Roman"/>
        </w:rPr>
      </w:pPr>
      <w:r>
        <w:rPr>
          <w:rFonts w:eastAsia="Times New Roman"/>
          <w:sz w:val="20"/>
          <w:szCs w:val="20"/>
        </w:rPr>
        <w:t>•</w:t>
      </w:r>
    </w:p>
    <w:p w:rsidR="00000000" w:rsidRDefault="00477EE8">
      <w:pPr>
        <w:divId w:val="475682714"/>
        <w:rPr>
          <w:rFonts w:eastAsia="Times New Roman"/>
        </w:rPr>
      </w:pPr>
      <w:r>
        <w:rPr>
          <w:rFonts w:eastAsia="Times New Roman"/>
          <w:sz w:val="20"/>
          <w:szCs w:val="20"/>
        </w:rPr>
        <w:t>HIPAA and HITECH, which establish co</w:t>
      </w:r>
      <w:r>
        <w:rPr>
          <w:rFonts w:eastAsia="Times New Roman"/>
          <w:sz w:val="20"/>
          <w:szCs w:val="20"/>
        </w:rPr>
        <w:t xml:space="preserve">mprehensive federal standards with respect to the privacy and security of PHI, and requirements for the use of certain standardized electronic transactions with respect to transmission of such information, as well as similar laws protecting other types of </w:t>
      </w:r>
      <w:r>
        <w:rPr>
          <w:rFonts w:eastAsia="Times New Roman"/>
          <w:sz w:val="20"/>
          <w:szCs w:val="20"/>
        </w:rPr>
        <w:t>personal information</w:t>
      </w:r>
      <w:r>
        <w:rPr>
          <w:rFonts w:eastAsia="Times New Roman"/>
          <w:sz w:val="20"/>
          <w:szCs w:val="20"/>
        </w:rPr>
        <w:t>;</w:t>
      </w:r>
    </w:p>
    <w:p w:rsidR="00000000" w:rsidRDefault="00477EE8">
      <w:pPr>
        <w:pStyle w:val="a3"/>
        <w:spacing w:before="240" w:beforeAutospacing="0" w:after="0" w:afterAutospacing="0"/>
        <w:jc w:val="center"/>
        <w:rPr>
          <w:sz w:val="20"/>
          <w:szCs w:val="20"/>
        </w:rPr>
      </w:pPr>
      <w:r>
        <w:rPr>
          <w:sz w:val="20"/>
          <w:szCs w:val="20"/>
        </w:rPr>
        <w:t>3</w:t>
      </w:r>
      <w:r>
        <w:rPr>
          <w:sz w:val="20"/>
          <w:szCs w:val="20"/>
        </w:rPr>
        <w:t>2</w:t>
      </w:r>
    </w:p>
    <w:p w:rsidR="00000000" w:rsidRDefault="00477EE8">
      <w:pPr>
        <w:rPr>
          <w:rFonts w:eastAsia="Times New Roman"/>
        </w:rPr>
      </w:pPr>
      <w:r>
        <w:rPr>
          <w:rFonts w:eastAsia="Times New Roman"/>
        </w:rPr>
        <w:pict>
          <v:rect id="_x0000_i1071" style="width:0;height:1.5pt" o:hralign="center" o:hrstd="t" o:hr="t" fillcolor="#a0a0a0" stroked="f"/>
        </w:pict>
      </w:r>
    </w:p>
    <w:p w:rsidR="00000000" w:rsidRDefault="00477EE8">
      <w:pPr>
        <w:divId w:val="167213618"/>
        <w:rPr>
          <w:rFonts w:eastAsia="Times New Roman"/>
        </w:rPr>
      </w:pPr>
      <w:r>
        <w:rPr>
          <w:rFonts w:eastAsia="Times New Roman"/>
          <w:sz w:val="20"/>
          <w:szCs w:val="20"/>
        </w:rPr>
        <w:t>•</w:t>
      </w:r>
    </w:p>
    <w:p w:rsidR="00000000" w:rsidRDefault="00477EE8">
      <w:pPr>
        <w:divId w:val="1153445641"/>
        <w:rPr>
          <w:rFonts w:eastAsia="Times New Roman"/>
        </w:rPr>
      </w:pPr>
      <w:r>
        <w:rPr>
          <w:rFonts w:eastAsia="Times New Roman"/>
          <w:sz w:val="20"/>
          <w:szCs w:val="20"/>
        </w:rPr>
        <w:t>state laws governing the maintenance of personally identifiable information of state residents, including medical information, and which impose varying breach notification requirements, some o</w:t>
      </w:r>
      <w:r>
        <w:rPr>
          <w:rFonts w:eastAsia="Times New Roman"/>
          <w:sz w:val="20"/>
          <w:szCs w:val="20"/>
        </w:rPr>
        <w:t>f which allow private rights of action by individuals for violations and also impose penalties for such violations</w:t>
      </w:r>
      <w:r>
        <w:rPr>
          <w:rFonts w:eastAsia="Times New Roman"/>
          <w:sz w:val="20"/>
          <w:szCs w:val="20"/>
        </w:rPr>
        <w:t>;</w:t>
      </w:r>
    </w:p>
    <w:p w:rsidR="00000000" w:rsidRDefault="00477EE8">
      <w:pPr>
        <w:divId w:val="1336883471"/>
        <w:rPr>
          <w:rFonts w:eastAsia="Times New Roman"/>
        </w:rPr>
      </w:pPr>
      <w:r>
        <w:rPr>
          <w:rFonts w:eastAsia="Times New Roman"/>
          <w:sz w:val="20"/>
          <w:szCs w:val="20"/>
        </w:rPr>
        <w:t>•</w:t>
      </w:r>
    </w:p>
    <w:p w:rsidR="00000000" w:rsidRDefault="00477EE8">
      <w:pPr>
        <w:divId w:val="1866672653"/>
        <w:rPr>
          <w:rFonts w:eastAsia="Times New Roman"/>
        </w:rPr>
      </w:pPr>
      <w:r>
        <w:rPr>
          <w:rFonts w:eastAsia="Times New Roman"/>
          <w:sz w:val="20"/>
          <w:szCs w:val="20"/>
        </w:rPr>
        <w:t>the federal Anti-Kickback Statute, which generally prohibits knowingly and willfully offering, paying, soliciting or receiving remuneration, directly or indirectly, in return for or to induce a person to refer to an individual any good, facility, item or s</w:t>
      </w:r>
      <w:r>
        <w:rPr>
          <w:rFonts w:eastAsia="Times New Roman"/>
          <w:sz w:val="20"/>
          <w:szCs w:val="20"/>
        </w:rPr>
        <w:t>ervice that is reimbursable under a federal health care program</w:t>
      </w:r>
      <w:r>
        <w:rPr>
          <w:rFonts w:eastAsia="Times New Roman"/>
          <w:sz w:val="20"/>
          <w:szCs w:val="20"/>
        </w:rPr>
        <w:t>;</w:t>
      </w:r>
    </w:p>
    <w:p w:rsidR="00000000" w:rsidRDefault="00477EE8">
      <w:pPr>
        <w:divId w:val="939918985"/>
        <w:rPr>
          <w:rFonts w:eastAsia="Times New Roman"/>
        </w:rPr>
      </w:pPr>
      <w:r>
        <w:rPr>
          <w:rFonts w:eastAsia="Times New Roman"/>
          <w:sz w:val="20"/>
          <w:szCs w:val="20"/>
        </w:rPr>
        <w:t>•</w:t>
      </w:r>
    </w:p>
    <w:p w:rsidR="00000000" w:rsidRDefault="00477EE8">
      <w:pPr>
        <w:divId w:val="154958975"/>
        <w:rPr>
          <w:rFonts w:eastAsia="Times New Roman"/>
        </w:rPr>
      </w:pPr>
      <w:r>
        <w:rPr>
          <w:rFonts w:eastAsia="Times New Roman"/>
          <w:sz w:val="20"/>
          <w:szCs w:val="20"/>
        </w:rPr>
        <w:t>the federal Stark Law, which generally prohibits a physician from making a referral for certain designated health services covered by the Medicare program, including laboratory and patholog</w:t>
      </w:r>
      <w:r>
        <w:rPr>
          <w:rFonts w:eastAsia="Times New Roman"/>
          <w:sz w:val="20"/>
          <w:szCs w:val="20"/>
        </w:rPr>
        <w:t>y services, if the physician or an immediate family member has a financial relationship with the entity providing the designated health services</w:t>
      </w:r>
      <w:r>
        <w:rPr>
          <w:rFonts w:eastAsia="Times New Roman"/>
          <w:sz w:val="20"/>
          <w:szCs w:val="20"/>
        </w:rPr>
        <w:t>;</w:t>
      </w:r>
    </w:p>
    <w:p w:rsidR="00000000" w:rsidRDefault="00477EE8">
      <w:pPr>
        <w:divId w:val="1406605299"/>
        <w:rPr>
          <w:rFonts w:eastAsia="Times New Roman"/>
        </w:rPr>
      </w:pPr>
      <w:r>
        <w:rPr>
          <w:rFonts w:eastAsia="Times New Roman"/>
          <w:sz w:val="20"/>
          <w:szCs w:val="20"/>
        </w:rPr>
        <w:t>•</w:t>
      </w:r>
    </w:p>
    <w:p w:rsidR="00000000" w:rsidRDefault="00477EE8">
      <w:pPr>
        <w:divId w:val="1113594670"/>
        <w:rPr>
          <w:rFonts w:eastAsia="Times New Roman"/>
        </w:rPr>
      </w:pPr>
      <w:r>
        <w:rPr>
          <w:rFonts w:eastAsia="Times New Roman"/>
          <w:sz w:val="20"/>
          <w:szCs w:val="20"/>
        </w:rPr>
        <w:t>the federal False Claims Act, which imposes civil penalties, and provides for civil whistleblower or qui tam</w:t>
      </w:r>
      <w:r>
        <w:rPr>
          <w:rFonts w:eastAsia="Times New Roman"/>
          <w:sz w:val="20"/>
          <w:szCs w:val="20"/>
        </w:rPr>
        <w:t xml:space="preserve"> actions, against individuals or entities for knowingly presenting, or causing to be presented, to the federal government, claims for payment that are false or fraudulent or making a false statement to avoid, decrease or conceal an obligation to pay money </w:t>
      </w:r>
      <w:r>
        <w:rPr>
          <w:rFonts w:eastAsia="Times New Roman"/>
          <w:sz w:val="20"/>
          <w:szCs w:val="20"/>
        </w:rPr>
        <w:t>to the federal government</w:t>
      </w:r>
      <w:r>
        <w:rPr>
          <w:rFonts w:eastAsia="Times New Roman"/>
          <w:sz w:val="20"/>
          <w:szCs w:val="20"/>
        </w:rPr>
        <w:t>;</w:t>
      </w:r>
    </w:p>
    <w:p w:rsidR="00000000" w:rsidRDefault="00477EE8">
      <w:pPr>
        <w:divId w:val="1181548758"/>
        <w:rPr>
          <w:rFonts w:eastAsia="Times New Roman"/>
        </w:rPr>
      </w:pPr>
      <w:r>
        <w:rPr>
          <w:rFonts w:eastAsia="Times New Roman"/>
          <w:sz w:val="20"/>
          <w:szCs w:val="20"/>
        </w:rPr>
        <w:t>•</w:t>
      </w:r>
    </w:p>
    <w:p w:rsidR="00000000" w:rsidRDefault="00477EE8">
      <w:pPr>
        <w:divId w:val="1360935915"/>
        <w:rPr>
          <w:rFonts w:eastAsia="Times New Roman"/>
        </w:rPr>
      </w:pPr>
      <w:r>
        <w:rPr>
          <w:rFonts w:eastAsia="Times New Roman"/>
          <w:sz w:val="20"/>
          <w:szCs w:val="20"/>
        </w:rPr>
        <w:t>the federal Civil Monetary Penalties Law, which generally prohibits, among other things, the offering or transfer of remuneration to a Medicare or Medicaid beneficiary if it is likely to influence the beneficiary’s selection of</w:t>
      </w:r>
      <w:r>
        <w:rPr>
          <w:rFonts w:eastAsia="Times New Roman"/>
          <w:sz w:val="20"/>
          <w:szCs w:val="20"/>
        </w:rPr>
        <w:t xml:space="preserve"> a particular provider, practitioner or supplier of services reimbursable by Medicare or Medicaid</w:t>
      </w:r>
      <w:r>
        <w:rPr>
          <w:rFonts w:eastAsia="Times New Roman"/>
          <w:sz w:val="20"/>
          <w:szCs w:val="20"/>
        </w:rPr>
        <w:t>;</w:t>
      </w:r>
    </w:p>
    <w:p w:rsidR="00000000" w:rsidRDefault="00477EE8">
      <w:pPr>
        <w:divId w:val="1037776476"/>
        <w:rPr>
          <w:rFonts w:eastAsia="Times New Roman"/>
        </w:rPr>
      </w:pPr>
      <w:r>
        <w:rPr>
          <w:rFonts w:eastAsia="Times New Roman"/>
          <w:sz w:val="20"/>
          <w:szCs w:val="20"/>
        </w:rPr>
        <w:t>•</w:t>
      </w:r>
    </w:p>
    <w:p w:rsidR="00000000" w:rsidRDefault="00477EE8">
      <w:pPr>
        <w:divId w:val="558250673"/>
        <w:rPr>
          <w:rFonts w:eastAsia="Times New Roman"/>
        </w:rPr>
      </w:pPr>
      <w:r>
        <w:rPr>
          <w:rFonts w:eastAsia="Times New Roman"/>
          <w:sz w:val="20"/>
          <w:szCs w:val="20"/>
        </w:rPr>
        <w:t xml:space="preserve">the Eliminating Kickbacks in Recovery Act of 2018, or EKRA, which imposes criminal penalties for knowing or willful payment or offer, or solicitation or receipt, of any remuneration, whether directly or indirectly, overtly or covertly, in cash or in kind, </w:t>
      </w:r>
      <w:r>
        <w:rPr>
          <w:rFonts w:eastAsia="Times New Roman"/>
          <w:sz w:val="20"/>
          <w:szCs w:val="20"/>
        </w:rPr>
        <w:t>in exchange for the referral or inducement of laboratory testing (among other health care services) covered by health care benefit programs (including commercial insurers) unless a specific exception applies</w:t>
      </w:r>
      <w:r>
        <w:rPr>
          <w:rFonts w:eastAsia="Times New Roman"/>
          <w:sz w:val="20"/>
          <w:szCs w:val="20"/>
        </w:rPr>
        <w:t>;</w:t>
      </w:r>
    </w:p>
    <w:p w:rsidR="00000000" w:rsidRDefault="00477EE8">
      <w:pPr>
        <w:divId w:val="325018515"/>
        <w:rPr>
          <w:rFonts w:eastAsia="Times New Roman"/>
        </w:rPr>
      </w:pPr>
      <w:r>
        <w:rPr>
          <w:rFonts w:eastAsia="Times New Roman"/>
          <w:sz w:val="20"/>
          <w:szCs w:val="20"/>
        </w:rPr>
        <w:t>•</w:t>
      </w:r>
    </w:p>
    <w:p w:rsidR="00000000" w:rsidRDefault="00477EE8">
      <w:pPr>
        <w:divId w:val="283007416"/>
        <w:rPr>
          <w:rFonts w:eastAsia="Times New Roman"/>
        </w:rPr>
      </w:pPr>
      <w:r>
        <w:rPr>
          <w:rFonts w:eastAsia="Times New Roman"/>
          <w:sz w:val="20"/>
          <w:szCs w:val="20"/>
        </w:rPr>
        <w:t>the Affordable Care Act, or ACA, which, among</w:t>
      </w:r>
      <w:r>
        <w:rPr>
          <w:rFonts w:eastAsia="Times New Roman"/>
          <w:sz w:val="20"/>
          <w:szCs w:val="20"/>
        </w:rPr>
        <w:t xml:space="preserve"> other things, establishes a requirement for providers and suppliers to report and return any overpayments received from the Medicare and Medicaid programs</w:t>
      </w:r>
      <w:r>
        <w:rPr>
          <w:rFonts w:eastAsia="Times New Roman"/>
          <w:sz w:val="20"/>
          <w:szCs w:val="20"/>
        </w:rPr>
        <w:t>;</w:t>
      </w:r>
    </w:p>
    <w:p w:rsidR="00000000" w:rsidRDefault="00477EE8">
      <w:pPr>
        <w:divId w:val="102387128"/>
        <w:rPr>
          <w:rFonts w:eastAsia="Times New Roman"/>
        </w:rPr>
      </w:pPr>
      <w:r>
        <w:rPr>
          <w:rFonts w:eastAsia="Times New Roman"/>
          <w:sz w:val="20"/>
          <w:szCs w:val="20"/>
        </w:rPr>
        <w:t>•</w:t>
      </w:r>
    </w:p>
    <w:p w:rsidR="00000000" w:rsidRDefault="00477EE8">
      <w:pPr>
        <w:divId w:val="716272371"/>
        <w:rPr>
          <w:rFonts w:eastAsia="Times New Roman"/>
        </w:rPr>
      </w:pPr>
      <w:r>
        <w:rPr>
          <w:rFonts w:eastAsia="Times New Roman"/>
          <w:sz w:val="20"/>
          <w:szCs w:val="20"/>
        </w:rPr>
        <w:t>other federal and state fraud and abuse laws, such as anti-kickback laws, prohibitions on self-re</w:t>
      </w:r>
      <w:r>
        <w:rPr>
          <w:rFonts w:eastAsia="Times New Roman"/>
          <w:sz w:val="20"/>
          <w:szCs w:val="20"/>
        </w:rPr>
        <w:t xml:space="preserve">ferral, fee-splitting restrictions, insurance fraud laws, anti-markup laws, prohibitions on the provision of tests at no or discounted cost to induce physician or patient adoption and false claims acts, some of which may extend to services reimbursable by </w:t>
      </w:r>
      <w:r>
        <w:rPr>
          <w:rFonts w:eastAsia="Times New Roman"/>
          <w:sz w:val="20"/>
          <w:szCs w:val="20"/>
        </w:rPr>
        <w:t>any third-party payor, including private payors</w:t>
      </w:r>
      <w:r>
        <w:rPr>
          <w:rFonts w:eastAsia="Times New Roman"/>
          <w:sz w:val="20"/>
          <w:szCs w:val="20"/>
        </w:rPr>
        <w:t>;</w:t>
      </w:r>
    </w:p>
    <w:p w:rsidR="00000000" w:rsidRDefault="00477EE8">
      <w:pPr>
        <w:divId w:val="824735271"/>
        <w:rPr>
          <w:rFonts w:eastAsia="Times New Roman"/>
        </w:rPr>
      </w:pPr>
      <w:r>
        <w:rPr>
          <w:rFonts w:eastAsia="Times New Roman"/>
          <w:sz w:val="20"/>
          <w:szCs w:val="20"/>
        </w:rPr>
        <w:t>•</w:t>
      </w:r>
    </w:p>
    <w:p w:rsidR="00000000" w:rsidRDefault="00477EE8">
      <w:pPr>
        <w:divId w:val="591859351"/>
        <w:rPr>
          <w:rFonts w:eastAsia="Times New Roman"/>
        </w:rPr>
      </w:pPr>
      <w:r>
        <w:rPr>
          <w:rFonts w:eastAsia="Times New Roman"/>
          <w:sz w:val="20"/>
          <w:szCs w:val="20"/>
        </w:rPr>
        <w:t>the federal Physician Payments Sunshine Act and various state laws on reporting relationships with health care providers and customers, which could be determined to apply to our LDTs</w:t>
      </w:r>
      <w:r>
        <w:rPr>
          <w:rFonts w:eastAsia="Times New Roman"/>
          <w:sz w:val="20"/>
          <w:szCs w:val="20"/>
        </w:rPr>
        <w:t>;</w:t>
      </w:r>
    </w:p>
    <w:p w:rsidR="00000000" w:rsidRDefault="00477EE8">
      <w:pPr>
        <w:divId w:val="1992518754"/>
        <w:rPr>
          <w:rFonts w:eastAsia="Times New Roman"/>
        </w:rPr>
      </w:pPr>
      <w:r>
        <w:rPr>
          <w:rFonts w:eastAsia="Times New Roman"/>
          <w:sz w:val="20"/>
          <w:szCs w:val="20"/>
        </w:rPr>
        <w:t>•</w:t>
      </w:r>
    </w:p>
    <w:p w:rsidR="00000000" w:rsidRDefault="00477EE8">
      <w:pPr>
        <w:divId w:val="1865828026"/>
        <w:rPr>
          <w:rFonts w:eastAsia="Times New Roman"/>
        </w:rPr>
      </w:pPr>
      <w:r>
        <w:rPr>
          <w:rFonts w:eastAsia="Times New Roman"/>
          <w:sz w:val="20"/>
          <w:szCs w:val="20"/>
        </w:rPr>
        <w:t xml:space="preserve">the prohibition on </w:t>
      </w:r>
      <w:r>
        <w:rPr>
          <w:rFonts w:eastAsia="Times New Roman"/>
          <w:sz w:val="20"/>
          <w:szCs w:val="20"/>
        </w:rPr>
        <w:t>reassignment of Medicare claims and other Medicare and Medicaid billing and coverage requirements</w:t>
      </w:r>
      <w:r>
        <w:rPr>
          <w:rFonts w:eastAsia="Times New Roman"/>
          <w:sz w:val="20"/>
          <w:szCs w:val="20"/>
        </w:rPr>
        <w:t>;</w:t>
      </w:r>
    </w:p>
    <w:p w:rsidR="00000000" w:rsidRDefault="00477EE8">
      <w:pPr>
        <w:divId w:val="784925615"/>
        <w:rPr>
          <w:rFonts w:eastAsia="Times New Roman"/>
        </w:rPr>
      </w:pPr>
      <w:r>
        <w:rPr>
          <w:rFonts w:eastAsia="Times New Roman"/>
          <w:sz w:val="20"/>
          <w:szCs w:val="20"/>
        </w:rPr>
        <w:t>•</w:t>
      </w:r>
    </w:p>
    <w:p w:rsidR="00000000" w:rsidRDefault="00477EE8">
      <w:pPr>
        <w:divId w:val="354968107"/>
        <w:rPr>
          <w:rFonts w:eastAsia="Times New Roman"/>
        </w:rPr>
      </w:pPr>
      <w:r>
        <w:rPr>
          <w:rFonts w:eastAsia="Times New Roman"/>
          <w:sz w:val="20"/>
          <w:szCs w:val="20"/>
        </w:rPr>
        <w:t>state laws that prohibit other specified healthcare practices, such as billing physicians for tests that they order, waiving coinsurance, copayments, deduc</w:t>
      </w:r>
      <w:r>
        <w:rPr>
          <w:rFonts w:eastAsia="Times New Roman"/>
          <w:sz w:val="20"/>
          <w:szCs w:val="20"/>
        </w:rPr>
        <w:t>tibles and other amounts owed by patients, business corporations practicing medicine or employing or engaging physicians to practice medicine and billing a state Medicaid program at a price that is higher than what is charged to one or more other payors</w:t>
      </w:r>
      <w:r>
        <w:rPr>
          <w:rFonts w:eastAsia="Times New Roman"/>
          <w:sz w:val="20"/>
          <w:szCs w:val="20"/>
        </w:rPr>
        <w:t>;</w:t>
      </w:r>
    </w:p>
    <w:p w:rsidR="00000000" w:rsidRDefault="00477EE8">
      <w:pPr>
        <w:divId w:val="398094100"/>
        <w:rPr>
          <w:rFonts w:eastAsia="Times New Roman"/>
        </w:rPr>
      </w:pPr>
      <w:r>
        <w:rPr>
          <w:rFonts w:eastAsia="Times New Roman"/>
          <w:sz w:val="20"/>
          <w:szCs w:val="20"/>
        </w:rPr>
        <w:t>•</w:t>
      </w:r>
    </w:p>
    <w:p w:rsidR="00000000" w:rsidRDefault="00477EE8">
      <w:pPr>
        <w:divId w:val="1781878700"/>
        <w:rPr>
          <w:rFonts w:eastAsia="Times New Roman"/>
        </w:rPr>
      </w:pPr>
      <w:r>
        <w:rPr>
          <w:rFonts w:eastAsia="Times New Roman"/>
          <w:sz w:val="20"/>
          <w:szCs w:val="20"/>
        </w:rPr>
        <w:t>the U.S. Foreign Corrupt Practices Act, or FCPA, and applicable foreign anti-bribery laws</w:t>
      </w:r>
      <w:r>
        <w:rPr>
          <w:rFonts w:eastAsia="Times New Roman"/>
          <w:sz w:val="20"/>
          <w:szCs w:val="20"/>
        </w:rPr>
        <w:t>;</w:t>
      </w:r>
    </w:p>
    <w:p w:rsidR="00000000" w:rsidRDefault="00477EE8">
      <w:pPr>
        <w:divId w:val="1665011072"/>
        <w:rPr>
          <w:rFonts w:eastAsia="Times New Roman"/>
        </w:rPr>
      </w:pPr>
      <w:r>
        <w:rPr>
          <w:rFonts w:eastAsia="Times New Roman"/>
          <w:sz w:val="20"/>
          <w:szCs w:val="20"/>
        </w:rPr>
        <w:t>•</w:t>
      </w:r>
    </w:p>
    <w:p w:rsidR="00000000" w:rsidRDefault="00477EE8">
      <w:pPr>
        <w:divId w:val="1804614072"/>
        <w:rPr>
          <w:rFonts w:eastAsia="Times New Roman"/>
        </w:rPr>
      </w:pPr>
      <w:r>
        <w:rPr>
          <w:rFonts w:eastAsia="Times New Roman"/>
          <w:sz w:val="20"/>
          <w:szCs w:val="20"/>
        </w:rPr>
        <w:t>federal, state and local regulations relating to the handling and disposal of regulated medical waste, hazardous waste and biohazardous waste and workplace safety</w:t>
      </w:r>
      <w:r>
        <w:rPr>
          <w:rFonts w:eastAsia="Times New Roman"/>
          <w:sz w:val="20"/>
          <w:szCs w:val="20"/>
        </w:rPr>
        <w:t xml:space="preserve"> for healthcare employees</w:t>
      </w:r>
      <w:r>
        <w:rPr>
          <w:rFonts w:eastAsia="Times New Roman"/>
          <w:sz w:val="20"/>
          <w:szCs w:val="20"/>
        </w:rPr>
        <w:t>;</w:t>
      </w:r>
    </w:p>
    <w:p w:rsidR="00000000" w:rsidRDefault="00477EE8">
      <w:pPr>
        <w:divId w:val="1484010653"/>
        <w:rPr>
          <w:rFonts w:eastAsia="Times New Roman"/>
        </w:rPr>
      </w:pPr>
      <w:r>
        <w:rPr>
          <w:rFonts w:eastAsia="Times New Roman"/>
          <w:sz w:val="20"/>
          <w:szCs w:val="20"/>
        </w:rPr>
        <w:t>•</w:t>
      </w:r>
    </w:p>
    <w:p w:rsidR="00000000" w:rsidRDefault="00477EE8">
      <w:pPr>
        <w:divId w:val="2060279520"/>
        <w:rPr>
          <w:rFonts w:eastAsia="Times New Roman"/>
        </w:rPr>
      </w:pPr>
      <w:r>
        <w:rPr>
          <w:rFonts w:eastAsia="Times New Roman"/>
          <w:sz w:val="20"/>
          <w:szCs w:val="20"/>
        </w:rPr>
        <w:t>laws and regulations relating to health and safety, labor and employment, public reporting, taxation and other areas applicable to businesses generally, all of which are subject to change, including, for example, the significan</w:t>
      </w:r>
      <w:r>
        <w:rPr>
          <w:rFonts w:eastAsia="Times New Roman"/>
          <w:sz w:val="20"/>
          <w:szCs w:val="20"/>
        </w:rPr>
        <w:t>t changes to the taxation of business entities were enacted in December 2017; an</w:t>
      </w:r>
      <w:r>
        <w:rPr>
          <w:rFonts w:eastAsia="Times New Roman"/>
          <w:sz w:val="20"/>
          <w:szCs w:val="20"/>
        </w:rPr>
        <w:t>d</w:t>
      </w:r>
    </w:p>
    <w:p w:rsidR="00000000" w:rsidRDefault="00477EE8">
      <w:pPr>
        <w:divId w:val="1787694477"/>
        <w:rPr>
          <w:rFonts w:eastAsia="Times New Roman"/>
        </w:rPr>
      </w:pPr>
      <w:r>
        <w:rPr>
          <w:rFonts w:eastAsia="Times New Roman"/>
          <w:sz w:val="20"/>
          <w:szCs w:val="20"/>
        </w:rPr>
        <w:t>•</w:t>
      </w:r>
    </w:p>
    <w:p w:rsidR="00000000" w:rsidRDefault="00477EE8">
      <w:pPr>
        <w:divId w:val="133449165"/>
        <w:rPr>
          <w:rFonts w:eastAsia="Times New Roman"/>
        </w:rPr>
      </w:pPr>
      <w:r>
        <w:rPr>
          <w:rFonts w:eastAsia="Times New Roman"/>
          <w:sz w:val="20"/>
          <w:szCs w:val="20"/>
        </w:rPr>
        <w:t>similar foreign laws and regulations that apply to us in the countries in which we operate or may operate in the future</w:t>
      </w:r>
      <w:r>
        <w:rPr>
          <w:rFonts w:eastAsia="Times New Roman"/>
          <w:sz w:val="20"/>
          <w:szCs w:val="20"/>
        </w:rPr>
        <w:t>.</w:t>
      </w:r>
    </w:p>
    <w:p w:rsidR="00000000" w:rsidRDefault="00477EE8">
      <w:pPr>
        <w:pStyle w:val="a3"/>
        <w:spacing w:before="240" w:beforeAutospacing="0" w:after="0" w:afterAutospacing="0"/>
        <w:ind w:firstLine="555"/>
        <w:rPr>
          <w:sz w:val="20"/>
          <w:szCs w:val="20"/>
        </w:rPr>
      </w:pPr>
      <w:r>
        <w:rPr>
          <w:sz w:val="20"/>
          <w:szCs w:val="20"/>
        </w:rPr>
        <w:t>The genetic testing industry is currently under a h</w:t>
      </w:r>
      <w:r>
        <w:rPr>
          <w:sz w:val="20"/>
          <w:szCs w:val="20"/>
        </w:rPr>
        <w:t>igh degree of government scrutiny. The Office of Inspector General for the Department of Health and Human Services and a variety of states’ Attorneys General have issued fraud alerts regarding a variety of cancer genetic testing fraud schemes, and the Depa</w:t>
      </w:r>
      <w:r>
        <w:rPr>
          <w:sz w:val="20"/>
          <w:szCs w:val="20"/>
        </w:rPr>
        <w:t>rtment of Justice has announced indictments and guilty pleas in such fraud schemes involving a variety of individuals and entities, including genetic testing and other laboratories, physicians who ordered genetic testing for a large volume of patients with</w:t>
      </w:r>
      <w:r>
        <w:rPr>
          <w:sz w:val="20"/>
          <w:szCs w:val="20"/>
        </w:rPr>
        <w:t>out treating them, and third parties who arranged for the genetic testing by approaching patients through telemarketing calls, booths at public events, health fairs, and door-to-door visits. These individuals then shared the proceeds received from Medicare</w:t>
      </w:r>
      <w:r>
        <w:rPr>
          <w:sz w:val="20"/>
          <w:szCs w:val="20"/>
        </w:rPr>
        <w:t>, TRICARE, and other third-party payors, and these activities allegedly violated the federal Anti-Kickback Statute and other criminal laws. This increased regulatory scrutiny could decrease demand for our testing services or increase our costs of regulator</w:t>
      </w:r>
      <w:r>
        <w:rPr>
          <w:sz w:val="20"/>
          <w:szCs w:val="20"/>
        </w:rPr>
        <w:t>y compliance, either of which could have a material adverse effect on our business</w:t>
      </w:r>
      <w:r>
        <w:rPr>
          <w:sz w:val="20"/>
          <w:szCs w:val="20"/>
        </w:rPr>
        <w:t>.</w:t>
      </w:r>
    </w:p>
    <w:p w:rsidR="00000000" w:rsidRDefault="00477EE8">
      <w:pPr>
        <w:pStyle w:val="a3"/>
        <w:spacing w:before="240" w:beforeAutospacing="0" w:after="0" w:afterAutospacing="0"/>
        <w:jc w:val="center"/>
        <w:rPr>
          <w:sz w:val="20"/>
          <w:szCs w:val="20"/>
        </w:rPr>
      </w:pPr>
      <w:r>
        <w:rPr>
          <w:sz w:val="20"/>
          <w:szCs w:val="20"/>
        </w:rPr>
        <w:t>3</w:t>
      </w:r>
      <w:r>
        <w:rPr>
          <w:sz w:val="20"/>
          <w:szCs w:val="20"/>
        </w:rPr>
        <w:t>3</w:t>
      </w:r>
    </w:p>
    <w:p w:rsidR="00000000" w:rsidRDefault="00477EE8">
      <w:pPr>
        <w:rPr>
          <w:rFonts w:eastAsia="Times New Roman"/>
        </w:rPr>
      </w:pPr>
      <w:r>
        <w:rPr>
          <w:rFonts w:eastAsia="Times New Roman"/>
        </w:rPr>
        <w:pict>
          <v:rect id="_x0000_i1072" style="width:0;height:1.5pt" o:hralign="center" o:hrstd="t" o:hr="t" fillcolor="#a0a0a0" stroked="f"/>
        </w:pict>
      </w:r>
    </w:p>
    <w:p w:rsidR="00000000" w:rsidRDefault="00477EE8">
      <w:pPr>
        <w:pStyle w:val="a3"/>
        <w:spacing w:before="240" w:beforeAutospacing="0" w:after="0" w:afterAutospacing="0"/>
        <w:ind w:firstLine="555"/>
        <w:rPr>
          <w:sz w:val="20"/>
          <w:szCs w:val="20"/>
        </w:rPr>
      </w:pPr>
      <w:r>
        <w:rPr>
          <w:sz w:val="20"/>
          <w:szCs w:val="20"/>
        </w:rPr>
        <w:t>Any future growth of our business, including, in particular, growth of our international business and continued reliance on consulta</w:t>
      </w:r>
      <w:r>
        <w:rPr>
          <w:sz w:val="20"/>
          <w:szCs w:val="20"/>
        </w:rPr>
        <w:t>nts, commercial partners and other third parties, may increase the potential for violating these laws. In some cases, our risk of violating these or other laws and regulations is further increased because of the lack of their complete interpretation by app</w:t>
      </w:r>
      <w:r>
        <w:rPr>
          <w:sz w:val="20"/>
          <w:szCs w:val="20"/>
        </w:rPr>
        <w:t>licable regulatory authorities or courts, and their provisions are thus open to a variety of interpretations. Our Picture Genetics line of at-home genetic test offerings are patient-initiated screening tests, which may receive greater scrutiny from regulat</w:t>
      </w:r>
      <w:r>
        <w:rPr>
          <w:sz w:val="20"/>
          <w:szCs w:val="20"/>
        </w:rPr>
        <w:t>ory authorities than our traditional testing services that are offered directly to health care providers</w:t>
      </w:r>
      <w:r>
        <w:rPr>
          <w:sz w:val="20"/>
          <w:szCs w:val="20"/>
        </w:rPr>
        <w:t>.</w:t>
      </w:r>
    </w:p>
    <w:p w:rsidR="00000000" w:rsidRDefault="00477EE8">
      <w:pPr>
        <w:pStyle w:val="a3"/>
        <w:spacing w:before="240" w:beforeAutospacing="0" w:after="0" w:afterAutospacing="0"/>
        <w:ind w:firstLine="555"/>
        <w:rPr>
          <w:sz w:val="20"/>
          <w:szCs w:val="20"/>
        </w:rPr>
      </w:pPr>
      <w:r>
        <w:rPr>
          <w:sz w:val="20"/>
          <w:szCs w:val="20"/>
        </w:rPr>
        <w:t>We have adopted policies and procedures designed to comply with these laws and regulations and, in the ordinary course of our business, we conduct int</w:t>
      </w:r>
      <w:r>
        <w:rPr>
          <w:sz w:val="20"/>
          <w:szCs w:val="20"/>
        </w:rPr>
        <w:t>ernal reviews of our compliance with these laws. Our compliance is also subject to review by applicable government agencies. It is not always possible to identify and deter misconduct by employees, distributors, consultants and commercial partners, and the</w:t>
      </w:r>
      <w:r>
        <w:rPr>
          <w:sz w:val="20"/>
          <w:szCs w:val="20"/>
        </w:rPr>
        <w:t xml:space="preserve"> precautions we take to detect and prevent this activity may not be effective in controlling unknown or unmanaged risks or losses or in protecting us from government investigations or other actions or lawsuits stemming from a failure to comply with applica</w:t>
      </w:r>
      <w:r>
        <w:rPr>
          <w:sz w:val="20"/>
          <w:szCs w:val="20"/>
        </w:rPr>
        <w:t xml:space="preserve">ble laws or regulations. Any action brought against us for violation of these or other laws or regulations, even if we successfully defend against it, could cause us to incur significant legal expenses, divert our management’s attention from the operation </w:t>
      </w:r>
      <w:r>
        <w:rPr>
          <w:sz w:val="20"/>
          <w:szCs w:val="20"/>
        </w:rPr>
        <w:t>of our business and materially harm our reputation. If our operations, including the conduct of our employees, consultants and commercial partners, are found to be in violation of any of these laws and regulations, we may be subject to applicable penalties</w:t>
      </w:r>
      <w:r>
        <w:rPr>
          <w:sz w:val="20"/>
          <w:szCs w:val="20"/>
        </w:rPr>
        <w:t xml:space="preserve"> associated with the violation, including administrative, civil and criminal penalties, damages, fines, individual imprisonment, exclusion from participation in federal healthcare programs, refunding of payments received by us and curtailment or cessation </w:t>
      </w:r>
      <w:r>
        <w:rPr>
          <w:sz w:val="20"/>
          <w:szCs w:val="20"/>
        </w:rPr>
        <w:t>of our operations, which could materially harm our reputation, business, prospects or results of operations</w:t>
      </w:r>
      <w:r>
        <w:rPr>
          <w:sz w:val="20"/>
          <w:szCs w:val="20"/>
        </w:rPr>
        <w:t>.</w:t>
      </w:r>
      <w:r>
        <w:rPr>
          <w:sz w:val="20"/>
          <w:szCs w:val="20"/>
        </w:rPr>
        <w:t xml:space="preserve"> </w:t>
      </w:r>
    </w:p>
    <w:p w:rsidR="00000000" w:rsidRDefault="00477EE8">
      <w:pPr>
        <w:pStyle w:val="a3"/>
        <w:spacing w:before="360" w:beforeAutospacing="0" w:after="0" w:afterAutospacing="0"/>
        <w:rPr>
          <w:sz w:val="20"/>
          <w:szCs w:val="20"/>
        </w:rPr>
      </w:pPr>
      <w:r>
        <w:rPr>
          <w:b/>
          <w:bCs/>
          <w:sz w:val="20"/>
          <w:szCs w:val="20"/>
        </w:rPr>
        <w:t xml:space="preserve">We may be required to modify our business practices, pay fines, incur significant expenses or experience losses due to litigation or governmental </w:t>
      </w:r>
      <w:r>
        <w:rPr>
          <w:b/>
          <w:bCs/>
          <w:sz w:val="20"/>
          <w:szCs w:val="20"/>
        </w:rPr>
        <w:t>investigations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From time to time and in the ordinary course of our business, we have been and again may be subject to litigation or governmental investigation on a variety of matters in the United States or foreign jurisdictions, including, without limitation, regulatory</w:t>
      </w:r>
      <w:r>
        <w:rPr>
          <w:sz w:val="20"/>
          <w:szCs w:val="20"/>
        </w:rPr>
        <w:t>, intellectual property, product liability, antitrust, consumer, false claims, whistleblower, Qui Tam, privacy, anti-kickback, anti-bribery, environmental, commercial, securities and employment litigation and claims and other legal proceedings that may ari</w:t>
      </w:r>
      <w:r>
        <w:rPr>
          <w:sz w:val="20"/>
          <w:szCs w:val="20"/>
        </w:rPr>
        <w:t>se from the conduct of our business. Our activities relating to our products and services are subject to extensive regulation in the United States and foreign jurisdictions. Like many companies in our industry, we have in the ordinary course of business re</w:t>
      </w:r>
      <w:r>
        <w:rPr>
          <w:sz w:val="20"/>
          <w:szCs w:val="20"/>
        </w:rPr>
        <w:t>ceived inquiries, subpoenas, civil investigative demand, or CIDs, and other types of information requests from government authorities. As previously disclosed, we have received a CID issued by the U.S. Department of Justice pursuant to the False Claims Act</w:t>
      </w:r>
      <w:r>
        <w:rPr>
          <w:sz w:val="20"/>
          <w:szCs w:val="20"/>
        </w:rPr>
        <w:t xml:space="preserve"> related to its investigation of allegations of medically unnecessary laboratory testing, improper billing for laboratory testing, and remuneration received or provided in violation of the Anti-Kickback Statute and the Stark Law. This CID requests informat</w:t>
      </w:r>
      <w:r>
        <w:rPr>
          <w:sz w:val="20"/>
          <w:szCs w:val="20"/>
        </w:rPr>
        <w:t xml:space="preserve">ion and records relating to certain of our customers named in the CID, which represent a small portion of our revenues. As we also disclosed in prior filings, we are also aware that the SEC is conducting a non-public formal investigation, which appears to </w:t>
      </w:r>
      <w:r>
        <w:rPr>
          <w:sz w:val="20"/>
          <w:szCs w:val="20"/>
        </w:rPr>
        <w:t>relate to the matters raised in the CID requests and our Exchange Act reports filed for 2018 through 2020. We are fully cooperating with both the SEC and the U.S. Department of Justice and are responding promptly to their requests. We do not presently expe</w:t>
      </w:r>
      <w:r>
        <w:rPr>
          <w:sz w:val="20"/>
          <w:szCs w:val="20"/>
        </w:rPr>
        <w:t>ct these matters to have a material adverse impact on our business. However, we cannot predict when the investigations will be resolved, the outcome of the investigations, or the potential impact on our business, which may ultimately be greater than we exp</w:t>
      </w:r>
      <w:r>
        <w:rPr>
          <w:sz w:val="20"/>
          <w:szCs w:val="20"/>
        </w:rPr>
        <w:t>ect. In addition, government investigations and litigation generally may divert the attention of our management team and resources from our core business. As such, the time and attention of our management team in responding to these matters may limit their</w:t>
      </w:r>
      <w:r>
        <w:rPr>
          <w:sz w:val="20"/>
          <w:szCs w:val="20"/>
        </w:rPr>
        <w:t xml:space="preserve"> time available to devote to our business, and we may also incur significant expenses or experience losses in relation to these matters. As a result of these matters, we may also be required to alter the conduct of our operations or be subject to other pen</w:t>
      </w:r>
      <w:r>
        <w:rPr>
          <w:sz w:val="20"/>
          <w:szCs w:val="20"/>
        </w:rPr>
        <w:t>alties. Any of these circumstances may adversely affect our business, prospects, reputation and results of operations</w:t>
      </w:r>
      <w:r>
        <w:rPr>
          <w:sz w:val="20"/>
          <w:szCs w:val="20"/>
        </w:rPr>
        <w:t>.</w:t>
      </w:r>
      <w:r>
        <w:rPr>
          <w:sz w:val="20"/>
          <w:szCs w:val="20"/>
        </w:rPr>
        <w:t xml:space="preserve"> </w:t>
      </w:r>
    </w:p>
    <w:p w:rsidR="00000000" w:rsidRDefault="00477EE8">
      <w:pPr>
        <w:pStyle w:val="a3"/>
        <w:spacing w:before="360" w:beforeAutospacing="0" w:after="0" w:afterAutospacing="0"/>
        <w:rPr>
          <w:sz w:val="20"/>
          <w:szCs w:val="20"/>
        </w:rPr>
      </w:pPr>
      <w:r>
        <w:rPr>
          <w:b/>
          <w:bCs/>
          <w:sz w:val="20"/>
          <w:szCs w:val="20"/>
        </w:rPr>
        <w:t>Healthcare policy changes, including recently enacted and proposed new legislation reforming the U.S. healthcare system, could cause sig</w:t>
      </w:r>
      <w:r>
        <w:rPr>
          <w:b/>
          <w:bCs/>
          <w:sz w:val="20"/>
          <w:szCs w:val="20"/>
        </w:rPr>
        <w:t>nificant harm to our business, operations and financial condition</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The ACA made a number of substantial changes to the way healthcare is financed both by governmental and private payors. The ACA also introduced mechanisms to reduce the per capita rate of g</w:t>
      </w:r>
      <w:r>
        <w:rPr>
          <w:sz w:val="20"/>
          <w:szCs w:val="20"/>
        </w:rPr>
        <w:t>rowth in Medicare spending if expenditures exceed certain targets. Any such reductions could affect reimbursement payments for our tests. The ACA also contains a number of other provisions, including provisions governing enrollment in federal and state hea</w:t>
      </w:r>
      <w:r>
        <w:rPr>
          <w:sz w:val="20"/>
          <w:szCs w:val="20"/>
        </w:rPr>
        <w:t>lthcare programs, reimbursement matters and fraud and abuse, which we expect will impact our industry and our operations in ways that we cannot currently predict</w:t>
      </w:r>
      <w:r>
        <w:rPr>
          <w:sz w:val="20"/>
          <w:szCs w:val="20"/>
        </w:rPr>
        <w:t>.</w:t>
      </w:r>
    </w:p>
    <w:p w:rsidR="00000000" w:rsidRDefault="00477EE8">
      <w:pPr>
        <w:pStyle w:val="a3"/>
        <w:spacing w:before="240" w:beforeAutospacing="0" w:after="0" w:afterAutospacing="0"/>
        <w:ind w:firstLine="555"/>
        <w:rPr>
          <w:sz w:val="20"/>
          <w:szCs w:val="20"/>
        </w:rPr>
      </w:pPr>
      <w:r>
        <w:rPr>
          <w:sz w:val="20"/>
          <w:szCs w:val="20"/>
        </w:rPr>
        <w:t>In April 2014, Congress passed PAMA, which included substantial changes to the way in which c</w:t>
      </w:r>
      <w:r>
        <w:rPr>
          <w:sz w:val="20"/>
          <w:szCs w:val="20"/>
        </w:rPr>
        <w:t>linical laboratory services are be paid under Medicare Clinical Laboratory Fee Schedule. Under PAMA, certain clinical laboratories are required to periodically report to CMS private payor payment rates and volumes for their tests, and laboratories that fai</w:t>
      </w:r>
      <w:r>
        <w:rPr>
          <w:sz w:val="20"/>
          <w:szCs w:val="20"/>
        </w:rPr>
        <w:t>l to report the required payment information may be subject to substantial civil monetary penalties. Medicare reimbursement for clinical laboratory diagnostic tests is based on the weighted-median of the payments made by private payors for these tests, ren</w:t>
      </w:r>
      <w:r>
        <w:rPr>
          <w:sz w:val="20"/>
          <w:szCs w:val="20"/>
        </w:rPr>
        <w:t>dering private payor payment levels even more significant than in the past. As a result, future Medicare payments may fluctuate more often and become subject to th</w:t>
      </w:r>
      <w:r>
        <w:rPr>
          <w:sz w:val="20"/>
          <w:szCs w:val="20"/>
        </w:rPr>
        <w:t>e</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3</w:t>
      </w:r>
      <w:r>
        <w:rPr>
          <w:sz w:val="20"/>
          <w:szCs w:val="20"/>
        </w:rPr>
        <w:t>4</w:t>
      </w:r>
    </w:p>
    <w:p w:rsidR="00000000" w:rsidRDefault="00477EE8">
      <w:pPr>
        <w:rPr>
          <w:rFonts w:eastAsia="Times New Roman"/>
        </w:rPr>
      </w:pPr>
      <w:r>
        <w:rPr>
          <w:rFonts w:eastAsia="Times New Roman"/>
        </w:rPr>
        <w:pict>
          <v:rect id="_x0000_i1073" style="width:0;height:1.5pt" o:hralign="center" o:hrstd="t" o:hr="t" fillcolor="#a0a0a0" stroked="f"/>
        </w:pict>
      </w:r>
    </w:p>
    <w:p w:rsidR="00000000" w:rsidRDefault="00477EE8">
      <w:pPr>
        <w:pStyle w:val="a3"/>
        <w:spacing w:before="240" w:beforeAutospacing="0" w:after="0" w:afterAutospacing="0"/>
        <w:rPr>
          <w:sz w:val="20"/>
          <w:szCs w:val="20"/>
        </w:rPr>
      </w:pPr>
      <w:r>
        <w:rPr>
          <w:sz w:val="20"/>
          <w:szCs w:val="20"/>
        </w:rPr>
        <w:t>willingness of private payors to recognize the val</w:t>
      </w:r>
      <w:r>
        <w:rPr>
          <w:sz w:val="20"/>
          <w:szCs w:val="20"/>
        </w:rPr>
        <w:t>ue of diagnostic tests generally and any given test individually. The impact of this payment system on rates for our tests, including any current or future tests we may develop, is uncertain</w:t>
      </w:r>
      <w:r>
        <w:rPr>
          <w:sz w:val="20"/>
          <w:szCs w:val="20"/>
        </w:rPr>
        <w:t>.</w:t>
      </w:r>
    </w:p>
    <w:p w:rsidR="00000000" w:rsidRDefault="00477EE8">
      <w:pPr>
        <w:pStyle w:val="a3"/>
        <w:spacing w:before="240" w:beforeAutospacing="0" w:after="0" w:afterAutospacing="0"/>
        <w:ind w:firstLine="555"/>
        <w:rPr>
          <w:sz w:val="20"/>
          <w:szCs w:val="20"/>
        </w:rPr>
      </w:pPr>
      <w:r>
        <w:rPr>
          <w:sz w:val="20"/>
          <w:szCs w:val="20"/>
        </w:rPr>
        <w:t>Further, the impact on our business of the expansion of the fede</w:t>
      </w:r>
      <w:r>
        <w:rPr>
          <w:sz w:val="20"/>
          <w:szCs w:val="20"/>
        </w:rPr>
        <w:t>ral and state governments’ role in the U.S. healthcare industry generally, including the social, governmental and other pressures to reduce healthcare costs while expanding individual benefits, is uncertain. Any future changes or initiatives could have a m</w:t>
      </w:r>
      <w:r>
        <w:rPr>
          <w:sz w:val="20"/>
          <w:szCs w:val="20"/>
        </w:rPr>
        <w:t>aterially adverse effect on our business, financial condition, results of operations and cash flows</w:t>
      </w:r>
      <w:r>
        <w:rPr>
          <w:sz w:val="20"/>
          <w:szCs w:val="20"/>
        </w:rPr>
        <w:t>.</w:t>
      </w:r>
    </w:p>
    <w:p w:rsidR="00000000" w:rsidRDefault="00477EE8">
      <w:pPr>
        <w:pStyle w:val="a3"/>
        <w:spacing w:before="360" w:beforeAutospacing="0" w:after="0" w:afterAutospacing="0"/>
        <w:rPr>
          <w:sz w:val="20"/>
          <w:szCs w:val="20"/>
        </w:rPr>
      </w:pPr>
      <w:r>
        <w:rPr>
          <w:b/>
          <w:bCs/>
          <w:sz w:val="20"/>
          <w:szCs w:val="20"/>
        </w:rPr>
        <w:t>Changes in laws and regulations, or in their application, may adversely affect our business, financial condition and results of operations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The clinical la</w:t>
      </w:r>
      <w:r>
        <w:rPr>
          <w:sz w:val="20"/>
          <w:szCs w:val="20"/>
        </w:rPr>
        <w:t>boratory testing industry is highly regulated, and failure to comply with applicable regulatory, supervisory, accreditation, registration or licensing requirements may adversely affect our business, financial condition and results of operations. In particu</w:t>
      </w:r>
      <w:r>
        <w:rPr>
          <w:sz w:val="20"/>
          <w:szCs w:val="20"/>
        </w:rPr>
        <w:t xml:space="preserve">lar, the laws and regulations governing the marketing and research of clinical diagnostic testing are extremely complex and in many instances there are no clear regulatory or judicial interpretations of these laws and regulations, increasing the risk that </w:t>
      </w:r>
      <w:r>
        <w:rPr>
          <w:sz w:val="20"/>
          <w:szCs w:val="20"/>
        </w:rPr>
        <w:t>we may be found to be in violation of these laws</w:t>
      </w:r>
      <w:r>
        <w:rPr>
          <w:sz w:val="20"/>
          <w:szCs w:val="20"/>
        </w:rPr>
        <w:t>.</w:t>
      </w:r>
    </w:p>
    <w:p w:rsidR="00000000" w:rsidRDefault="00477EE8">
      <w:pPr>
        <w:pStyle w:val="a3"/>
        <w:spacing w:before="240" w:beforeAutospacing="0" w:after="0" w:afterAutospacing="0"/>
        <w:ind w:firstLine="555"/>
        <w:rPr>
          <w:sz w:val="20"/>
          <w:szCs w:val="20"/>
        </w:rPr>
      </w:pPr>
      <w:r>
        <w:rPr>
          <w:sz w:val="20"/>
          <w:szCs w:val="20"/>
        </w:rPr>
        <w:t>Furthermore, the genetic testing industry as a whole is a growing industry and regulatory agencies such as HHS or the FDA may apply heightened scrutiny to new developments in the field, or the U.S. Congress</w:t>
      </w:r>
      <w:r>
        <w:rPr>
          <w:sz w:val="20"/>
          <w:szCs w:val="20"/>
        </w:rPr>
        <w:t xml:space="preserve"> may do so. Since 2017, Congress has been working on legislation to create an LDT and IVD regulatory framework that would be separate and distinct from the existing medical device regulatory framework, and recent momentum appears to be building around a co</w:t>
      </w:r>
      <w:r>
        <w:rPr>
          <w:sz w:val="20"/>
          <w:szCs w:val="20"/>
        </w:rPr>
        <w:t xml:space="preserve">mprehensive bill called the VALID Act. The VALID Act would codify into law the term “in vitro clinical test” to create a new medical product category separate from medical devices, and bring all such products within the scope of the FDA’s oversight. It is </w:t>
      </w:r>
      <w:r>
        <w:rPr>
          <w:sz w:val="20"/>
          <w:szCs w:val="20"/>
        </w:rPr>
        <w:t>unclear whether the VALID Act would be passed by Congress in its current form or signed into law by President Biden</w:t>
      </w:r>
      <w:r>
        <w:rPr>
          <w:sz w:val="20"/>
          <w:szCs w:val="20"/>
        </w:rPr>
        <w:t>.</w:t>
      </w:r>
    </w:p>
    <w:p w:rsidR="00000000" w:rsidRDefault="00477EE8">
      <w:pPr>
        <w:pStyle w:val="a3"/>
        <w:spacing w:before="240" w:beforeAutospacing="0" w:after="0" w:afterAutospacing="0"/>
        <w:ind w:firstLine="555"/>
        <w:rPr>
          <w:sz w:val="20"/>
          <w:szCs w:val="20"/>
        </w:rPr>
      </w:pPr>
      <w:r>
        <w:rPr>
          <w:sz w:val="20"/>
          <w:szCs w:val="20"/>
        </w:rPr>
        <w:t>In addition, there has been a recent trend of increased U.S. federal and state regulation, scrutiny and enforcement relating to payments ma</w:t>
      </w:r>
      <w:r>
        <w:rPr>
          <w:sz w:val="20"/>
          <w:szCs w:val="20"/>
        </w:rPr>
        <w:t xml:space="preserve">de to referral sources, which are governed by laws and regulations including the Stark law, the federal Anti-Kickback Statute, the federal False Claims Act, as well as state equivalents of such laws. For example, EKRA was passed in October 2018 as part of </w:t>
      </w:r>
      <w:r>
        <w:rPr>
          <w:sz w:val="20"/>
          <w:szCs w:val="20"/>
        </w:rPr>
        <w:t>the Substance Use-Disorder Prevention that Promotes Opioid Recovery and Treatment for Patients and Communities Act. EKRA imposes criminal penalties for knowing or willful payment or offer, or solicitation or receipt, of any remuneration, whether directly o</w:t>
      </w:r>
      <w:r>
        <w:rPr>
          <w:sz w:val="20"/>
          <w:szCs w:val="20"/>
        </w:rPr>
        <w:t>r indirectly, overtly or covertly, in cash or in kind, in exchange for the referral or inducement of laboratory testing (among other health care services) payable by a "health care benefit program" (which includes private insurance companies), unless a spe</w:t>
      </w:r>
      <w:r>
        <w:rPr>
          <w:sz w:val="20"/>
          <w:szCs w:val="20"/>
        </w:rPr>
        <w:t>cific exception applies. We cannot assure you that our relationships with physicians, sales representatives, hospitals, customers, or any other party will not be subject to scrutiny or will survive regulatory challenge under such laws. If imposed for any r</w:t>
      </w:r>
      <w:r>
        <w:rPr>
          <w:sz w:val="20"/>
          <w:szCs w:val="20"/>
        </w:rPr>
        <w:t>eason, sanctions under the EKRA could have a negative effect on our business</w:t>
      </w:r>
      <w:r>
        <w:rPr>
          <w:sz w:val="20"/>
          <w:szCs w:val="20"/>
        </w:rPr>
        <w:t>.</w:t>
      </w:r>
    </w:p>
    <w:p w:rsidR="00000000" w:rsidRDefault="00477EE8">
      <w:pPr>
        <w:pStyle w:val="a3"/>
        <w:spacing w:before="360" w:beforeAutospacing="0" w:after="0" w:afterAutospacing="0"/>
        <w:rPr>
          <w:sz w:val="20"/>
          <w:szCs w:val="20"/>
        </w:rPr>
      </w:pPr>
      <w:r>
        <w:rPr>
          <w:b/>
          <w:bCs/>
          <w:sz w:val="20"/>
          <w:szCs w:val="20"/>
        </w:rPr>
        <w:t>If the hazardous materials we use in our operations cause contamination or injury, we could be liable for resulting damages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Our operations require the use of regulated medical w</w:t>
      </w:r>
      <w:r>
        <w:rPr>
          <w:sz w:val="20"/>
          <w:szCs w:val="20"/>
        </w:rPr>
        <w:t>aste, hazardous waste and biohazardous waste, including chemicals, biological agents and compounds and blood and other tissue specimens. We are subject on an ongoing basis to federal, state and local laws and regulations governing the use, storage, handlin</w:t>
      </w:r>
      <w:r>
        <w:rPr>
          <w:sz w:val="20"/>
          <w:szCs w:val="20"/>
        </w:rPr>
        <w:t>g and disposal of these hazardous materials and other specified waste products. Although we typically use licensed or otherwise qualified outside vendors to dispose of this waste, applicable laws and regulations could hold us liable for damages and fines i</w:t>
      </w:r>
      <w:r>
        <w:rPr>
          <w:sz w:val="20"/>
          <w:szCs w:val="20"/>
        </w:rPr>
        <w:t>f our or others’ business operations or other actions result in contamination to the environment or personal injury due to exposure to hazardous materials. We cannot eliminate the risk of contamination or injury, and any liability imposed on us for any res</w:t>
      </w:r>
      <w:r>
        <w:rPr>
          <w:sz w:val="20"/>
          <w:szCs w:val="20"/>
        </w:rPr>
        <w:t>ulting damages or injury could exceed our resources or any applicable insurance coverage. The cost to secure such insurance coverage and to comply with these laws and regulations could become more significant in the future and any failure to comply could r</w:t>
      </w:r>
      <w:r>
        <w:rPr>
          <w:sz w:val="20"/>
          <w:szCs w:val="20"/>
        </w:rPr>
        <w:t>esult in substantial costs and other business and reputational consequences, any of which could negatively affect our operating results</w:t>
      </w:r>
      <w:r>
        <w:rPr>
          <w:sz w:val="20"/>
          <w:szCs w:val="20"/>
        </w:rPr>
        <w:t>.</w:t>
      </w:r>
    </w:p>
    <w:p w:rsidR="00000000" w:rsidRDefault="00477EE8">
      <w:pPr>
        <w:pStyle w:val="a3"/>
        <w:spacing w:before="360" w:beforeAutospacing="0" w:after="0" w:afterAutospacing="0"/>
        <w:rPr>
          <w:sz w:val="20"/>
          <w:szCs w:val="20"/>
        </w:rPr>
      </w:pPr>
      <w:r>
        <w:rPr>
          <w:b/>
          <w:bCs/>
          <w:sz w:val="20"/>
          <w:szCs w:val="20"/>
        </w:rPr>
        <w:t>If we were deemed to be an investment company under the Investment Company Act of 1940, as amended, applicable restrict</w:t>
      </w:r>
      <w:r>
        <w:rPr>
          <w:b/>
          <w:bCs/>
          <w:sz w:val="20"/>
          <w:szCs w:val="20"/>
        </w:rPr>
        <w:t>ions could make it impractical for us to continue our business as currently conducted and could have a material adverse effect on our business, financial condition and results of operations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 xml:space="preserve">Under the Investment Company Act of 1940, or 1940 Act, a company </w:t>
      </w:r>
      <w:r>
        <w:rPr>
          <w:sz w:val="20"/>
          <w:szCs w:val="20"/>
        </w:rPr>
        <w:t>generally will be deemed to be an “investment company” for purposes of the 1940 Act if (1) it is, or holds itself out as being, engaged primarily, or proposes to engage primarily, in the business of investing, reinvesting or trading in securities or (2) it</w:t>
      </w:r>
      <w:r>
        <w:rPr>
          <w:sz w:val="20"/>
          <w:szCs w:val="20"/>
        </w:rPr>
        <w:t xml:space="preserve"> engages, or proposes to engage, in the business of investing, reinvesting, owning, holding or trading in securities and it owns or proposes to acquire investment securities having a value exceeding 40% of the value of its total assets (exclusive of U.S. g</w:t>
      </w:r>
      <w:r>
        <w:rPr>
          <w:sz w:val="20"/>
          <w:szCs w:val="20"/>
        </w:rPr>
        <w:t>overnment securities and cash items) on an unconsolidated basis. We do not believe that we are an “investment company,” as such term is defined in either of those sections of the 1940 Act and we intend to conduct our operations so that we will not be deeme</w:t>
      </w:r>
      <w:r>
        <w:rPr>
          <w:sz w:val="20"/>
          <w:szCs w:val="20"/>
        </w:rPr>
        <w:t>d an investment company. However, if we were to be deemed an investment company</w:t>
      </w:r>
      <w:r>
        <w:rPr>
          <w:sz w:val="20"/>
          <w:szCs w:val="20"/>
        </w:rPr>
        <w:t>,</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3</w:t>
      </w:r>
      <w:r>
        <w:rPr>
          <w:sz w:val="20"/>
          <w:szCs w:val="20"/>
        </w:rPr>
        <w:t>5</w:t>
      </w:r>
    </w:p>
    <w:p w:rsidR="00000000" w:rsidRDefault="00477EE8">
      <w:pPr>
        <w:rPr>
          <w:rFonts w:eastAsia="Times New Roman"/>
        </w:rPr>
      </w:pPr>
      <w:r>
        <w:rPr>
          <w:rFonts w:eastAsia="Times New Roman"/>
        </w:rPr>
        <w:pict>
          <v:rect id="_x0000_i1074" style="width:0;height:1.5pt" o:hralign="center" o:hrstd="t" o:hr="t" fillcolor="#a0a0a0" stroked="f"/>
        </w:pict>
      </w:r>
    </w:p>
    <w:p w:rsidR="00000000" w:rsidRDefault="00477EE8">
      <w:pPr>
        <w:pStyle w:val="a3"/>
        <w:spacing w:before="120" w:beforeAutospacing="0" w:after="0" w:afterAutospacing="0"/>
        <w:rPr>
          <w:sz w:val="20"/>
          <w:szCs w:val="20"/>
        </w:rPr>
      </w:pPr>
      <w:r>
        <w:rPr>
          <w:sz w:val="20"/>
          <w:szCs w:val="20"/>
        </w:rPr>
        <w:t>restrictions imposed by the 1940 Act, including limitations on our capital structure and our ability to transact with affiliates, coul</w:t>
      </w:r>
      <w:r>
        <w:rPr>
          <w:sz w:val="20"/>
          <w:szCs w:val="20"/>
        </w:rPr>
        <w:t>d make it impractical for us to continue our business as it is currently being conducted and could have a material adverse effect on our business, financial condition and results of operations</w:t>
      </w:r>
      <w:r>
        <w:rPr>
          <w:sz w:val="20"/>
          <w:szCs w:val="20"/>
        </w:rPr>
        <w:t>.</w:t>
      </w:r>
    </w:p>
    <w:p w:rsidR="00000000" w:rsidRDefault="00477EE8">
      <w:pPr>
        <w:pStyle w:val="a3"/>
        <w:spacing w:before="360" w:beforeAutospacing="0" w:after="0" w:afterAutospacing="0"/>
        <w:rPr>
          <w:sz w:val="20"/>
          <w:szCs w:val="20"/>
        </w:rPr>
      </w:pPr>
      <w:r>
        <w:rPr>
          <w:b/>
          <w:bCs/>
          <w:sz w:val="20"/>
          <w:szCs w:val="20"/>
        </w:rPr>
        <w:t>Our joint venture in China is subject to risks and uncertainti</w:t>
      </w:r>
      <w:r>
        <w:rPr>
          <w:b/>
          <w:bCs/>
          <w:sz w:val="20"/>
          <w:szCs w:val="20"/>
        </w:rPr>
        <w:t>es relating to the laws and regulations of China and the changes in relations between the United States and China</w:t>
      </w:r>
      <w:r>
        <w:rPr>
          <w:b/>
          <w:bCs/>
          <w:sz w:val="20"/>
          <w:szCs w:val="20"/>
        </w:rPr>
        <w:t>.</w:t>
      </w:r>
      <w:r>
        <w:rPr>
          <w:b/>
          <w:bCs/>
          <w:sz w:val="20"/>
          <w:szCs w:val="20"/>
        </w:rPr>
        <w:t xml:space="preserve"> </w:t>
      </w:r>
    </w:p>
    <w:p w:rsidR="00000000" w:rsidRDefault="00477EE8">
      <w:pPr>
        <w:pStyle w:val="a3"/>
        <w:spacing w:before="120" w:beforeAutospacing="0" w:after="0" w:afterAutospacing="0"/>
        <w:ind w:firstLine="555"/>
        <w:rPr>
          <w:sz w:val="20"/>
          <w:szCs w:val="20"/>
        </w:rPr>
      </w:pPr>
      <w:r>
        <w:rPr>
          <w:sz w:val="20"/>
          <w:szCs w:val="20"/>
        </w:rPr>
        <w:t>Under its current leadership, the government of China has been pursuing economic reform policies, including by encouraging foreign trade and</w:t>
      </w:r>
      <w:r>
        <w:rPr>
          <w:sz w:val="20"/>
          <w:szCs w:val="20"/>
        </w:rPr>
        <w:t xml:space="preserve"> investment. However, there is no assurance that the Chinese government will continue to pursue such policies, that such policies will be successfully implemented, that such policies will not be significantly altered, or that such policies will be benefici</w:t>
      </w:r>
      <w:r>
        <w:rPr>
          <w:sz w:val="20"/>
          <w:szCs w:val="20"/>
        </w:rPr>
        <w:t xml:space="preserve">al to our partnerships or activities in China. China’s system of laws can be unpredictable, especially with respect to foreign investment and foreign trade. The United States government has called for substantial changes to foreign trade policy with China </w:t>
      </w:r>
      <w:r>
        <w:rPr>
          <w:sz w:val="20"/>
          <w:szCs w:val="20"/>
        </w:rPr>
        <w:t>and has raised, and has proposed to further raise in the future, tariffs on several Chinese goods. China has retaliated with increased tariffs on United States goods. Moreover, China’s legislature has adopted a national security law to substantially change</w:t>
      </w:r>
      <w:r>
        <w:rPr>
          <w:sz w:val="20"/>
          <w:szCs w:val="20"/>
        </w:rPr>
        <w:t xml:space="preserve"> the way Hong Kong has been governed since the territory was handed over by the United Kingdom to China in 1997. This law increases the power of the central government in Beijing over Hong Kong, limits the civil liberties of residents of Hong Kong and coul</w:t>
      </w:r>
      <w:r>
        <w:rPr>
          <w:sz w:val="20"/>
          <w:szCs w:val="20"/>
        </w:rPr>
        <w:t>d restrict the ability of businesses in Hong Kong to continue to conduct business or to continue to with business as previously conducted. The U.S. State Department has indicated that the United States no longer considers Hong Kong to have significant auto</w:t>
      </w:r>
      <w:r>
        <w:rPr>
          <w:sz w:val="20"/>
          <w:szCs w:val="20"/>
        </w:rPr>
        <w:t>nomy from China. The U.S. State Department has recently enacted sanctions related to China’s governing of Hong Kong. Any further changes in United States trade policy could trigger retaliatory actions by affected countries, including China, resulting in tr</w:t>
      </w:r>
      <w:r>
        <w:rPr>
          <w:sz w:val="20"/>
          <w:szCs w:val="20"/>
        </w:rPr>
        <w:t>ade wars. Any regulatory changes and changes in United States and China relations may have a material adverse effect on our partnerships or activities in China, which could materially harm our business and financial condition</w:t>
      </w:r>
      <w:r>
        <w:rPr>
          <w:sz w:val="20"/>
          <w:szCs w:val="20"/>
        </w:rPr>
        <w:t>.</w:t>
      </w:r>
    </w:p>
    <w:p w:rsidR="00000000" w:rsidRDefault="00477EE8">
      <w:pPr>
        <w:pStyle w:val="a3"/>
        <w:spacing w:before="360" w:beforeAutospacing="0" w:after="0" w:afterAutospacing="0"/>
        <w:rPr>
          <w:sz w:val="20"/>
          <w:szCs w:val="20"/>
        </w:rPr>
      </w:pPr>
      <w:r>
        <w:rPr>
          <w:b/>
          <w:bCs/>
          <w:sz w:val="20"/>
          <w:szCs w:val="20"/>
        </w:rPr>
        <w:t>We could be adversely affected by violations of the FCPA and other anti-bribery laws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Our international operations are subject to various anti-bribery laws, including the FCPA and similar anti-bribery laws in the non-U.S. jurisdictions in which we operate.</w:t>
      </w:r>
      <w:r>
        <w:rPr>
          <w:sz w:val="20"/>
          <w:szCs w:val="20"/>
        </w:rPr>
        <w:t xml:space="preserve"> The FCPA prohibits companies and their intermediaries from offering, making, or authorizing improper payments to non-U.S. or foreign officials for the purpose of obtaining or retaining business or securing any other improper advantage. These laws are comp</w:t>
      </w:r>
      <w:r>
        <w:rPr>
          <w:sz w:val="20"/>
          <w:szCs w:val="20"/>
        </w:rPr>
        <w:t>lex and far-reaching in nature, and we may be required in the future to alter one or more of our practices to be in compliance with these laws or any changes to these laws or their interpretation</w:t>
      </w:r>
      <w:r>
        <w:rPr>
          <w:sz w:val="20"/>
          <w:szCs w:val="20"/>
        </w:rPr>
        <w:t>.</w:t>
      </w:r>
    </w:p>
    <w:p w:rsidR="00000000" w:rsidRDefault="00477EE8">
      <w:pPr>
        <w:pStyle w:val="a3"/>
        <w:spacing w:before="240" w:beforeAutospacing="0" w:after="0" w:afterAutospacing="0"/>
        <w:ind w:firstLine="555"/>
        <w:rPr>
          <w:sz w:val="20"/>
          <w:szCs w:val="20"/>
        </w:rPr>
      </w:pPr>
      <w:r>
        <w:rPr>
          <w:sz w:val="20"/>
          <w:szCs w:val="20"/>
        </w:rPr>
        <w:t>We currently engage in significant business outside the Uni</w:t>
      </w:r>
      <w:r>
        <w:rPr>
          <w:sz w:val="20"/>
          <w:szCs w:val="20"/>
        </w:rPr>
        <w:t>ted States, and we plan to increase our international operations in the future. These operations could involve dealings with governments, foreign officials and state-owned entities, such as government hospitals, outside the United States. In addition, we m</w:t>
      </w:r>
      <w:r>
        <w:rPr>
          <w:sz w:val="20"/>
          <w:szCs w:val="20"/>
        </w:rPr>
        <w:t>ay engage distributors, other commercial partners or third-party intermediaries, such as representatives or contractors, or establish joint ventures or other arrangements to manage or assist with promotion and sale of our tests abroad and obtaining necessa</w:t>
      </w:r>
      <w:r>
        <w:rPr>
          <w:sz w:val="20"/>
          <w:szCs w:val="20"/>
        </w:rPr>
        <w:t xml:space="preserve">ry permits, licenses and other regulatory approvals. Any such third parties could be deemed to be our agents and we could be held responsible for any corrupt or other illegal activities of our employees or these third parties, even if we do not explicitly </w:t>
      </w:r>
      <w:r>
        <w:rPr>
          <w:sz w:val="20"/>
          <w:szCs w:val="20"/>
        </w:rPr>
        <w:t>authorize or have actual knowledge of such activities. We have instituted policies, procedures, and internal controls reasonably designed to promote compliance with the FCPA and other anti-corruption laws and we exercise a high degree of vigilance in maint</w:t>
      </w:r>
      <w:r>
        <w:rPr>
          <w:sz w:val="20"/>
          <w:szCs w:val="20"/>
        </w:rPr>
        <w:t>aining, implementing and enforcing these policies and controls. However, these policies and controls could be circumvented or ignored, and we cannot guarantee compliance with these laws and regulations. Any violations of these laws or allegations of such v</w:t>
      </w:r>
      <w:r>
        <w:rPr>
          <w:sz w:val="20"/>
          <w:szCs w:val="20"/>
        </w:rPr>
        <w:t>iolations could disrupt our operations, involve significant management distraction, involve significant costs and expenses, including legal fees, and harm our reputation. Additionally, other U.S. companies in the medical device and pharmaceutical fields ha</w:t>
      </w:r>
      <w:r>
        <w:rPr>
          <w:sz w:val="20"/>
          <w:szCs w:val="20"/>
        </w:rPr>
        <w:t>ve faced substantial fines and criminal penalties in the recent past for violating the FCPA and we could also incur these types of penalties, including criminal and civil penalties, disgorgement, and other remedial measures, if we violate the FCPA or other</w:t>
      </w:r>
      <w:r>
        <w:rPr>
          <w:sz w:val="20"/>
          <w:szCs w:val="20"/>
        </w:rPr>
        <w:t xml:space="preserve"> applicable anti-bribery laws. Any of these outcomes could result in a material adverse effect on our business, prospects, financial condition, or results of operations</w:t>
      </w:r>
      <w:r>
        <w:rPr>
          <w:sz w:val="20"/>
          <w:szCs w:val="20"/>
        </w:rPr>
        <w:t>.</w:t>
      </w:r>
    </w:p>
    <w:p w:rsidR="00000000" w:rsidRDefault="00477EE8">
      <w:pPr>
        <w:pStyle w:val="a3"/>
        <w:spacing w:before="360" w:beforeAutospacing="0" w:after="0" w:afterAutospacing="0"/>
        <w:rPr>
          <w:sz w:val="20"/>
          <w:szCs w:val="20"/>
        </w:rPr>
      </w:pPr>
      <w:r>
        <w:rPr>
          <w:b/>
          <w:bCs/>
          <w:sz w:val="20"/>
          <w:szCs w:val="20"/>
        </w:rPr>
        <w:t>Our services present the potential for embezzlement, identity theft or other similar i</w:t>
      </w:r>
      <w:r>
        <w:rPr>
          <w:b/>
          <w:bCs/>
          <w:sz w:val="20"/>
          <w:szCs w:val="20"/>
        </w:rPr>
        <w:t>llegal behavior by our employees, consultants, service providers or commercial partners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Our operations involve the use and disclosure of personal and business information that could be used to impersonate third parties or otherwise gain access to their da</w:t>
      </w:r>
      <w:r>
        <w:rPr>
          <w:sz w:val="20"/>
          <w:szCs w:val="20"/>
        </w:rPr>
        <w:t>ta or funds. If any of our employees, consultants, service providers or commercial partners takes, converts or misuses these funds or data, we could be liable for any resulting damages, which could harm our financial condition and damage our business reput</w:t>
      </w:r>
      <w:r>
        <w:rPr>
          <w:sz w:val="20"/>
          <w:szCs w:val="20"/>
        </w:rPr>
        <w:t>ation</w:t>
      </w:r>
      <w:r>
        <w:rPr>
          <w:sz w:val="20"/>
          <w:szCs w:val="20"/>
        </w:rPr>
        <w:t>.</w:t>
      </w:r>
    </w:p>
    <w:p w:rsidR="00000000" w:rsidRDefault="00477EE8">
      <w:pPr>
        <w:pStyle w:val="a3"/>
        <w:spacing w:before="360" w:beforeAutospacing="0" w:after="0" w:afterAutospacing="0"/>
        <w:rPr>
          <w:sz w:val="20"/>
          <w:szCs w:val="20"/>
        </w:rPr>
      </w:pPr>
      <w:r>
        <w:rPr>
          <w:b/>
          <w:bCs/>
          <w:sz w:val="20"/>
          <w:szCs w:val="20"/>
        </w:rPr>
        <w:t>We could be adversely affected by alleged violations of the FTC Act or other truth-in-advertising and consumer protection laws</w:t>
      </w:r>
      <w:r>
        <w:rPr>
          <w:b/>
          <w:bCs/>
          <w:sz w:val="20"/>
          <w:szCs w:val="20"/>
        </w:rPr>
        <w:t>.</w:t>
      </w:r>
    </w:p>
    <w:p w:rsidR="00000000" w:rsidRDefault="00477EE8">
      <w:pPr>
        <w:pStyle w:val="a3"/>
        <w:spacing w:before="240" w:beforeAutospacing="0" w:after="0" w:afterAutospacing="0"/>
        <w:jc w:val="center"/>
        <w:rPr>
          <w:sz w:val="20"/>
          <w:szCs w:val="20"/>
        </w:rPr>
      </w:pPr>
      <w:r>
        <w:rPr>
          <w:sz w:val="20"/>
          <w:szCs w:val="20"/>
        </w:rPr>
        <w:t>3</w:t>
      </w:r>
      <w:r>
        <w:rPr>
          <w:sz w:val="20"/>
          <w:szCs w:val="20"/>
        </w:rPr>
        <w:t>6</w:t>
      </w:r>
    </w:p>
    <w:p w:rsidR="00000000" w:rsidRDefault="00477EE8">
      <w:pPr>
        <w:rPr>
          <w:rFonts w:eastAsia="Times New Roman"/>
        </w:rPr>
      </w:pPr>
      <w:r>
        <w:rPr>
          <w:rFonts w:eastAsia="Times New Roman"/>
        </w:rPr>
        <w:pict>
          <v:rect id="_x0000_i1075" style="width:0;height:1.5pt" o:hralign="center" o:hrstd="t" o:hr="t" fillcolor="#a0a0a0" stroked="f"/>
        </w:pict>
      </w:r>
    </w:p>
    <w:p w:rsidR="00000000" w:rsidRDefault="00477EE8">
      <w:pPr>
        <w:pStyle w:val="a3"/>
        <w:spacing w:before="120" w:beforeAutospacing="0" w:after="0" w:afterAutospacing="0"/>
        <w:ind w:firstLine="555"/>
        <w:rPr>
          <w:sz w:val="20"/>
          <w:szCs w:val="20"/>
        </w:rPr>
      </w:pPr>
      <w:r>
        <w:rPr>
          <w:sz w:val="20"/>
          <w:szCs w:val="20"/>
        </w:rPr>
        <w:t xml:space="preserve">Our advertising for laboratory services and tests is subject to federal truth-in-advertising laws enforced by the FTC, as well as comparable state consumer protection laws. Under the FTC Act, the FTC is empowered, among other things, to (a) prevent unfair </w:t>
      </w:r>
      <w:r>
        <w:rPr>
          <w:sz w:val="20"/>
          <w:szCs w:val="20"/>
        </w:rPr>
        <w:t>methods of competition and unfair or deceptive acts or practices in or affecting commerce; (b) seek monetary redress and other relief for conduct injurious to consumers; and (c) gather and compile information and conduct investigations relating to the orga</w:t>
      </w:r>
      <w:r>
        <w:rPr>
          <w:sz w:val="20"/>
          <w:szCs w:val="20"/>
        </w:rPr>
        <w:t>nization, business, practices, and management of entities engaged in commerce. The FTC has very broad enforcement authority, and failure to abide by the substantive requirements of the FTC Act and other consumer protection laws can result in administrative</w:t>
      </w:r>
      <w:r>
        <w:rPr>
          <w:sz w:val="20"/>
          <w:szCs w:val="20"/>
        </w:rPr>
        <w:t xml:space="preserve"> or judicial penalties, including civil penalties, injunctions affecting the manner in which we would be able to market services or products in the future, or criminal prosecution. In conjunction with the launch of our Picture Genetics line of at-home gene</w:t>
      </w:r>
      <w:r>
        <w:rPr>
          <w:sz w:val="20"/>
          <w:szCs w:val="20"/>
        </w:rPr>
        <w:t>tic test offerings that are initiated by consumers, we plan to increase our advertising activities that would be subject to these federal and state truth-in-advertising laws. Any actual or perceived non-compliance with those laws could lead to an investiga</w:t>
      </w:r>
      <w:r>
        <w:rPr>
          <w:sz w:val="20"/>
          <w:szCs w:val="20"/>
        </w:rPr>
        <w:t>tion by the FTC or a comparable state agency, or could lead to allegations of misleading advertising by private plaintiffs. Any such action against us would disrupt our business operations, cause damage to our reputation and result in a material adverse ef</w:t>
      </w:r>
      <w:r>
        <w:rPr>
          <w:sz w:val="20"/>
          <w:szCs w:val="20"/>
        </w:rPr>
        <w:t>fect on our business</w:t>
      </w:r>
      <w:r>
        <w:rPr>
          <w:sz w:val="20"/>
          <w:szCs w:val="20"/>
        </w:rPr>
        <w:t>.</w:t>
      </w:r>
    </w:p>
    <w:p w:rsidR="00000000" w:rsidRDefault="00477EE8">
      <w:pPr>
        <w:pStyle w:val="a3"/>
        <w:spacing w:before="360" w:beforeAutospacing="0" w:after="0" w:afterAutospacing="0"/>
        <w:jc w:val="center"/>
        <w:rPr>
          <w:sz w:val="20"/>
          <w:szCs w:val="20"/>
        </w:rPr>
      </w:pPr>
      <w:r>
        <w:rPr>
          <w:b/>
          <w:bCs/>
          <w:sz w:val="20"/>
          <w:szCs w:val="20"/>
        </w:rPr>
        <w:t>Risks Related to the Development of Therapeutic Candidate</w:t>
      </w:r>
      <w:r>
        <w:rPr>
          <w:b/>
          <w:bCs/>
          <w:sz w:val="20"/>
          <w:szCs w:val="20"/>
        </w:rPr>
        <w:t>s</w:t>
      </w:r>
    </w:p>
    <w:p w:rsidR="00000000" w:rsidRDefault="00477EE8">
      <w:pPr>
        <w:pStyle w:val="a3"/>
        <w:spacing w:before="240" w:beforeAutospacing="0" w:after="0" w:afterAutospacing="0"/>
        <w:rPr>
          <w:sz w:val="20"/>
          <w:szCs w:val="20"/>
        </w:rPr>
      </w:pPr>
      <w:r>
        <w:rPr>
          <w:b/>
          <w:bCs/>
          <w:sz w:val="20"/>
          <w:szCs w:val="20"/>
        </w:rPr>
        <w:t>Fulgent Pharma’s therapeutic candidates are in early stages of development and may fail or suffer delays that materially and adversely affect their future commercial viability</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Fulgent Pharma is early in its development efforts, with only one therapeutic candidate having entered clinical trials (FID-007). Generally, before obtaining marketing approval for the commercial distribution of therapeutic candidates, Fulgent Pharma mus</w:t>
      </w:r>
      <w:r>
        <w:rPr>
          <w:sz w:val="20"/>
          <w:szCs w:val="20"/>
        </w:rPr>
        <w:t>t conduct preclinical tests and clinical trials to demonstrate sufficient safety and efficacy of its therapeutic candidates in patients. Failure can occur at any time during the development or clinical trial process and Fulgent Pharma's future clinical tri</w:t>
      </w:r>
      <w:r>
        <w:rPr>
          <w:sz w:val="20"/>
          <w:szCs w:val="20"/>
        </w:rPr>
        <w:t xml:space="preserve">al results may not be successful. As a result, we may not have, or we may deem it imprudent to use, additional financial resources to continue development of a therapeutic candidate if there are issues that could delay or prevent marketing approval of, or </w:t>
      </w:r>
      <w:r>
        <w:rPr>
          <w:sz w:val="20"/>
          <w:szCs w:val="20"/>
        </w:rPr>
        <w:t>ability to commercialize, Fulgent Pharma's therapeutic candidates, including</w:t>
      </w:r>
      <w:r>
        <w:rPr>
          <w:sz w:val="20"/>
          <w:szCs w:val="20"/>
        </w:rPr>
        <w:t>:</w:t>
      </w:r>
    </w:p>
    <w:p w:rsidR="00000000" w:rsidRDefault="00477EE8">
      <w:pPr>
        <w:divId w:val="1327201978"/>
        <w:rPr>
          <w:rFonts w:eastAsia="Times New Roman"/>
        </w:rPr>
      </w:pPr>
      <w:r>
        <w:rPr>
          <w:rFonts w:eastAsia="Times New Roman"/>
          <w:sz w:val="20"/>
          <w:szCs w:val="20"/>
        </w:rPr>
        <w:t>•</w:t>
      </w:r>
    </w:p>
    <w:p w:rsidR="00000000" w:rsidRDefault="00477EE8">
      <w:pPr>
        <w:divId w:val="1861507380"/>
        <w:rPr>
          <w:rFonts w:eastAsia="Times New Roman"/>
        </w:rPr>
      </w:pPr>
      <w:r>
        <w:rPr>
          <w:rFonts w:eastAsia="Times New Roman"/>
          <w:sz w:val="20"/>
          <w:szCs w:val="20"/>
        </w:rPr>
        <w:t>negative or inconclusive results from clinical trials, or the clinical trials of others for similar therapeutic candidates, leading to a decision or requirement to conduct addi</w:t>
      </w:r>
      <w:r>
        <w:rPr>
          <w:rFonts w:eastAsia="Times New Roman"/>
          <w:sz w:val="20"/>
          <w:szCs w:val="20"/>
        </w:rPr>
        <w:t>tional preclinical testing or clinical trials or abandon a program</w:t>
      </w:r>
      <w:r>
        <w:rPr>
          <w:rFonts w:eastAsia="Times New Roman"/>
          <w:sz w:val="20"/>
          <w:szCs w:val="20"/>
        </w:rPr>
        <w:t>;</w:t>
      </w:r>
    </w:p>
    <w:p w:rsidR="00000000" w:rsidRDefault="00477EE8">
      <w:pPr>
        <w:divId w:val="691692426"/>
        <w:rPr>
          <w:rFonts w:eastAsia="Times New Roman"/>
        </w:rPr>
      </w:pPr>
      <w:r>
        <w:rPr>
          <w:rFonts w:eastAsia="Times New Roman"/>
          <w:sz w:val="20"/>
          <w:szCs w:val="20"/>
        </w:rPr>
        <w:t>•</w:t>
      </w:r>
    </w:p>
    <w:p w:rsidR="00000000" w:rsidRDefault="00477EE8">
      <w:pPr>
        <w:divId w:val="1641615032"/>
        <w:rPr>
          <w:rFonts w:eastAsia="Times New Roman"/>
        </w:rPr>
      </w:pPr>
      <w:r>
        <w:rPr>
          <w:rFonts w:eastAsia="Times New Roman"/>
          <w:sz w:val="20"/>
          <w:szCs w:val="20"/>
        </w:rPr>
        <w:t>therapeutic-related side effects experienced by participants in its clinical trials or by individuals using drugs or other therapeutic products similar to its therapeutic candidates</w:t>
      </w:r>
      <w:r>
        <w:rPr>
          <w:rFonts w:eastAsia="Times New Roman"/>
          <w:sz w:val="20"/>
          <w:szCs w:val="20"/>
        </w:rPr>
        <w:t>;</w:t>
      </w:r>
    </w:p>
    <w:p w:rsidR="00000000" w:rsidRDefault="00477EE8">
      <w:pPr>
        <w:divId w:val="403650779"/>
        <w:rPr>
          <w:rFonts w:eastAsia="Times New Roman"/>
        </w:rPr>
      </w:pPr>
      <w:r>
        <w:rPr>
          <w:rFonts w:eastAsia="Times New Roman"/>
          <w:sz w:val="20"/>
          <w:szCs w:val="20"/>
        </w:rPr>
        <w:t>•</w:t>
      </w:r>
    </w:p>
    <w:p w:rsidR="00000000" w:rsidRDefault="00477EE8">
      <w:pPr>
        <w:divId w:val="1134441483"/>
        <w:rPr>
          <w:rFonts w:eastAsia="Times New Roman"/>
        </w:rPr>
      </w:pPr>
      <w:r>
        <w:rPr>
          <w:rFonts w:eastAsia="Times New Roman"/>
          <w:sz w:val="20"/>
          <w:szCs w:val="20"/>
        </w:rPr>
        <w:t>d</w:t>
      </w:r>
      <w:r>
        <w:rPr>
          <w:rFonts w:eastAsia="Times New Roman"/>
          <w:sz w:val="20"/>
          <w:szCs w:val="20"/>
        </w:rPr>
        <w:t xml:space="preserve">elays in submitting investigational new drug applications, or INDs, or comparable foreign clinical trial applications or delays or failure in obtaining the necessary approvals from regulators to commence a clinical trial, or a suspension or termination of </w:t>
      </w:r>
      <w:r>
        <w:rPr>
          <w:rFonts w:eastAsia="Times New Roman"/>
          <w:sz w:val="20"/>
          <w:szCs w:val="20"/>
        </w:rPr>
        <w:t>a clinical trial once commenced</w:t>
      </w:r>
      <w:r>
        <w:rPr>
          <w:rFonts w:eastAsia="Times New Roman"/>
          <w:sz w:val="20"/>
          <w:szCs w:val="20"/>
        </w:rPr>
        <w:t>;</w:t>
      </w:r>
    </w:p>
    <w:p w:rsidR="00000000" w:rsidRDefault="00477EE8">
      <w:pPr>
        <w:divId w:val="1256203896"/>
        <w:rPr>
          <w:rFonts w:eastAsia="Times New Roman"/>
        </w:rPr>
      </w:pPr>
      <w:r>
        <w:rPr>
          <w:rFonts w:eastAsia="Times New Roman"/>
          <w:sz w:val="20"/>
          <w:szCs w:val="20"/>
        </w:rPr>
        <w:t>•</w:t>
      </w:r>
    </w:p>
    <w:p w:rsidR="00000000" w:rsidRDefault="00477EE8">
      <w:pPr>
        <w:divId w:val="955865620"/>
        <w:rPr>
          <w:rFonts w:eastAsia="Times New Roman"/>
        </w:rPr>
      </w:pPr>
      <w:r>
        <w:rPr>
          <w:rFonts w:eastAsia="Times New Roman"/>
          <w:sz w:val="20"/>
          <w:szCs w:val="20"/>
        </w:rPr>
        <w:t>conditions imposed by the FDA or comparable foreign authorities regarding the scope or design of clinical trials</w:t>
      </w:r>
      <w:r>
        <w:rPr>
          <w:rFonts w:eastAsia="Times New Roman"/>
          <w:sz w:val="20"/>
          <w:szCs w:val="20"/>
        </w:rPr>
        <w:t>;</w:t>
      </w:r>
    </w:p>
    <w:p w:rsidR="00000000" w:rsidRDefault="00477EE8">
      <w:pPr>
        <w:divId w:val="52125357"/>
        <w:rPr>
          <w:rFonts w:eastAsia="Times New Roman"/>
        </w:rPr>
      </w:pPr>
      <w:r>
        <w:rPr>
          <w:rFonts w:eastAsia="Times New Roman"/>
          <w:sz w:val="20"/>
          <w:szCs w:val="20"/>
        </w:rPr>
        <w:t>•</w:t>
      </w:r>
    </w:p>
    <w:p w:rsidR="00000000" w:rsidRDefault="00477EE8">
      <w:pPr>
        <w:divId w:val="1558779522"/>
        <w:rPr>
          <w:rFonts w:eastAsia="Times New Roman"/>
        </w:rPr>
      </w:pPr>
      <w:r>
        <w:rPr>
          <w:rFonts w:eastAsia="Times New Roman"/>
          <w:sz w:val="20"/>
          <w:szCs w:val="20"/>
        </w:rPr>
        <w:t>delays in enrolling research subjects or high drop-out rates of research subjects enrolled in clinical trials</w:t>
      </w:r>
      <w:r>
        <w:rPr>
          <w:rFonts w:eastAsia="Times New Roman"/>
          <w:sz w:val="20"/>
          <w:szCs w:val="20"/>
        </w:rPr>
        <w:t>;</w:t>
      </w:r>
    </w:p>
    <w:p w:rsidR="00000000" w:rsidRDefault="00477EE8">
      <w:pPr>
        <w:divId w:val="282227652"/>
        <w:rPr>
          <w:rFonts w:eastAsia="Times New Roman"/>
        </w:rPr>
      </w:pPr>
      <w:r>
        <w:rPr>
          <w:rFonts w:eastAsia="Times New Roman"/>
          <w:sz w:val="20"/>
          <w:szCs w:val="20"/>
        </w:rPr>
        <w:t>•</w:t>
      </w:r>
    </w:p>
    <w:p w:rsidR="00000000" w:rsidRDefault="00477EE8">
      <w:pPr>
        <w:divId w:val="1083332201"/>
        <w:rPr>
          <w:rFonts w:eastAsia="Times New Roman"/>
        </w:rPr>
      </w:pPr>
      <w:r>
        <w:rPr>
          <w:rFonts w:eastAsia="Times New Roman"/>
          <w:sz w:val="20"/>
          <w:szCs w:val="20"/>
        </w:rPr>
        <w:t>delays or difficulties in its clinical trials due to quarantines or other restrictions resulting from the COVID-19 pandemic or other public hea</w:t>
      </w:r>
      <w:r>
        <w:rPr>
          <w:rFonts w:eastAsia="Times New Roman"/>
          <w:sz w:val="20"/>
          <w:szCs w:val="20"/>
        </w:rPr>
        <w:t>lth emergencies</w:t>
      </w:r>
      <w:r>
        <w:rPr>
          <w:rFonts w:eastAsia="Times New Roman"/>
          <w:sz w:val="20"/>
          <w:szCs w:val="20"/>
        </w:rPr>
        <w:t>;</w:t>
      </w:r>
    </w:p>
    <w:p w:rsidR="00000000" w:rsidRDefault="00477EE8">
      <w:pPr>
        <w:divId w:val="919825732"/>
        <w:rPr>
          <w:rFonts w:eastAsia="Times New Roman"/>
        </w:rPr>
      </w:pPr>
      <w:r>
        <w:rPr>
          <w:rFonts w:eastAsia="Times New Roman"/>
          <w:sz w:val="20"/>
          <w:szCs w:val="20"/>
        </w:rPr>
        <w:t>•</w:t>
      </w:r>
    </w:p>
    <w:p w:rsidR="00000000" w:rsidRDefault="00477EE8">
      <w:pPr>
        <w:divId w:val="1409186796"/>
        <w:rPr>
          <w:rFonts w:eastAsia="Times New Roman"/>
        </w:rPr>
      </w:pPr>
      <w:r>
        <w:rPr>
          <w:rFonts w:eastAsia="Times New Roman"/>
          <w:sz w:val="20"/>
          <w:szCs w:val="20"/>
        </w:rPr>
        <w:t>unfavorable FDA or other regulatory agency inspection and review of a clinical trial site or the manufacturing location(s) for a therapeutic candidate</w:t>
      </w:r>
      <w:r>
        <w:rPr>
          <w:rFonts w:eastAsia="Times New Roman"/>
          <w:sz w:val="20"/>
          <w:szCs w:val="20"/>
        </w:rPr>
        <w:t>;</w:t>
      </w:r>
    </w:p>
    <w:p w:rsidR="00000000" w:rsidRDefault="00477EE8">
      <w:pPr>
        <w:divId w:val="1405227274"/>
        <w:rPr>
          <w:rFonts w:eastAsia="Times New Roman"/>
        </w:rPr>
      </w:pPr>
      <w:r>
        <w:rPr>
          <w:rFonts w:eastAsia="Times New Roman"/>
          <w:sz w:val="20"/>
          <w:szCs w:val="20"/>
        </w:rPr>
        <w:t>•</w:t>
      </w:r>
    </w:p>
    <w:p w:rsidR="00000000" w:rsidRDefault="00477EE8">
      <w:pPr>
        <w:divId w:val="1648977899"/>
        <w:rPr>
          <w:rFonts w:eastAsia="Times New Roman"/>
        </w:rPr>
      </w:pPr>
      <w:r>
        <w:rPr>
          <w:rFonts w:eastAsia="Times New Roman"/>
          <w:sz w:val="20"/>
          <w:szCs w:val="20"/>
        </w:rPr>
        <w:t>inadequate supply or quality of therapeutic candidate clinical material or other ra</w:t>
      </w:r>
      <w:r>
        <w:rPr>
          <w:rFonts w:eastAsia="Times New Roman"/>
          <w:sz w:val="20"/>
          <w:szCs w:val="20"/>
        </w:rPr>
        <w:t>w materials or supplies necessary for the conduct of our clinical trials</w:t>
      </w:r>
      <w:r>
        <w:rPr>
          <w:rFonts w:eastAsia="Times New Roman"/>
          <w:sz w:val="20"/>
          <w:szCs w:val="20"/>
        </w:rPr>
        <w:t>;</w:t>
      </w:r>
    </w:p>
    <w:p w:rsidR="00000000" w:rsidRDefault="00477EE8">
      <w:pPr>
        <w:divId w:val="1755348269"/>
        <w:rPr>
          <w:rFonts w:eastAsia="Times New Roman"/>
        </w:rPr>
      </w:pPr>
      <w:r>
        <w:rPr>
          <w:rFonts w:eastAsia="Times New Roman"/>
          <w:sz w:val="20"/>
          <w:szCs w:val="20"/>
        </w:rPr>
        <w:t>•</w:t>
      </w:r>
    </w:p>
    <w:p w:rsidR="00000000" w:rsidRDefault="00477EE8">
      <w:pPr>
        <w:divId w:val="735518985"/>
        <w:rPr>
          <w:rFonts w:eastAsia="Times New Roman"/>
        </w:rPr>
      </w:pPr>
      <w:r>
        <w:rPr>
          <w:rFonts w:eastAsia="Times New Roman"/>
          <w:sz w:val="20"/>
          <w:szCs w:val="20"/>
        </w:rPr>
        <w:t>failure of third-party contractors or investigators to comply with regulatory requirements or otherwise meet their contractual obligations in a timely manner, or at all</w:t>
      </w:r>
      <w:r>
        <w:rPr>
          <w:rFonts w:eastAsia="Times New Roman"/>
          <w:sz w:val="20"/>
          <w:szCs w:val="20"/>
        </w:rPr>
        <w:t>;</w:t>
      </w:r>
    </w:p>
    <w:p w:rsidR="00000000" w:rsidRDefault="00477EE8">
      <w:pPr>
        <w:divId w:val="123238706"/>
        <w:rPr>
          <w:rFonts w:eastAsia="Times New Roman"/>
        </w:rPr>
      </w:pPr>
      <w:r>
        <w:rPr>
          <w:rFonts w:eastAsia="Times New Roman"/>
          <w:sz w:val="20"/>
          <w:szCs w:val="20"/>
        </w:rPr>
        <w:t>•</w:t>
      </w:r>
    </w:p>
    <w:p w:rsidR="00000000" w:rsidRDefault="00477EE8">
      <w:pPr>
        <w:divId w:val="1348018996"/>
        <w:rPr>
          <w:rFonts w:eastAsia="Times New Roman"/>
        </w:rPr>
      </w:pPr>
      <w:r>
        <w:rPr>
          <w:rFonts w:eastAsia="Times New Roman"/>
          <w:sz w:val="20"/>
          <w:szCs w:val="20"/>
        </w:rPr>
        <w:t>delays a</w:t>
      </w:r>
      <w:r>
        <w:rPr>
          <w:rFonts w:eastAsia="Times New Roman"/>
          <w:sz w:val="20"/>
          <w:szCs w:val="20"/>
        </w:rPr>
        <w:t>nd changes in regulatory requirements, policy and guidelines, including with respect to our technology in particular; o</w:t>
      </w:r>
      <w:r>
        <w:rPr>
          <w:rFonts w:eastAsia="Times New Roman"/>
          <w:sz w:val="20"/>
          <w:szCs w:val="20"/>
        </w:rPr>
        <w:t>r</w:t>
      </w:r>
    </w:p>
    <w:p w:rsidR="00000000" w:rsidRDefault="00477EE8">
      <w:pPr>
        <w:divId w:val="1357657060"/>
        <w:rPr>
          <w:rFonts w:eastAsia="Times New Roman"/>
        </w:rPr>
      </w:pPr>
      <w:r>
        <w:rPr>
          <w:rFonts w:eastAsia="Times New Roman"/>
          <w:sz w:val="20"/>
          <w:szCs w:val="20"/>
        </w:rPr>
        <w:t>•</w:t>
      </w:r>
    </w:p>
    <w:p w:rsidR="00000000" w:rsidRDefault="00477EE8">
      <w:pPr>
        <w:divId w:val="678236033"/>
        <w:rPr>
          <w:rFonts w:eastAsia="Times New Roman"/>
        </w:rPr>
      </w:pPr>
      <w:r>
        <w:rPr>
          <w:rFonts w:eastAsia="Times New Roman"/>
          <w:sz w:val="20"/>
          <w:szCs w:val="20"/>
        </w:rPr>
        <w:t>varying interpretations of data by the FDA and similar foreign regulatory agencies</w:t>
      </w:r>
      <w:r>
        <w:rPr>
          <w:rFonts w:eastAsia="Times New Roman"/>
          <w:sz w:val="20"/>
          <w:szCs w:val="20"/>
        </w:rPr>
        <w:t>.</w:t>
      </w:r>
    </w:p>
    <w:p w:rsidR="00000000" w:rsidRDefault="00477EE8">
      <w:pPr>
        <w:pStyle w:val="a3"/>
        <w:spacing w:before="240" w:beforeAutospacing="0" w:after="0" w:afterAutospacing="0"/>
        <w:ind w:firstLine="555"/>
        <w:rPr>
          <w:sz w:val="20"/>
          <w:szCs w:val="20"/>
        </w:rPr>
      </w:pPr>
      <w:r>
        <w:rPr>
          <w:sz w:val="20"/>
          <w:szCs w:val="20"/>
        </w:rPr>
        <w:t>The therapeutic candidates Fulgent Pharma pursues</w:t>
      </w:r>
      <w:r>
        <w:rPr>
          <w:sz w:val="20"/>
          <w:szCs w:val="20"/>
        </w:rPr>
        <w:t xml:space="preserve"> or has pursued may not demonstrate the necessary safety or efficacy requirements for marketing approval. Further, a clinical trial may be suspended or terminated by the company, the institutional review boards, or IRBs, of the institutions in which such t</w:t>
      </w:r>
      <w:r>
        <w:rPr>
          <w:sz w:val="20"/>
          <w:szCs w:val="20"/>
        </w:rPr>
        <w:t>rials are being conducted, the Data Safety Monitoring Board, or DSMB, for such trial or by the FDA or other regulatory authorities due to a number of factors, including failure to conduct the clinical trial in accordance with regulatory requirements or our</w:t>
      </w:r>
      <w:r>
        <w:rPr>
          <w:sz w:val="20"/>
          <w:szCs w:val="20"/>
        </w:rPr>
        <w:t xml:space="preserve"> clinical protocols, inspection of the clinical trial operations or trial site by the FDA or other regulatory authorities resulting in the imposition of a clinical hold, unforeseen safety issues or adverse side effects, failure to demonstrate a benefit fro</w:t>
      </w:r>
      <w:r>
        <w:rPr>
          <w:sz w:val="20"/>
          <w:szCs w:val="20"/>
        </w:rPr>
        <w:t>m using an investigational drug, changes in governmental regulations, administrative actions or lack o</w:t>
      </w:r>
      <w:r>
        <w:rPr>
          <w:sz w:val="20"/>
          <w:szCs w:val="20"/>
        </w:rPr>
        <w:t>f</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3</w:t>
      </w:r>
      <w:r>
        <w:rPr>
          <w:sz w:val="20"/>
          <w:szCs w:val="20"/>
        </w:rPr>
        <w:t>7</w:t>
      </w:r>
    </w:p>
    <w:p w:rsidR="00000000" w:rsidRDefault="00477EE8">
      <w:pPr>
        <w:rPr>
          <w:rFonts w:eastAsia="Times New Roman"/>
        </w:rPr>
      </w:pPr>
      <w:r>
        <w:rPr>
          <w:rFonts w:eastAsia="Times New Roman"/>
        </w:rPr>
        <w:pict>
          <v:rect id="_x0000_i1076" style="width:0;height:1.5pt" o:hralign="center" o:hrstd="t" o:hr="t" fillcolor="#a0a0a0" stroked="f"/>
        </w:pict>
      </w:r>
    </w:p>
    <w:p w:rsidR="00000000" w:rsidRDefault="00477EE8">
      <w:pPr>
        <w:pStyle w:val="a3"/>
        <w:spacing w:before="240" w:beforeAutospacing="0" w:after="0" w:afterAutospacing="0"/>
        <w:rPr>
          <w:sz w:val="20"/>
          <w:szCs w:val="20"/>
        </w:rPr>
      </w:pPr>
      <w:r>
        <w:rPr>
          <w:sz w:val="20"/>
          <w:szCs w:val="20"/>
        </w:rPr>
        <w:t>adequate funding to continue the clinical trial. Clinical holds may be placed prior to a clinical trial even beg</w:t>
      </w:r>
      <w:r>
        <w:rPr>
          <w:sz w:val="20"/>
          <w:szCs w:val="20"/>
        </w:rPr>
        <w:t xml:space="preserve">inning, in order to address potential safety and risk concerns of regulatory authorities, and partial or complete clinical holds can be imposed at any time during a trial. Furthermore, while Fulgent Pharma performs certain similar functions internally, we </w:t>
      </w:r>
      <w:r>
        <w:rPr>
          <w:sz w:val="20"/>
          <w:szCs w:val="20"/>
        </w:rPr>
        <w:t>expect it to rely on contract research organizations, or CROs, and clinical trial sites to ensure proper and timely conduct of our clinical trials and while we expect it to enter into agreements governing those CROs’ committed activities we and Fulgent Pha</w:t>
      </w:r>
      <w:r>
        <w:rPr>
          <w:sz w:val="20"/>
          <w:szCs w:val="20"/>
        </w:rPr>
        <w:t>rma have limited influence over their actual performance</w:t>
      </w:r>
      <w:r>
        <w:rPr>
          <w:sz w:val="20"/>
          <w:szCs w:val="20"/>
        </w:rPr>
        <w:t>.</w:t>
      </w:r>
    </w:p>
    <w:p w:rsidR="00000000" w:rsidRDefault="00477EE8">
      <w:pPr>
        <w:pStyle w:val="a3"/>
        <w:spacing w:before="240" w:beforeAutospacing="0" w:after="0" w:afterAutospacing="0"/>
        <w:ind w:firstLine="555"/>
        <w:rPr>
          <w:sz w:val="20"/>
          <w:szCs w:val="20"/>
        </w:rPr>
      </w:pPr>
      <w:r>
        <w:rPr>
          <w:sz w:val="20"/>
          <w:szCs w:val="20"/>
        </w:rPr>
        <w:t>If there are delays in the completion of, or termination of, any clinical trial of therapeutic candidates, the commercial prospects of those therapeutic candidates may be harmed. In addition, any de</w:t>
      </w:r>
      <w:r>
        <w:rPr>
          <w:sz w:val="20"/>
          <w:szCs w:val="20"/>
        </w:rPr>
        <w:t>lays in completing clinical trials will increase costs, slow down product development and approval processes, and jeopardize the ability to commence product sales and generate revenue. Any of these occurrences may materially and adversely affect our or Ful</w:t>
      </w:r>
      <w:r>
        <w:rPr>
          <w:sz w:val="20"/>
          <w:szCs w:val="20"/>
        </w:rPr>
        <w:t>gent Pharma's business, financial condition, results of operations and prospects. In addition, many of the factors that cause, or lead to, a delay in the commencement or completion of clinical trials may also ultimately lead to the denial of marketing appr</w:t>
      </w:r>
      <w:r>
        <w:rPr>
          <w:sz w:val="20"/>
          <w:szCs w:val="20"/>
        </w:rPr>
        <w:t>oval of therapeutic candidates</w:t>
      </w:r>
      <w:r>
        <w:rPr>
          <w:sz w:val="20"/>
          <w:szCs w:val="20"/>
        </w:rPr>
        <w:t>.</w:t>
      </w:r>
    </w:p>
    <w:p w:rsidR="00000000" w:rsidRDefault="00477EE8">
      <w:pPr>
        <w:pStyle w:val="a3"/>
        <w:spacing w:before="360" w:beforeAutospacing="0" w:after="0" w:afterAutospacing="0"/>
        <w:rPr>
          <w:sz w:val="20"/>
          <w:szCs w:val="20"/>
        </w:rPr>
      </w:pPr>
      <w:r>
        <w:rPr>
          <w:b/>
          <w:bCs/>
          <w:sz w:val="20"/>
          <w:szCs w:val="20"/>
        </w:rPr>
        <w:t>Any therapeutic product candidate that Fulgent Pharma may attempt to develop, manufacture or market in the United States will be subject to extensive regulation by the FDA, including regulations relating to development, prec</w:t>
      </w:r>
      <w:r>
        <w:rPr>
          <w:b/>
          <w:bCs/>
          <w:sz w:val="20"/>
          <w:szCs w:val="20"/>
        </w:rPr>
        <w:t>linical testing, performance of clinical trials, manufacturing and post-approval commercialization and will be subject to extensive regulations outside of the United States. Satisfaction of these and other regulatory requirements is costly, time consuming,</w:t>
      </w:r>
      <w:r>
        <w:rPr>
          <w:b/>
          <w:bCs/>
          <w:sz w:val="20"/>
          <w:szCs w:val="20"/>
        </w:rPr>
        <w:t xml:space="preserve"> uncertain and subject to unanticipated delays. The time required to obtain FDA approval, and any other required approvals for pharmaceutical products, including any accelerated approval, is unpredictable but typically requires years to several years and m</w:t>
      </w:r>
      <w:r>
        <w:rPr>
          <w:b/>
          <w:bCs/>
          <w:sz w:val="20"/>
          <w:szCs w:val="20"/>
        </w:rPr>
        <w:t>ay never be obtained</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Any product that Fulgent Pharma may wish to develop, manufacture or market in countries other than the United States will also be subject to numerous foreign regulatory requirements governing the conduct of clinical trials, manufactur</w:t>
      </w:r>
      <w:r>
        <w:rPr>
          <w:sz w:val="20"/>
          <w:szCs w:val="20"/>
        </w:rPr>
        <w:t xml:space="preserve">ing and marketing, pricing and third-party reimbursement among other things in such countries. The foreign marketing approval process includes all of the risks and uncertainties associated with FDA approval described above as well as risks attributable to </w:t>
      </w:r>
      <w:r>
        <w:rPr>
          <w:sz w:val="20"/>
          <w:szCs w:val="20"/>
        </w:rPr>
        <w:t>the satisfaction of local regulations in such foreign jurisdictions</w:t>
      </w:r>
      <w:r>
        <w:rPr>
          <w:sz w:val="20"/>
          <w:szCs w:val="20"/>
        </w:rPr>
        <w:t>.</w:t>
      </w:r>
    </w:p>
    <w:p w:rsidR="00000000" w:rsidRDefault="00477EE8">
      <w:pPr>
        <w:pStyle w:val="a3"/>
        <w:spacing w:before="240" w:beforeAutospacing="0" w:after="0" w:afterAutospacing="0"/>
        <w:ind w:firstLine="555"/>
        <w:rPr>
          <w:sz w:val="20"/>
          <w:szCs w:val="20"/>
        </w:rPr>
      </w:pPr>
      <w:r>
        <w:rPr>
          <w:sz w:val="20"/>
          <w:szCs w:val="20"/>
        </w:rPr>
        <w:t>Obtaining marketing approval for pharmaceutical products requires the submission of extensive preclinical and clinical data and supporting information to FDA and comparable regulatory aut</w:t>
      </w:r>
      <w:r>
        <w:rPr>
          <w:sz w:val="20"/>
          <w:szCs w:val="20"/>
        </w:rPr>
        <w:t>horities for each therapeutic indication to establish the product candidate’s safety and efficacy. Securing marketing approval also typically requires the submission of information about the product manufacturing process, and in many cases the inspection o</w:t>
      </w:r>
      <w:r>
        <w:rPr>
          <w:sz w:val="20"/>
          <w:szCs w:val="20"/>
        </w:rPr>
        <w:t>f manufacturing, processing, and packaging facilities by the regulatory authorities. Our product candidates may not be effective, may be only moderately effective or may prove to have undesirable or unintended side effects, toxicities or other characterist</w:t>
      </w:r>
      <w:r>
        <w:rPr>
          <w:sz w:val="20"/>
          <w:szCs w:val="20"/>
        </w:rPr>
        <w:t>ics that may preclude our obtaining marketing approval or prevent or limit commercial use, or there may be deficiencies in manufacturing compliance by Fulgent Pharma or by its contract manufacturing organizations that could result in the candidate not bein</w:t>
      </w:r>
      <w:r>
        <w:rPr>
          <w:sz w:val="20"/>
          <w:szCs w:val="20"/>
        </w:rPr>
        <w:t xml:space="preserve">g approved. Moreover, neither we nor Fulgent Pharma have obtained marketing approval for any therapeutic candidate in any jurisdiction and it is possible that none of our existing therapeutic candidates or any therapeutic candidates we may seek to develop </w:t>
      </w:r>
      <w:r>
        <w:rPr>
          <w:sz w:val="20"/>
          <w:szCs w:val="20"/>
        </w:rPr>
        <w:t>in the future will ever obtain marketing approval</w:t>
      </w:r>
      <w:r>
        <w:rPr>
          <w:sz w:val="20"/>
          <w:szCs w:val="20"/>
        </w:rPr>
        <w:t>.</w:t>
      </w:r>
    </w:p>
    <w:p w:rsidR="00000000" w:rsidRDefault="00477EE8">
      <w:pPr>
        <w:pStyle w:val="a3"/>
        <w:spacing w:before="240" w:beforeAutospacing="0" w:after="0" w:afterAutospacing="0"/>
        <w:ind w:firstLine="555"/>
        <w:rPr>
          <w:sz w:val="20"/>
          <w:szCs w:val="20"/>
        </w:rPr>
      </w:pPr>
      <w:r>
        <w:rPr>
          <w:sz w:val="20"/>
          <w:szCs w:val="20"/>
        </w:rPr>
        <w:t>Therapeutic candidates could fail to receive, or could be delayed in receiving, marketing approval for many reasons, including any one or more of the following</w:t>
      </w:r>
      <w:r>
        <w:rPr>
          <w:sz w:val="20"/>
          <w:szCs w:val="20"/>
        </w:rPr>
        <w:t>:</w:t>
      </w:r>
    </w:p>
    <w:p w:rsidR="00000000" w:rsidRDefault="00477EE8">
      <w:pPr>
        <w:divId w:val="375080529"/>
        <w:rPr>
          <w:rFonts w:eastAsia="Times New Roman"/>
        </w:rPr>
      </w:pPr>
      <w:r>
        <w:rPr>
          <w:rFonts w:eastAsia="Times New Roman"/>
          <w:sz w:val="20"/>
          <w:szCs w:val="20"/>
        </w:rPr>
        <w:t>•</w:t>
      </w:r>
    </w:p>
    <w:p w:rsidR="00000000" w:rsidRDefault="00477EE8">
      <w:pPr>
        <w:divId w:val="1117913329"/>
        <w:rPr>
          <w:rFonts w:eastAsia="Times New Roman"/>
        </w:rPr>
      </w:pPr>
      <w:r>
        <w:rPr>
          <w:rFonts w:eastAsia="Times New Roman"/>
          <w:sz w:val="20"/>
          <w:szCs w:val="20"/>
        </w:rPr>
        <w:t>the FDA, European Medicines Agency, or EMA, or comparable foreign regulatory authorities may disagree with the design or implementation of clinical trials</w:t>
      </w:r>
      <w:r>
        <w:rPr>
          <w:rFonts w:eastAsia="Times New Roman"/>
          <w:sz w:val="20"/>
          <w:szCs w:val="20"/>
        </w:rPr>
        <w:t>;</w:t>
      </w:r>
    </w:p>
    <w:p w:rsidR="00000000" w:rsidRDefault="00477EE8">
      <w:pPr>
        <w:divId w:val="1374961880"/>
        <w:rPr>
          <w:rFonts w:eastAsia="Times New Roman"/>
        </w:rPr>
      </w:pPr>
      <w:r>
        <w:rPr>
          <w:rFonts w:eastAsia="Times New Roman"/>
          <w:sz w:val="20"/>
          <w:szCs w:val="20"/>
        </w:rPr>
        <w:t>•</w:t>
      </w:r>
    </w:p>
    <w:p w:rsidR="00000000" w:rsidRDefault="00477EE8">
      <w:pPr>
        <w:divId w:val="475613151"/>
        <w:rPr>
          <w:rFonts w:eastAsia="Times New Roman"/>
        </w:rPr>
      </w:pPr>
      <w:r>
        <w:rPr>
          <w:rFonts w:eastAsia="Times New Roman"/>
          <w:sz w:val="20"/>
          <w:szCs w:val="20"/>
        </w:rPr>
        <w:t>Fulgent Pharma may be unable to demonstrate to the satisfaction of the FDA, EMA or comparable fore</w:t>
      </w:r>
      <w:r>
        <w:rPr>
          <w:rFonts w:eastAsia="Times New Roman"/>
          <w:sz w:val="20"/>
          <w:szCs w:val="20"/>
        </w:rPr>
        <w:t>ign regulatory authorities that a product candidate is safe and effective for its proposed indication(s) for use</w:t>
      </w:r>
      <w:r>
        <w:rPr>
          <w:rFonts w:eastAsia="Times New Roman"/>
          <w:sz w:val="20"/>
          <w:szCs w:val="20"/>
        </w:rPr>
        <w:t>;</w:t>
      </w:r>
    </w:p>
    <w:p w:rsidR="00000000" w:rsidRDefault="00477EE8">
      <w:pPr>
        <w:divId w:val="158009355"/>
        <w:rPr>
          <w:rFonts w:eastAsia="Times New Roman"/>
        </w:rPr>
      </w:pPr>
      <w:r>
        <w:rPr>
          <w:rFonts w:eastAsia="Times New Roman"/>
          <w:sz w:val="20"/>
          <w:szCs w:val="20"/>
        </w:rPr>
        <w:t>•</w:t>
      </w:r>
    </w:p>
    <w:p w:rsidR="00000000" w:rsidRDefault="00477EE8">
      <w:pPr>
        <w:divId w:val="662200347"/>
        <w:rPr>
          <w:rFonts w:eastAsia="Times New Roman"/>
        </w:rPr>
      </w:pPr>
      <w:r>
        <w:rPr>
          <w:rFonts w:eastAsia="Times New Roman"/>
          <w:sz w:val="20"/>
          <w:szCs w:val="20"/>
        </w:rPr>
        <w:t xml:space="preserve">the results of clinical trials may not meet the level of statistical significance required by the FDA, EMA or comparable foreign regulatory </w:t>
      </w:r>
      <w:r>
        <w:rPr>
          <w:rFonts w:eastAsia="Times New Roman"/>
          <w:sz w:val="20"/>
          <w:szCs w:val="20"/>
        </w:rPr>
        <w:t>authorities for marketing approval</w:t>
      </w:r>
      <w:r>
        <w:rPr>
          <w:rFonts w:eastAsia="Times New Roman"/>
          <w:sz w:val="20"/>
          <w:szCs w:val="20"/>
        </w:rPr>
        <w:t>;</w:t>
      </w:r>
    </w:p>
    <w:p w:rsidR="00000000" w:rsidRDefault="00477EE8">
      <w:pPr>
        <w:divId w:val="1595896273"/>
        <w:rPr>
          <w:rFonts w:eastAsia="Times New Roman"/>
        </w:rPr>
      </w:pPr>
      <w:r>
        <w:rPr>
          <w:rFonts w:eastAsia="Times New Roman"/>
          <w:sz w:val="20"/>
          <w:szCs w:val="20"/>
        </w:rPr>
        <w:t>•</w:t>
      </w:r>
    </w:p>
    <w:p w:rsidR="00000000" w:rsidRDefault="00477EE8">
      <w:pPr>
        <w:divId w:val="325522990"/>
        <w:rPr>
          <w:rFonts w:eastAsia="Times New Roman"/>
        </w:rPr>
      </w:pPr>
      <w:r>
        <w:rPr>
          <w:rFonts w:eastAsia="Times New Roman"/>
          <w:sz w:val="20"/>
          <w:szCs w:val="20"/>
        </w:rPr>
        <w:t>Fulgent Pharma may be unable to demonstrate that a product candidate’s clinical and other benefits outweigh its safety risks</w:t>
      </w:r>
      <w:r>
        <w:rPr>
          <w:rFonts w:eastAsia="Times New Roman"/>
          <w:sz w:val="20"/>
          <w:szCs w:val="20"/>
        </w:rPr>
        <w:t>;</w:t>
      </w:r>
    </w:p>
    <w:p w:rsidR="00000000" w:rsidRDefault="00477EE8">
      <w:pPr>
        <w:divId w:val="202139466"/>
        <w:rPr>
          <w:rFonts w:eastAsia="Times New Roman"/>
        </w:rPr>
      </w:pPr>
      <w:r>
        <w:rPr>
          <w:rFonts w:eastAsia="Times New Roman"/>
          <w:sz w:val="20"/>
          <w:szCs w:val="20"/>
        </w:rPr>
        <w:t>•</w:t>
      </w:r>
    </w:p>
    <w:p w:rsidR="00000000" w:rsidRDefault="00477EE8">
      <w:pPr>
        <w:divId w:val="206455249"/>
        <w:rPr>
          <w:rFonts w:eastAsia="Times New Roman"/>
        </w:rPr>
      </w:pPr>
      <w:r>
        <w:rPr>
          <w:rFonts w:eastAsia="Times New Roman"/>
          <w:sz w:val="20"/>
          <w:szCs w:val="20"/>
        </w:rPr>
        <w:t>the FDA, EMA or comparable foreign regulatory authorities may disagree with our interpreta</w:t>
      </w:r>
      <w:r>
        <w:rPr>
          <w:rFonts w:eastAsia="Times New Roman"/>
          <w:sz w:val="20"/>
          <w:szCs w:val="20"/>
        </w:rPr>
        <w:t>tion of data from preclinical studies or clinical trials</w:t>
      </w:r>
      <w:r>
        <w:rPr>
          <w:rFonts w:eastAsia="Times New Roman"/>
          <w:sz w:val="20"/>
          <w:szCs w:val="20"/>
        </w:rPr>
        <w:t>;</w:t>
      </w:r>
    </w:p>
    <w:p w:rsidR="00000000" w:rsidRDefault="00477EE8">
      <w:pPr>
        <w:divId w:val="1067845443"/>
        <w:rPr>
          <w:rFonts w:eastAsia="Times New Roman"/>
        </w:rPr>
      </w:pPr>
      <w:r>
        <w:rPr>
          <w:rFonts w:eastAsia="Times New Roman"/>
          <w:sz w:val="20"/>
          <w:szCs w:val="20"/>
        </w:rPr>
        <w:t>•</w:t>
      </w:r>
    </w:p>
    <w:p w:rsidR="00000000" w:rsidRDefault="00477EE8">
      <w:pPr>
        <w:divId w:val="708146332"/>
        <w:rPr>
          <w:rFonts w:eastAsia="Times New Roman"/>
        </w:rPr>
      </w:pPr>
      <w:r>
        <w:rPr>
          <w:rFonts w:eastAsia="Times New Roman"/>
          <w:sz w:val="20"/>
          <w:szCs w:val="20"/>
        </w:rPr>
        <w:t>the data collected from clinical trials of product candidates may not be sufficient to support the submission of an application to obtain marketing approval in the United States or elsewhere</w:t>
      </w:r>
      <w:r>
        <w:rPr>
          <w:rFonts w:eastAsia="Times New Roman"/>
          <w:sz w:val="20"/>
          <w:szCs w:val="20"/>
        </w:rPr>
        <w:t>;</w:t>
      </w:r>
    </w:p>
    <w:p w:rsidR="00000000" w:rsidRDefault="00477EE8">
      <w:pPr>
        <w:divId w:val="147209511"/>
        <w:rPr>
          <w:rFonts w:eastAsia="Times New Roman"/>
        </w:rPr>
      </w:pPr>
      <w:r>
        <w:rPr>
          <w:rFonts w:eastAsia="Times New Roman"/>
          <w:sz w:val="20"/>
          <w:szCs w:val="20"/>
        </w:rPr>
        <w:t>•</w:t>
      </w:r>
    </w:p>
    <w:p w:rsidR="00000000" w:rsidRDefault="00477EE8">
      <w:pPr>
        <w:divId w:val="707800060"/>
        <w:rPr>
          <w:rFonts w:eastAsia="Times New Roman"/>
        </w:rPr>
      </w:pPr>
      <w:r>
        <w:rPr>
          <w:rFonts w:eastAsia="Times New Roman"/>
          <w:sz w:val="20"/>
          <w:szCs w:val="20"/>
        </w:rPr>
        <w:t>up</w:t>
      </w:r>
      <w:r>
        <w:rPr>
          <w:rFonts w:eastAsia="Times New Roman"/>
          <w:sz w:val="20"/>
          <w:szCs w:val="20"/>
        </w:rPr>
        <w:t>on review of clinical trial sites and data, the FDA or comparable foreign regulatory authorities may find record keeping or the record keeping of clinical trial sites to be inadequate or may identify other deficiencies related to the trials</w:t>
      </w:r>
      <w:r>
        <w:rPr>
          <w:rFonts w:eastAsia="Times New Roman"/>
          <w:sz w:val="20"/>
          <w:szCs w:val="20"/>
        </w:rPr>
        <w:t>;</w:t>
      </w:r>
    </w:p>
    <w:p w:rsidR="00000000" w:rsidRDefault="00477EE8">
      <w:pPr>
        <w:pStyle w:val="a3"/>
        <w:spacing w:before="240" w:beforeAutospacing="0" w:after="0" w:afterAutospacing="0"/>
        <w:jc w:val="center"/>
        <w:rPr>
          <w:sz w:val="20"/>
          <w:szCs w:val="20"/>
        </w:rPr>
      </w:pPr>
      <w:r>
        <w:rPr>
          <w:sz w:val="20"/>
          <w:szCs w:val="20"/>
        </w:rPr>
        <w:t>3</w:t>
      </w:r>
      <w:r>
        <w:rPr>
          <w:sz w:val="20"/>
          <w:szCs w:val="20"/>
        </w:rPr>
        <w:t>8</w:t>
      </w:r>
    </w:p>
    <w:p w:rsidR="00000000" w:rsidRDefault="00477EE8">
      <w:pPr>
        <w:rPr>
          <w:rFonts w:eastAsia="Times New Roman"/>
        </w:rPr>
      </w:pPr>
      <w:r>
        <w:rPr>
          <w:rFonts w:eastAsia="Times New Roman"/>
        </w:rPr>
        <w:pict>
          <v:rect id="_x0000_i1077" style="width:0;height:1.5pt" o:hralign="center" o:hrstd="t" o:hr="t" fillcolor="#a0a0a0" stroked="f"/>
        </w:pict>
      </w:r>
    </w:p>
    <w:p w:rsidR="00000000" w:rsidRDefault="00477EE8">
      <w:pPr>
        <w:divId w:val="1585802763"/>
        <w:rPr>
          <w:rFonts w:eastAsia="Times New Roman"/>
        </w:rPr>
      </w:pPr>
      <w:r>
        <w:rPr>
          <w:rFonts w:eastAsia="Times New Roman"/>
          <w:sz w:val="20"/>
          <w:szCs w:val="20"/>
        </w:rPr>
        <w:t>•</w:t>
      </w:r>
    </w:p>
    <w:p w:rsidR="00000000" w:rsidRDefault="00477EE8">
      <w:pPr>
        <w:divId w:val="330304418"/>
        <w:rPr>
          <w:rFonts w:eastAsia="Times New Roman"/>
        </w:rPr>
      </w:pPr>
      <w:r>
        <w:rPr>
          <w:rFonts w:eastAsia="Times New Roman"/>
          <w:sz w:val="20"/>
          <w:szCs w:val="20"/>
        </w:rPr>
        <w:t>the manufacturing processes or facilities of third-party manufacturers with which we or Fulgent Pharma contract for clinical and commercial supplies may fail to meet the requirements of the FDA, EMA or comparable foreign regulatory authorities; o</w:t>
      </w:r>
      <w:r>
        <w:rPr>
          <w:rFonts w:eastAsia="Times New Roman"/>
          <w:sz w:val="20"/>
          <w:szCs w:val="20"/>
        </w:rPr>
        <w:t>r</w:t>
      </w:r>
    </w:p>
    <w:p w:rsidR="00000000" w:rsidRDefault="00477EE8">
      <w:pPr>
        <w:divId w:val="2046443053"/>
        <w:rPr>
          <w:rFonts w:eastAsia="Times New Roman"/>
        </w:rPr>
      </w:pPr>
      <w:r>
        <w:rPr>
          <w:rFonts w:eastAsia="Times New Roman"/>
          <w:sz w:val="20"/>
          <w:szCs w:val="20"/>
        </w:rPr>
        <w:t>•</w:t>
      </w:r>
    </w:p>
    <w:p w:rsidR="00000000" w:rsidRDefault="00477EE8">
      <w:pPr>
        <w:divId w:val="939751512"/>
        <w:rPr>
          <w:rFonts w:eastAsia="Times New Roman"/>
        </w:rPr>
      </w:pPr>
      <w:r>
        <w:rPr>
          <w:rFonts w:eastAsia="Times New Roman"/>
          <w:sz w:val="20"/>
          <w:szCs w:val="20"/>
        </w:rPr>
        <w:t>the me</w:t>
      </w:r>
      <w:r>
        <w:rPr>
          <w:rFonts w:eastAsia="Times New Roman"/>
          <w:sz w:val="20"/>
          <w:szCs w:val="20"/>
        </w:rPr>
        <w:t>dical standard of care or the approval policies or regulations of the FDA, EMA or comparable foreign regulatory authorities may significantly change in a manner that renders our clinical data insufficient for approval</w:t>
      </w:r>
      <w:r>
        <w:rPr>
          <w:rFonts w:eastAsia="Times New Roman"/>
          <w:sz w:val="20"/>
          <w:szCs w:val="20"/>
        </w:rPr>
        <w:t>.</w:t>
      </w:r>
    </w:p>
    <w:p w:rsidR="00000000" w:rsidRDefault="00477EE8">
      <w:pPr>
        <w:pStyle w:val="a3"/>
        <w:spacing w:before="240" w:beforeAutospacing="0" w:after="0" w:afterAutospacing="0"/>
        <w:ind w:firstLine="555"/>
        <w:rPr>
          <w:sz w:val="20"/>
          <w:szCs w:val="20"/>
        </w:rPr>
      </w:pPr>
      <w:r>
        <w:rPr>
          <w:sz w:val="20"/>
          <w:szCs w:val="20"/>
        </w:rPr>
        <w:t>It is possible that none of the thera</w:t>
      </w:r>
      <w:r>
        <w:rPr>
          <w:sz w:val="20"/>
          <w:szCs w:val="20"/>
        </w:rPr>
        <w:t>peutic candidates we or Fulgent Pharma may develop will obtain the marketing approvals necessary for us or our collaborators to sell the products either in the United States or any other country. Furthermore, approval by the FDA of a therapeutic product do</w:t>
      </w:r>
      <w:r>
        <w:rPr>
          <w:sz w:val="20"/>
          <w:szCs w:val="20"/>
        </w:rPr>
        <w:t>es not assure approval by regulatory authorities outside the United States or vice versa. Even if approval for a therapeutic product is obtained, such approval may be subject to limitations on the indicated uses or appropriate patient population that could</w:t>
      </w:r>
      <w:r>
        <w:rPr>
          <w:sz w:val="20"/>
          <w:szCs w:val="20"/>
        </w:rPr>
        <w:t xml:space="preserve"> result in a significantly reduced potential market size for the product</w:t>
      </w:r>
      <w:r>
        <w:rPr>
          <w:sz w:val="20"/>
          <w:szCs w:val="20"/>
        </w:rPr>
        <w:t>.</w:t>
      </w:r>
    </w:p>
    <w:p w:rsidR="00000000" w:rsidRDefault="00477EE8">
      <w:pPr>
        <w:pStyle w:val="a3"/>
        <w:spacing w:before="240" w:beforeAutospacing="0" w:after="0" w:afterAutospacing="0"/>
        <w:ind w:firstLine="555"/>
        <w:rPr>
          <w:sz w:val="20"/>
          <w:szCs w:val="20"/>
        </w:rPr>
      </w:pPr>
      <w:r>
        <w:rPr>
          <w:sz w:val="20"/>
          <w:szCs w:val="20"/>
        </w:rPr>
        <w:t xml:space="preserve">Fulgent Pharma expects to utilize the FDA’s Section 505(b)(2) pathway for most of its product candidates, which are being developed using its nano-drug delivery platform technology. </w:t>
      </w:r>
      <w:r>
        <w:rPr>
          <w:sz w:val="20"/>
          <w:szCs w:val="20"/>
        </w:rPr>
        <w:t>If that pathway is not available, the development of such product candidates will likely take significantly longer, cost significantly more and entail significantly greater complexity and risk than currently anticipated, and, in any case, may not be succes</w:t>
      </w:r>
      <w:r>
        <w:rPr>
          <w:sz w:val="20"/>
          <w:szCs w:val="20"/>
        </w:rPr>
        <w:t>sful</w:t>
      </w:r>
      <w:r>
        <w:rPr>
          <w:sz w:val="20"/>
          <w:szCs w:val="20"/>
        </w:rPr>
        <w:t>.</w:t>
      </w:r>
    </w:p>
    <w:p w:rsidR="00000000" w:rsidRDefault="00477EE8">
      <w:pPr>
        <w:pStyle w:val="a3"/>
        <w:spacing w:before="240" w:beforeAutospacing="0" w:after="0" w:afterAutospacing="0"/>
        <w:ind w:firstLine="555"/>
        <w:rPr>
          <w:sz w:val="20"/>
          <w:szCs w:val="20"/>
        </w:rPr>
      </w:pPr>
      <w:r>
        <w:rPr>
          <w:sz w:val="20"/>
          <w:szCs w:val="20"/>
        </w:rPr>
        <w:t>Fulgent Pharma intends to develop and seek approval for its product candidates developed using its nano-drug delivery platform technology, including FID-007 and other candidates it may develop, pursuant to the FDA’s 505(b)(2) pathway. If the FDA dete</w:t>
      </w:r>
      <w:r>
        <w:rPr>
          <w:sz w:val="20"/>
          <w:szCs w:val="20"/>
        </w:rPr>
        <w:t xml:space="preserve">rmines that it may not use this regulatory pathway, then it would need to seek regulatory approval via a “full” or “stand-alone” new drug application, or NDA, under Section 505(b)(1) of the Federal Food, Drug, and Cosmetic Act, or FDCA. This would require </w:t>
      </w:r>
      <w:r>
        <w:rPr>
          <w:sz w:val="20"/>
          <w:szCs w:val="20"/>
        </w:rPr>
        <w:t>Fulgent Pharma to conduct additional clinical trials, provide additional safety and efficacy data and other information, and meet additional standards for regulatory approval, including possibly nonclinical data. If this were to occur, the time and financi</w:t>
      </w:r>
      <w:r>
        <w:rPr>
          <w:sz w:val="20"/>
          <w:szCs w:val="20"/>
        </w:rPr>
        <w:t>al resources required to obtain FDA approval, as well as the development complexity and risk associated with these programs, would likely substantially increase, which could have a material adverse effect on our business and financial condition</w:t>
      </w:r>
      <w:r>
        <w:rPr>
          <w:sz w:val="20"/>
          <w:szCs w:val="20"/>
        </w:rPr>
        <w:t>.</w:t>
      </w:r>
    </w:p>
    <w:p w:rsidR="00000000" w:rsidRDefault="00477EE8">
      <w:pPr>
        <w:pStyle w:val="a3"/>
        <w:spacing w:before="240" w:beforeAutospacing="0" w:after="0" w:afterAutospacing="0"/>
        <w:ind w:firstLine="555"/>
        <w:rPr>
          <w:sz w:val="20"/>
          <w:szCs w:val="20"/>
        </w:rPr>
      </w:pPr>
      <w:r>
        <w:rPr>
          <w:sz w:val="20"/>
          <w:szCs w:val="20"/>
        </w:rPr>
        <w:t>The Drug P</w:t>
      </w:r>
      <w:r>
        <w:rPr>
          <w:sz w:val="20"/>
          <w:szCs w:val="20"/>
        </w:rPr>
        <w:t xml:space="preserve">rice Competition and Patent Term Restoration Act of 1984, informally known as the Hatch-Waxman Act, added Section 505(b)(2) to the FDCA. Section 505(b)(2) permits the filing of an NDA where at least some of the information required for approval comes from </w:t>
      </w:r>
      <w:r>
        <w:rPr>
          <w:sz w:val="20"/>
          <w:szCs w:val="20"/>
        </w:rPr>
        <w:t>studies and information that were not conducted by or for the applicant and for which the applicant has not obtained a right of reference. Utilization of the Section 505(b)(2) NDA pathway could expedite the development program for Fulgent Pharma's lead pro</w:t>
      </w:r>
      <w:r>
        <w:rPr>
          <w:sz w:val="20"/>
          <w:szCs w:val="20"/>
        </w:rPr>
        <w:t>duct candidate, FID-007</w:t>
      </w:r>
      <w:r>
        <w:rPr>
          <w:sz w:val="20"/>
          <w:szCs w:val="20"/>
        </w:rPr>
        <w:t>.</w:t>
      </w:r>
    </w:p>
    <w:p w:rsidR="00000000" w:rsidRDefault="00477EE8">
      <w:pPr>
        <w:pStyle w:val="a3"/>
        <w:spacing w:before="240" w:beforeAutospacing="0" w:after="0" w:afterAutospacing="0"/>
        <w:ind w:firstLine="555"/>
        <w:rPr>
          <w:sz w:val="20"/>
          <w:szCs w:val="20"/>
        </w:rPr>
      </w:pPr>
      <w:r>
        <w:rPr>
          <w:sz w:val="20"/>
          <w:szCs w:val="20"/>
        </w:rPr>
        <w:t>Notwithstanding the approval of an increasing number of products by the FDA under Section 505(b)(2) over the last few years, certain brand-name pharmaceutical companies and others have objected to the FDA’s interpretation of Sectio</w:t>
      </w:r>
      <w:r>
        <w:rPr>
          <w:sz w:val="20"/>
          <w:szCs w:val="20"/>
        </w:rPr>
        <w:t xml:space="preserve">n 505(b)(2). If the FDA’s interpretation of Section 505(b)(2) is successfully challenged, or Congress were to amend the statute to alter the currently available regulatory pathway, the FDA may change its 505(b)(2) policies and practices, which could delay </w:t>
      </w:r>
      <w:r>
        <w:rPr>
          <w:sz w:val="20"/>
          <w:szCs w:val="20"/>
        </w:rPr>
        <w:t>or even prevent the FDA from approving any NDA Fulgent Pharma submits under Section 505(b)(2). In addition, the pharmaceutical industry is highly competitive, and Section 505(b)(2) NDAs are subject to special requirements designed to protect the patent rig</w:t>
      </w:r>
      <w:r>
        <w:rPr>
          <w:sz w:val="20"/>
          <w:szCs w:val="20"/>
        </w:rPr>
        <w:t>hts of sponsors of previously approved drugs referenced in a Section 505(b)(2) NDA. Even if Fulgent Pharma is able to utilize the Section 505(b)(2) regulatory pathway for one or more of its candidates, there is no guarantee this would ultimately lead to fa</w:t>
      </w:r>
      <w:r>
        <w:rPr>
          <w:sz w:val="20"/>
          <w:szCs w:val="20"/>
        </w:rPr>
        <w:t>ster product development or earlier approval</w:t>
      </w:r>
      <w:r>
        <w:rPr>
          <w:sz w:val="20"/>
          <w:szCs w:val="20"/>
        </w:rPr>
        <w:t>.</w:t>
      </w:r>
    </w:p>
    <w:p w:rsidR="00000000" w:rsidRDefault="00477EE8">
      <w:pPr>
        <w:pStyle w:val="a3"/>
        <w:spacing w:before="240" w:beforeAutospacing="0" w:after="0" w:afterAutospacing="0"/>
        <w:ind w:firstLine="555"/>
        <w:rPr>
          <w:sz w:val="20"/>
          <w:szCs w:val="20"/>
        </w:rPr>
      </w:pPr>
      <w:r>
        <w:rPr>
          <w:sz w:val="20"/>
          <w:szCs w:val="20"/>
        </w:rPr>
        <w:t>Moreover, any delay resulting from Fulgent Pharma’s inability to pursue the FDA's 505(b)(2) pathway could result in new competitive products reaching the market more quickly than its product candidates, which m</w:t>
      </w:r>
      <w:r>
        <w:rPr>
          <w:sz w:val="20"/>
          <w:szCs w:val="20"/>
        </w:rPr>
        <w:t xml:space="preserve">ay have a material adverse impact on its competitive position and prospects. Even if Fulgent Pharma is allowed to pursue the FDA's 505(b)(2) pathway for one or more of its drug product candidates, we cannot assure you that such candidates will receive the </w:t>
      </w:r>
      <w:r>
        <w:rPr>
          <w:sz w:val="20"/>
          <w:szCs w:val="20"/>
        </w:rPr>
        <w:t>requisite approvals for commercialization</w:t>
      </w:r>
      <w:r>
        <w:rPr>
          <w:sz w:val="20"/>
          <w:szCs w:val="20"/>
        </w:rPr>
        <w:t>.</w:t>
      </w:r>
    </w:p>
    <w:p w:rsidR="00000000" w:rsidRDefault="00477EE8">
      <w:pPr>
        <w:pStyle w:val="a3"/>
        <w:spacing w:before="360" w:beforeAutospacing="0" w:after="0" w:afterAutospacing="0"/>
        <w:jc w:val="center"/>
        <w:rPr>
          <w:sz w:val="20"/>
          <w:szCs w:val="20"/>
        </w:rPr>
      </w:pPr>
      <w:r>
        <w:rPr>
          <w:b/>
          <w:bCs/>
          <w:sz w:val="20"/>
          <w:szCs w:val="20"/>
        </w:rPr>
        <w:t>Intellectual Property Risk</w:t>
      </w:r>
      <w:r>
        <w:rPr>
          <w:b/>
          <w:bCs/>
          <w:sz w:val="20"/>
          <w:szCs w:val="20"/>
        </w:rPr>
        <w:t>s</w:t>
      </w:r>
    </w:p>
    <w:p w:rsidR="00000000" w:rsidRDefault="00477EE8">
      <w:pPr>
        <w:pStyle w:val="a3"/>
        <w:spacing w:before="120" w:beforeAutospacing="0" w:after="0" w:afterAutospacing="0"/>
        <w:rPr>
          <w:sz w:val="20"/>
          <w:szCs w:val="20"/>
        </w:rPr>
      </w:pPr>
      <w:r>
        <w:rPr>
          <w:b/>
          <w:bCs/>
          <w:sz w:val="20"/>
          <w:szCs w:val="20"/>
        </w:rPr>
        <w:t>We primarily rely on trade secret protection, non-disclosure agreements and invention assignment agreements to protect our proprietary information, which may not be effective</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We currently rely on trade secret protection, non-disclosure agreements and inve</w:t>
      </w:r>
      <w:r>
        <w:rPr>
          <w:sz w:val="20"/>
          <w:szCs w:val="20"/>
        </w:rPr>
        <w:t>ntion assignment agreements with our employees, consultants and third-parties to protect our confidential and proprietary information. Although our competitors have utilized and are expected to continue to utilize technologies and methods similar to ours a</w:t>
      </w:r>
      <w:r>
        <w:rPr>
          <w:sz w:val="20"/>
          <w:szCs w:val="20"/>
        </w:rPr>
        <w:t>nd have aggregated and are expected to continue to aggregate libraries of genetic information similar to ours, we believe our success will depend in part on our ability to develop proprietary methods and libraries and to defend any advantages afforded to u</w:t>
      </w:r>
      <w:r>
        <w:rPr>
          <w:sz w:val="20"/>
          <w:szCs w:val="20"/>
        </w:rPr>
        <w:t>s by these methods and libraries relative to our competitors. If we do not protect our intellectual property and other confidential information adequately, competitors may be able to use our proprietary technologies and information and thereby erode any co</w:t>
      </w:r>
      <w:r>
        <w:rPr>
          <w:sz w:val="20"/>
          <w:szCs w:val="20"/>
        </w:rPr>
        <w:t>mpetitive advantages our intellectual property and other confidential information provide us</w:t>
      </w:r>
      <w:r>
        <w:rPr>
          <w:sz w:val="20"/>
          <w:szCs w:val="20"/>
        </w:rPr>
        <w:t>.</w:t>
      </w:r>
    </w:p>
    <w:p w:rsidR="00000000" w:rsidRDefault="00477EE8">
      <w:pPr>
        <w:pStyle w:val="a3"/>
        <w:spacing w:before="240" w:beforeAutospacing="0" w:after="0" w:afterAutospacing="0"/>
        <w:jc w:val="center"/>
        <w:rPr>
          <w:sz w:val="20"/>
          <w:szCs w:val="20"/>
        </w:rPr>
      </w:pPr>
      <w:r>
        <w:rPr>
          <w:sz w:val="20"/>
          <w:szCs w:val="20"/>
        </w:rPr>
        <w:t>3</w:t>
      </w:r>
      <w:r>
        <w:rPr>
          <w:sz w:val="20"/>
          <w:szCs w:val="20"/>
        </w:rPr>
        <w:t>9</w:t>
      </w:r>
    </w:p>
    <w:p w:rsidR="00000000" w:rsidRDefault="00477EE8">
      <w:pPr>
        <w:rPr>
          <w:rFonts w:eastAsia="Times New Roman"/>
        </w:rPr>
      </w:pPr>
      <w:r>
        <w:rPr>
          <w:rFonts w:eastAsia="Times New Roman"/>
        </w:rPr>
        <w:pict>
          <v:rect id="_x0000_i1078" style="width:0;height:1.5pt" o:hralign="center" o:hrstd="t" o:hr="t" fillcolor="#a0a0a0" stroked="f"/>
        </w:pict>
      </w:r>
    </w:p>
    <w:p w:rsidR="00000000" w:rsidRDefault="00477EE8">
      <w:pPr>
        <w:pStyle w:val="a3"/>
        <w:spacing w:before="240" w:beforeAutospacing="0" w:after="0" w:afterAutospacing="0"/>
        <w:ind w:firstLine="555"/>
        <w:rPr>
          <w:sz w:val="20"/>
          <w:szCs w:val="20"/>
        </w:rPr>
      </w:pPr>
      <w:r>
        <w:rPr>
          <w:sz w:val="20"/>
          <w:szCs w:val="20"/>
        </w:rPr>
        <w:t>We will be able to protect our proprietary rights from unauthorized use by third parties only to the extent these rights a</w:t>
      </w:r>
      <w:r>
        <w:rPr>
          <w:sz w:val="20"/>
          <w:szCs w:val="20"/>
        </w:rPr>
        <w:t xml:space="preserve">re effectively maintained as confidential. We expect to rely primarily on trade secret and contractual protections for our confidential and proprietary information and we have taken security measures we believe are appropriate to protect this information. </w:t>
      </w:r>
      <w:r>
        <w:rPr>
          <w:sz w:val="20"/>
          <w:szCs w:val="20"/>
        </w:rPr>
        <w:t xml:space="preserve">These measures, however, may not provide adequate protection for our trade secrets, know-how or other confidential information. We seek to protect our proprietary information by, among other things, entering into confidentiality agreements with employees, </w:t>
      </w:r>
      <w:r>
        <w:rPr>
          <w:sz w:val="20"/>
          <w:szCs w:val="20"/>
        </w:rPr>
        <w:t>consultants and other third parties. These confidentiality agreements may not sufficiently safeguard our trade secrets and other confidential information and may not provide adequate remedies in the event of unauthorized use or disclosure of this informati</w:t>
      </w:r>
      <w:r>
        <w:rPr>
          <w:sz w:val="20"/>
          <w:szCs w:val="20"/>
        </w:rPr>
        <w:t>on. Enforcing a claim that a party illegally disclosed or misappropriated a trade secret or other proprietary information could be difficult, expensive and time-consuming and the outcome could be unpredictable. In addition, trade secrets or other confident</w:t>
      </w:r>
      <w:r>
        <w:rPr>
          <w:sz w:val="20"/>
          <w:szCs w:val="20"/>
        </w:rPr>
        <w:t>ial information could otherwise become known or be independently developed by others in a manner that could prevent legal recourse by us. If any of our trade secrets or other confidential or proprietary information were disclosed or misappropriated or if a</w:t>
      </w:r>
      <w:r>
        <w:rPr>
          <w:sz w:val="20"/>
          <w:szCs w:val="20"/>
        </w:rPr>
        <w:t>ny such information was independently developed by a competitor, our competitive position could be harmed and our business could suffer</w:t>
      </w:r>
      <w:r>
        <w:rPr>
          <w:sz w:val="20"/>
          <w:szCs w:val="20"/>
        </w:rPr>
        <w:t>.</w:t>
      </w:r>
    </w:p>
    <w:p w:rsidR="00000000" w:rsidRDefault="00477EE8">
      <w:pPr>
        <w:pStyle w:val="a3"/>
        <w:spacing w:before="360" w:beforeAutospacing="0" w:after="0" w:afterAutospacing="0"/>
        <w:rPr>
          <w:sz w:val="20"/>
          <w:szCs w:val="20"/>
        </w:rPr>
      </w:pPr>
      <w:r>
        <w:rPr>
          <w:b/>
          <w:bCs/>
          <w:sz w:val="20"/>
          <w:szCs w:val="20"/>
        </w:rPr>
        <w:t>Litigation or other proceedings or third-party claims of intellectual property infringement or misappropriation could r</w:t>
      </w:r>
      <w:r>
        <w:rPr>
          <w:b/>
          <w:bCs/>
          <w:sz w:val="20"/>
          <w:szCs w:val="20"/>
        </w:rPr>
        <w:t>equire us to spend significant time and money and prevent us from selling our tests or developing therapeutic candidates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We believe our ability to succeed will depend in part on our avoidance of infringement of patents and other proprietary rights owned b</w:t>
      </w:r>
      <w:r>
        <w:rPr>
          <w:sz w:val="20"/>
          <w:szCs w:val="20"/>
        </w:rPr>
        <w:t>y third parties, including the intellectual property rights of competitors. There are numerous third-party-owned U.S. and foreign patents, pending patent applications and other intellectual property rights that cover technologies relevant to our testing an</w:t>
      </w:r>
      <w:r>
        <w:rPr>
          <w:sz w:val="20"/>
          <w:szCs w:val="20"/>
        </w:rPr>
        <w:t>d testing services. We may be unaware of patents or other intellectual property rights that a third-party might assert are infringed by our business, and there may be pending patent applications that, if issued, could be asserted against us. As a result, o</w:t>
      </w:r>
      <w:r>
        <w:rPr>
          <w:sz w:val="20"/>
          <w:szCs w:val="20"/>
        </w:rPr>
        <w:t>ur existing or future operations may be alleged or found to infringe existing or future patents or other intellectual property rights of others. Moreover, as we continue to sell our existing tests and if we launch new tests and enter new markets, competito</w:t>
      </w:r>
      <w:r>
        <w:rPr>
          <w:sz w:val="20"/>
          <w:szCs w:val="20"/>
        </w:rPr>
        <w:t>rs may claim that our tests infringe or misappropriate their intellectual property rights as part of strategies designed to impede our existing operations or our entry into new markets</w:t>
      </w:r>
      <w:r>
        <w:rPr>
          <w:sz w:val="20"/>
          <w:szCs w:val="20"/>
        </w:rPr>
        <w:t>.</w:t>
      </w:r>
    </w:p>
    <w:p w:rsidR="00000000" w:rsidRDefault="00477EE8">
      <w:pPr>
        <w:pStyle w:val="a3"/>
        <w:spacing w:before="240" w:beforeAutospacing="0" w:after="0" w:afterAutospacing="0"/>
        <w:ind w:firstLine="555"/>
        <w:rPr>
          <w:sz w:val="20"/>
          <w:szCs w:val="20"/>
        </w:rPr>
      </w:pPr>
      <w:r>
        <w:rPr>
          <w:sz w:val="20"/>
          <w:szCs w:val="20"/>
        </w:rPr>
        <w:t xml:space="preserve">If a patent infringement or misappropriation of intellectual property </w:t>
      </w:r>
      <w:r>
        <w:rPr>
          <w:sz w:val="20"/>
          <w:szCs w:val="20"/>
        </w:rPr>
        <w:t>lawsuit was brought against us, we could be forced to discontinue or delay our development or sales of any tests or other activities that are the subject of the lawsuit while it is pending, even if it is not ultimately successful. In the event of a success</w:t>
      </w:r>
      <w:r>
        <w:rPr>
          <w:sz w:val="20"/>
          <w:szCs w:val="20"/>
        </w:rPr>
        <w:t xml:space="preserve">ful claim of infringement against us, we could be forced to pay substantial damages, including treble damages and attorneys’ fees if we were found to have willfully infringed patents; obtain one or more licenses, which may not be available on commercially </w:t>
      </w:r>
      <w:r>
        <w:rPr>
          <w:sz w:val="20"/>
          <w:szCs w:val="20"/>
        </w:rPr>
        <w:t xml:space="preserve">reasonable terms when needed or at all; pay royalties, which may be substantial; or redesign any infringing tests or other activities, which may be impossible or require substantial time and expense. In addition, third parties making claims against us for </w:t>
      </w:r>
      <w:r>
        <w:rPr>
          <w:sz w:val="20"/>
          <w:szCs w:val="20"/>
        </w:rPr>
        <w:t>infringement or misappropriation of their patents or other intellectual property rights could seek and obtain injunctive or other equitable relief, which, if granted, could prohibit us from performing some or all of our tests. Further, defense against thes</w:t>
      </w:r>
      <w:r>
        <w:rPr>
          <w:sz w:val="20"/>
          <w:szCs w:val="20"/>
        </w:rPr>
        <w:t>e claims, regardless of their merit or success, could cause us to incur substantial expenses, be a substantial diversion to our management and other employee resources and significantly harm our reputation. Any of these outcomes could delay our introductio</w:t>
      </w:r>
      <w:r>
        <w:rPr>
          <w:sz w:val="20"/>
          <w:szCs w:val="20"/>
        </w:rPr>
        <w:t>n of new tests, significantly increase our costs or prevent us from conducting certain of our essential activities, which could materially adversely affect our ability to operate and grow our business</w:t>
      </w:r>
      <w:r>
        <w:rPr>
          <w:sz w:val="20"/>
          <w:szCs w:val="20"/>
        </w:rPr>
        <w:t>.</w:t>
      </w:r>
    </w:p>
    <w:p w:rsidR="00000000" w:rsidRDefault="00477EE8">
      <w:pPr>
        <w:pStyle w:val="a3"/>
        <w:spacing w:before="360" w:beforeAutospacing="0" w:after="0" w:afterAutospacing="0"/>
        <w:rPr>
          <w:sz w:val="20"/>
          <w:szCs w:val="20"/>
        </w:rPr>
      </w:pPr>
      <w:r>
        <w:rPr>
          <w:b/>
          <w:bCs/>
          <w:sz w:val="20"/>
          <w:szCs w:val="20"/>
        </w:rPr>
        <w:t>We may be subject to claims challenging the inventorsh</w:t>
      </w:r>
      <w:r>
        <w:rPr>
          <w:b/>
          <w:bCs/>
          <w:sz w:val="20"/>
          <w:szCs w:val="20"/>
        </w:rPr>
        <w:t>ip of our patents and other intellectual property</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We may be subject to claims that former employees, collaborators or other third parties have an interest in our owned patents, trade secrets, or other intellectual property as an inventor or co-inventor. F</w:t>
      </w:r>
      <w:r>
        <w:rPr>
          <w:sz w:val="20"/>
          <w:szCs w:val="20"/>
        </w:rPr>
        <w:t>or example, we may have inventorship disputes arise from conflicting obligations of consultants or others who are involved in developing our products or product candidates and other proprietary technologies we may develop. Litigation may be necessary to de</w:t>
      </w:r>
      <w:r>
        <w:rPr>
          <w:sz w:val="20"/>
          <w:szCs w:val="20"/>
        </w:rPr>
        <w:t>fend against these and other claims challenging inventorship or our ownership of our owned patents, trade secrets or other intellectual property. If we fail in defending any such claims, in addition to paying monetary damages, we may lose valuable intellec</w:t>
      </w:r>
      <w:r>
        <w:rPr>
          <w:sz w:val="20"/>
          <w:szCs w:val="20"/>
        </w:rPr>
        <w:t>tual property rights, such as exclusive ownership of, or right to use, intellectual property that is important to our products, product candidates and other proprietary technologies we may develop. Even if we are successful in defending against such claims</w:t>
      </w:r>
      <w:r>
        <w:rPr>
          <w:sz w:val="20"/>
          <w:szCs w:val="20"/>
        </w:rPr>
        <w:t>, litigation could result in substantial costs and be a distraction to management and other employees. Any of the foregoing could have a material adverse effect on our business, financial condition, results of operations and prospects</w:t>
      </w:r>
      <w:r>
        <w:rPr>
          <w:sz w:val="20"/>
          <w:szCs w:val="20"/>
        </w:rPr>
        <w:t>.</w:t>
      </w:r>
    </w:p>
    <w:p w:rsidR="00000000" w:rsidRDefault="00477EE8">
      <w:pPr>
        <w:pStyle w:val="a3"/>
        <w:spacing w:before="360" w:beforeAutospacing="0" w:after="0" w:afterAutospacing="0"/>
        <w:rPr>
          <w:sz w:val="20"/>
          <w:szCs w:val="20"/>
        </w:rPr>
      </w:pPr>
      <w:r>
        <w:rPr>
          <w:b/>
          <w:bCs/>
          <w:sz w:val="20"/>
          <w:szCs w:val="20"/>
        </w:rPr>
        <w:t>Developments in pate</w:t>
      </w:r>
      <w:r>
        <w:rPr>
          <w:b/>
          <w:bCs/>
          <w:sz w:val="20"/>
          <w:szCs w:val="20"/>
        </w:rPr>
        <w:t>nt law could have a negative impact on our business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From time to time, the Supreme Court, other federal courts, the U.S. Congress or the U.S. Patent and Trademark Office, or USPTO, may change the standards of patentability, and any such changes could have</w:t>
      </w:r>
      <w:r>
        <w:rPr>
          <w:sz w:val="20"/>
          <w:szCs w:val="20"/>
        </w:rPr>
        <w:t xml:space="preserve"> a negative impact on our business</w:t>
      </w:r>
      <w:r>
        <w:rPr>
          <w:sz w:val="20"/>
          <w:szCs w:val="20"/>
        </w:rPr>
        <w:t>.</w:t>
      </w:r>
    </w:p>
    <w:p w:rsidR="00000000" w:rsidRDefault="00477EE8">
      <w:pPr>
        <w:pStyle w:val="a3"/>
        <w:spacing w:before="240" w:beforeAutospacing="0" w:after="0" w:afterAutospacing="0"/>
        <w:ind w:firstLine="555"/>
        <w:rPr>
          <w:sz w:val="20"/>
          <w:szCs w:val="20"/>
        </w:rPr>
      </w:pPr>
      <w:r>
        <w:rPr>
          <w:sz w:val="20"/>
          <w:szCs w:val="20"/>
        </w:rPr>
        <w:t>Three cases involving diagnostic method claims and “gene patents” have been decided by the Supreme Court in recent years. In March 2012, the Supreme Court issued a decision in Mayo Collaborative v. Prometheus Laboratorie</w:t>
      </w:r>
      <w:r>
        <w:rPr>
          <w:sz w:val="20"/>
          <w:szCs w:val="20"/>
        </w:rPr>
        <w:t>s, or Prometheus, a case involving patent claims directed to optimizing the amount of drug administered to a specific patient, holding that the applicable patents’ claim</w:t>
      </w:r>
      <w:r>
        <w:rPr>
          <w:sz w:val="20"/>
          <w:szCs w:val="20"/>
        </w:rPr>
        <w:t>s</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4</w:t>
      </w:r>
      <w:r>
        <w:rPr>
          <w:sz w:val="20"/>
          <w:szCs w:val="20"/>
        </w:rPr>
        <w:t>0</w:t>
      </w:r>
    </w:p>
    <w:p w:rsidR="00000000" w:rsidRDefault="00477EE8">
      <w:pPr>
        <w:rPr>
          <w:rFonts w:eastAsia="Times New Roman"/>
        </w:rPr>
      </w:pPr>
      <w:r>
        <w:rPr>
          <w:rFonts w:eastAsia="Times New Roman"/>
        </w:rPr>
        <w:pict>
          <v:rect id="_x0000_i1079" style="width:0;height:1.5pt" o:hralign="center" o:hrstd="t" o:hr="t" fillcolor="#a0a0a0" stroked="f"/>
        </w:pict>
      </w:r>
    </w:p>
    <w:p w:rsidR="00000000" w:rsidRDefault="00477EE8">
      <w:pPr>
        <w:pStyle w:val="a3"/>
        <w:spacing w:before="240" w:beforeAutospacing="0" w:after="0" w:afterAutospacing="0"/>
        <w:rPr>
          <w:sz w:val="20"/>
          <w:szCs w:val="20"/>
        </w:rPr>
      </w:pPr>
      <w:r>
        <w:rPr>
          <w:sz w:val="20"/>
          <w:szCs w:val="20"/>
        </w:rPr>
        <w:t>failed to incorporate sufficient inventive c</w:t>
      </w:r>
      <w:r>
        <w:rPr>
          <w:sz w:val="20"/>
          <w:szCs w:val="20"/>
        </w:rPr>
        <w:t xml:space="preserve">ontent above and beyond mere underlying natural correlations to allow the claimed processes to qualify as patent-eligible processes that apply natural laws. In June 2013, the Supreme Court decided Association for Molecular Pathology v. Myriad Genetics, or </w:t>
      </w:r>
      <w:r>
        <w:rPr>
          <w:sz w:val="20"/>
          <w:szCs w:val="20"/>
        </w:rPr>
        <w:t xml:space="preserve">Myriad, a case challenging the validity of patent claims relating to the breast cancer susceptibility genes BRCA1 and BRCA2, holding that isolated genomic DNA that exists in nature, such as the DNA constituting the BRCA1 and BRCA2 genes, is not patentable </w:t>
      </w:r>
      <w:r>
        <w:rPr>
          <w:sz w:val="20"/>
          <w:szCs w:val="20"/>
        </w:rPr>
        <w:t>subject matter, but that cDNA, which is an artificial construct created from RNA transcripts of genes, may be patent eligible. In June 2014, the Supreme Court decided Alice Corporation Pty. Ltd. v. CLS Bank International, or Alice, which affirmed the Prome</w:t>
      </w:r>
      <w:r>
        <w:rPr>
          <w:sz w:val="20"/>
          <w:szCs w:val="20"/>
        </w:rPr>
        <w:t>theus and Myriad decisions and provided additional interpretation</w:t>
      </w:r>
      <w:r>
        <w:rPr>
          <w:sz w:val="20"/>
          <w:szCs w:val="20"/>
        </w:rPr>
        <w:t>.</w:t>
      </w:r>
    </w:p>
    <w:p w:rsidR="00000000" w:rsidRDefault="00477EE8">
      <w:pPr>
        <w:pStyle w:val="a3"/>
        <w:spacing w:before="240" w:beforeAutospacing="0" w:after="0" w:afterAutospacing="0"/>
        <w:ind w:firstLine="555"/>
        <w:rPr>
          <w:sz w:val="20"/>
          <w:szCs w:val="20"/>
        </w:rPr>
      </w:pPr>
      <w:r>
        <w:rPr>
          <w:sz w:val="20"/>
          <w:szCs w:val="20"/>
        </w:rPr>
        <w:t>If we make efforts to seek patent protection for our product candidates, products, technologies and tests, these efforts may be negatively impacted by the Prometheus, Myriad and Alice decis</w:t>
      </w:r>
      <w:r>
        <w:rPr>
          <w:sz w:val="20"/>
          <w:szCs w:val="20"/>
        </w:rPr>
        <w:t>ions, rulings in other cases or guidance or procedures issued by the USPTO. However, we cannot fully predict the impact of the Prometheus, Myriad and Alice decisions on the ability of genetic testing, biopharmaceutical or other companies to obtain or enfor</w:t>
      </w:r>
      <w:r>
        <w:rPr>
          <w:sz w:val="20"/>
          <w:szCs w:val="20"/>
        </w:rPr>
        <w:t>ce patents relating to DNA, genes or genomic-related discoveries in the future, as the contours of when claims reciting laws of nature, natural phenomena or abstract ideas may meet patent eligibility requirements are not clear and may take years to develop</w:t>
      </w:r>
      <w:r>
        <w:rPr>
          <w:sz w:val="20"/>
          <w:szCs w:val="20"/>
        </w:rPr>
        <w:t xml:space="preserve"> via interpretation at the USPTO and in the courts. There are many previously issued patents claiming nucleic acids and diagnostic methods based on natural correlations that issued before these recent Supreme Court decisions and, although many of these pat</w:t>
      </w:r>
      <w:r>
        <w:rPr>
          <w:sz w:val="20"/>
          <w:szCs w:val="20"/>
        </w:rPr>
        <w:t>ents may be invalid under the standards set forth in these decisions, they are presumed valid and enforceable until they are successfully challenged and third parties holding these patents could allege that we infringe or request that we obtain a license u</w:t>
      </w:r>
      <w:r>
        <w:rPr>
          <w:sz w:val="20"/>
          <w:szCs w:val="20"/>
        </w:rPr>
        <w:t>nder such patents. Whether based on patents issued before or after these Supreme Court decisions, we could be forced to defend against claims of patent infringement or obtain license rights, if available, under these patents. In particular, although the Su</w:t>
      </w:r>
      <w:r>
        <w:rPr>
          <w:sz w:val="20"/>
          <w:szCs w:val="20"/>
        </w:rPr>
        <w:t>preme Court has held in Myriad that isolated genomic DNA is not patent-eligible subject matter, third parties could allege that our activities infringe other classes of gene-related patent claims. There are numerous risks associated with any patent infring</w:t>
      </w:r>
      <w:r>
        <w:rPr>
          <w:sz w:val="20"/>
          <w:szCs w:val="20"/>
        </w:rPr>
        <w:t xml:space="preserve">ement claim that may be brought against us, as discussed above under “—Litigation or other proceedings or third-party claims of intellectual property infringement or misappropriation could require us to spend significant time and money and prevent us from </w:t>
      </w:r>
      <w:r>
        <w:rPr>
          <w:sz w:val="20"/>
          <w:szCs w:val="20"/>
        </w:rPr>
        <w:t>selling our tests or developing therapeutic candidates.</w:t>
      </w:r>
      <w:r>
        <w:rPr>
          <w:sz w:val="20"/>
          <w:szCs w:val="20"/>
        </w:rPr>
        <w:t>”</w:t>
      </w:r>
    </w:p>
    <w:p w:rsidR="00000000" w:rsidRDefault="00477EE8">
      <w:pPr>
        <w:pStyle w:val="a3"/>
        <w:spacing w:before="240" w:beforeAutospacing="0" w:after="0" w:afterAutospacing="0"/>
        <w:ind w:firstLine="555"/>
        <w:rPr>
          <w:sz w:val="20"/>
          <w:szCs w:val="20"/>
        </w:rPr>
      </w:pPr>
      <w:r>
        <w:rPr>
          <w:sz w:val="20"/>
          <w:szCs w:val="20"/>
        </w:rPr>
        <w:t>In addition, the Leahy-Smith America Invents Act, or America Invents Act, which was signed into law in 2011, includes a number of significant changes to U.S. patent law. These changes include a trans</w:t>
      </w:r>
      <w:r>
        <w:rPr>
          <w:sz w:val="20"/>
          <w:szCs w:val="20"/>
        </w:rPr>
        <w:t xml:space="preserve">ition from a “first-to-invent” system to a “first-to-file” system, changes to the way issued patents are challenged and changes to the way patent applications are disputed during the examination process. These changes may favor larger and more established </w:t>
      </w:r>
      <w:r>
        <w:rPr>
          <w:sz w:val="20"/>
          <w:szCs w:val="20"/>
        </w:rPr>
        <w:t xml:space="preserve">companies that have greater resources to devote to patent application filing and prosecution. The USPTO has developed new regulations and procedures to govern the full implementation of the America Invents Act, but the impact of the America Invents Act on </w:t>
      </w:r>
      <w:r>
        <w:rPr>
          <w:sz w:val="20"/>
          <w:szCs w:val="20"/>
        </w:rPr>
        <w:t>the cost of prosecuting any patent applications we may file, our ability to obtain patents based on our discoveries if we pursue them and our ability to enforce or defend any patents that may issue remains uncertain</w:t>
      </w:r>
      <w:r>
        <w:rPr>
          <w:sz w:val="20"/>
          <w:szCs w:val="20"/>
        </w:rPr>
        <w:t>.</w:t>
      </w:r>
    </w:p>
    <w:p w:rsidR="00000000" w:rsidRDefault="00477EE8">
      <w:pPr>
        <w:pStyle w:val="a3"/>
        <w:spacing w:before="240" w:beforeAutospacing="0" w:after="0" w:afterAutospacing="0"/>
        <w:ind w:firstLine="555"/>
        <w:rPr>
          <w:sz w:val="20"/>
          <w:szCs w:val="20"/>
        </w:rPr>
      </w:pPr>
      <w:r>
        <w:rPr>
          <w:sz w:val="20"/>
          <w:szCs w:val="20"/>
        </w:rPr>
        <w:t xml:space="preserve">These and other substantive changes to </w:t>
      </w:r>
      <w:r>
        <w:rPr>
          <w:sz w:val="20"/>
          <w:szCs w:val="20"/>
        </w:rPr>
        <w:t>U.S. patent law could affect our susceptibility to patent infringement claims and our ability to obtain any patents we may pursue and, if obtained, to enforce or defend them, any of which could have a material adverse effect on our business</w:t>
      </w:r>
      <w:r>
        <w:rPr>
          <w:sz w:val="20"/>
          <w:szCs w:val="20"/>
        </w:rPr>
        <w:t>.</w:t>
      </w:r>
    </w:p>
    <w:p w:rsidR="00000000" w:rsidRDefault="00477EE8">
      <w:pPr>
        <w:pStyle w:val="a3"/>
        <w:spacing w:before="360" w:beforeAutospacing="0" w:after="0" w:afterAutospacing="0"/>
        <w:rPr>
          <w:sz w:val="20"/>
          <w:szCs w:val="20"/>
        </w:rPr>
      </w:pPr>
      <w:r>
        <w:rPr>
          <w:b/>
          <w:bCs/>
          <w:sz w:val="20"/>
          <w:szCs w:val="20"/>
        </w:rPr>
        <w:t>We may not be able to enforce our intellectual property rights outside the United States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The laws of some foreign countries do not protect proprietary rights to the same extent as the laws of the United States, and many companies have encountered signific</w:t>
      </w:r>
      <w:r>
        <w:rPr>
          <w:sz w:val="20"/>
          <w:szCs w:val="20"/>
        </w:rPr>
        <w:t>ant challenges in establishing and enforcing their proprietary rights outside the United States. These challenges can be caused by the absence of rules and methods for the establishment and enforcement of intellectual property rights in certain jurisdictio</w:t>
      </w:r>
      <w:r>
        <w:rPr>
          <w:sz w:val="20"/>
          <w:szCs w:val="20"/>
        </w:rPr>
        <w:t xml:space="preserve">ns. In addition, the legal systems of some countries, particularly developing countries, do not favor the enforcement of certain intellectual property protection, especially relating to healthcare. These aspects of many foreign legal systems could make it </w:t>
      </w:r>
      <w:r>
        <w:rPr>
          <w:sz w:val="20"/>
          <w:szCs w:val="20"/>
        </w:rPr>
        <w:t xml:space="preserve">difficult for us to prevent or stop the misappropriation of our intellectual property rights in these jurisdictions. Moreover, changes in the law and legal decisions by courts in foreign countries could affect our ability to obtain adequate protection for </w:t>
      </w:r>
      <w:r>
        <w:rPr>
          <w:sz w:val="20"/>
          <w:szCs w:val="20"/>
        </w:rPr>
        <w:t>our technologies and enforce our intellectual property rights. As a result, our efforts to protect and enforce our intellectual property rights outside the United States may prove inadequate, in which case our ability to remain competitive and grow our bus</w:t>
      </w:r>
      <w:r>
        <w:rPr>
          <w:sz w:val="20"/>
          <w:szCs w:val="20"/>
        </w:rPr>
        <w:t>iness and revenue could be materially harmed</w:t>
      </w:r>
      <w:r>
        <w:rPr>
          <w:sz w:val="20"/>
          <w:szCs w:val="20"/>
        </w:rPr>
        <w:t>.</w:t>
      </w:r>
    </w:p>
    <w:p w:rsidR="00000000" w:rsidRDefault="00477EE8">
      <w:pPr>
        <w:pStyle w:val="a3"/>
        <w:spacing w:before="360" w:beforeAutospacing="0" w:after="0" w:afterAutospacing="0"/>
        <w:rPr>
          <w:sz w:val="20"/>
          <w:szCs w:val="20"/>
        </w:rPr>
      </w:pPr>
      <w:r>
        <w:rPr>
          <w:b/>
          <w:bCs/>
          <w:sz w:val="20"/>
          <w:szCs w:val="20"/>
        </w:rPr>
        <w:t>Third parties may assert that our employees or consultants have wrongfully used or disclosed confidential information or misappropriated trade secrets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We employ individuals who were previously employed at univ</w:t>
      </w:r>
      <w:r>
        <w:rPr>
          <w:sz w:val="20"/>
          <w:szCs w:val="20"/>
        </w:rPr>
        <w:t>ersities and biometric solution, genetic testing, diagnostic or other healthcare companies, including our competitors or potential competitors. Further, we may become subject to ownership disputes in the future arising from, for example, conflicting obliga</w:t>
      </w:r>
      <w:r>
        <w:rPr>
          <w:sz w:val="20"/>
          <w:szCs w:val="20"/>
        </w:rPr>
        <w:t>tions of consultants or others who are involved in developing our and other parties’ technologies and intellectual property rights. Although we try to ensure that our employees and consultants do not use the proprietary information or know-how of others in</w:t>
      </w:r>
      <w:r>
        <w:rPr>
          <w:sz w:val="20"/>
          <w:szCs w:val="20"/>
        </w:rPr>
        <w:t xml:space="preserve"> their work for us, we may be subject to claims that we or our employees or consultants have inadvertently or otherwise used or disclosed intellectual property rights, including trade secrets or other proprietar</w:t>
      </w:r>
      <w:r>
        <w:rPr>
          <w:sz w:val="20"/>
          <w:szCs w:val="20"/>
        </w:rPr>
        <w:t>y</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4</w:t>
      </w:r>
      <w:r>
        <w:rPr>
          <w:sz w:val="20"/>
          <w:szCs w:val="20"/>
        </w:rPr>
        <w:t>1</w:t>
      </w:r>
    </w:p>
    <w:p w:rsidR="00000000" w:rsidRDefault="00477EE8">
      <w:pPr>
        <w:rPr>
          <w:rFonts w:eastAsia="Times New Roman"/>
        </w:rPr>
      </w:pPr>
      <w:r>
        <w:rPr>
          <w:rFonts w:eastAsia="Times New Roman"/>
        </w:rPr>
        <w:pict>
          <v:rect id="_x0000_i1080" style="width:0;height:1.5pt" o:hralign="center" o:hrstd="t" o:hr="t" fillcolor="#a0a0a0" stroked="f"/>
        </w:pict>
      </w:r>
    </w:p>
    <w:p w:rsidR="00000000" w:rsidRDefault="00477EE8">
      <w:pPr>
        <w:pStyle w:val="a3"/>
        <w:spacing w:before="120" w:beforeAutospacing="0" w:after="0" w:afterAutospacing="0"/>
        <w:rPr>
          <w:sz w:val="20"/>
          <w:szCs w:val="20"/>
        </w:rPr>
      </w:pPr>
      <w:r>
        <w:rPr>
          <w:sz w:val="20"/>
          <w:szCs w:val="20"/>
        </w:rPr>
        <w:t>in</w:t>
      </w:r>
      <w:r>
        <w:rPr>
          <w:sz w:val="20"/>
          <w:szCs w:val="20"/>
        </w:rPr>
        <w:t>formation, of a former employer or other third-party. Litigation may be necessary to defend against these claims, should they arise. If we fail in defending against any such claims, we could be subject to monetary damages and the loss of valuable intellect</w:t>
      </w:r>
      <w:r>
        <w:rPr>
          <w:sz w:val="20"/>
          <w:szCs w:val="20"/>
        </w:rPr>
        <w:t>ual property rights or personnel. Even if we are successful in defending against any such claims, litigation could result in substantial costs, distract management and other employees and damage our reputation</w:t>
      </w:r>
      <w:r>
        <w:rPr>
          <w:sz w:val="20"/>
          <w:szCs w:val="20"/>
        </w:rPr>
        <w:t>.</w:t>
      </w:r>
    </w:p>
    <w:p w:rsidR="00000000" w:rsidRDefault="00477EE8">
      <w:pPr>
        <w:pStyle w:val="a3"/>
        <w:spacing w:before="360" w:beforeAutospacing="0" w:after="0" w:afterAutospacing="0"/>
        <w:rPr>
          <w:sz w:val="20"/>
          <w:szCs w:val="20"/>
        </w:rPr>
      </w:pPr>
      <w:r>
        <w:rPr>
          <w:b/>
          <w:bCs/>
          <w:sz w:val="20"/>
          <w:szCs w:val="20"/>
        </w:rPr>
        <w:t>If we fail to comply with our obligations und</w:t>
      </w:r>
      <w:r>
        <w:rPr>
          <w:b/>
          <w:bCs/>
          <w:sz w:val="20"/>
          <w:szCs w:val="20"/>
        </w:rPr>
        <w:t>er license or technology agreements with third parties, we could lose license rights that are important to our business. If our third-party licensors fail to comply with the terms of our license arrangements, we may be forced to engage in litigation to pro</w:t>
      </w:r>
      <w:r>
        <w:rPr>
          <w:b/>
          <w:bCs/>
          <w:sz w:val="20"/>
          <w:szCs w:val="20"/>
        </w:rPr>
        <w:t>tection our rights, which may not be successful</w:t>
      </w:r>
      <w:r>
        <w:rPr>
          <w:b/>
          <w:bCs/>
          <w:sz w:val="20"/>
          <w:szCs w:val="20"/>
        </w:rPr>
        <w:t>.</w:t>
      </w:r>
      <w:r>
        <w:rPr>
          <w:b/>
          <w:bCs/>
          <w:sz w:val="20"/>
          <w:szCs w:val="20"/>
        </w:rPr>
        <w:t xml:space="preserve"> </w:t>
      </w:r>
    </w:p>
    <w:p w:rsidR="00000000" w:rsidRDefault="00477EE8">
      <w:pPr>
        <w:pStyle w:val="a3"/>
        <w:spacing w:before="120" w:beforeAutospacing="0" w:after="0" w:afterAutospacing="0"/>
        <w:ind w:firstLine="555"/>
        <w:rPr>
          <w:sz w:val="20"/>
          <w:szCs w:val="20"/>
        </w:rPr>
      </w:pPr>
      <w:r>
        <w:rPr>
          <w:sz w:val="20"/>
          <w:szCs w:val="20"/>
        </w:rPr>
        <w:t>We license certain intellectual property, including technologies and patents, from third parties, that is important to our research and development efforts, and in the future we may enter into additional ag</w:t>
      </w:r>
      <w:r>
        <w:rPr>
          <w:sz w:val="20"/>
          <w:szCs w:val="20"/>
        </w:rPr>
        <w:t>reements that provide us with licenses to valuable intellectual property or technology. If we fail to comply with any of the obligations under our license agreements, we may be required to pay damages and the licensor may have the right to terminate the li</w:t>
      </w:r>
      <w:r>
        <w:rPr>
          <w:sz w:val="20"/>
          <w:szCs w:val="20"/>
        </w:rPr>
        <w:t>cense. Termination by the licensor could cause us to lose valuable rights, prevent us from continuing related research and development activities or otherwise materially and negatively impact our business. If our licensors fail to abide by the terms of a l</w:t>
      </w:r>
      <w:r>
        <w:rPr>
          <w:sz w:val="20"/>
          <w:szCs w:val="20"/>
        </w:rPr>
        <w:t xml:space="preserve">icense agreement, fail to enforce licensed intellectual property against infringing third parties, if the licensed intellectual property are found to be invalid or unenforceable, or if we are unable to enter into necessary license agreements on acceptable </w:t>
      </w:r>
      <w:r>
        <w:rPr>
          <w:sz w:val="20"/>
          <w:szCs w:val="20"/>
        </w:rPr>
        <w:t>terms or at all, we may be forced to engage in litigation to enforce our rights. This litigation may not be successful and may consume substantial amounts of time and resources. These circumstances could have a material adverse effect on our business, deve</w:t>
      </w:r>
      <w:r>
        <w:rPr>
          <w:sz w:val="20"/>
          <w:szCs w:val="20"/>
        </w:rPr>
        <w:t>lopment efforts, financial condition or results of operations</w:t>
      </w:r>
      <w:r>
        <w:rPr>
          <w:sz w:val="20"/>
          <w:szCs w:val="20"/>
        </w:rPr>
        <w:t>.</w:t>
      </w:r>
    </w:p>
    <w:p w:rsidR="00000000" w:rsidRDefault="00477EE8">
      <w:pPr>
        <w:pStyle w:val="a3"/>
        <w:spacing w:before="360" w:beforeAutospacing="0" w:after="0" w:afterAutospacing="0"/>
        <w:jc w:val="center"/>
        <w:rPr>
          <w:sz w:val="20"/>
          <w:szCs w:val="20"/>
        </w:rPr>
      </w:pPr>
      <w:r>
        <w:rPr>
          <w:b/>
          <w:bCs/>
          <w:sz w:val="20"/>
          <w:szCs w:val="20"/>
        </w:rPr>
        <w:t>Common Stock Risk</w:t>
      </w:r>
      <w:r>
        <w:rPr>
          <w:b/>
          <w:bCs/>
          <w:sz w:val="20"/>
          <w:szCs w:val="20"/>
        </w:rPr>
        <w:t>s</w:t>
      </w:r>
    </w:p>
    <w:p w:rsidR="00000000" w:rsidRDefault="00477EE8">
      <w:pPr>
        <w:pStyle w:val="a3"/>
        <w:spacing w:before="240" w:beforeAutospacing="0" w:after="0" w:afterAutospacing="0"/>
        <w:rPr>
          <w:sz w:val="20"/>
          <w:szCs w:val="20"/>
        </w:rPr>
      </w:pPr>
      <w:r>
        <w:rPr>
          <w:b/>
          <w:bCs/>
          <w:sz w:val="20"/>
          <w:szCs w:val="20"/>
        </w:rPr>
        <w:t>An active, liquid trading market for our common stock may not be sustained, which could make it difficult for stockholders to sell their shares of our common stock</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An active</w:t>
      </w:r>
      <w:r>
        <w:rPr>
          <w:sz w:val="20"/>
          <w:szCs w:val="20"/>
        </w:rPr>
        <w:t xml:space="preserve"> trading market for our common stock may not be sustained. Further, Mr. Hsieh, our founder, Chief Executive Officer and Chairman of our board of directors, beneficially owns approximately 28% of our outstanding voting equity as of December 31, 2022. As a r</w:t>
      </w:r>
      <w:r>
        <w:rPr>
          <w:sz w:val="20"/>
          <w:szCs w:val="20"/>
        </w:rPr>
        <w:t>esult, fewer shares are actively traded in the public market, which reduces the liquidity of our common stock. The lack of an active trading market could impair our stockholders’ ability to sell their shares at the desired time or at a price considered rea</w:t>
      </w:r>
      <w:r>
        <w:rPr>
          <w:sz w:val="20"/>
          <w:szCs w:val="20"/>
        </w:rPr>
        <w:t xml:space="preserve">sonable. Further, an inactive trading market may impair our ability to raise capital by selling shares of our common stock in the future, and may impair our ability to enter into strategic relationships or acquire companies or technologies using shares of </w:t>
      </w:r>
      <w:r>
        <w:rPr>
          <w:sz w:val="20"/>
          <w:szCs w:val="20"/>
        </w:rPr>
        <w:t>our common stock as consideration</w:t>
      </w:r>
      <w:r>
        <w:rPr>
          <w:sz w:val="20"/>
          <w:szCs w:val="20"/>
        </w:rPr>
        <w:t>.</w:t>
      </w:r>
    </w:p>
    <w:p w:rsidR="00000000" w:rsidRDefault="00477EE8">
      <w:pPr>
        <w:pStyle w:val="a3"/>
        <w:spacing w:before="240" w:beforeAutospacing="0" w:after="0" w:afterAutospacing="0"/>
        <w:ind w:firstLine="555"/>
        <w:rPr>
          <w:sz w:val="20"/>
          <w:szCs w:val="20"/>
        </w:rPr>
      </w:pPr>
      <w:r>
        <w:rPr>
          <w:sz w:val="20"/>
          <w:szCs w:val="20"/>
        </w:rPr>
        <w:t>Our common stock is listed on the Nasdaq Global Market, or Nasdaq, under the symbol “FLGT.” If we fail to satisfy the continued listing standards of Nasdaq, however, we could be de-listed, which would negatively impact th</w:t>
      </w:r>
      <w:r>
        <w:rPr>
          <w:sz w:val="20"/>
          <w:szCs w:val="20"/>
        </w:rPr>
        <w:t>e price and liquidity of our common stock</w:t>
      </w:r>
      <w:r>
        <w:rPr>
          <w:sz w:val="20"/>
          <w:szCs w:val="20"/>
        </w:rPr>
        <w:t>.</w:t>
      </w:r>
    </w:p>
    <w:p w:rsidR="00000000" w:rsidRDefault="00477EE8">
      <w:pPr>
        <w:pStyle w:val="a3"/>
        <w:spacing w:before="360" w:beforeAutospacing="0" w:after="0" w:afterAutospacing="0"/>
        <w:rPr>
          <w:sz w:val="20"/>
          <w:szCs w:val="20"/>
        </w:rPr>
      </w:pPr>
      <w:r>
        <w:rPr>
          <w:b/>
          <w:bCs/>
          <w:sz w:val="20"/>
          <w:szCs w:val="20"/>
        </w:rPr>
        <w:t>The price of our common stock may be volatile and you could lose all or part of your investment</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The trading price of our common stock has experienced, and may continue to experience, wide fluctuations and signifi</w:t>
      </w:r>
      <w:r>
        <w:rPr>
          <w:sz w:val="20"/>
          <w:szCs w:val="20"/>
        </w:rPr>
        <w:t>cant volatility. This volatility may be exacerbated by the relatively small and illiquid market for our common stock. Other factors that may contribute to this volatility include, among others</w:t>
      </w:r>
      <w:r>
        <w:rPr>
          <w:sz w:val="20"/>
          <w:szCs w:val="20"/>
        </w:rPr>
        <w:t>:</w:t>
      </w:r>
    </w:p>
    <w:p w:rsidR="00000000" w:rsidRDefault="00477EE8">
      <w:pPr>
        <w:divId w:val="152987856"/>
        <w:rPr>
          <w:rFonts w:eastAsia="Times New Roman"/>
        </w:rPr>
      </w:pPr>
      <w:r>
        <w:rPr>
          <w:rFonts w:eastAsia="Times New Roman"/>
          <w:sz w:val="20"/>
          <w:szCs w:val="20"/>
        </w:rPr>
        <w:t>•</w:t>
      </w:r>
    </w:p>
    <w:p w:rsidR="00000000" w:rsidRDefault="00477EE8">
      <w:pPr>
        <w:divId w:val="1649242740"/>
        <w:rPr>
          <w:rFonts w:eastAsia="Times New Roman"/>
        </w:rPr>
      </w:pPr>
      <w:r>
        <w:rPr>
          <w:rFonts w:eastAsia="Times New Roman"/>
          <w:sz w:val="20"/>
          <w:szCs w:val="20"/>
        </w:rPr>
        <w:t>actual or anticipated fluctuations in our operating results</w:t>
      </w:r>
      <w:r>
        <w:rPr>
          <w:rFonts w:eastAsia="Times New Roman"/>
          <w:sz w:val="20"/>
          <w:szCs w:val="20"/>
        </w:rPr>
        <w:t>;</w:t>
      </w:r>
    </w:p>
    <w:p w:rsidR="00000000" w:rsidRDefault="00477EE8">
      <w:pPr>
        <w:divId w:val="2087140535"/>
        <w:rPr>
          <w:rFonts w:eastAsia="Times New Roman"/>
        </w:rPr>
      </w:pPr>
      <w:r>
        <w:rPr>
          <w:rFonts w:eastAsia="Times New Roman"/>
          <w:sz w:val="20"/>
          <w:szCs w:val="20"/>
        </w:rPr>
        <w:t>•</w:t>
      </w:r>
    </w:p>
    <w:p w:rsidR="00000000" w:rsidRDefault="00477EE8">
      <w:pPr>
        <w:divId w:val="663509001"/>
        <w:rPr>
          <w:rFonts w:eastAsia="Times New Roman"/>
        </w:rPr>
      </w:pPr>
      <w:r>
        <w:rPr>
          <w:rFonts w:eastAsia="Times New Roman"/>
          <w:sz w:val="20"/>
          <w:szCs w:val="20"/>
        </w:rPr>
        <w:t>competition from existing tests or new tests that may emerge, particularly if competitive factors in our industry, including prices for testing and testing services, become more acute</w:t>
      </w:r>
      <w:r>
        <w:rPr>
          <w:rFonts w:eastAsia="Times New Roman"/>
          <w:sz w:val="20"/>
          <w:szCs w:val="20"/>
        </w:rPr>
        <w:t>;</w:t>
      </w:r>
    </w:p>
    <w:p w:rsidR="00000000" w:rsidRDefault="00477EE8">
      <w:pPr>
        <w:divId w:val="357971701"/>
        <w:rPr>
          <w:rFonts w:eastAsia="Times New Roman"/>
        </w:rPr>
      </w:pPr>
      <w:r>
        <w:rPr>
          <w:rFonts w:eastAsia="Times New Roman"/>
          <w:sz w:val="20"/>
          <w:szCs w:val="20"/>
        </w:rPr>
        <w:t>•</w:t>
      </w:r>
    </w:p>
    <w:p w:rsidR="00000000" w:rsidRDefault="00477EE8">
      <w:pPr>
        <w:divId w:val="1140417240"/>
        <w:rPr>
          <w:rFonts w:eastAsia="Times New Roman"/>
        </w:rPr>
      </w:pPr>
      <w:r>
        <w:rPr>
          <w:rFonts w:eastAsia="Times New Roman"/>
          <w:sz w:val="20"/>
          <w:szCs w:val="20"/>
        </w:rPr>
        <w:t>failures to meet or exceed financial estimates and projections of the investment community or guidance we have provided to the public</w:t>
      </w:r>
      <w:r>
        <w:rPr>
          <w:rFonts w:eastAsia="Times New Roman"/>
          <w:sz w:val="20"/>
          <w:szCs w:val="20"/>
        </w:rPr>
        <w:t>;</w:t>
      </w:r>
    </w:p>
    <w:p w:rsidR="00000000" w:rsidRDefault="00477EE8">
      <w:pPr>
        <w:divId w:val="1214152450"/>
        <w:rPr>
          <w:rFonts w:eastAsia="Times New Roman"/>
        </w:rPr>
      </w:pPr>
      <w:r>
        <w:rPr>
          <w:rFonts w:eastAsia="Times New Roman"/>
          <w:sz w:val="20"/>
          <w:szCs w:val="20"/>
        </w:rPr>
        <w:t>•</w:t>
      </w:r>
    </w:p>
    <w:p w:rsidR="00000000" w:rsidRDefault="00477EE8">
      <w:pPr>
        <w:divId w:val="1854415236"/>
        <w:rPr>
          <w:rFonts w:eastAsia="Times New Roman"/>
        </w:rPr>
      </w:pPr>
      <w:r>
        <w:rPr>
          <w:rFonts w:eastAsia="Times New Roman"/>
          <w:sz w:val="20"/>
          <w:szCs w:val="20"/>
        </w:rPr>
        <w:t>issuance of new or updated research or reports by securities analysts or changed recommendations for our common stock</w:t>
      </w:r>
      <w:r>
        <w:rPr>
          <w:rFonts w:eastAsia="Times New Roman"/>
          <w:sz w:val="20"/>
          <w:szCs w:val="20"/>
        </w:rPr>
        <w:t>;</w:t>
      </w:r>
    </w:p>
    <w:p w:rsidR="00000000" w:rsidRDefault="00477EE8">
      <w:pPr>
        <w:divId w:val="192035163"/>
        <w:rPr>
          <w:rFonts w:eastAsia="Times New Roman"/>
        </w:rPr>
      </w:pPr>
      <w:r>
        <w:rPr>
          <w:rFonts w:eastAsia="Times New Roman"/>
          <w:sz w:val="20"/>
          <w:szCs w:val="20"/>
        </w:rPr>
        <w:t>•</w:t>
      </w:r>
    </w:p>
    <w:p w:rsidR="00000000" w:rsidRDefault="00477EE8">
      <w:pPr>
        <w:divId w:val="444278477"/>
        <w:rPr>
          <w:rFonts w:eastAsia="Times New Roman"/>
        </w:rPr>
      </w:pPr>
      <w:r>
        <w:rPr>
          <w:rFonts w:eastAsia="Times New Roman"/>
          <w:sz w:val="20"/>
          <w:szCs w:val="20"/>
        </w:rPr>
        <w:t>announcements by us or our competitors of significant acquisitions, investments, strategic relationships, joint ventures, collaborations or capital commitments</w:t>
      </w:r>
      <w:r>
        <w:rPr>
          <w:rFonts w:eastAsia="Times New Roman"/>
          <w:sz w:val="20"/>
          <w:szCs w:val="20"/>
        </w:rPr>
        <w:t>;</w:t>
      </w:r>
    </w:p>
    <w:p w:rsidR="00000000" w:rsidRDefault="00477EE8">
      <w:pPr>
        <w:divId w:val="1717775632"/>
        <w:rPr>
          <w:rFonts w:eastAsia="Times New Roman"/>
        </w:rPr>
      </w:pPr>
      <w:r>
        <w:rPr>
          <w:rFonts w:eastAsia="Times New Roman"/>
          <w:sz w:val="20"/>
          <w:szCs w:val="20"/>
        </w:rPr>
        <w:t>•</w:t>
      </w:r>
    </w:p>
    <w:p w:rsidR="00000000" w:rsidRDefault="00477EE8">
      <w:pPr>
        <w:divId w:val="1846508405"/>
        <w:rPr>
          <w:rFonts w:eastAsia="Times New Roman"/>
        </w:rPr>
      </w:pPr>
      <w:r>
        <w:rPr>
          <w:rFonts w:eastAsia="Times New Roman"/>
          <w:sz w:val="20"/>
          <w:szCs w:val="20"/>
        </w:rPr>
        <w:t>the timing and amount of our investments in our business and the market’s perception of the</w:t>
      </w:r>
      <w:r>
        <w:rPr>
          <w:rFonts w:eastAsia="Times New Roman"/>
          <w:sz w:val="20"/>
          <w:szCs w:val="20"/>
        </w:rPr>
        <w:t>se investments and their impact on our prospects</w:t>
      </w:r>
      <w:r>
        <w:rPr>
          <w:rFonts w:eastAsia="Times New Roman"/>
          <w:sz w:val="20"/>
          <w:szCs w:val="20"/>
        </w:rPr>
        <w:t>;</w:t>
      </w:r>
    </w:p>
    <w:p w:rsidR="00000000" w:rsidRDefault="00477EE8">
      <w:pPr>
        <w:divId w:val="113406843"/>
        <w:rPr>
          <w:rFonts w:eastAsia="Times New Roman"/>
        </w:rPr>
      </w:pPr>
      <w:r>
        <w:rPr>
          <w:rFonts w:eastAsia="Times New Roman"/>
          <w:sz w:val="20"/>
          <w:szCs w:val="20"/>
        </w:rPr>
        <w:t>•</w:t>
      </w:r>
    </w:p>
    <w:p w:rsidR="00000000" w:rsidRDefault="00477EE8">
      <w:pPr>
        <w:divId w:val="1130050927"/>
        <w:rPr>
          <w:rFonts w:eastAsia="Times New Roman"/>
        </w:rPr>
      </w:pPr>
      <w:r>
        <w:rPr>
          <w:rFonts w:eastAsia="Times New Roman"/>
          <w:sz w:val="20"/>
          <w:szCs w:val="20"/>
        </w:rPr>
        <w:t>actual or anticipated changes in laws or regulations applicable to our business or our tests</w:t>
      </w:r>
      <w:r>
        <w:rPr>
          <w:rFonts w:eastAsia="Times New Roman"/>
          <w:sz w:val="20"/>
          <w:szCs w:val="20"/>
        </w:rPr>
        <w:t>;</w:t>
      </w:r>
    </w:p>
    <w:p w:rsidR="00000000" w:rsidRDefault="00477EE8">
      <w:pPr>
        <w:divId w:val="2083284386"/>
        <w:rPr>
          <w:rFonts w:eastAsia="Times New Roman"/>
        </w:rPr>
      </w:pPr>
      <w:r>
        <w:rPr>
          <w:rFonts w:eastAsia="Times New Roman"/>
          <w:sz w:val="20"/>
          <w:szCs w:val="20"/>
        </w:rPr>
        <w:t>•</w:t>
      </w:r>
    </w:p>
    <w:p w:rsidR="00000000" w:rsidRDefault="00477EE8">
      <w:pPr>
        <w:divId w:val="1466583258"/>
        <w:rPr>
          <w:rFonts w:eastAsia="Times New Roman"/>
        </w:rPr>
      </w:pPr>
      <w:r>
        <w:rPr>
          <w:rFonts w:eastAsia="Times New Roman"/>
          <w:sz w:val="20"/>
          <w:szCs w:val="20"/>
        </w:rPr>
        <w:t>additions or departures of key management or other personnel</w:t>
      </w:r>
      <w:r>
        <w:rPr>
          <w:rFonts w:eastAsia="Times New Roman"/>
          <w:sz w:val="20"/>
          <w:szCs w:val="20"/>
        </w:rPr>
        <w:t>;</w:t>
      </w:r>
    </w:p>
    <w:p w:rsidR="00000000" w:rsidRDefault="00477EE8">
      <w:pPr>
        <w:divId w:val="1906598903"/>
        <w:rPr>
          <w:rFonts w:eastAsia="Times New Roman"/>
        </w:rPr>
      </w:pPr>
      <w:r>
        <w:rPr>
          <w:rFonts w:eastAsia="Times New Roman"/>
          <w:sz w:val="20"/>
          <w:szCs w:val="20"/>
        </w:rPr>
        <w:t>•</w:t>
      </w:r>
    </w:p>
    <w:p w:rsidR="00000000" w:rsidRDefault="00477EE8">
      <w:pPr>
        <w:divId w:val="206454378"/>
        <w:rPr>
          <w:rFonts w:eastAsia="Times New Roman"/>
        </w:rPr>
      </w:pPr>
      <w:r>
        <w:rPr>
          <w:rFonts w:eastAsia="Times New Roman"/>
          <w:sz w:val="20"/>
          <w:szCs w:val="20"/>
        </w:rPr>
        <w:t>changes in coverage and reimbursement by cur</w:t>
      </w:r>
      <w:r>
        <w:rPr>
          <w:rFonts w:eastAsia="Times New Roman"/>
          <w:sz w:val="20"/>
          <w:szCs w:val="20"/>
        </w:rPr>
        <w:t>rent or potential payors</w:t>
      </w:r>
      <w:r>
        <w:rPr>
          <w:rFonts w:eastAsia="Times New Roman"/>
          <w:sz w:val="20"/>
          <w:szCs w:val="20"/>
        </w:rPr>
        <w:t>;</w:t>
      </w:r>
    </w:p>
    <w:p w:rsidR="00000000" w:rsidRDefault="00477EE8">
      <w:pPr>
        <w:divId w:val="1631666750"/>
        <w:rPr>
          <w:rFonts w:eastAsia="Times New Roman"/>
        </w:rPr>
      </w:pPr>
      <w:r>
        <w:rPr>
          <w:rFonts w:eastAsia="Times New Roman"/>
          <w:sz w:val="20"/>
          <w:szCs w:val="20"/>
        </w:rPr>
        <w:t>•</w:t>
      </w:r>
    </w:p>
    <w:p w:rsidR="00000000" w:rsidRDefault="00477EE8">
      <w:pPr>
        <w:divId w:val="647704815"/>
        <w:rPr>
          <w:rFonts w:eastAsia="Times New Roman"/>
        </w:rPr>
      </w:pPr>
      <w:r>
        <w:rPr>
          <w:rFonts w:eastAsia="Times New Roman"/>
          <w:sz w:val="20"/>
          <w:szCs w:val="20"/>
        </w:rPr>
        <w:t>inability to obtain additional funding as and when needed on reasonable terms</w:t>
      </w:r>
      <w:r>
        <w:rPr>
          <w:rFonts w:eastAsia="Times New Roman"/>
          <w:sz w:val="20"/>
          <w:szCs w:val="20"/>
        </w:rPr>
        <w:t>;</w:t>
      </w:r>
    </w:p>
    <w:p w:rsidR="00000000" w:rsidRDefault="00477EE8">
      <w:pPr>
        <w:divId w:val="1272518526"/>
        <w:rPr>
          <w:rFonts w:eastAsia="Times New Roman"/>
        </w:rPr>
      </w:pPr>
      <w:r>
        <w:rPr>
          <w:rFonts w:eastAsia="Times New Roman"/>
          <w:sz w:val="20"/>
          <w:szCs w:val="20"/>
        </w:rPr>
        <w:t>•</w:t>
      </w:r>
    </w:p>
    <w:p w:rsidR="00000000" w:rsidRDefault="00477EE8">
      <w:pPr>
        <w:divId w:val="1385719377"/>
        <w:rPr>
          <w:rFonts w:eastAsia="Times New Roman"/>
        </w:rPr>
      </w:pPr>
      <w:r>
        <w:rPr>
          <w:rFonts w:eastAsia="Times New Roman"/>
          <w:sz w:val="20"/>
          <w:szCs w:val="20"/>
        </w:rPr>
        <w:t>disputes or other developments with respect to our or others’ intellectual property rights</w:t>
      </w:r>
      <w:r>
        <w:rPr>
          <w:rFonts w:eastAsia="Times New Roman"/>
          <w:sz w:val="20"/>
          <w:szCs w:val="20"/>
        </w:rPr>
        <w:t>;</w:t>
      </w:r>
    </w:p>
    <w:p w:rsidR="00000000" w:rsidRDefault="00477EE8">
      <w:pPr>
        <w:pStyle w:val="a3"/>
        <w:spacing w:before="240" w:beforeAutospacing="0" w:after="0" w:afterAutospacing="0"/>
        <w:jc w:val="center"/>
        <w:rPr>
          <w:sz w:val="20"/>
          <w:szCs w:val="20"/>
        </w:rPr>
      </w:pPr>
      <w:r>
        <w:rPr>
          <w:sz w:val="20"/>
          <w:szCs w:val="20"/>
        </w:rPr>
        <w:t>4</w:t>
      </w:r>
      <w:r>
        <w:rPr>
          <w:sz w:val="20"/>
          <w:szCs w:val="20"/>
        </w:rPr>
        <w:t>2</w:t>
      </w:r>
    </w:p>
    <w:p w:rsidR="00000000" w:rsidRDefault="00477EE8">
      <w:pPr>
        <w:rPr>
          <w:rFonts w:eastAsia="Times New Roman"/>
        </w:rPr>
      </w:pPr>
      <w:r>
        <w:rPr>
          <w:rFonts w:eastAsia="Times New Roman"/>
        </w:rPr>
        <w:pict>
          <v:rect id="_x0000_i1081" style="width:0;height:1.5pt" o:hralign="center" o:hrstd="t" o:hr="t" fillcolor="#a0a0a0" stroked="f"/>
        </w:pict>
      </w:r>
    </w:p>
    <w:p w:rsidR="00000000" w:rsidRDefault="00477EE8">
      <w:pPr>
        <w:divId w:val="1159811938"/>
        <w:rPr>
          <w:rFonts w:eastAsia="Times New Roman"/>
        </w:rPr>
      </w:pPr>
      <w:r>
        <w:rPr>
          <w:rFonts w:eastAsia="Times New Roman"/>
          <w:sz w:val="20"/>
          <w:szCs w:val="20"/>
        </w:rPr>
        <w:t>•</w:t>
      </w:r>
    </w:p>
    <w:p w:rsidR="00000000" w:rsidRDefault="00477EE8">
      <w:pPr>
        <w:divId w:val="959412121"/>
        <w:rPr>
          <w:rFonts w:eastAsia="Times New Roman"/>
        </w:rPr>
      </w:pPr>
      <w:r>
        <w:rPr>
          <w:rFonts w:eastAsia="Times New Roman"/>
          <w:sz w:val="20"/>
          <w:szCs w:val="20"/>
        </w:rPr>
        <w:t>product liability claims or other litigation</w:t>
      </w:r>
      <w:r>
        <w:rPr>
          <w:rFonts w:eastAsia="Times New Roman"/>
          <w:sz w:val="20"/>
          <w:szCs w:val="20"/>
        </w:rPr>
        <w:t>;</w:t>
      </w:r>
    </w:p>
    <w:p w:rsidR="00000000" w:rsidRDefault="00477EE8">
      <w:pPr>
        <w:divId w:val="1368875929"/>
        <w:rPr>
          <w:rFonts w:eastAsia="Times New Roman"/>
        </w:rPr>
      </w:pPr>
      <w:r>
        <w:rPr>
          <w:rFonts w:eastAsia="Times New Roman"/>
          <w:sz w:val="20"/>
          <w:szCs w:val="20"/>
        </w:rPr>
        <w:t>•</w:t>
      </w:r>
    </w:p>
    <w:p w:rsidR="00000000" w:rsidRDefault="00477EE8">
      <w:pPr>
        <w:divId w:val="1846826642"/>
        <w:rPr>
          <w:rFonts w:eastAsia="Times New Roman"/>
        </w:rPr>
      </w:pPr>
      <w:r>
        <w:rPr>
          <w:rFonts w:eastAsia="Times New Roman"/>
          <w:sz w:val="20"/>
          <w:szCs w:val="20"/>
        </w:rPr>
        <w:t>sales of our common stock by us or our stockholders</w:t>
      </w:r>
      <w:r>
        <w:rPr>
          <w:rFonts w:eastAsia="Times New Roman"/>
          <w:sz w:val="20"/>
          <w:szCs w:val="20"/>
        </w:rPr>
        <w:t>;</w:t>
      </w:r>
    </w:p>
    <w:p w:rsidR="00000000" w:rsidRDefault="00477EE8">
      <w:pPr>
        <w:divId w:val="1698313768"/>
        <w:rPr>
          <w:rFonts w:eastAsia="Times New Roman"/>
        </w:rPr>
      </w:pPr>
      <w:r>
        <w:rPr>
          <w:rFonts w:eastAsia="Times New Roman"/>
          <w:sz w:val="20"/>
          <w:szCs w:val="20"/>
        </w:rPr>
        <w:t>•</w:t>
      </w:r>
    </w:p>
    <w:p w:rsidR="00000000" w:rsidRDefault="00477EE8">
      <w:pPr>
        <w:divId w:val="2066878331"/>
        <w:rPr>
          <w:rFonts w:eastAsia="Times New Roman"/>
        </w:rPr>
      </w:pPr>
      <w:r>
        <w:rPr>
          <w:rFonts w:eastAsia="Times New Roman"/>
          <w:sz w:val="20"/>
          <w:szCs w:val="20"/>
        </w:rPr>
        <w:t>general economic, political, industry and market conditions, including factors not directly related to our operatin</w:t>
      </w:r>
      <w:r>
        <w:rPr>
          <w:rFonts w:eastAsia="Times New Roman"/>
          <w:sz w:val="20"/>
          <w:szCs w:val="20"/>
        </w:rPr>
        <w:t>g performance or the operating performance of our competitors, such as increased uncertainty in the U.S. regulatory environment for healthcare, trade and tax-related matters</w:t>
      </w:r>
      <w:r>
        <w:rPr>
          <w:rFonts w:eastAsia="Times New Roman"/>
          <w:sz w:val="20"/>
          <w:szCs w:val="20"/>
        </w:rPr>
        <w:t>;</w:t>
      </w:r>
    </w:p>
    <w:p w:rsidR="00000000" w:rsidRDefault="00477EE8">
      <w:pPr>
        <w:divId w:val="1321153078"/>
        <w:rPr>
          <w:rFonts w:eastAsia="Times New Roman"/>
        </w:rPr>
      </w:pPr>
      <w:r>
        <w:rPr>
          <w:rFonts w:eastAsia="Times New Roman"/>
          <w:sz w:val="20"/>
          <w:szCs w:val="20"/>
        </w:rPr>
        <w:t>•</w:t>
      </w:r>
    </w:p>
    <w:p w:rsidR="00000000" w:rsidRDefault="00477EE8">
      <w:pPr>
        <w:divId w:val="988244694"/>
        <w:rPr>
          <w:rFonts w:eastAsia="Times New Roman"/>
        </w:rPr>
      </w:pPr>
      <w:r>
        <w:rPr>
          <w:rFonts w:eastAsia="Times New Roman"/>
          <w:sz w:val="20"/>
          <w:szCs w:val="20"/>
        </w:rPr>
        <w:t>events that affect, or have the potential to affect, general economic condition</w:t>
      </w:r>
      <w:r>
        <w:rPr>
          <w:rFonts w:eastAsia="Times New Roman"/>
          <w:sz w:val="20"/>
          <w:szCs w:val="20"/>
        </w:rPr>
        <w:t>s, including but not limited to political unrest, global trade wars, natural disasters, act of war, terrorism, or disease outbreaks</w:t>
      </w:r>
      <w:r>
        <w:rPr>
          <w:rFonts w:eastAsia="Times New Roman"/>
          <w:sz w:val="20"/>
          <w:szCs w:val="20"/>
        </w:rPr>
        <w:t>;</w:t>
      </w:r>
    </w:p>
    <w:p w:rsidR="00000000" w:rsidRDefault="00477EE8">
      <w:pPr>
        <w:divId w:val="1515027962"/>
        <w:rPr>
          <w:rFonts w:eastAsia="Times New Roman"/>
        </w:rPr>
      </w:pPr>
      <w:r>
        <w:rPr>
          <w:rFonts w:eastAsia="Times New Roman"/>
          <w:sz w:val="20"/>
          <w:szCs w:val="20"/>
        </w:rPr>
        <w:t>•</w:t>
      </w:r>
    </w:p>
    <w:p w:rsidR="00000000" w:rsidRDefault="00477EE8">
      <w:pPr>
        <w:divId w:val="1523779610"/>
        <w:rPr>
          <w:rFonts w:eastAsia="Times New Roman"/>
        </w:rPr>
      </w:pPr>
      <w:r>
        <w:rPr>
          <w:rFonts w:eastAsia="Times New Roman"/>
          <w:sz w:val="20"/>
          <w:szCs w:val="20"/>
        </w:rPr>
        <w:t>and the other risk factors discussed in this report</w:t>
      </w:r>
      <w:r>
        <w:rPr>
          <w:rFonts w:eastAsia="Times New Roman"/>
          <w:sz w:val="20"/>
          <w:szCs w:val="20"/>
        </w:rPr>
        <w:t>.</w:t>
      </w:r>
    </w:p>
    <w:p w:rsidR="00000000" w:rsidRDefault="00477EE8">
      <w:pPr>
        <w:pStyle w:val="a3"/>
        <w:spacing w:before="120" w:beforeAutospacing="0" w:after="0" w:afterAutospacing="0"/>
        <w:ind w:firstLine="612"/>
        <w:rPr>
          <w:sz w:val="20"/>
          <w:szCs w:val="20"/>
        </w:rPr>
      </w:pPr>
      <w:r>
        <w:rPr>
          <w:sz w:val="20"/>
          <w:szCs w:val="20"/>
        </w:rPr>
        <w:t>In addition, the stock market in general, and the market for the stock of companies in the life sciences and technology industries in particular, has experienced extreme price and volume fluctuations in recent years that have, at times, been unrelated or d</w:t>
      </w:r>
      <w:r>
        <w:rPr>
          <w:sz w:val="20"/>
          <w:szCs w:val="20"/>
        </w:rPr>
        <w:t>isproportionate to the operating performance of specific companies. These broad market and industry factors may negatively affect the market price of our common stock, regardless of our actual operating performance. In addition, in the past, following peri</w:t>
      </w:r>
      <w:r>
        <w:rPr>
          <w:sz w:val="20"/>
          <w:szCs w:val="20"/>
        </w:rPr>
        <w:t>ods of volatility in the overall market and the market price of a particular company’s securities, securities class action litigation has often been instituted against such company. This type of litigation, if instituted against us, could result in substan</w:t>
      </w:r>
      <w:r>
        <w:rPr>
          <w:sz w:val="20"/>
          <w:szCs w:val="20"/>
        </w:rPr>
        <w:t>tial costs, a diversion of our management’s attention and resources and could damage our reputation</w:t>
      </w:r>
      <w:r>
        <w:rPr>
          <w:sz w:val="20"/>
          <w:szCs w:val="20"/>
        </w:rPr>
        <w:t>.</w:t>
      </w:r>
    </w:p>
    <w:p w:rsidR="00000000" w:rsidRDefault="00477EE8">
      <w:pPr>
        <w:pStyle w:val="a3"/>
        <w:spacing w:before="360" w:beforeAutospacing="0" w:after="0" w:afterAutospacing="0"/>
        <w:rPr>
          <w:sz w:val="20"/>
          <w:szCs w:val="20"/>
        </w:rPr>
      </w:pPr>
      <w:r>
        <w:rPr>
          <w:b/>
          <w:bCs/>
          <w:sz w:val="20"/>
          <w:szCs w:val="20"/>
        </w:rPr>
        <w:t xml:space="preserve">Our principal stockholders and management own a significant percentage of our capital stock and are able to exert significant control over matters subject </w:t>
      </w:r>
      <w:r>
        <w:rPr>
          <w:b/>
          <w:bCs/>
          <w:sz w:val="20"/>
          <w:szCs w:val="20"/>
        </w:rPr>
        <w:t>to stockholder approval</w:t>
      </w:r>
      <w:r>
        <w:rPr>
          <w:b/>
          <w:bCs/>
          <w:sz w:val="20"/>
          <w:szCs w:val="20"/>
        </w:rPr>
        <w:t>.</w:t>
      </w:r>
    </w:p>
    <w:p w:rsidR="00000000" w:rsidRDefault="00477EE8">
      <w:pPr>
        <w:pStyle w:val="a3"/>
        <w:spacing w:before="120" w:beforeAutospacing="0" w:after="0" w:afterAutospacing="0"/>
        <w:ind w:firstLine="612"/>
        <w:rPr>
          <w:sz w:val="20"/>
          <w:szCs w:val="20"/>
        </w:rPr>
      </w:pPr>
      <w:r>
        <w:rPr>
          <w:sz w:val="20"/>
          <w:szCs w:val="20"/>
        </w:rPr>
        <w:t>Our executive officers, directors, beneficial owners of 5% or more of our outstanding voting equity and their respective affiliates collectively beneficially own approximately 44% of our outstanding voting equity as of December 31,</w:t>
      </w:r>
      <w:r>
        <w:rPr>
          <w:sz w:val="20"/>
          <w:szCs w:val="20"/>
        </w:rPr>
        <w:t xml:space="preserve"> 2022, and of this, Mr. Hsieh, our founder, Chief Executive Officer and Chairman of our board of directors, by himself beneficially owns approximately 28% of our outstanding voting equity as of December 31, 2022. As a result, these stockholders have the ab</w:t>
      </w:r>
      <w:r>
        <w:rPr>
          <w:sz w:val="20"/>
          <w:szCs w:val="20"/>
        </w:rPr>
        <w:t>ility to control matters submitted to our stockholders for approval, including elections of directors, amendments to our organizational documents or approval of any merger, sale of assets or other major corporate transaction. This concentration of ownershi</w:t>
      </w:r>
      <w:r>
        <w:rPr>
          <w:sz w:val="20"/>
          <w:szCs w:val="20"/>
        </w:rPr>
        <w:t>p may prevent or discourage unsolicited acquisition proposals or offers to acquire our common stock that some of our stockholders feel are in their best interests, as the interests of these stockholders may not coincide with the interests of our other stoc</w:t>
      </w:r>
      <w:r>
        <w:rPr>
          <w:sz w:val="20"/>
          <w:szCs w:val="20"/>
        </w:rPr>
        <w:t>kholders and they may act in a manner that advances their best interests and not necessarily those of all of our stockholders. Further, this concentration of ownership could adversely affect the prevailing market price for our common stock</w:t>
      </w:r>
      <w:r>
        <w:rPr>
          <w:sz w:val="20"/>
          <w:szCs w:val="20"/>
        </w:rPr>
        <w:t>.</w:t>
      </w:r>
    </w:p>
    <w:p w:rsidR="00000000" w:rsidRDefault="00477EE8">
      <w:pPr>
        <w:pStyle w:val="a3"/>
        <w:spacing w:before="360" w:beforeAutospacing="0" w:after="0" w:afterAutospacing="0"/>
        <w:rPr>
          <w:sz w:val="20"/>
          <w:szCs w:val="20"/>
        </w:rPr>
      </w:pPr>
      <w:r>
        <w:rPr>
          <w:b/>
          <w:bCs/>
          <w:sz w:val="20"/>
          <w:szCs w:val="20"/>
        </w:rPr>
        <w:t>Sales of a subs</w:t>
      </w:r>
      <w:r>
        <w:rPr>
          <w:b/>
          <w:bCs/>
          <w:sz w:val="20"/>
          <w:szCs w:val="20"/>
        </w:rPr>
        <w:t>tantial number of shares of our common stock in the public market, or the perception that such sales could occur, could cause the price of our common stock to fall</w:t>
      </w:r>
      <w:r>
        <w:rPr>
          <w:b/>
          <w:bCs/>
          <w:sz w:val="20"/>
          <w:szCs w:val="20"/>
        </w:rPr>
        <w:t>.</w:t>
      </w:r>
    </w:p>
    <w:p w:rsidR="00000000" w:rsidRDefault="00477EE8">
      <w:pPr>
        <w:pStyle w:val="a3"/>
        <w:spacing w:before="120" w:beforeAutospacing="0" w:after="0" w:afterAutospacing="0"/>
        <w:ind w:firstLine="612"/>
        <w:rPr>
          <w:sz w:val="20"/>
          <w:szCs w:val="20"/>
        </w:rPr>
      </w:pPr>
      <w:r>
        <w:rPr>
          <w:sz w:val="20"/>
          <w:szCs w:val="20"/>
        </w:rPr>
        <w:t>Sales of a substantial number of shares of our common stock in the public market could occu</w:t>
      </w:r>
      <w:r>
        <w:rPr>
          <w:sz w:val="20"/>
          <w:szCs w:val="20"/>
        </w:rPr>
        <w:t>r at any time. Any such sales, or the perception in the market that sales are pending or could occur, could reduce the market price of our common stock. The vast majority of the outstanding shares of our common stock are freely tradable without restriction</w:t>
      </w:r>
      <w:r>
        <w:rPr>
          <w:sz w:val="20"/>
          <w:szCs w:val="20"/>
        </w:rPr>
        <w:t xml:space="preserve"> in the public market, subject to certain volume and manner of sale limitations applicable to shares held by our affiliates, as that term is defined in the Securities Act. In addition, subject to similar limitations and any other applicable legal and contr</w:t>
      </w:r>
      <w:r>
        <w:rPr>
          <w:sz w:val="20"/>
          <w:szCs w:val="20"/>
        </w:rPr>
        <w:t>actual limitations, all of the shares of our common stock subject to outstanding equity-based awards or reserved for issuance pursuant to such awards we may grant in the future are registered under the Securities Act or are otherwise eligible under applica</w:t>
      </w:r>
      <w:r>
        <w:rPr>
          <w:sz w:val="20"/>
          <w:szCs w:val="20"/>
        </w:rPr>
        <w:t>ble securities laws for free trading in the public market upon their issuance</w:t>
      </w:r>
      <w:r>
        <w:rPr>
          <w:sz w:val="20"/>
          <w:szCs w:val="20"/>
        </w:rPr>
        <w:t>.</w:t>
      </w:r>
    </w:p>
    <w:p w:rsidR="00000000" w:rsidRDefault="00477EE8">
      <w:pPr>
        <w:pStyle w:val="a3"/>
        <w:spacing w:before="360" w:beforeAutospacing="0" w:after="0" w:afterAutospacing="0"/>
        <w:rPr>
          <w:sz w:val="20"/>
          <w:szCs w:val="20"/>
        </w:rPr>
      </w:pPr>
      <w:r>
        <w:rPr>
          <w:b/>
          <w:bCs/>
          <w:sz w:val="20"/>
          <w:szCs w:val="20"/>
        </w:rPr>
        <w:t>Future issuances of our common stock or rights to purchase our common stock, including pursuant to our equity incentive plan, could result in additional dilution to the percenta</w:t>
      </w:r>
      <w:r>
        <w:rPr>
          <w:b/>
          <w:bCs/>
          <w:sz w:val="20"/>
          <w:szCs w:val="20"/>
        </w:rPr>
        <w:t>ge ownership of our stockholders and could cause the price of our common stock to fall</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 xml:space="preserve">To raise capital or for other strategic purposes, we may sell common stock, convertible securities or other equity securities in one or more transactions at prices and </w:t>
      </w:r>
      <w:r>
        <w:rPr>
          <w:sz w:val="20"/>
          <w:szCs w:val="20"/>
        </w:rPr>
        <w:t>in a manner we determine from time to time. We also may issue common stock or grant other equity awards for compensatory purposes under our equity incentive plan. If we issue common stock, convertible securities or other equity securities, including equity</w:t>
      </w:r>
      <w:r>
        <w:rPr>
          <w:sz w:val="20"/>
          <w:szCs w:val="20"/>
        </w:rPr>
        <w:t xml:space="preserve"> awards under our equity incentive plan, our then-existing stockholders could be materially diluted by such issuances and, if we otherwise issue preferred stock, new investors could gain rights, preferences and privileges senior to the holders of our commo</w:t>
      </w:r>
      <w:r>
        <w:rPr>
          <w:sz w:val="20"/>
          <w:szCs w:val="20"/>
        </w:rPr>
        <w:t>n stock, any of which could cause the price of our common stock to decline</w:t>
      </w:r>
      <w:r>
        <w:rPr>
          <w:sz w:val="20"/>
          <w:szCs w:val="20"/>
        </w:rPr>
        <w:t>.</w:t>
      </w:r>
    </w:p>
    <w:p w:rsidR="00000000" w:rsidRDefault="00477EE8">
      <w:pPr>
        <w:pStyle w:val="a3"/>
        <w:spacing w:before="360" w:beforeAutospacing="0" w:after="0" w:afterAutospacing="0"/>
        <w:rPr>
          <w:sz w:val="20"/>
          <w:szCs w:val="20"/>
        </w:rPr>
      </w:pPr>
      <w:r>
        <w:rPr>
          <w:b/>
          <w:bCs/>
          <w:sz w:val="20"/>
          <w:szCs w:val="20"/>
        </w:rPr>
        <w:t>We do not intend to pay dividends on our common stock, so any returns will be limited to the value of our common stock</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We currently anticipate that we will retain any future earni</w:t>
      </w:r>
      <w:r>
        <w:rPr>
          <w:sz w:val="20"/>
          <w:szCs w:val="20"/>
        </w:rPr>
        <w:t>ngs to finance the continued development, operation and expansion of our business. As a result, we do not anticipate declaring or paying any cash dividends or other distributions in the foreseeable future. Further, if we were to enter into a credit facilit</w:t>
      </w:r>
      <w:r>
        <w:rPr>
          <w:sz w:val="20"/>
          <w:szCs w:val="20"/>
        </w:rPr>
        <w:t>y or issue debt securities or preferred stock in the future, we may become contractuall</w:t>
      </w:r>
      <w:r>
        <w:rPr>
          <w:sz w:val="20"/>
          <w:szCs w:val="20"/>
        </w:rPr>
        <w:t>y</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4</w:t>
      </w:r>
      <w:r>
        <w:rPr>
          <w:sz w:val="20"/>
          <w:szCs w:val="20"/>
        </w:rPr>
        <w:t>3</w:t>
      </w:r>
    </w:p>
    <w:p w:rsidR="00000000" w:rsidRDefault="00477EE8">
      <w:pPr>
        <w:rPr>
          <w:rFonts w:eastAsia="Times New Roman"/>
        </w:rPr>
      </w:pPr>
      <w:r>
        <w:rPr>
          <w:rFonts w:eastAsia="Times New Roman"/>
        </w:rPr>
        <w:pict>
          <v:rect id="_x0000_i1082" style="width:0;height:1.5pt" o:hralign="center" o:hrstd="t" o:hr="t" fillcolor="#a0a0a0" stroked="f"/>
        </w:pict>
      </w:r>
    </w:p>
    <w:p w:rsidR="00000000" w:rsidRDefault="00477EE8">
      <w:pPr>
        <w:pStyle w:val="a3"/>
        <w:spacing w:before="120" w:beforeAutospacing="0" w:after="0" w:afterAutospacing="0"/>
        <w:rPr>
          <w:sz w:val="20"/>
          <w:szCs w:val="20"/>
        </w:rPr>
      </w:pPr>
      <w:r>
        <w:rPr>
          <w:sz w:val="20"/>
          <w:szCs w:val="20"/>
        </w:rPr>
        <w:t xml:space="preserve">restricted from paying dividends. If we do not pay dividends, our common stock may be less valuable because stockholders must </w:t>
      </w:r>
      <w:r>
        <w:rPr>
          <w:sz w:val="20"/>
          <w:szCs w:val="20"/>
        </w:rPr>
        <w:t>rely on sales of their common stock after price appreciation, which may never occur, to realize any gains on their investment</w:t>
      </w:r>
      <w:r>
        <w:rPr>
          <w:sz w:val="20"/>
          <w:szCs w:val="20"/>
        </w:rPr>
        <w:t>.</w:t>
      </w:r>
    </w:p>
    <w:p w:rsidR="00000000" w:rsidRDefault="00477EE8">
      <w:pPr>
        <w:pStyle w:val="a3"/>
        <w:spacing w:before="360" w:beforeAutospacing="0" w:after="0" w:afterAutospacing="0"/>
        <w:rPr>
          <w:sz w:val="20"/>
          <w:szCs w:val="20"/>
        </w:rPr>
      </w:pPr>
      <w:r>
        <w:rPr>
          <w:b/>
          <w:bCs/>
          <w:sz w:val="20"/>
          <w:szCs w:val="20"/>
        </w:rPr>
        <w:t>If securities or industry analysts do not publish research or reports about our business or if they issue an adverse or misleadin</w:t>
      </w:r>
      <w:r>
        <w:rPr>
          <w:b/>
          <w:bCs/>
          <w:sz w:val="20"/>
          <w:szCs w:val="20"/>
        </w:rPr>
        <w:t>g opinion regarding our common stock, our stock price and trading volume could decline</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 xml:space="preserve">The trading market for our common stock is influenced by the research and reports that industry or securities analysts publish about us or our business. If one or more </w:t>
      </w:r>
      <w:r>
        <w:rPr>
          <w:sz w:val="20"/>
          <w:szCs w:val="20"/>
        </w:rPr>
        <w:t xml:space="preserve">of these analysts ceases coverage of us or fails to publish reports on us regularly, we could lose visibility in the financial markets, which could cause the price and trading volume of our common stock to decline. Further, if any of these analysts issues </w:t>
      </w:r>
      <w:r>
        <w:rPr>
          <w:sz w:val="20"/>
          <w:szCs w:val="20"/>
        </w:rPr>
        <w:t>an adverse or misleading opinion regarding us, our business model, our industry or our stock performance or if our operating results fail to meet analyst expectations, the price of our common stock could also decline</w:t>
      </w:r>
      <w:r>
        <w:rPr>
          <w:sz w:val="20"/>
          <w:szCs w:val="20"/>
        </w:rPr>
        <w:t>.</w:t>
      </w:r>
    </w:p>
    <w:p w:rsidR="00000000" w:rsidRDefault="00477EE8">
      <w:pPr>
        <w:pStyle w:val="a3"/>
        <w:spacing w:before="360" w:beforeAutospacing="0" w:after="0" w:afterAutospacing="0"/>
        <w:rPr>
          <w:sz w:val="20"/>
          <w:szCs w:val="20"/>
        </w:rPr>
      </w:pPr>
      <w:r>
        <w:rPr>
          <w:b/>
          <w:bCs/>
          <w:sz w:val="20"/>
          <w:szCs w:val="20"/>
        </w:rPr>
        <w:t>Provisions in our charter documents an</w:t>
      </w:r>
      <w:r>
        <w:rPr>
          <w:b/>
          <w:bCs/>
          <w:sz w:val="20"/>
          <w:szCs w:val="20"/>
        </w:rPr>
        <w:t>d Delaware law could discourage, delay or prevent a change in control of our company or changes in our management and depress the market price of our common stock</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Our certificate of incorporation and bylaws contain provisions that could depress the market</w:t>
      </w:r>
      <w:r>
        <w:rPr>
          <w:sz w:val="20"/>
          <w:szCs w:val="20"/>
        </w:rPr>
        <w:t xml:space="preserve"> price of our common stock by acting to discourage, delay or prevent a change in control of our company or changes in our management that our stockholders may deem advantageous. These provisions, among other things</w:t>
      </w:r>
      <w:r>
        <w:rPr>
          <w:sz w:val="20"/>
          <w:szCs w:val="20"/>
        </w:rPr>
        <w:t>:</w:t>
      </w:r>
    </w:p>
    <w:p w:rsidR="00000000" w:rsidRDefault="00477EE8">
      <w:pPr>
        <w:divId w:val="1443644883"/>
        <w:rPr>
          <w:rFonts w:eastAsia="Times New Roman"/>
        </w:rPr>
      </w:pPr>
      <w:r>
        <w:rPr>
          <w:rFonts w:eastAsia="Times New Roman"/>
          <w:sz w:val="20"/>
          <w:szCs w:val="20"/>
        </w:rPr>
        <w:t>•</w:t>
      </w:r>
    </w:p>
    <w:p w:rsidR="00000000" w:rsidRDefault="00477EE8">
      <w:pPr>
        <w:divId w:val="237176724"/>
        <w:rPr>
          <w:rFonts w:eastAsia="Times New Roman"/>
        </w:rPr>
      </w:pPr>
      <w:r>
        <w:rPr>
          <w:rFonts w:eastAsia="Times New Roman"/>
          <w:sz w:val="20"/>
          <w:szCs w:val="20"/>
        </w:rPr>
        <w:t>authorize our board of directors to is</w:t>
      </w:r>
      <w:r>
        <w:rPr>
          <w:rFonts w:eastAsia="Times New Roman"/>
          <w:sz w:val="20"/>
          <w:szCs w:val="20"/>
        </w:rPr>
        <w:t>sue, without further action by our stockholders, up to 1.0 million shares of undesignated or “blank check” preferred stock</w:t>
      </w:r>
      <w:r>
        <w:rPr>
          <w:rFonts w:eastAsia="Times New Roman"/>
          <w:sz w:val="20"/>
          <w:szCs w:val="20"/>
        </w:rPr>
        <w:t>;</w:t>
      </w:r>
    </w:p>
    <w:p w:rsidR="00000000" w:rsidRDefault="00477EE8">
      <w:pPr>
        <w:divId w:val="2046902376"/>
        <w:rPr>
          <w:rFonts w:eastAsia="Times New Roman"/>
        </w:rPr>
      </w:pPr>
      <w:r>
        <w:rPr>
          <w:rFonts w:eastAsia="Times New Roman"/>
          <w:sz w:val="20"/>
          <w:szCs w:val="20"/>
        </w:rPr>
        <w:t>•</w:t>
      </w:r>
    </w:p>
    <w:p w:rsidR="00000000" w:rsidRDefault="00477EE8">
      <w:pPr>
        <w:divId w:val="1405227950"/>
        <w:rPr>
          <w:rFonts w:eastAsia="Times New Roman"/>
        </w:rPr>
      </w:pPr>
      <w:r>
        <w:rPr>
          <w:rFonts w:eastAsia="Times New Roman"/>
          <w:sz w:val="20"/>
          <w:szCs w:val="20"/>
        </w:rPr>
        <w:t>prohibit stockholder action by written consent, thus requiring all stockholder actions to be taken at a duly noticed and held meet</w:t>
      </w:r>
      <w:r>
        <w:rPr>
          <w:rFonts w:eastAsia="Times New Roman"/>
          <w:sz w:val="20"/>
          <w:szCs w:val="20"/>
        </w:rPr>
        <w:t>ing of our stockholders</w:t>
      </w:r>
      <w:r>
        <w:rPr>
          <w:rFonts w:eastAsia="Times New Roman"/>
          <w:sz w:val="20"/>
          <w:szCs w:val="20"/>
        </w:rPr>
        <w:t>;</w:t>
      </w:r>
    </w:p>
    <w:p w:rsidR="00000000" w:rsidRDefault="00477EE8">
      <w:pPr>
        <w:divId w:val="156574681"/>
        <w:rPr>
          <w:rFonts w:eastAsia="Times New Roman"/>
        </w:rPr>
      </w:pPr>
      <w:r>
        <w:rPr>
          <w:rFonts w:eastAsia="Times New Roman"/>
          <w:sz w:val="20"/>
          <w:szCs w:val="20"/>
        </w:rPr>
        <w:t>•</w:t>
      </w:r>
    </w:p>
    <w:p w:rsidR="00000000" w:rsidRDefault="00477EE8">
      <w:pPr>
        <w:divId w:val="1705671078"/>
        <w:rPr>
          <w:rFonts w:eastAsia="Times New Roman"/>
        </w:rPr>
      </w:pPr>
      <w:r>
        <w:rPr>
          <w:rFonts w:eastAsia="Times New Roman"/>
          <w:sz w:val="20"/>
          <w:szCs w:val="20"/>
        </w:rPr>
        <w:t>specify that special meetings of our stockholders can be called only by our board of directors, the Chairman of our board of directors or our President, thereby eliminating the ability of our stockholders to call special meetings</w:t>
      </w:r>
      <w:r>
        <w:rPr>
          <w:rFonts w:eastAsia="Times New Roman"/>
          <w:sz w:val="20"/>
          <w:szCs w:val="20"/>
        </w:rPr>
        <w:t>;</w:t>
      </w:r>
    </w:p>
    <w:p w:rsidR="00000000" w:rsidRDefault="00477EE8">
      <w:pPr>
        <w:divId w:val="956721763"/>
        <w:rPr>
          <w:rFonts w:eastAsia="Times New Roman"/>
        </w:rPr>
      </w:pPr>
      <w:r>
        <w:rPr>
          <w:rFonts w:eastAsia="Times New Roman"/>
          <w:sz w:val="20"/>
          <w:szCs w:val="20"/>
        </w:rPr>
        <w:t>•</w:t>
      </w:r>
    </w:p>
    <w:p w:rsidR="00000000" w:rsidRDefault="00477EE8">
      <w:pPr>
        <w:divId w:val="1321081265"/>
        <w:rPr>
          <w:rFonts w:eastAsia="Times New Roman"/>
        </w:rPr>
      </w:pPr>
      <w:r>
        <w:rPr>
          <w:rFonts w:eastAsia="Times New Roman"/>
          <w:sz w:val="20"/>
          <w:szCs w:val="20"/>
        </w:rPr>
        <w:t>permit only our board o</w:t>
      </w:r>
      <w:r>
        <w:rPr>
          <w:rFonts w:eastAsia="Times New Roman"/>
          <w:sz w:val="20"/>
          <w:szCs w:val="20"/>
        </w:rPr>
        <w:t>f directors to establish the number of directors and fill vacancies on the board of directors, except as may be required by law</w:t>
      </w:r>
      <w:r>
        <w:rPr>
          <w:rFonts w:eastAsia="Times New Roman"/>
          <w:sz w:val="20"/>
          <w:szCs w:val="20"/>
        </w:rPr>
        <w:t>;</w:t>
      </w:r>
    </w:p>
    <w:p w:rsidR="00000000" w:rsidRDefault="00477EE8">
      <w:pPr>
        <w:divId w:val="1033965774"/>
        <w:rPr>
          <w:rFonts w:eastAsia="Times New Roman"/>
        </w:rPr>
      </w:pPr>
      <w:r>
        <w:rPr>
          <w:rFonts w:eastAsia="Times New Roman"/>
          <w:sz w:val="20"/>
          <w:szCs w:val="20"/>
        </w:rPr>
        <w:t>•</w:t>
      </w:r>
    </w:p>
    <w:p w:rsidR="00000000" w:rsidRDefault="00477EE8">
      <w:pPr>
        <w:divId w:val="1968509748"/>
        <w:rPr>
          <w:rFonts w:eastAsia="Times New Roman"/>
        </w:rPr>
      </w:pPr>
      <w:r>
        <w:rPr>
          <w:rFonts w:eastAsia="Times New Roman"/>
          <w:sz w:val="20"/>
          <w:szCs w:val="20"/>
        </w:rPr>
        <w:t>permit our board of directors to amend our bylaws, subject to the power of our stockholders to repeal any such amendment</w:t>
      </w:r>
      <w:r>
        <w:rPr>
          <w:rFonts w:eastAsia="Times New Roman"/>
          <w:sz w:val="20"/>
          <w:szCs w:val="20"/>
        </w:rPr>
        <w:t>;</w:t>
      </w:r>
    </w:p>
    <w:p w:rsidR="00000000" w:rsidRDefault="00477EE8">
      <w:pPr>
        <w:divId w:val="1671055813"/>
        <w:rPr>
          <w:rFonts w:eastAsia="Times New Roman"/>
        </w:rPr>
      </w:pPr>
      <w:r>
        <w:rPr>
          <w:rFonts w:eastAsia="Times New Roman"/>
          <w:sz w:val="20"/>
          <w:szCs w:val="20"/>
        </w:rPr>
        <w:t>•</w:t>
      </w:r>
    </w:p>
    <w:p w:rsidR="00000000" w:rsidRDefault="00477EE8">
      <w:pPr>
        <w:divId w:val="771709737"/>
        <w:rPr>
          <w:rFonts w:eastAsia="Times New Roman"/>
        </w:rPr>
      </w:pPr>
      <w:r>
        <w:rPr>
          <w:rFonts w:eastAsia="Times New Roman"/>
          <w:sz w:val="20"/>
          <w:szCs w:val="20"/>
        </w:rPr>
        <w:t>d</w:t>
      </w:r>
      <w:r>
        <w:rPr>
          <w:rFonts w:eastAsia="Times New Roman"/>
          <w:sz w:val="20"/>
          <w:szCs w:val="20"/>
        </w:rPr>
        <w:t>o not permit cumulative voting by our stockholders on the election of directors; an</w:t>
      </w:r>
      <w:r>
        <w:rPr>
          <w:rFonts w:eastAsia="Times New Roman"/>
          <w:sz w:val="20"/>
          <w:szCs w:val="20"/>
        </w:rPr>
        <w:t>d</w:t>
      </w:r>
    </w:p>
    <w:p w:rsidR="00000000" w:rsidRDefault="00477EE8">
      <w:pPr>
        <w:divId w:val="195893938"/>
        <w:rPr>
          <w:rFonts w:eastAsia="Times New Roman"/>
        </w:rPr>
      </w:pPr>
      <w:r>
        <w:rPr>
          <w:rFonts w:eastAsia="Times New Roman"/>
          <w:sz w:val="20"/>
          <w:szCs w:val="20"/>
        </w:rPr>
        <w:t>•</w:t>
      </w:r>
    </w:p>
    <w:p w:rsidR="00000000" w:rsidRDefault="00477EE8">
      <w:pPr>
        <w:divId w:val="753472684"/>
        <w:rPr>
          <w:rFonts w:eastAsia="Times New Roman"/>
        </w:rPr>
      </w:pPr>
      <w:r>
        <w:rPr>
          <w:rFonts w:eastAsia="Times New Roman"/>
          <w:sz w:val="20"/>
          <w:szCs w:val="20"/>
        </w:rPr>
        <w:t>establish advance notice requirements for stockholders to propose nominees for election as directors or matters to be acted upon at annual meetings of stockholders</w:t>
      </w:r>
      <w:r>
        <w:rPr>
          <w:rFonts w:eastAsia="Times New Roman"/>
          <w:sz w:val="20"/>
          <w:szCs w:val="20"/>
        </w:rPr>
        <w:t>.</w:t>
      </w:r>
    </w:p>
    <w:p w:rsidR="00000000" w:rsidRDefault="00477EE8">
      <w:pPr>
        <w:pStyle w:val="a3"/>
        <w:spacing w:before="240" w:beforeAutospacing="0" w:after="0" w:afterAutospacing="0"/>
        <w:ind w:firstLine="555"/>
        <w:rPr>
          <w:sz w:val="20"/>
          <w:szCs w:val="20"/>
        </w:rPr>
      </w:pPr>
      <w:r>
        <w:rPr>
          <w:sz w:val="20"/>
          <w:szCs w:val="20"/>
        </w:rPr>
        <w:t>In a</w:t>
      </w:r>
      <w:r>
        <w:rPr>
          <w:sz w:val="20"/>
          <w:szCs w:val="20"/>
        </w:rPr>
        <w:t xml:space="preserve">ddition, we are subject to Section 203 of the Delaware General Corporation Law, or DGCL, which imposes certain restrictions on mergers, business combinations and other transactions between us and holders of 15% or more of our common stock. Section 203 may </w:t>
      </w:r>
      <w:r>
        <w:rPr>
          <w:sz w:val="20"/>
          <w:szCs w:val="20"/>
        </w:rPr>
        <w:t>have the effect of discouraging, delaying or preventing a change in control of our company</w:t>
      </w:r>
      <w:r>
        <w:rPr>
          <w:sz w:val="20"/>
          <w:szCs w:val="20"/>
        </w:rPr>
        <w:t>.</w:t>
      </w:r>
    </w:p>
    <w:p w:rsidR="00000000" w:rsidRDefault="00477EE8">
      <w:pPr>
        <w:pStyle w:val="a3"/>
        <w:spacing w:before="360" w:beforeAutospacing="0" w:after="0" w:afterAutospacing="0"/>
        <w:rPr>
          <w:sz w:val="20"/>
          <w:szCs w:val="20"/>
        </w:rPr>
      </w:pPr>
      <w:r>
        <w:rPr>
          <w:b/>
          <w:bCs/>
          <w:sz w:val="20"/>
          <w:szCs w:val="20"/>
        </w:rPr>
        <w:t>Holders of our common stock could be adversely affected if we issue preferred stock</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Pursuant to our certificate of incorporation, our board of directors is authori</w:t>
      </w:r>
      <w:r>
        <w:rPr>
          <w:sz w:val="20"/>
          <w:szCs w:val="20"/>
        </w:rPr>
        <w:t>zed to issue up to 1.0 million shares of preferred stock without any action by our stockholders. Our board of directors also has the power, without stockholder approval, to set the terms of any series of preferred stock that may be issued, among others, in</w:t>
      </w:r>
      <w:r>
        <w:rPr>
          <w:sz w:val="20"/>
          <w:szCs w:val="20"/>
        </w:rPr>
        <w:t>cluding voting rights, dividend rights and preferences over our common stock with respect to dividends or in the event of a dissolution, liquidation or winding up. If we issue preferred stock in the future that has preferences over our common stock with re</w:t>
      </w:r>
      <w:r>
        <w:rPr>
          <w:sz w:val="20"/>
          <w:szCs w:val="20"/>
        </w:rPr>
        <w:t xml:space="preserve">spect to payment of dividends or upon a liquidation, dissolution or winding up, or if we issue preferred stock that is convertible into our common stock at greater than a one-to-one ratio, the voting and other rights of the holders of our common stock and </w:t>
      </w:r>
      <w:r>
        <w:rPr>
          <w:sz w:val="20"/>
          <w:szCs w:val="20"/>
        </w:rPr>
        <w:t>the market price of our common stock could be adversely affected</w:t>
      </w:r>
      <w:r>
        <w:rPr>
          <w:sz w:val="20"/>
          <w:szCs w:val="20"/>
        </w:rPr>
        <w:t>.</w:t>
      </w:r>
    </w:p>
    <w:p w:rsidR="00000000" w:rsidRDefault="00477EE8">
      <w:pPr>
        <w:pStyle w:val="a3"/>
        <w:spacing w:before="360" w:beforeAutospacing="0" w:after="0" w:afterAutospacing="0"/>
        <w:rPr>
          <w:sz w:val="20"/>
          <w:szCs w:val="20"/>
        </w:rPr>
      </w:pPr>
      <w:r>
        <w:rPr>
          <w:b/>
          <w:bCs/>
          <w:sz w:val="20"/>
          <w:szCs w:val="20"/>
        </w:rPr>
        <w:t xml:space="preserve">Our certificate of incorporation designates the Court of Chancery of the State of Delaware as the sole and exclusive forum for certain types of actions and proceedings that may be initiated </w:t>
      </w:r>
      <w:r>
        <w:rPr>
          <w:b/>
          <w:bCs/>
          <w:sz w:val="20"/>
          <w:szCs w:val="20"/>
        </w:rPr>
        <w:t>by our stockholders, which could limit our stockholders’ ability to obtain a judicial forum they consider favorable for disputes with us or our directors, officers or other employees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Our certificate of incorporation and bylaws provide that, unless we cons</w:t>
      </w:r>
      <w:r>
        <w:rPr>
          <w:sz w:val="20"/>
          <w:szCs w:val="20"/>
        </w:rPr>
        <w:t>ent in writing to the selection of an alternative forum, the Court of Chancery of the State of Delaware shall be the sole and exclusive forum for</w:t>
      </w:r>
      <w:r>
        <w:rPr>
          <w:sz w:val="20"/>
          <w:szCs w:val="20"/>
        </w:rPr>
        <w:t>:</w:t>
      </w:r>
    </w:p>
    <w:p w:rsidR="00000000" w:rsidRDefault="00477EE8">
      <w:pPr>
        <w:divId w:val="1112015803"/>
        <w:rPr>
          <w:rFonts w:eastAsia="Times New Roman"/>
        </w:rPr>
      </w:pPr>
      <w:r>
        <w:rPr>
          <w:rFonts w:eastAsia="Times New Roman"/>
          <w:sz w:val="20"/>
          <w:szCs w:val="20"/>
        </w:rPr>
        <w:t>•</w:t>
      </w:r>
    </w:p>
    <w:p w:rsidR="00000000" w:rsidRDefault="00477EE8">
      <w:pPr>
        <w:divId w:val="685904008"/>
        <w:rPr>
          <w:rFonts w:eastAsia="Times New Roman"/>
        </w:rPr>
      </w:pPr>
      <w:r>
        <w:rPr>
          <w:rFonts w:eastAsia="Times New Roman"/>
          <w:sz w:val="20"/>
          <w:szCs w:val="20"/>
        </w:rPr>
        <w:t>any derivative action brought on our behalf</w:t>
      </w:r>
      <w:r>
        <w:rPr>
          <w:rFonts w:eastAsia="Times New Roman"/>
          <w:sz w:val="20"/>
          <w:szCs w:val="20"/>
        </w:rPr>
        <w:t>;</w:t>
      </w:r>
    </w:p>
    <w:p w:rsidR="00000000" w:rsidRDefault="00477EE8">
      <w:pPr>
        <w:divId w:val="1883250197"/>
        <w:rPr>
          <w:rFonts w:eastAsia="Times New Roman"/>
        </w:rPr>
      </w:pPr>
      <w:r>
        <w:rPr>
          <w:rFonts w:eastAsia="Times New Roman"/>
          <w:sz w:val="20"/>
          <w:szCs w:val="20"/>
        </w:rPr>
        <w:t>•</w:t>
      </w:r>
    </w:p>
    <w:p w:rsidR="00000000" w:rsidRDefault="00477EE8">
      <w:pPr>
        <w:divId w:val="577247814"/>
        <w:rPr>
          <w:rFonts w:eastAsia="Times New Roman"/>
        </w:rPr>
      </w:pPr>
      <w:r>
        <w:rPr>
          <w:rFonts w:eastAsia="Times New Roman"/>
          <w:sz w:val="20"/>
          <w:szCs w:val="20"/>
        </w:rPr>
        <w:t>any direct action brought by a stockholder against us or any</w:t>
      </w:r>
      <w:r>
        <w:rPr>
          <w:rFonts w:eastAsia="Times New Roman"/>
          <w:sz w:val="20"/>
          <w:szCs w:val="20"/>
        </w:rPr>
        <w:t xml:space="preserve"> of our directors, officers or other employees, alleging a breach of a fiduciary duty</w:t>
      </w:r>
      <w:r>
        <w:rPr>
          <w:rFonts w:eastAsia="Times New Roman"/>
          <w:sz w:val="20"/>
          <w:szCs w:val="20"/>
        </w:rPr>
        <w:t>;</w:t>
      </w:r>
    </w:p>
    <w:p w:rsidR="00000000" w:rsidRDefault="00477EE8">
      <w:pPr>
        <w:pStyle w:val="a3"/>
        <w:spacing w:before="240" w:beforeAutospacing="0" w:after="0" w:afterAutospacing="0"/>
        <w:jc w:val="center"/>
        <w:rPr>
          <w:sz w:val="20"/>
          <w:szCs w:val="20"/>
        </w:rPr>
      </w:pPr>
      <w:r>
        <w:rPr>
          <w:sz w:val="20"/>
          <w:szCs w:val="20"/>
        </w:rPr>
        <w:t>4</w:t>
      </w:r>
      <w:r>
        <w:rPr>
          <w:sz w:val="20"/>
          <w:szCs w:val="20"/>
        </w:rPr>
        <w:t>4</w:t>
      </w:r>
    </w:p>
    <w:p w:rsidR="00000000" w:rsidRDefault="00477EE8">
      <w:pPr>
        <w:rPr>
          <w:rFonts w:eastAsia="Times New Roman"/>
        </w:rPr>
      </w:pPr>
      <w:r>
        <w:rPr>
          <w:rFonts w:eastAsia="Times New Roman"/>
        </w:rPr>
        <w:pict>
          <v:rect id="_x0000_i1083" style="width:0;height:1.5pt" o:hralign="center" o:hrstd="t" o:hr="t" fillcolor="#a0a0a0" stroked="f"/>
        </w:pict>
      </w:r>
    </w:p>
    <w:p w:rsidR="00000000" w:rsidRDefault="00477EE8">
      <w:pPr>
        <w:divId w:val="1609041722"/>
        <w:rPr>
          <w:rFonts w:eastAsia="Times New Roman"/>
        </w:rPr>
      </w:pPr>
      <w:r>
        <w:rPr>
          <w:rFonts w:eastAsia="Times New Roman"/>
          <w:sz w:val="20"/>
          <w:szCs w:val="20"/>
        </w:rPr>
        <w:t>•</w:t>
      </w:r>
    </w:p>
    <w:p w:rsidR="00000000" w:rsidRDefault="00477EE8">
      <w:pPr>
        <w:divId w:val="476340934"/>
        <w:rPr>
          <w:rFonts w:eastAsia="Times New Roman"/>
        </w:rPr>
      </w:pPr>
      <w:r>
        <w:rPr>
          <w:rFonts w:eastAsia="Times New Roman"/>
          <w:sz w:val="20"/>
          <w:szCs w:val="20"/>
        </w:rPr>
        <w:t>any action brought by a stockholder against us or any of our directors, officers or other employees, alleging a violation of the DGCL, our certificate of incorporation or our bylaws; an</w:t>
      </w:r>
      <w:r>
        <w:rPr>
          <w:rFonts w:eastAsia="Times New Roman"/>
          <w:sz w:val="20"/>
          <w:szCs w:val="20"/>
        </w:rPr>
        <w:t>d</w:t>
      </w:r>
    </w:p>
    <w:p w:rsidR="00000000" w:rsidRDefault="00477EE8">
      <w:pPr>
        <w:divId w:val="1370688385"/>
        <w:rPr>
          <w:rFonts w:eastAsia="Times New Roman"/>
        </w:rPr>
      </w:pPr>
      <w:r>
        <w:rPr>
          <w:rFonts w:eastAsia="Times New Roman"/>
          <w:sz w:val="20"/>
          <w:szCs w:val="20"/>
        </w:rPr>
        <w:t>•</w:t>
      </w:r>
    </w:p>
    <w:p w:rsidR="00000000" w:rsidRDefault="00477EE8">
      <w:pPr>
        <w:divId w:val="1366171535"/>
        <w:rPr>
          <w:rFonts w:eastAsia="Times New Roman"/>
        </w:rPr>
      </w:pPr>
      <w:r>
        <w:rPr>
          <w:rFonts w:eastAsia="Times New Roman"/>
          <w:sz w:val="20"/>
          <w:szCs w:val="20"/>
        </w:rPr>
        <w:t>any action brought by a stockholder against us or any of our direct</w:t>
      </w:r>
      <w:r>
        <w:rPr>
          <w:rFonts w:eastAsia="Times New Roman"/>
          <w:sz w:val="20"/>
          <w:szCs w:val="20"/>
        </w:rPr>
        <w:t>ors, officers or other employees, asserting a claim against us governed by the internal affairs doctrine</w:t>
      </w:r>
      <w:r>
        <w:rPr>
          <w:rFonts w:eastAsia="Times New Roman"/>
          <w:sz w:val="20"/>
          <w:szCs w:val="20"/>
        </w:rPr>
        <w:t>.</w:t>
      </w:r>
    </w:p>
    <w:p w:rsidR="00000000" w:rsidRDefault="00477EE8">
      <w:pPr>
        <w:pStyle w:val="a3"/>
        <w:spacing w:before="240" w:beforeAutospacing="0" w:after="0" w:afterAutospacing="0"/>
        <w:ind w:firstLine="555"/>
        <w:rPr>
          <w:sz w:val="20"/>
          <w:szCs w:val="20"/>
        </w:rPr>
      </w:pPr>
      <w:r>
        <w:rPr>
          <w:sz w:val="20"/>
          <w:szCs w:val="20"/>
        </w:rPr>
        <w:t>We refer to the forgoing limitations as the Exclusive Forum Provisions. The Exclusive Forum Provisions do not apply to (i) actions in which the Court of Chancery in the State of Delaware concludes that an indispensable party is not subject to the jurisdict</w:t>
      </w:r>
      <w:r>
        <w:rPr>
          <w:sz w:val="20"/>
          <w:szCs w:val="20"/>
        </w:rPr>
        <w:t>ion of the Delaware courts, and (ii) actions in which a federal court has assumed exclusive jurisdiction of a proceeding</w:t>
      </w:r>
      <w:r>
        <w:rPr>
          <w:sz w:val="20"/>
          <w:szCs w:val="20"/>
        </w:rPr>
        <w:t>.</w:t>
      </w:r>
    </w:p>
    <w:p w:rsidR="00000000" w:rsidRDefault="00477EE8">
      <w:pPr>
        <w:pStyle w:val="a3"/>
        <w:spacing w:before="240" w:beforeAutospacing="0" w:after="0" w:afterAutospacing="0"/>
        <w:ind w:firstLine="555"/>
        <w:rPr>
          <w:sz w:val="20"/>
          <w:szCs w:val="20"/>
        </w:rPr>
      </w:pPr>
      <w:r>
        <w:rPr>
          <w:sz w:val="20"/>
          <w:szCs w:val="20"/>
        </w:rPr>
        <w:t>Accordingly, the Exclusive Forum Provisions do not apply to actions brought to enforce a duty or liability created by the Exchange Act</w:t>
      </w:r>
      <w:r>
        <w:rPr>
          <w:sz w:val="20"/>
          <w:szCs w:val="20"/>
        </w:rPr>
        <w:t xml:space="preserve"> or the rules and regulations thereunder, or Exchange Act Claims. Further, the clause in our certificate of incorporation excepting “actions in which a federal court has assumed exclusive jurisdiction of a proceeding” from the Exclusive Forum Provisions is</w:t>
      </w:r>
      <w:r>
        <w:rPr>
          <w:sz w:val="20"/>
          <w:szCs w:val="20"/>
        </w:rPr>
        <w:t xml:space="preserve"> not intended to mean that a federal court must take any actual or affirmative action to assume jurisdiction over an Exchange Act Claim, as Section 27 of the Exchange Act creates exclusive federal jurisdiction over all Exchange Act Claims, regardless of wh</w:t>
      </w:r>
      <w:r>
        <w:rPr>
          <w:sz w:val="20"/>
          <w:szCs w:val="20"/>
        </w:rPr>
        <w:t>ether a federal court takes any action. The Exclusive Forum Provisions also do not apply to federal and state suits brought to enforce any duty or liability created by the Securities Act or the rules and regulations thereunder, or Securities Act Claims. To</w:t>
      </w:r>
      <w:r>
        <w:rPr>
          <w:sz w:val="20"/>
          <w:szCs w:val="20"/>
        </w:rPr>
        <w:t xml:space="preserve"> the extent applicable or enforceable, the Exclusive Forum Provisions may limit a stockholder’s ability to bring a claim in a judicial forum it finds favorable for disputes with us or our directors, officers or other employees, which may discourage these l</w:t>
      </w:r>
      <w:r>
        <w:rPr>
          <w:sz w:val="20"/>
          <w:szCs w:val="20"/>
        </w:rPr>
        <w:t>awsuits. Alternatively, for Securities Act Claims, Exchange Act Claims or claims for which a court were to find these Exclusive Forum Provisions inapplicable or unenforceable for one or more of the specified types of actions or proceedings, we may incur ad</w:t>
      </w:r>
      <w:r>
        <w:rPr>
          <w:sz w:val="20"/>
          <w:szCs w:val="20"/>
        </w:rPr>
        <w:t>ditional costs associated with resolving these matters in other jurisdictions, which could adversely affect our business, financial condition or results of operations</w:t>
      </w:r>
      <w:r>
        <w:rPr>
          <w:sz w:val="20"/>
          <w:szCs w:val="20"/>
        </w:rPr>
        <w:t>.</w:t>
      </w:r>
    </w:p>
    <w:p w:rsidR="00000000" w:rsidRDefault="00477EE8">
      <w:pPr>
        <w:pStyle w:val="a3"/>
        <w:spacing w:before="360" w:beforeAutospacing="0" w:after="0" w:afterAutospacing="0"/>
        <w:rPr>
          <w:sz w:val="20"/>
          <w:szCs w:val="20"/>
        </w:rPr>
      </w:pPr>
      <w:r>
        <w:rPr>
          <w:b/>
          <w:bCs/>
          <w:sz w:val="20"/>
          <w:szCs w:val="20"/>
        </w:rPr>
        <w:t>Item 1B. Unresolv</w:t>
      </w:r>
      <w:r>
        <w:rPr>
          <w:b/>
          <w:bCs/>
          <w:sz w:val="20"/>
          <w:szCs w:val="20"/>
        </w:rPr>
        <w:t>e</w:t>
      </w:r>
      <w:r>
        <w:rPr>
          <w:b/>
          <w:bCs/>
          <w:sz w:val="20"/>
          <w:szCs w:val="20"/>
        </w:rPr>
        <w:t>d Staff Comments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Not applicable</w:t>
      </w:r>
      <w:r>
        <w:rPr>
          <w:sz w:val="20"/>
          <w:szCs w:val="20"/>
        </w:rPr>
        <w:t>.</w:t>
      </w:r>
    </w:p>
    <w:p w:rsidR="00000000" w:rsidRDefault="00477EE8">
      <w:pPr>
        <w:pStyle w:val="a3"/>
        <w:spacing w:before="360" w:beforeAutospacing="0" w:after="0" w:afterAutospacing="0"/>
        <w:rPr>
          <w:sz w:val="20"/>
          <w:szCs w:val="20"/>
        </w:rPr>
      </w:pPr>
      <w:r>
        <w:rPr>
          <w:b/>
          <w:bCs/>
          <w:sz w:val="20"/>
          <w:szCs w:val="20"/>
        </w:rPr>
        <w:t>Item 2. P</w:t>
      </w:r>
      <w:r>
        <w:rPr>
          <w:b/>
          <w:bCs/>
          <w:sz w:val="20"/>
          <w:szCs w:val="20"/>
        </w:rPr>
        <w:t>r</w:t>
      </w:r>
      <w:r>
        <w:rPr>
          <w:b/>
          <w:bCs/>
          <w:sz w:val="20"/>
          <w:szCs w:val="20"/>
        </w:rPr>
        <w:t>operties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Our corporate he</w:t>
      </w:r>
      <w:r>
        <w:rPr>
          <w:sz w:val="20"/>
          <w:szCs w:val="20"/>
        </w:rPr>
        <w:t>adquarters and laboratory operations are located in Temple City, California, where we lease and occupy approximately 12,000 square feet of office and laboratory space under leases that will expire in January 2024. We use these facilities for laboratory tes</w:t>
      </w:r>
      <w:r>
        <w:rPr>
          <w:sz w:val="20"/>
          <w:szCs w:val="20"/>
        </w:rPr>
        <w:t>ting and management activities and certain research and development, administrative and other functions</w:t>
      </w:r>
      <w:r>
        <w:rPr>
          <w:sz w:val="20"/>
          <w:szCs w:val="20"/>
        </w:rPr>
        <w:t>.</w:t>
      </w:r>
    </w:p>
    <w:p w:rsidR="00000000" w:rsidRDefault="00477EE8">
      <w:pPr>
        <w:pStyle w:val="a3"/>
        <w:spacing w:before="240" w:beforeAutospacing="0" w:after="0" w:afterAutospacing="0"/>
        <w:ind w:firstLine="555"/>
        <w:rPr>
          <w:sz w:val="20"/>
          <w:szCs w:val="20"/>
        </w:rPr>
      </w:pPr>
      <w:r>
        <w:rPr>
          <w:sz w:val="20"/>
          <w:szCs w:val="20"/>
        </w:rPr>
        <w:t>We have CLIA-certified laboratories located in Irving, Texas; Alpharetta, Georgia; Phoenix, Arizona; Needham, Massachusetts; and New York, New York. In</w:t>
      </w:r>
      <w:r>
        <w:rPr>
          <w:sz w:val="20"/>
          <w:szCs w:val="20"/>
        </w:rPr>
        <w:t xml:space="preserve"> Irving, Texas, we lease and occupy approximately 172,000 square feet under a lease that will expire in May 2024. In Alpharetta, Georgia, we lease and occupy approximately 65,000 square feet under a lease that will expire in March 2028. In Phoenix, Arizona</w:t>
      </w:r>
      <w:r>
        <w:rPr>
          <w:sz w:val="20"/>
          <w:szCs w:val="20"/>
        </w:rPr>
        <w:t>, we lease and occupy approximately 25,000 square feet under a lease that will expire in November 2025. In Needham, Massachusetts, we lease and occupy approximately 21,000 square feet under a lease that will expire in September 2027. In New York, New York,</w:t>
      </w:r>
      <w:r>
        <w:rPr>
          <w:sz w:val="20"/>
          <w:szCs w:val="20"/>
        </w:rPr>
        <w:t xml:space="preserve"> we lease and occupy approximately 400 square feet under a lease that will expire in September 2024. We use these facilities for laboratory testing and certain administrative and other functions</w:t>
      </w:r>
      <w:r>
        <w:rPr>
          <w:sz w:val="20"/>
          <w:szCs w:val="20"/>
        </w:rPr>
        <w:t>.</w:t>
      </w:r>
    </w:p>
    <w:p w:rsidR="00000000" w:rsidRDefault="00477EE8">
      <w:pPr>
        <w:pStyle w:val="a3"/>
        <w:spacing w:before="240" w:beforeAutospacing="0" w:after="0" w:afterAutospacing="0"/>
        <w:ind w:firstLine="555"/>
        <w:rPr>
          <w:sz w:val="20"/>
          <w:szCs w:val="20"/>
        </w:rPr>
      </w:pPr>
      <w:r>
        <w:rPr>
          <w:sz w:val="20"/>
          <w:szCs w:val="20"/>
        </w:rPr>
        <w:t>We also own a real property located at 4399-4401 Santa Anita</w:t>
      </w:r>
      <w:r>
        <w:rPr>
          <w:sz w:val="20"/>
          <w:szCs w:val="20"/>
        </w:rPr>
        <w:t xml:space="preserve"> Avenue, El Monte, California, which consists of approximately 61,612 total square feet of building situated on 2.6 acres of land. We have built a CLIA-certified laboratory at this location. We believe our existing facilities are adequate for our current a</w:t>
      </w:r>
      <w:r>
        <w:rPr>
          <w:sz w:val="20"/>
          <w:szCs w:val="20"/>
        </w:rPr>
        <w:t>nd expected near-term needs and additional space would be available on commercially reasonable terms if required</w:t>
      </w:r>
      <w:r>
        <w:rPr>
          <w:sz w:val="20"/>
          <w:szCs w:val="20"/>
        </w:rPr>
        <w:t>.</w:t>
      </w:r>
    </w:p>
    <w:p w:rsidR="00000000" w:rsidRDefault="00477EE8">
      <w:pPr>
        <w:pStyle w:val="a3"/>
        <w:spacing w:before="360" w:beforeAutospacing="0" w:after="0" w:afterAutospacing="0"/>
        <w:rPr>
          <w:sz w:val="20"/>
          <w:szCs w:val="20"/>
        </w:rPr>
      </w:pPr>
      <w:r>
        <w:rPr>
          <w:b/>
          <w:bCs/>
          <w:sz w:val="20"/>
          <w:szCs w:val="20"/>
        </w:rPr>
        <w:t>Item 3. Legal</w:t>
      </w:r>
      <w:r>
        <w:rPr>
          <w:b/>
          <w:bCs/>
          <w:sz w:val="20"/>
          <w:szCs w:val="20"/>
        </w:rPr>
        <w:t xml:space="preserve"> </w:t>
      </w:r>
      <w:r>
        <w:rPr>
          <w:b/>
          <w:bCs/>
          <w:sz w:val="20"/>
          <w:szCs w:val="20"/>
        </w:rPr>
        <w:t>Proceedings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From time to time, we may be involved in legal proceedings arising in the ordinary course of our business</w:t>
      </w:r>
      <w:r>
        <w:rPr>
          <w:sz w:val="20"/>
          <w:szCs w:val="20"/>
        </w:rPr>
        <w:t>.</w:t>
      </w:r>
      <w:r>
        <w:rPr>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On Sept</w:t>
      </w:r>
      <w:r>
        <w:rPr>
          <w:sz w:val="20"/>
          <w:szCs w:val="20"/>
        </w:rPr>
        <w:t>ember 20, 2022, the Company and two of its executive officers were named as defendants in a putative class action complaint filed in the U.S. District Court for the Central District of California (Case No. 2:22-cv-06764) on behalf of individuals who purcha</w:t>
      </w:r>
      <w:r>
        <w:rPr>
          <w:sz w:val="20"/>
          <w:szCs w:val="20"/>
        </w:rPr>
        <w:t>sed or otherwise acquired the Company’s securities between March 22, 2019 and August 4, 2022. The Complaint asserted claims under Sections 10(b) and 20(a) of the Securities Exchange Act of 1934 based on allegations that the Company and certain of its execu</w:t>
      </w:r>
      <w:r>
        <w:rPr>
          <w:sz w:val="20"/>
          <w:szCs w:val="20"/>
        </w:rPr>
        <w:t>tive officers made false and/or misleading statements and/or failed to disclose laboratory testing, billing for laboratory testing, and remuneration received or provided that purportedly violated the Anti-Kickback Statute and Stark Law, and purportedly are</w:t>
      </w:r>
      <w:r>
        <w:rPr>
          <w:sz w:val="20"/>
          <w:szCs w:val="20"/>
        </w:rPr>
        <w:t xml:space="preserve"> the subject of the CID discussed in Note </w:t>
      </w:r>
      <w:r>
        <w:rPr>
          <w:sz w:val="20"/>
          <w:szCs w:val="20"/>
        </w:rPr>
        <w:t>8</w:t>
      </w:r>
      <w:r>
        <w:rPr>
          <w:i/>
          <w:iCs/>
          <w:sz w:val="20"/>
          <w:szCs w:val="20"/>
        </w:rPr>
        <w:t>, Debt, Commitments and Contingencie</w:t>
      </w:r>
      <w:r>
        <w:rPr>
          <w:i/>
          <w:iCs/>
          <w:sz w:val="20"/>
          <w:szCs w:val="20"/>
        </w:rPr>
        <w:t>s</w:t>
      </w:r>
      <w:r>
        <w:rPr>
          <w:sz w:val="20"/>
          <w:szCs w:val="20"/>
        </w:rPr>
        <w:t>, of our condensed consolidated financial statements included in this report. The Complaint sought recovery of unspecified damages, interest, costs, attorneys’ fees and other r</w:t>
      </w:r>
      <w:r>
        <w:rPr>
          <w:sz w:val="20"/>
          <w:szCs w:val="20"/>
        </w:rPr>
        <w:t>elief</w:t>
      </w:r>
      <w:r>
        <w:rPr>
          <w:sz w:val="20"/>
          <w:szCs w:val="20"/>
        </w:rPr>
        <w:t>.</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4</w:t>
      </w:r>
      <w:r>
        <w:rPr>
          <w:sz w:val="20"/>
          <w:szCs w:val="20"/>
        </w:rPr>
        <w:t>5</w:t>
      </w:r>
    </w:p>
    <w:p w:rsidR="00000000" w:rsidRDefault="00477EE8">
      <w:pPr>
        <w:rPr>
          <w:rFonts w:eastAsia="Times New Roman"/>
        </w:rPr>
      </w:pPr>
      <w:r>
        <w:rPr>
          <w:rFonts w:eastAsia="Times New Roman"/>
        </w:rPr>
        <w:pict>
          <v:rect id="_x0000_i1084" style="width:0;height:1.5pt" o:hralign="center" o:hrstd="t" o:hr="t" fillcolor="#a0a0a0" stroked="f"/>
        </w:pict>
      </w:r>
    </w:p>
    <w:p w:rsidR="00000000" w:rsidRDefault="00477EE8">
      <w:pPr>
        <w:pStyle w:val="a3"/>
        <w:spacing w:before="240" w:beforeAutospacing="0" w:after="0" w:afterAutospacing="0"/>
        <w:ind w:firstLine="555"/>
        <w:rPr>
          <w:sz w:val="20"/>
          <w:szCs w:val="20"/>
        </w:rPr>
      </w:pPr>
      <w:r>
        <w:rPr>
          <w:sz w:val="20"/>
          <w:szCs w:val="20"/>
        </w:rPr>
        <w:t>On November 30, 2022, the Court appointed Co-Lead Plaintiffs and Co-Lead Counsel. On February 21, 2023, Co-Lead Plaintiffs filed a Notice of Voluntary Dismissal of all claims against defendants, and without a</w:t>
      </w:r>
      <w:r>
        <w:rPr>
          <w:sz w:val="20"/>
          <w:szCs w:val="20"/>
        </w:rPr>
        <w:t>ny payment by us or our insurers. The voluntary dismissal is without prejudice so there is no assurance that another complaint may not be filed in the future</w:t>
      </w:r>
      <w:r>
        <w:rPr>
          <w:sz w:val="20"/>
          <w:szCs w:val="20"/>
        </w:rPr>
        <w:t>.</w:t>
      </w:r>
    </w:p>
    <w:p w:rsidR="00000000" w:rsidRDefault="00477EE8">
      <w:pPr>
        <w:pStyle w:val="a3"/>
        <w:spacing w:before="240" w:beforeAutospacing="0" w:after="0" w:afterAutospacing="0"/>
        <w:ind w:firstLine="555"/>
        <w:rPr>
          <w:sz w:val="20"/>
          <w:szCs w:val="20"/>
        </w:rPr>
      </w:pPr>
      <w:r>
        <w:rPr>
          <w:sz w:val="20"/>
          <w:szCs w:val="20"/>
        </w:rPr>
        <w:t xml:space="preserve">Regardless of outcome, litigation can have an adverse impact on us due to defense and settlement </w:t>
      </w:r>
      <w:r>
        <w:rPr>
          <w:sz w:val="20"/>
          <w:szCs w:val="20"/>
        </w:rPr>
        <w:t>costs, diversion of management resources, negative publicity and reputational harm, among other factors</w:t>
      </w:r>
      <w:r>
        <w:rPr>
          <w:sz w:val="20"/>
          <w:szCs w:val="20"/>
        </w:rPr>
        <w:t>.</w:t>
      </w:r>
    </w:p>
    <w:p w:rsidR="00000000" w:rsidRDefault="00477EE8">
      <w:pPr>
        <w:pStyle w:val="a3"/>
        <w:spacing w:before="360" w:beforeAutospacing="0" w:after="0" w:afterAutospacing="0"/>
        <w:rPr>
          <w:sz w:val="20"/>
          <w:szCs w:val="20"/>
        </w:rPr>
      </w:pPr>
      <w:r>
        <w:rPr>
          <w:b/>
          <w:bCs/>
          <w:sz w:val="20"/>
          <w:szCs w:val="20"/>
        </w:rPr>
        <w:t>Item 4. Mine Saf</w:t>
      </w:r>
      <w:r>
        <w:rPr>
          <w:b/>
          <w:bCs/>
          <w:sz w:val="20"/>
          <w:szCs w:val="20"/>
        </w:rPr>
        <w:t>e</w:t>
      </w:r>
      <w:r>
        <w:rPr>
          <w:b/>
          <w:bCs/>
          <w:sz w:val="20"/>
          <w:szCs w:val="20"/>
        </w:rPr>
        <w:t>ty Disclosures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Not applicable</w:t>
      </w:r>
      <w:r>
        <w:rPr>
          <w:sz w:val="20"/>
          <w:szCs w:val="20"/>
        </w:rPr>
        <w:t>.</w:t>
      </w:r>
    </w:p>
    <w:p w:rsidR="00000000" w:rsidRDefault="00477EE8">
      <w:pPr>
        <w:pStyle w:val="a3"/>
        <w:spacing w:before="240" w:beforeAutospacing="0" w:after="0" w:afterAutospacing="0"/>
        <w:jc w:val="center"/>
        <w:rPr>
          <w:sz w:val="20"/>
          <w:szCs w:val="20"/>
        </w:rPr>
      </w:pPr>
      <w:r>
        <w:rPr>
          <w:sz w:val="20"/>
          <w:szCs w:val="20"/>
        </w:rPr>
        <w:t>4</w:t>
      </w:r>
      <w:r>
        <w:rPr>
          <w:sz w:val="20"/>
          <w:szCs w:val="20"/>
        </w:rPr>
        <w:t>6</w:t>
      </w:r>
    </w:p>
    <w:p w:rsidR="00000000" w:rsidRDefault="00477EE8">
      <w:pPr>
        <w:rPr>
          <w:rFonts w:eastAsia="Times New Roman"/>
        </w:rPr>
      </w:pPr>
      <w:r>
        <w:rPr>
          <w:rFonts w:eastAsia="Times New Roman"/>
        </w:rPr>
        <w:pict>
          <v:rect id="_x0000_i1085" style="width:0;height:1.5pt" o:hralign="center" o:hrstd="t" o:hr="t" fillcolor="#a0a0a0" stroked="f"/>
        </w:pict>
      </w:r>
    </w:p>
    <w:p w:rsidR="00000000" w:rsidRDefault="00477EE8">
      <w:pPr>
        <w:pStyle w:val="a3"/>
        <w:spacing w:before="0" w:beforeAutospacing="0" w:after="0" w:afterAutospacing="0"/>
        <w:jc w:val="center"/>
        <w:rPr>
          <w:sz w:val="20"/>
          <w:szCs w:val="20"/>
        </w:rPr>
      </w:pPr>
      <w:r>
        <w:rPr>
          <w:b/>
          <w:bCs/>
          <w:sz w:val="20"/>
          <w:szCs w:val="20"/>
        </w:rPr>
        <w:t>PAR</w:t>
      </w:r>
      <w:r>
        <w:rPr>
          <w:b/>
          <w:bCs/>
          <w:sz w:val="20"/>
          <w:szCs w:val="20"/>
        </w:rPr>
        <w:t>T</w:t>
      </w:r>
      <w:r>
        <w:rPr>
          <w:b/>
          <w:bCs/>
          <w:sz w:val="20"/>
          <w:szCs w:val="20"/>
        </w:rPr>
        <w:t xml:space="preserve"> I</w:t>
      </w:r>
      <w:r>
        <w:rPr>
          <w:b/>
          <w:bCs/>
          <w:sz w:val="20"/>
          <w:szCs w:val="20"/>
        </w:rPr>
        <w:t>I</w:t>
      </w:r>
    </w:p>
    <w:p w:rsidR="00000000" w:rsidRDefault="00477EE8">
      <w:pPr>
        <w:pStyle w:val="a3"/>
        <w:spacing w:before="240" w:beforeAutospacing="0" w:after="0" w:afterAutospacing="0"/>
        <w:rPr>
          <w:sz w:val="20"/>
          <w:szCs w:val="20"/>
        </w:rPr>
      </w:pPr>
      <w:r>
        <w:rPr>
          <w:b/>
          <w:bCs/>
          <w:sz w:val="20"/>
          <w:szCs w:val="20"/>
        </w:rPr>
        <w:t>Item 5. Market for Registrant’s Common Equity, Related</w:t>
      </w:r>
      <w:r>
        <w:rPr>
          <w:b/>
          <w:bCs/>
          <w:sz w:val="20"/>
          <w:szCs w:val="20"/>
        </w:rPr>
        <w:t xml:space="preserve"> Sto</w:t>
      </w:r>
      <w:r>
        <w:rPr>
          <w:b/>
          <w:bCs/>
          <w:sz w:val="20"/>
          <w:szCs w:val="20"/>
        </w:rPr>
        <w:t>c</w:t>
      </w:r>
      <w:r>
        <w:rPr>
          <w:b/>
          <w:bCs/>
          <w:sz w:val="20"/>
          <w:szCs w:val="20"/>
        </w:rPr>
        <w:t>kholder Matters and Issuer Purchases of Equity Securities</w:t>
      </w:r>
      <w:r>
        <w:rPr>
          <w:b/>
          <w:bCs/>
          <w:sz w:val="20"/>
          <w:szCs w:val="20"/>
        </w:rPr>
        <w:t>.</w:t>
      </w:r>
    </w:p>
    <w:p w:rsidR="00000000" w:rsidRDefault="00477EE8">
      <w:pPr>
        <w:pStyle w:val="a3"/>
        <w:spacing w:before="120" w:beforeAutospacing="0" w:after="0" w:afterAutospacing="0"/>
        <w:jc w:val="center"/>
        <w:rPr>
          <w:sz w:val="20"/>
          <w:szCs w:val="20"/>
        </w:rPr>
      </w:pPr>
      <w:r>
        <w:rPr>
          <w:b/>
          <w:bCs/>
          <w:sz w:val="20"/>
          <w:szCs w:val="20"/>
        </w:rPr>
        <w:t>Market Informatio</w:t>
      </w:r>
      <w:r>
        <w:rPr>
          <w:b/>
          <w:bCs/>
          <w:sz w:val="20"/>
          <w:szCs w:val="20"/>
        </w:rPr>
        <w:t>n</w:t>
      </w:r>
    </w:p>
    <w:p w:rsidR="00000000" w:rsidRDefault="00477EE8">
      <w:pPr>
        <w:pStyle w:val="a3"/>
        <w:spacing w:before="120" w:beforeAutospacing="0" w:after="0" w:afterAutospacing="0"/>
        <w:ind w:firstLine="555"/>
        <w:rPr>
          <w:sz w:val="20"/>
          <w:szCs w:val="20"/>
        </w:rPr>
      </w:pPr>
      <w:r>
        <w:rPr>
          <w:sz w:val="20"/>
          <w:szCs w:val="20"/>
        </w:rPr>
        <w:t>On September 29, 2016, our common stock was listed for trading on Nasdaq under the symbol “FLGT.” There was no public market for our common stock prior to September 29, 2016</w:t>
      </w:r>
      <w:r>
        <w:rPr>
          <w:sz w:val="20"/>
          <w:szCs w:val="20"/>
        </w:rPr>
        <w:t>.</w:t>
      </w:r>
    </w:p>
    <w:p w:rsidR="00000000" w:rsidRDefault="00477EE8">
      <w:pPr>
        <w:pStyle w:val="a3"/>
        <w:spacing w:before="360" w:beforeAutospacing="0" w:after="0" w:afterAutospacing="0"/>
        <w:jc w:val="center"/>
        <w:rPr>
          <w:sz w:val="20"/>
          <w:szCs w:val="20"/>
        </w:rPr>
      </w:pPr>
      <w:r>
        <w:rPr>
          <w:b/>
          <w:bCs/>
          <w:sz w:val="20"/>
          <w:szCs w:val="20"/>
        </w:rPr>
        <w:t>Holders of Common Stoc</w:t>
      </w:r>
      <w:r>
        <w:rPr>
          <w:b/>
          <w:bCs/>
          <w:sz w:val="20"/>
          <w:szCs w:val="20"/>
        </w:rPr>
        <w:t>k</w:t>
      </w:r>
    </w:p>
    <w:p w:rsidR="00000000" w:rsidRDefault="00477EE8">
      <w:pPr>
        <w:pStyle w:val="a3"/>
        <w:spacing w:before="120" w:beforeAutospacing="0" w:after="0" w:afterAutospacing="0"/>
        <w:ind w:firstLine="555"/>
        <w:rPr>
          <w:sz w:val="20"/>
          <w:szCs w:val="20"/>
        </w:rPr>
      </w:pPr>
      <w:r>
        <w:rPr>
          <w:sz w:val="20"/>
          <w:szCs w:val="20"/>
        </w:rPr>
        <w:t>As of February 1, 2023, there were 12 holders of record o</w:t>
      </w:r>
      <w:r>
        <w:rPr>
          <w:sz w:val="20"/>
          <w:szCs w:val="20"/>
        </w:rPr>
        <w:t>f our common stock, plus an indeterminate number of additional stockholders whose shares of our common stock are held on their behalf by brokerage firms or other agents</w:t>
      </w:r>
      <w:r>
        <w:rPr>
          <w:sz w:val="20"/>
          <w:szCs w:val="20"/>
        </w:rPr>
        <w:t>.</w:t>
      </w:r>
    </w:p>
    <w:p w:rsidR="00000000" w:rsidRDefault="00477EE8">
      <w:pPr>
        <w:pStyle w:val="a3"/>
        <w:spacing w:before="360" w:beforeAutospacing="0" w:after="0" w:afterAutospacing="0"/>
        <w:ind w:firstLine="555"/>
        <w:jc w:val="center"/>
        <w:rPr>
          <w:sz w:val="20"/>
          <w:szCs w:val="20"/>
        </w:rPr>
      </w:pPr>
      <w:r>
        <w:rPr>
          <w:b/>
          <w:bCs/>
          <w:sz w:val="20"/>
          <w:szCs w:val="20"/>
        </w:rPr>
        <w:t>Dividend Polic</w:t>
      </w:r>
      <w:r>
        <w:rPr>
          <w:b/>
          <w:bCs/>
          <w:sz w:val="20"/>
          <w:szCs w:val="20"/>
        </w:rPr>
        <w:t>y</w:t>
      </w:r>
    </w:p>
    <w:p w:rsidR="00000000" w:rsidRDefault="00477EE8">
      <w:pPr>
        <w:pStyle w:val="a3"/>
        <w:spacing w:before="120" w:beforeAutospacing="0" w:after="0" w:afterAutospacing="0"/>
        <w:ind w:firstLine="555"/>
        <w:rPr>
          <w:sz w:val="20"/>
          <w:szCs w:val="20"/>
        </w:rPr>
      </w:pPr>
      <w:r>
        <w:rPr>
          <w:sz w:val="20"/>
          <w:szCs w:val="20"/>
        </w:rPr>
        <w:t>We currently anticipate that we will retain any future earnings to fin</w:t>
      </w:r>
      <w:r>
        <w:rPr>
          <w:sz w:val="20"/>
          <w:szCs w:val="20"/>
        </w:rPr>
        <w:t>ance the continued development, operation and expansion of our business. As a result, we do not anticipate declaring or paying any cash dividends or other distributions in the foreseeable future. Any determination to pay dividends would be at the discretio</w:t>
      </w:r>
      <w:r>
        <w:rPr>
          <w:sz w:val="20"/>
          <w:szCs w:val="20"/>
        </w:rPr>
        <w:t>n of our board of directors and would depend on our results of operation, financial condition and other factors that our board of directors, in its discretion, considers relevan</w:t>
      </w:r>
      <w:r>
        <w:rPr>
          <w:sz w:val="20"/>
          <w:szCs w:val="20"/>
        </w:rPr>
        <w:t>t</w:t>
      </w:r>
      <w:r>
        <w:rPr>
          <w:b/>
          <w:bCs/>
          <w:sz w:val="20"/>
          <w:szCs w:val="20"/>
        </w:rPr>
        <w:t>.</w:t>
      </w:r>
    </w:p>
    <w:p w:rsidR="00000000" w:rsidRDefault="00477EE8">
      <w:pPr>
        <w:pStyle w:val="a3"/>
        <w:spacing w:before="360" w:beforeAutospacing="0" w:after="0" w:afterAutospacing="0"/>
        <w:jc w:val="center"/>
        <w:rPr>
          <w:sz w:val="20"/>
          <w:szCs w:val="20"/>
        </w:rPr>
      </w:pPr>
      <w:r>
        <w:rPr>
          <w:b/>
          <w:bCs/>
          <w:sz w:val="20"/>
          <w:szCs w:val="20"/>
        </w:rPr>
        <w:t>Use of Proceeds from Registered Securitie</w:t>
      </w:r>
      <w:r>
        <w:rPr>
          <w:b/>
          <w:bCs/>
          <w:sz w:val="20"/>
          <w:szCs w:val="20"/>
        </w:rPr>
        <w:t>s</w:t>
      </w:r>
    </w:p>
    <w:p w:rsidR="00000000" w:rsidRDefault="00477EE8">
      <w:pPr>
        <w:pStyle w:val="a3"/>
        <w:spacing w:before="240" w:beforeAutospacing="0" w:after="0" w:afterAutospacing="0"/>
        <w:ind w:firstLine="555"/>
        <w:rPr>
          <w:sz w:val="20"/>
          <w:szCs w:val="20"/>
        </w:rPr>
      </w:pPr>
      <w:r>
        <w:rPr>
          <w:sz w:val="20"/>
          <w:szCs w:val="20"/>
        </w:rPr>
        <w:t>To date, we have used $85.9 milli</w:t>
      </w:r>
      <w:r>
        <w:rPr>
          <w:sz w:val="20"/>
          <w:szCs w:val="20"/>
        </w:rPr>
        <w:t xml:space="preserve">on of the net proceeds from sales of our common stock, of which, $4.5 million was used for contributions to FF Gene Biotech prior to the FF Gene Biotech Acquisition and $81.4 million was used to fund the Company’s operation and a business combination. All </w:t>
      </w:r>
      <w:r>
        <w:rPr>
          <w:sz w:val="20"/>
          <w:szCs w:val="20"/>
        </w:rPr>
        <w:t>other net proceeds from sales of our common stock are invested in investment-grade and interest-bearing securities, such as corporate bonds, municipal bonds, and U.S. government and U.S. agency debt securities. There has been no material change in the plan</w:t>
      </w:r>
      <w:r>
        <w:rPr>
          <w:sz w:val="20"/>
          <w:szCs w:val="20"/>
        </w:rPr>
        <w:t>ned use of proceeds from the sales of our common stock from that described in the Prospectus</w:t>
      </w:r>
      <w:r>
        <w:rPr>
          <w:sz w:val="20"/>
          <w:szCs w:val="20"/>
        </w:rPr>
        <w:t>.</w:t>
      </w:r>
    </w:p>
    <w:p w:rsidR="00000000" w:rsidRDefault="00477EE8">
      <w:pPr>
        <w:pStyle w:val="a3"/>
        <w:spacing w:before="360" w:beforeAutospacing="0" w:after="0" w:afterAutospacing="0"/>
        <w:jc w:val="center"/>
        <w:rPr>
          <w:sz w:val="20"/>
          <w:szCs w:val="20"/>
        </w:rPr>
      </w:pPr>
      <w:r>
        <w:rPr>
          <w:b/>
          <w:bCs/>
          <w:sz w:val="20"/>
          <w:szCs w:val="20"/>
        </w:rPr>
        <w:t>Common Stock Performance Grap</w:t>
      </w:r>
      <w:r>
        <w:rPr>
          <w:b/>
          <w:bCs/>
          <w:sz w:val="20"/>
          <w:szCs w:val="20"/>
        </w:rPr>
        <w:t>h</w:t>
      </w:r>
    </w:p>
    <w:p w:rsidR="00000000" w:rsidRDefault="00477EE8">
      <w:pPr>
        <w:pStyle w:val="a3"/>
        <w:spacing w:before="120" w:beforeAutospacing="0" w:after="0" w:afterAutospacing="0"/>
        <w:ind w:firstLine="555"/>
        <w:rPr>
          <w:sz w:val="20"/>
          <w:szCs w:val="20"/>
        </w:rPr>
      </w:pPr>
      <w:r>
        <w:rPr>
          <w:sz w:val="20"/>
          <w:szCs w:val="20"/>
        </w:rPr>
        <w:t>The following graph compares the cumulative total stockholder return, calculated on a dividend-reinvested basis, in Fulgent's Commo</w:t>
      </w:r>
      <w:r>
        <w:rPr>
          <w:sz w:val="20"/>
          <w:szCs w:val="20"/>
        </w:rPr>
        <w:t xml:space="preserve">n Stock, the NASDAQ Composite Index, and the NASDAQ Biotechnology Index for the five years ended December 31, 2022. The comparison assumes that $100 was invested in the Company’s Common Stock, the NASDAQ Composite Index, and the NASDAQ Biotechnology Index </w:t>
      </w:r>
      <w:r>
        <w:rPr>
          <w:sz w:val="20"/>
          <w:szCs w:val="20"/>
        </w:rPr>
        <w:t>as of the market close on December 31, 2017. Note that historic stock price performance is not necessarily indicative of future stock price performance</w:t>
      </w:r>
      <w:r>
        <w:rPr>
          <w:sz w:val="20"/>
          <w:szCs w:val="20"/>
        </w:rPr>
        <w:t>.</w:t>
      </w:r>
    </w:p>
    <w:p w:rsidR="00000000" w:rsidRDefault="00477EE8">
      <w:pPr>
        <w:pStyle w:val="a3"/>
        <w:spacing w:before="240" w:beforeAutospacing="0" w:after="0" w:afterAutospacing="0"/>
        <w:jc w:val="center"/>
        <w:rPr>
          <w:sz w:val="20"/>
          <w:szCs w:val="20"/>
        </w:rPr>
      </w:pPr>
      <w:r>
        <w:rPr>
          <w:sz w:val="20"/>
          <w:szCs w:val="20"/>
        </w:rPr>
        <w:t>4</w:t>
      </w:r>
      <w:r>
        <w:rPr>
          <w:sz w:val="20"/>
          <w:szCs w:val="20"/>
        </w:rPr>
        <w:t>7</w:t>
      </w:r>
    </w:p>
    <w:p w:rsidR="00000000" w:rsidRDefault="00477EE8">
      <w:pPr>
        <w:rPr>
          <w:rFonts w:eastAsia="Times New Roman"/>
        </w:rPr>
      </w:pPr>
      <w:r>
        <w:rPr>
          <w:rFonts w:eastAsia="Times New Roman"/>
        </w:rPr>
        <w:pict>
          <v:rect id="_x0000_i1086" style="width:0;height:1.5pt" o:hralign="center" o:hrstd="t" o:hr="t" fillcolor="#a0a0a0" stroked="f"/>
        </w:pict>
      </w:r>
    </w:p>
    <w:p w:rsidR="00000000" w:rsidRDefault="00477EE8">
      <w:pPr>
        <w:pStyle w:val="a3"/>
        <w:spacing w:before="120" w:beforeAutospacing="0" w:after="0" w:afterAutospacing="0"/>
        <w:ind w:firstLine="555"/>
        <w:jc w:val="center"/>
        <w:rPr>
          <w:sz w:val="20"/>
          <w:szCs w:val="20"/>
        </w:rPr>
      </w:pPr>
      <w:r>
        <w:rPr>
          <w:noProof/>
          <w:sz w:val="20"/>
          <w:szCs w:val="20"/>
        </w:rPr>
        <w:drawing>
          <wp:inline distT="0" distB="0" distL="0" distR="0">
            <wp:extent cx="304800" cy="3048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477EE8">
      <w:pPr>
        <w:pStyle w:val="a3"/>
        <w:spacing w:before="360" w:beforeAutospacing="0" w:after="0" w:afterAutospacing="0"/>
        <w:jc w:val="center"/>
        <w:rPr>
          <w:sz w:val="20"/>
          <w:szCs w:val="20"/>
        </w:rPr>
      </w:pPr>
      <w:r>
        <w:rPr>
          <w:b/>
          <w:bCs/>
          <w:sz w:val="20"/>
          <w:szCs w:val="20"/>
        </w:rPr>
        <w:t>Information on Share Repurchase</w:t>
      </w:r>
      <w:r>
        <w:rPr>
          <w:b/>
          <w:bCs/>
          <w:sz w:val="20"/>
          <w:szCs w:val="20"/>
        </w:rPr>
        <w:t>s</w:t>
      </w:r>
    </w:p>
    <w:p w:rsidR="00000000" w:rsidRDefault="00477EE8">
      <w:pPr>
        <w:pStyle w:val="a3"/>
        <w:spacing w:before="120" w:beforeAutospacing="0" w:after="0" w:afterAutospacing="0"/>
        <w:ind w:firstLine="555"/>
        <w:rPr>
          <w:sz w:val="20"/>
          <w:szCs w:val="20"/>
        </w:rPr>
      </w:pPr>
      <w:r>
        <w:rPr>
          <w:sz w:val="20"/>
          <w:szCs w:val="20"/>
        </w:rPr>
        <w:t>The number of shares of common stock repurchased by the Company during the year ended December 31, 2022 and the average price paid per share are as follows</w:t>
      </w:r>
      <w:r>
        <w:rPr>
          <w:sz w:val="20"/>
          <w:szCs w:val="20"/>
        </w:rPr>
        <w:t>:</w:t>
      </w:r>
    </w:p>
    <w:p w:rsidR="00000000" w:rsidRDefault="00477EE8">
      <w:pPr>
        <w:pStyle w:val="a3"/>
        <w:spacing w:before="0" w:beforeAutospacing="0" w:after="0" w:afterAutospacing="0"/>
        <w:ind w:firstLine="55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71"/>
        <w:gridCol w:w="110"/>
        <w:gridCol w:w="110"/>
        <w:gridCol w:w="860"/>
        <w:gridCol w:w="110"/>
        <w:gridCol w:w="110"/>
        <w:gridCol w:w="160"/>
        <w:gridCol w:w="820"/>
        <w:gridCol w:w="110"/>
        <w:gridCol w:w="110"/>
        <w:gridCol w:w="110"/>
        <w:gridCol w:w="860"/>
        <w:gridCol w:w="110"/>
        <w:gridCol w:w="110"/>
        <w:gridCol w:w="160"/>
        <w:gridCol w:w="1060"/>
        <w:gridCol w:w="125"/>
      </w:tblGrid>
      <w:tr w:rsidR="00000000">
        <w:trPr>
          <w:tblCellSpacing w:w="15" w:type="dxa"/>
        </w:trPr>
        <w:tc>
          <w:tcPr>
            <w:tcW w:w="2113"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59"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71"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61"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59"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71"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63"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trHeight w:val="160"/>
          <w:tblCellSpacing w:w="15" w:type="dxa"/>
        </w:trPr>
        <w:tc>
          <w:tcPr>
            <w:tcW w:w="0" w:type="auto"/>
            <w:vAlign w:val="center"/>
            <w:hideMark/>
          </w:tcPr>
          <w:p w:rsidR="00000000" w:rsidRDefault="00477EE8">
            <w:pPr>
              <w:pStyle w:val="a3"/>
              <w:spacing w:before="0" w:beforeAutospacing="0" w:after="0" w:afterAutospacing="0"/>
              <w:jc w:val="center"/>
              <w:rPr>
                <w:sz w:val="16"/>
                <w:szCs w:val="16"/>
              </w:rPr>
            </w:pPr>
            <w:r>
              <w:rPr>
                <w:b/>
                <w:bCs/>
                <w:sz w:val="16"/>
                <w:szCs w:val="16"/>
              </w:rPr>
              <w:t>Perio</w:t>
            </w:r>
            <w:r>
              <w:rPr>
                <w:b/>
                <w:bCs/>
                <w:sz w:val="16"/>
                <w:szCs w:val="16"/>
              </w:rPr>
              <w:t>d</w:t>
            </w:r>
          </w:p>
        </w:tc>
        <w:tc>
          <w:tcPr>
            <w:tcW w:w="0" w:type="auto"/>
            <w:vAlign w:val="center"/>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center"/>
            <w:hideMark/>
          </w:tcPr>
          <w:p w:rsidR="00000000" w:rsidRDefault="00477EE8">
            <w:pPr>
              <w:pStyle w:val="a3"/>
              <w:spacing w:before="0" w:beforeAutospacing="0" w:after="0" w:afterAutospacing="0"/>
              <w:jc w:val="center"/>
              <w:rPr>
                <w:sz w:val="16"/>
                <w:szCs w:val="16"/>
              </w:rPr>
            </w:pPr>
            <w:r>
              <w:rPr>
                <w:b/>
                <w:bCs/>
                <w:sz w:val="16"/>
                <w:szCs w:val="16"/>
              </w:rPr>
              <w:t>(a) Total Number of Shares Purchase</w:t>
            </w:r>
            <w:r>
              <w:rPr>
                <w:b/>
                <w:bCs/>
                <w:sz w:val="16"/>
                <w:szCs w:val="16"/>
              </w:rPr>
              <w:t>d</w:t>
            </w:r>
          </w:p>
        </w:tc>
        <w:tc>
          <w:tcPr>
            <w:tcW w:w="0" w:type="auto"/>
            <w:vAlign w:val="center"/>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center"/>
            <w:hideMark/>
          </w:tcPr>
          <w:p w:rsidR="00000000" w:rsidRDefault="00477EE8">
            <w:pPr>
              <w:pStyle w:val="a3"/>
              <w:spacing w:before="0" w:beforeAutospacing="0" w:after="0" w:afterAutospacing="0"/>
              <w:jc w:val="center"/>
              <w:rPr>
                <w:sz w:val="16"/>
                <w:szCs w:val="16"/>
              </w:rPr>
            </w:pPr>
            <w:r>
              <w:rPr>
                <w:b/>
                <w:bCs/>
                <w:sz w:val="16"/>
                <w:szCs w:val="16"/>
              </w:rPr>
              <w:t>(b) Average Price Paid Per Share (1</w:t>
            </w:r>
            <w:r>
              <w:rPr>
                <w:b/>
                <w:bCs/>
                <w:sz w:val="16"/>
                <w:szCs w:val="16"/>
              </w:rPr>
              <w:t>)</w:t>
            </w:r>
          </w:p>
        </w:tc>
        <w:tc>
          <w:tcPr>
            <w:tcW w:w="0" w:type="auto"/>
            <w:vAlign w:val="center"/>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center"/>
            <w:hideMark/>
          </w:tcPr>
          <w:p w:rsidR="00000000" w:rsidRDefault="00477EE8">
            <w:pPr>
              <w:pStyle w:val="a3"/>
              <w:spacing w:before="0" w:beforeAutospacing="0" w:after="0" w:afterAutospacing="0"/>
              <w:jc w:val="center"/>
              <w:rPr>
                <w:sz w:val="16"/>
                <w:szCs w:val="16"/>
              </w:rPr>
            </w:pPr>
            <w:r>
              <w:rPr>
                <w:b/>
                <w:bCs/>
                <w:sz w:val="16"/>
                <w:szCs w:val="16"/>
              </w:rPr>
              <w:t>(c) Total Number of Shares Purchased As Part of Publicly Announced Plans or Program</w:t>
            </w:r>
            <w:r>
              <w:rPr>
                <w:b/>
                <w:bCs/>
                <w:sz w:val="16"/>
                <w:szCs w:val="16"/>
              </w:rPr>
              <w:t>s</w:t>
            </w:r>
          </w:p>
        </w:tc>
        <w:tc>
          <w:tcPr>
            <w:tcW w:w="0" w:type="auto"/>
            <w:vAlign w:val="center"/>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center"/>
            <w:hideMark/>
          </w:tcPr>
          <w:p w:rsidR="00000000" w:rsidRDefault="00477EE8">
            <w:pPr>
              <w:pStyle w:val="a3"/>
              <w:spacing w:before="0" w:beforeAutospacing="0" w:after="0" w:afterAutospacing="0"/>
              <w:jc w:val="center"/>
              <w:rPr>
                <w:sz w:val="16"/>
                <w:szCs w:val="16"/>
              </w:rPr>
            </w:pPr>
            <w:r>
              <w:rPr>
                <w:b/>
                <w:bCs/>
                <w:sz w:val="16"/>
                <w:szCs w:val="16"/>
              </w:rPr>
              <w:t>(d) Maximum Dollar Value that May Yet Be Purchased Under the Plans or Program</w:t>
            </w:r>
            <w:r>
              <w:rPr>
                <w:b/>
                <w:bCs/>
                <w:sz w:val="16"/>
                <w:szCs w:val="16"/>
              </w:rPr>
              <w:t>s</w:t>
            </w:r>
          </w:p>
        </w:tc>
        <w:tc>
          <w:tcPr>
            <w:tcW w:w="0" w:type="auto"/>
            <w:vAlign w:val="center"/>
            <w:hideMark/>
          </w:tcPr>
          <w:p w:rsidR="00000000" w:rsidRDefault="00477EE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May 2022 (5/1/2022 - 5/31/2022</w:t>
            </w: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30,00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49.5</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30,00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248,515,00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June 2022 (6/1/2022 - 6/30/2022</w:t>
            </w: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185,00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48.9</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185,00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239,429,00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August 2022 (8/1/2022 - 8/31/2022</w:t>
            </w: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247,00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47.6</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247,00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227,657,00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September 2022 (9/1/2022 - 9/30/2022</w:t>
            </w: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533,00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43.0</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533,00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204,752,00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October 2022 (10/1/2022 - 10/31/2022</w:t>
            </w: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244,00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37.3</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244,00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195,661,00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November 2022 (11/1/2022 - 11/30/2022</w:t>
            </w: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234,00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35.8</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234,00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187,276,00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December 2022 (12/1/2022 - 12/31/2022</w:t>
            </w: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337,00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34.3</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337,00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175,718,00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1,810,00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1,810,00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gridSpan w:val="2"/>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240" w:beforeAutospacing="0" w:after="0" w:afterAutospacing="0"/>
        <w:ind w:firstLine="555"/>
        <w:rPr>
          <w:sz w:val="20"/>
          <w:szCs w:val="20"/>
        </w:rPr>
      </w:pPr>
      <w:r>
        <w:rPr>
          <w:sz w:val="20"/>
          <w:szCs w:val="20"/>
        </w:rPr>
        <w:t>(1) Includes commissions for the shares repurchased under the stock repurchase program</w:t>
      </w:r>
      <w:r>
        <w:rPr>
          <w:sz w:val="20"/>
          <w:szCs w:val="20"/>
        </w:rPr>
        <w:t>.</w:t>
      </w:r>
    </w:p>
    <w:p w:rsidR="00000000" w:rsidRDefault="00477EE8">
      <w:pPr>
        <w:pStyle w:val="a3"/>
        <w:spacing w:before="360" w:beforeAutospacing="0" w:after="0" w:afterAutospacing="0"/>
        <w:rPr>
          <w:sz w:val="20"/>
          <w:szCs w:val="20"/>
        </w:rPr>
      </w:pPr>
      <w:r>
        <w:rPr>
          <w:b/>
          <w:bCs/>
          <w:sz w:val="20"/>
          <w:szCs w:val="20"/>
        </w:rPr>
        <w:t>Item 6. [</w:t>
      </w:r>
      <w:r>
        <w:rPr>
          <w:b/>
          <w:bCs/>
          <w:sz w:val="20"/>
          <w:szCs w:val="20"/>
        </w:rPr>
        <w:t>R</w:t>
      </w:r>
      <w:r>
        <w:rPr>
          <w:b/>
          <w:bCs/>
          <w:sz w:val="20"/>
          <w:szCs w:val="20"/>
        </w:rPr>
        <w:t>eserved</w:t>
      </w:r>
      <w:r>
        <w:rPr>
          <w:b/>
          <w:bCs/>
          <w:sz w:val="20"/>
          <w:szCs w:val="20"/>
        </w:rPr>
        <w:t>]</w:t>
      </w:r>
    </w:p>
    <w:p w:rsidR="00000000" w:rsidRDefault="00477EE8">
      <w:pPr>
        <w:pStyle w:val="a3"/>
        <w:spacing w:before="240" w:beforeAutospacing="0" w:after="0" w:afterAutospacing="0"/>
        <w:jc w:val="center"/>
        <w:rPr>
          <w:sz w:val="20"/>
          <w:szCs w:val="20"/>
        </w:rPr>
      </w:pPr>
      <w:r>
        <w:rPr>
          <w:sz w:val="20"/>
          <w:szCs w:val="20"/>
        </w:rPr>
        <w:t>4</w:t>
      </w:r>
      <w:r>
        <w:rPr>
          <w:sz w:val="20"/>
          <w:szCs w:val="20"/>
        </w:rPr>
        <w:t>8</w:t>
      </w:r>
    </w:p>
    <w:p w:rsidR="00000000" w:rsidRDefault="00477EE8">
      <w:pPr>
        <w:rPr>
          <w:rFonts w:eastAsia="Times New Roman"/>
        </w:rPr>
      </w:pPr>
      <w:r>
        <w:rPr>
          <w:rFonts w:eastAsia="Times New Roman"/>
        </w:rPr>
        <w:pict>
          <v:rect id="_x0000_i1088" style="width:0;height:1.5pt" o:hralign="center" o:hrstd="t" o:hr="t" fillcolor="#a0a0a0" stroked="f"/>
        </w:pict>
      </w:r>
    </w:p>
    <w:p w:rsidR="00000000" w:rsidRDefault="00477EE8">
      <w:pPr>
        <w:pStyle w:val="a3"/>
        <w:spacing w:before="0" w:beforeAutospacing="0" w:after="0" w:afterAutospacing="0"/>
        <w:rPr>
          <w:sz w:val="20"/>
          <w:szCs w:val="20"/>
        </w:rPr>
      </w:pPr>
      <w:r>
        <w:rPr>
          <w:b/>
          <w:bCs/>
          <w:sz w:val="20"/>
          <w:szCs w:val="20"/>
        </w:rPr>
        <w:t>Item 7. Management’s Discussion and Analysis o</w:t>
      </w:r>
      <w:r>
        <w:rPr>
          <w:b/>
          <w:bCs/>
          <w:sz w:val="20"/>
          <w:szCs w:val="20"/>
        </w:rPr>
        <w:t>f</w:t>
      </w:r>
      <w:r>
        <w:rPr>
          <w:b/>
          <w:bCs/>
          <w:sz w:val="20"/>
          <w:szCs w:val="20"/>
        </w:rPr>
        <w:t xml:space="preserve"> </w:t>
      </w:r>
      <w:r>
        <w:rPr>
          <w:b/>
          <w:bCs/>
          <w:sz w:val="20"/>
          <w:szCs w:val="20"/>
        </w:rPr>
        <w:t>Financial Condition and Results of Operations</w:t>
      </w:r>
      <w:r>
        <w:rPr>
          <w:b/>
          <w:bCs/>
          <w:sz w:val="20"/>
          <w:szCs w:val="20"/>
        </w:rPr>
        <w:t>.</w:t>
      </w:r>
    </w:p>
    <w:p w:rsidR="00000000" w:rsidRDefault="00477EE8">
      <w:pPr>
        <w:pStyle w:val="a3"/>
        <w:spacing w:before="360" w:beforeAutospacing="0" w:after="0" w:afterAutospacing="0"/>
        <w:jc w:val="center"/>
        <w:rPr>
          <w:sz w:val="20"/>
          <w:szCs w:val="20"/>
        </w:rPr>
      </w:pPr>
      <w:r>
        <w:rPr>
          <w:b/>
          <w:bCs/>
          <w:i/>
          <w:iCs/>
          <w:sz w:val="20"/>
          <w:szCs w:val="20"/>
        </w:rPr>
        <w:t>Forward-Looking Statement</w:t>
      </w:r>
      <w:r>
        <w:rPr>
          <w:b/>
          <w:bCs/>
          <w:i/>
          <w:iCs/>
          <w:sz w:val="20"/>
          <w:szCs w:val="20"/>
        </w:rPr>
        <w:t>s</w:t>
      </w:r>
    </w:p>
    <w:p w:rsidR="00000000" w:rsidRDefault="00477EE8">
      <w:pPr>
        <w:pStyle w:val="a3"/>
        <w:spacing w:before="120" w:beforeAutospacing="0" w:after="0" w:afterAutospacing="0"/>
        <w:ind w:firstLine="555"/>
        <w:rPr>
          <w:sz w:val="20"/>
          <w:szCs w:val="20"/>
        </w:rPr>
      </w:pPr>
      <w:r>
        <w:rPr>
          <w:i/>
          <w:iCs/>
          <w:sz w:val="20"/>
          <w:szCs w:val="20"/>
        </w:rPr>
        <w:t>The following discussion and analysis of our financial condition and results of operations should be read together with our consolidated financial statements and related notes includ</w:t>
      </w:r>
      <w:r>
        <w:rPr>
          <w:i/>
          <w:iCs/>
          <w:sz w:val="20"/>
          <w:szCs w:val="20"/>
        </w:rPr>
        <w:t>ed in this report and contains forward-looking statements within the meaning of Section 27A of the Securities Act and Section 21E of the Securities Exchange Act. We have omitted discussion of 2020 results where it would be redundant to the discussion previ</w:t>
      </w:r>
      <w:r>
        <w:rPr>
          <w:i/>
          <w:iCs/>
          <w:sz w:val="20"/>
          <w:szCs w:val="20"/>
        </w:rPr>
        <w:t>ously included in Item 7 of our 2021 Annual Report on Form 10-K. Forward-looking statements are statements other than historical facts and relate to future events or circumstances or our future performance, and they are based on our current assumptions, ex</w:t>
      </w:r>
      <w:r>
        <w:rPr>
          <w:i/>
          <w:iCs/>
          <w:sz w:val="20"/>
          <w:szCs w:val="20"/>
        </w:rPr>
        <w:t>pectations and beliefs concerning future developments and their potential effect on our business. The forward-looking statements in this discussion and analysis include statements about, among other things, our future financial and operating performance, o</w:t>
      </w:r>
      <w:r>
        <w:rPr>
          <w:i/>
          <w:iCs/>
          <w:sz w:val="20"/>
          <w:szCs w:val="20"/>
        </w:rPr>
        <w:t>ur future cash flows and liquidity and our growth strategies, as well as anticipated trends in our business and industry. These forward-looking statements are subject to a number of risks and uncertainties, including, among others, those described under “I</w:t>
      </w:r>
      <w:r>
        <w:rPr>
          <w:i/>
          <w:iCs/>
          <w:sz w:val="20"/>
          <w:szCs w:val="20"/>
        </w:rPr>
        <w:t>tem 1A. Risk Factors” in Part I of this report. Moreover, we operate in a competitive and rapidly evolving industry and new risks emerge from time to time. It is not possible for us to predict all of the risks we may face, nor can we assess the impact of a</w:t>
      </w:r>
      <w:r>
        <w:rPr>
          <w:i/>
          <w:iCs/>
          <w:sz w:val="20"/>
          <w:szCs w:val="20"/>
        </w:rPr>
        <w:t>ll factors on our business or the extent to which any factor or combination of factors could cause actual results to differ from our expectations. In light of these risks and uncertainties, the forward-looking events and circumstances described in this dis</w:t>
      </w:r>
      <w:r>
        <w:rPr>
          <w:i/>
          <w:iCs/>
          <w:sz w:val="20"/>
          <w:szCs w:val="20"/>
        </w:rPr>
        <w:t>cussion and analysis may not occur, and actual results could differ materially and adversely from those described in or implied by any forward-looking statements we make. Although we have based our forward-looking statements on assumptions and expectations</w:t>
      </w:r>
      <w:r>
        <w:rPr>
          <w:i/>
          <w:iCs/>
          <w:sz w:val="20"/>
          <w:szCs w:val="20"/>
        </w:rPr>
        <w:t xml:space="preserve"> we believe are reasonable, we cannot guarantee future results, levels of activity, performance or achievements or other future events. As a result, forward-looking statements should not be relied on or viewed as predictions of future events, and this disc</w:t>
      </w:r>
      <w:r>
        <w:rPr>
          <w:i/>
          <w:iCs/>
          <w:sz w:val="20"/>
          <w:szCs w:val="20"/>
        </w:rPr>
        <w:t>ussion and analysis should be read with the understanding that actual future results, levels of activity, performance and achievements may be materially different than our current expectations. The forward-looking statements in this discussion and analysis</w:t>
      </w:r>
      <w:r>
        <w:rPr>
          <w:i/>
          <w:iCs/>
          <w:sz w:val="20"/>
          <w:szCs w:val="20"/>
        </w:rPr>
        <w:t xml:space="preserve"> speak only as of the date of this report, and except as required by law, we undertake no obligation to update publicly any forward-looking statements for any reason after the date of this report to conform these statements to actual results or to changes </w:t>
      </w:r>
      <w:r>
        <w:rPr>
          <w:i/>
          <w:iCs/>
          <w:sz w:val="20"/>
          <w:szCs w:val="20"/>
        </w:rPr>
        <w:t>in our expectations</w:t>
      </w:r>
      <w:r>
        <w:rPr>
          <w:i/>
          <w:iCs/>
          <w:sz w:val="20"/>
          <w:szCs w:val="20"/>
        </w:rPr>
        <w:t>.</w:t>
      </w:r>
    </w:p>
    <w:p w:rsidR="00000000" w:rsidRDefault="00477EE8">
      <w:pPr>
        <w:pStyle w:val="a3"/>
        <w:spacing w:before="360" w:beforeAutospacing="0" w:after="0" w:afterAutospacing="0"/>
        <w:jc w:val="center"/>
        <w:rPr>
          <w:sz w:val="20"/>
          <w:szCs w:val="20"/>
        </w:rPr>
      </w:pPr>
      <w:r>
        <w:rPr>
          <w:b/>
          <w:bCs/>
          <w:sz w:val="20"/>
          <w:szCs w:val="20"/>
        </w:rPr>
        <w:t>Overvie</w:t>
      </w:r>
      <w:r>
        <w:rPr>
          <w:b/>
          <w:bCs/>
          <w:sz w:val="20"/>
          <w:szCs w:val="20"/>
        </w:rPr>
        <w:t>w</w:t>
      </w:r>
    </w:p>
    <w:p w:rsidR="00000000" w:rsidRDefault="00477EE8">
      <w:pPr>
        <w:pStyle w:val="a3"/>
        <w:spacing w:before="120" w:beforeAutospacing="0" w:after="0" w:afterAutospacing="0"/>
        <w:ind w:firstLine="555"/>
        <w:rPr>
          <w:sz w:val="20"/>
          <w:szCs w:val="20"/>
        </w:rPr>
      </w:pPr>
      <w:r>
        <w:rPr>
          <w:sz w:val="20"/>
          <w:szCs w:val="20"/>
        </w:rPr>
        <w:t>We are a technology-based company with a well-established clinical diagnostic business and a therapeutic development business. Our clinical diagnostic business offers molecular diagnostic testing services, comprehensive geneti</w:t>
      </w:r>
      <w:r>
        <w:rPr>
          <w:sz w:val="20"/>
          <w:szCs w:val="20"/>
        </w:rPr>
        <w:t>c testing, and high-quality anatomic pathology laboratory services designed to provide physicians and patients with clinically actionable diagnostic information to improve the quality of patient care. Our therapeutic development business is focused on deve</w:t>
      </w:r>
      <w:r>
        <w:rPr>
          <w:sz w:val="20"/>
          <w:szCs w:val="20"/>
        </w:rPr>
        <w:t>loping drug candidates for treating a broad range of cancers using a novel nanoencapsulation and targeted therapy platform designed to improve the therapeutic window and pharmacokinetic profile, or PK profile, of new and existing cancer drugs. We aim to tr</w:t>
      </w:r>
      <w:r>
        <w:rPr>
          <w:sz w:val="20"/>
          <w:szCs w:val="20"/>
        </w:rPr>
        <w:t>ansform from a genomic diagnostic business into a fully integrated precision medicine company</w:t>
      </w:r>
      <w:r>
        <w:rPr>
          <w:sz w:val="20"/>
          <w:szCs w:val="20"/>
        </w:rPr>
        <w:t>.</w:t>
      </w:r>
    </w:p>
    <w:p w:rsidR="00000000" w:rsidRDefault="00477EE8">
      <w:pPr>
        <w:pStyle w:val="a3"/>
        <w:spacing w:before="240" w:beforeAutospacing="0" w:after="240" w:afterAutospacing="0"/>
        <w:ind w:firstLine="555"/>
        <w:rPr>
          <w:sz w:val="20"/>
          <w:szCs w:val="20"/>
        </w:rPr>
      </w:pPr>
      <w:r>
        <w:rPr>
          <w:sz w:val="20"/>
          <w:szCs w:val="20"/>
        </w:rPr>
        <w:t>We recorded revenue and income from operations of $619.0 million and $143.4 million, respectively, in 2022, compared to revenue and income from operations of $99</w:t>
      </w:r>
      <w:r>
        <w:rPr>
          <w:sz w:val="20"/>
          <w:szCs w:val="20"/>
        </w:rPr>
        <w:t>2.6 million and $507.4 million, respectively, in 2021</w:t>
      </w:r>
      <w:r>
        <w:rPr>
          <w:sz w:val="20"/>
          <w:szCs w:val="20"/>
        </w:rPr>
        <w:t>.</w:t>
      </w:r>
    </w:p>
    <w:p w:rsidR="00000000" w:rsidRDefault="00477EE8">
      <w:pPr>
        <w:pStyle w:val="a3"/>
        <w:spacing w:before="360" w:beforeAutospacing="0" w:after="0" w:afterAutospacing="0"/>
        <w:jc w:val="center"/>
        <w:rPr>
          <w:sz w:val="20"/>
          <w:szCs w:val="20"/>
        </w:rPr>
      </w:pPr>
      <w:r>
        <w:rPr>
          <w:b/>
          <w:bCs/>
          <w:sz w:val="20"/>
          <w:szCs w:val="20"/>
        </w:rPr>
        <w:t>2022 Development</w:t>
      </w:r>
      <w:r>
        <w:rPr>
          <w:b/>
          <w:bCs/>
          <w:sz w:val="20"/>
          <w:szCs w:val="20"/>
        </w:rPr>
        <w:t>s</w:t>
      </w:r>
    </w:p>
    <w:p w:rsidR="00000000" w:rsidRDefault="00477EE8">
      <w:pPr>
        <w:pStyle w:val="a3"/>
        <w:spacing w:before="360" w:beforeAutospacing="0" w:after="0" w:afterAutospacing="0"/>
        <w:rPr>
          <w:sz w:val="20"/>
          <w:szCs w:val="20"/>
        </w:rPr>
      </w:pPr>
      <w:r>
        <w:rPr>
          <w:b/>
          <w:bCs/>
          <w:sz w:val="20"/>
          <w:szCs w:val="20"/>
        </w:rPr>
        <w:t>Opening of New State-of-the-Art Oncology Laboratory in El Monte, Californi</w:t>
      </w:r>
      <w:r>
        <w:rPr>
          <w:b/>
          <w:bCs/>
          <w:sz w:val="20"/>
          <w:szCs w:val="20"/>
        </w:rPr>
        <w:t>a</w:t>
      </w:r>
    </w:p>
    <w:p w:rsidR="00000000" w:rsidRDefault="00477EE8">
      <w:pPr>
        <w:pStyle w:val="a3"/>
        <w:spacing w:before="120" w:beforeAutospacing="0" w:after="240" w:afterAutospacing="0"/>
        <w:ind w:firstLine="555"/>
        <w:rPr>
          <w:sz w:val="20"/>
          <w:szCs w:val="20"/>
        </w:rPr>
      </w:pPr>
      <w:r>
        <w:rPr>
          <w:sz w:val="20"/>
          <w:szCs w:val="20"/>
        </w:rPr>
        <w:t xml:space="preserve">In May 2022, we opened a new state-of-the-art oncology laboratory in El Monte, California, near our global </w:t>
      </w:r>
      <w:r>
        <w:rPr>
          <w:sz w:val="20"/>
          <w:szCs w:val="20"/>
        </w:rPr>
        <w:t>headquarters in Temple City. This new CLIA-certified lab enables us to expand our capabilities in somatic molecular diagnostics and cancer testing and more efficiently serve oncology clients on the West Coast of the United States</w:t>
      </w:r>
      <w:r>
        <w:rPr>
          <w:sz w:val="20"/>
          <w:szCs w:val="20"/>
        </w:rPr>
        <w:t>.</w:t>
      </w:r>
    </w:p>
    <w:p w:rsidR="00000000" w:rsidRDefault="00477EE8">
      <w:pPr>
        <w:pStyle w:val="a3"/>
        <w:spacing w:before="360" w:beforeAutospacing="0" w:after="0" w:afterAutospacing="0"/>
        <w:rPr>
          <w:sz w:val="20"/>
          <w:szCs w:val="20"/>
        </w:rPr>
      </w:pPr>
      <w:r>
        <w:rPr>
          <w:b/>
          <w:bCs/>
          <w:sz w:val="20"/>
          <w:szCs w:val="20"/>
        </w:rPr>
        <w:t>Acquisition of Inform Dia</w:t>
      </w:r>
      <w:r>
        <w:rPr>
          <w:b/>
          <w:bCs/>
          <w:sz w:val="20"/>
          <w:szCs w:val="20"/>
        </w:rPr>
        <w:t>gnostic</w:t>
      </w:r>
      <w:r>
        <w:rPr>
          <w:b/>
          <w:bCs/>
          <w:sz w:val="20"/>
          <w:szCs w:val="20"/>
        </w:rPr>
        <w:t>s</w:t>
      </w:r>
    </w:p>
    <w:p w:rsidR="00000000" w:rsidRDefault="00477EE8">
      <w:pPr>
        <w:pStyle w:val="a3"/>
        <w:spacing w:before="120" w:beforeAutospacing="0" w:after="160" w:afterAutospacing="0"/>
        <w:ind w:firstLine="555"/>
        <w:rPr>
          <w:sz w:val="20"/>
          <w:szCs w:val="20"/>
        </w:rPr>
      </w:pPr>
      <w:r>
        <w:rPr>
          <w:sz w:val="20"/>
          <w:szCs w:val="20"/>
        </w:rPr>
        <w:t>In April 2022, we completed the acquisition of Inform Diagnostics, a leading national independent pathology laboratory based in Irving, Texas, and a portfolio company of Avista Capital Partners. Inform Diagnostics, formerly known as Pathology Part</w:t>
      </w:r>
      <w:r>
        <w:rPr>
          <w:sz w:val="20"/>
          <w:szCs w:val="20"/>
        </w:rPr>
        <w:t>ners, was founded in 1996 and has since become one of the largest national pathology laboratories in the United States, with offerings across gastrointestinal pathology, dermatopathology, urologic pathology, and hematopathology, among others. Inform Diagno</w:t>
      </w:r>
      <w:r>
        <w:rPr>
          <w:sz w:val="20"/>
          <w:szCs w:val="20"/>
        </w:rPr>
        <w:t>stics currently provides services to approximately 1,300 clients who represent over 2,700 physicians. Inform Diagnostics is committed to providing physicians and the patients they serve with efficient, dependable, and high-quality service to facilitate fas</w:t>
      </w:r>
      <w:r>
        <w:rPr>
          <w:sz w:val="20"/>
          <w:szCs w:val="20"/>
        </w:rPr>
        <w:t>ter treatment for patients and more efficient workflows for clinicians. The acquisition extends our capabilities into the pathology testing market, with the goal of continuing to innovate healthcare by developing new NGS based tests, among other technologi</w:t>
      </w:r>
      <w:r>
        <w:rPr>
          <w:sz w:val="20"/>
          <w:szCs w:val="20"/>
        </w:rPr>
        <w:t>es, to further serve the combined companies’ large, nationwide customer base. With the addition of Inform Diagnostics’ extensive testing capabilities, nationwid</w:t>
      </w:r>
      <w:r>
        <w:rPr>
          <w:sz w:val="20"/>
          <w:szCs w:val="20"/>
        </w:rPr>
        <w:t>e</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4</w:t>
      </w:r>
      <w:r>
        <w:rPr>
          <w:sz w:val="20"/>
          <w:szCs w:val="20"/>
        </w:rPr>
        <w:t>9</w:t>
      </w:r>
    </w:p>
    <w:p w:rsidR="00000000" w:rsidRDefault="00477EE8">
      <w:pPr>
        <w:rPr>
          <w:rFonts w:eastAsia="Times New Roman"/>
        </w:rPr>
      </w:pPr>
      <w:r>
        <w:rPr>
          <w:rFonts w:eastAsia="Times New Roman"/>
        </w:rPr>
        <w:pict>
          <v:rect id="_x0000_i1089" style="width:0;height:1.5pt" o:hralign="center" o:hrstd="t" o:hr="t" fillcolor="#a0a0a0" stroked="f"/>
        </w:pict>
      </w:r>
    </w:p>
    <w:p w:rsidR="00000000" w:rsidRDefault="00477EE8">
      <w:pPr>
        <w:pStyle w:val="a3"/>
        <w:spacing w:before="120" w:beforeAutospacing="0" w:after="160" w:afterAutospacing="0"/>
        <w:rPr>
          <w:sz w:val="20"/>
          <w:szCs w:val="20"/>
        </w:rPr>
      </w:pPr>
      <w:r>
        <w:rPr>
          <w:sz w:val="20"/>
          <w:szCs w:val="20"/>
        </w:rPr>
        <w:t>salesforce, and significant managed care contracts, we believe we are better positioned to become a one-stop shop for diagnostic services throughout the healthcare continuum and across the United States. We see valuable cross-selling opportunities with Inf</w:t>
      </w:r>
      <w:r>
        <w:rPr>
          <w:sz w:val="20"/>
          <w:szCs w:val="20"/>
        </w:rPr>
        <w:t>orm Diagnostics’ national GI and GU specialist client base, including our newly launched liquid biopsy test for Hepatocellular carcinoma, HelioLiver, as well as an upcoming molecular test for urology, which is pending launch. In addition, we expect to offe</w:t>
      </w:r>
      <w:r>
        <w:rPr>
          <w:sz w:val="20"/>
          <w:szCs w:val="20"/>
        </w:rPr>
        <w:t>r high-value NGS-based oncology services to Inform Diagnostics’ hematology clients. We believe Inform Diagnostics’ client relationships will enable us to access more patients along key touchpoints to provide a comprehensive suite of diagnostic products and</w:t>
      </w:r>
      <w:r>
        <w:rPr>
          <w:sz w:val="20"/>
          <w:szCs w:val="20"/>
        </w:rPr>
        <w:t xml:space="preserve"> services leading to improved healthcare. The acquisition extends our in-network relationships with managed care organizations to over 300 million covered lives and expands our geographic footprint with the addition of CLIA, CAP, and NY State certified lab</w:t>
      </w:r>
      <w:r>
        <w:rPr>
          <w:sz w:val="20"/>
          <w:szCs w:val="20"/>
        </w:rPr>
        <w:t>oratories in California, New York, Arizona, Massachusetts, and Texas</w:t>
      </w:r>
      <w:r>
        <w:rPr>
          <w:sz w:val="20"/>
          <w:szCs w:val="20"/>
        </w:rPr>
        <w:t>.</w:t>
      </w:r>
    </w:p>
    <w:p w:rsidR="00000000" w:rsidRDefault="00477EE8">
      <w:pPr>
        <w:pStyle w:val="a3"/>
        <w:spacing w:before="360" w:beforeAutospacing="0" w:after="0" w:afterAutospacing="0"/>
        <w:rPr>
          <w:sz w:val="20"/>
          <w:szCs w:val="20"/>
        </w:rPr>
      </w:pPr>
      <w:r>
        <w:rPr>
          <w:b/>
          <w:bCs/>
          <w:sz w:val="20"/>
          <w:szCs w:val="20"/>
        </w:rPr>
        <w:t>Acquisition of Fulgent Pharm</w:t>
      </w:r>
      <w:r>
        <w:rPr>
          <w:b/>
          <w:bCs/>
          <w:sz w:val="20"/>
          <w:szCs w:val="20"/>
        </w:rPr>
        <w:t>a</w:t>
      </w:r>
    </w:p>
    <w:p w:rsidR="00000000" w:rsidRDefault="00477EE8">
      <w:pPr>
        <w:pStyle w:val="a3"/>
        <w:spacing w:before="120" w:beforeAutospacing="0" w:after="160" w:afterAutospacing="0"/>
        <w:ind w:firstLine="555"/>
        <w:rPr>
          <w:sz w:val="20"/>
          <w:szCs w:val="20"/>
        </w:rPr>
      </w:pPr>
      <w:r>
        <w:rPr>
          <w:sz w:val="20"/>
          <w:szCs w:val="20"/>
        </w:rPr>
        <w:t>In November 2022, we completed the acquisition of Fulgent Pharma, a clinical-stage, therapeutics development company focused on the development of innovativ</w:t>
      </w:r>
      <w:r>
        <w:rPr>
          <w:sz w:val="20"/>
          <w:szCs w:val="20"/>
        </w:rPr>
        <w:t>e cancer treatments. Through this acquisition and assuming successful development and the requisite approvals, we plan to offer a vertically integrated solution to combat cancer with the potential to create value for both this therapeutic and diagnostic ou</w:t>
      </w:r>
      <w:r>
        <w:rPr>
          <w:sz w:val="20"/>
          <w:szCs w:val="20"/>
        </w:rPr>
        <w:t>r businesses. Fulgent Pharma and Fulgent Genetics were previously both owned by Fulgent Therapeutics until 2016, when the businesses were separated ahead of the Initial Public Offering of Fulgent Genetics. The companies have operated as separate entities s</w:t>
      </w:r>
      <w:r>
        <w:rPr>
          <w:sz w:val="20"/>
          <w:szCs w:val="20"/>
        </w:rPr>
        <w:t>ince 2016, enabling each business to focus on and achieve core objectives across genetic testing and therapeutic drug development. Fulgent Pharma has developed a novel nanoencapsulation and targeted therapy platform, which is designed to improve the therap</w:t>
      </w:r>
      <w:r>
        <w:rPr>
          <w:sz w:val="20"/>
          <w:szCs w:val="20"/>
        </w:rPr>
        <w:t xml:space="preserve">eutic window and pharmacokinetic profile of new and existing cancer drugs. Fulgent Pharma’s lead candidate, FID-007, is currently being investigated in the United States in a Phase I clinical trial in patients diagnosed with various cancers including head </w:t>
      </w:r>
      <w:r>
        <w:rPr>
          <w:sz w:val="20"/>
          <w:szCs w:val="20"/>
        </w:rPr>
        <w:t>and neck cancers, ampullary and pancreatic cancer. Top-line data from this trial is expected in the second quarter of 2023. Assuming positive data, we intend to seek regulatory approval in the United States using the 505(b)(2) pathway, which may shorten th</w:t>
      </w:r>
      <w:r>
        <w:rPr>
          <w:sz w:val="20"/>
          <w:szCs w:val="20"/>
        </w:rPr>
        <w:t>e clinical trial process and accelerate potential commercialization. We also plan to initiate Phase II clinical trials investigating the use of FID-007 in patients diagnosed with recurrent, or metastatic head and neck and other cancers in late 2023 and 202</w:t>
      </w:r>
      <w:r>
        <w:rPr>
          <w:sz w:val="20"/>
          <w:szCs w:val="20"/>
        </w:rPr>
        <w:t>4, respectively</w:t>
      </w:r>
      <w:r>
        <w:rPr>
          <w:sz w:val="20"/>
          <w:szCs w:val="20"/>
        </w:rPr>
        <w:t>.</w:t>
      </w:r>
    </w:p>
    <w:p w:rsidR="00000000" w:rsidRDefault="00477EE8">
      <w:pPr>
        <w:pStyle w:val="a3"/>
        <w:spacing w:before="360" w:beforeAutospacing="0" w:after="0" w:afterAutospacing="0"/>
        <w:jc w:val="center"/>
        <w:rPr>
          <w:sz w:val="20"/>
          <w:szCs w:val="20"/>
        </w:rPr>
      </w:pPr>
      <w:r>
        <w:rPr>
          <w:b/>
          <w:bCs/>
          <w:sz w:val="20"/>
          <w:szCs w:val="20"/>
        </w:rPr>
        <w:t>Factors Affecting Our Performanc</w:t>
      </w:r>
      <w:r>
        <w:rPr>
          <w:b/>
          <w:bCs/>
          <w:sz w:val="20"/>
          <w:szCs w:val="20"/>
        </w:rPr>
        <w:t>e</w:t>
      </w:r>
    </w:p>
    <w:p w:rsidR="00000000" w:rsidRDefault="00477EE8">
      <w:pPr>
        <w:pStyle w:val="a3"/>
        <w:spacing w:before="240" w:beforeAutospacing="0" w:after="0" w:afterAutospacing="0"/>
        <w:rPr>
          <w:sz w:val="20"/>
          <w:szCs w:val="20"/>
        </w:rPr>
      </w:pPr>
      <w:r>
        <w:rPr>
          <w:b/>
          <w:bCs/>
          <w:sz w:val="20"/>
          <w:szCs w:val="20"/>
        </w:rPr>
        <w:t>Genetic Testing Market and Industry Trend</w:t>
      </w:r>
      <w:r>
        <w:rPr>
          <w:b/>
          <w:bCs/>
          <w:sz w:val="20"/>
          <w:szCs w:val="20"/>
        </w:rPr>
        <w:t>s</w:t>
      </w:r>
    </w:p>
    <w:p w:rsidR="00000000" w:rsidRDefault="00477EE8">
      <w:pPr>
        <w:pStyle w:val="a3"/>
        <w:spacing w:before="120" w:beforeAutospacing="0" w:after="0" w:afterAutospacing="0"/>
        <w:ind w:firstLine="555"/>
        <w:rPr>
          <w:sz w:val="20"/>
          <w:szCs w:val="20"/>
        </w:rPr>
      </w:pPr>
      <w:r>
        <w:rPr>
          <w:sz w:val="20"/>
          <w:szCs w:val="20"/>
        </w:rPr>
        <w:t>Genetic testing has experienced significant growth in recent years. If this growth trend continues, we believe genetic testing could become a more accepted part of standard medical care and the knowledge of a person’s unique genetic makeup could begin to p</w:t>
      </w:r>
      <w:r>
        <w:rPr>
          <w:sz w:val="20"/>
          <w:szCs w:val="20"/>
        </w:rPr>
        <w:t>lay a more important role in the practice of medicine. The advent of NGS technology, a relatively new genetic testing technique that enables millions of DNA fragments to be sequenced in parallel, has dramatically lowered the cost and improved the quality o</w:t>
      </w:r>
      <w:r>
        <w:rPr>
          <w:sz w:val="20"/>
          <w:szCs w:val="20"/>
        </w:rPr>
        <w:t>f genetic testing, contributing to increased adoption generally and increased volumes for our tests</w:t>
      </w:r>
      <w:r>
        <w:rPr>
          <w:sz w:val="20"/>
          <w:szCs w:val="20"/>
        </w:rPr>
        <w:t>.</w:t>
      </w:r>
    </w:p>
    <w:p w:rsidR="00000000" w:rsidRDefault="00477EE8">
      <w:pPr>
        <w:pStyle w:val="a3"/>
        <w:spacing w:before="240" w:beforeAutospacing="0" w:after="0" w:afterAutospacing="0"/>
        <w:ind w:firstLine="555"/>
        <w:rPr>
          <w:sz w:val="20"/>
          <w:szCs w:val="20"/>
        </w:rPr>
      </w:pPr>
      <w:r>
        <w:rPr>
          <w:sz w:val="20"/>
          <w:szCs w:val="20"/>
        </w:rPr>
        <w:t>The growth of genetic testing in recent years has caused increased competition in our industry. This increased competition, as well as cost-saving initiati</w:t>
      </w:r>
      <w:r>
        <w:rPr>
          <w:sz w:val="20"/>
          <w:szCs w:val="20"/>
        </w:rPr>
        <w:t xml:space="preserve">ves on the part of government entities and other third-party payors, has resulted in downward pressure on the price for genetic analysis and interpretation, which could intensify in future periods if adoption of genetic testing becomes more widespread. We </w:t>
      </w:r>
      <w:r>
        <w:rPr>
          <w:sz w:val="20"/>
          <w:szCs w:val="20"/>
        </w:rPr>
        <w:t>have reduced the prices for certain of our tests in recent periods to maintain our competitive position, and increased downward pricing pressure could harm our revenue and margins and our ability to achieve and sustain profitability. The impact of this pri</w:t>
      </w:r>
      <w:r>
        <w:rPr>
          <w:sz w:val="20"/>
          <w:szCs w:val="20"/>
        </w:rPr>
        <w:t>cing pressure has been and may continue to be intensified if we continue to incur increased expenses in order to meet customer demands and make investments in our business</w:t>
      </w:r>
      <w:r>
        <w:rPr>
          <w:sz w:val="20"/>
          <w:szCs w:val="20"/>
        </w:rPr>
        <w:t>.</w:t>
      </w:r>
    </w:p>
    <w:p w:rsidR="00000000" w:rsidRDefault="00477EE8">
      <w:pPr>
        <w:pStyle w:val="a3"/>
        <w:spacing w:before="240" w:beforeAutospacing="0" w:after="0" w:afterAutospacing="0"/>
        <w:ind w:firstLine="555"/>
        <w:rPr>
          <w:sz w:val="20"/>
          <w:szCs w:val="20"/>
        </w:rPr>
      </w:pPr>
      <w:r>
        <w:rPr>
          <w:sz w:val="20"/>
          <w:szCs w:val="20"/>
        </w:rPr>
        <w:t>While adoption of genetic testing has increased in recent years, we believe widespr</w:t>
      </w:r>
      <w:r>
        <w:rPr>
          <w:sz w:val="20"/>
          <w:szCs w:val="20"/>
        </w:rPr>
        <w:t>ead utilization has been tempered because of certain challenges and barriers to adoption that exist in today’s market. Among these industry challenges are that genetic testing can be prohibitively expensive, only a limited number of genetic tests are curre</w:t>
      </w:r>
      <w:r>
        <w:rPr>
          <w:sz w:val="20"/>
          <w:szCs w:val="20"/>
        </w:rPr>
        <w:t>ntly reimbursable, certain genetic conditions cannot be diagnosed due to the limited scope of some genetic analysis, genetic testing can be an inefficient process and the interpretation of genetic results can be cumbersome and time-consuming. We have appro</w:t>
      </w:r>
      <w:r>
        <w:rPr>
          <w:sz w:val="20"/>
          <w:szCs w:val="20"/>
        </w:rPr>
        <w:t>ached these competitive and operational industry challenges by building and continually advancing a multi-faceted technology platform that we believe will facilitate our ability to address many of these challenges</w:t>
      </w:r>
      <w:r>
        <w:rPr>
          <w:sz w:val="20"/>
          <w:szCs w:val="20"/>
        </w:rPr>
        <w:t>.</w:t>
      </w:r>
    </w:p>
    <w:p w:rsidR="00000000" w:rsidRDefault="00477EE8">
      <w:pPr>
        <w:pStyle w:val="a3"/>
        <w:spacing w:before="360" w:beforeAutospacing="0" w:after="0" w:afterAutospacing="0"/>
        <w:rPr>
          <w:sz w:val="20"/>
          <w:szCs w:val="20"/>
        </w:rPr>
      </w:pPr>
      <w:r>
        <w:rPr>
          <w:b/>
          <w:bCs/>
          <w:sz w:val="20"/>
          <w:szCs w:val="20"/>
        </w:rPr>
        <w:t>COVID-19 Testing Service</w:t>
      </w:r>
      <w:r>
        <w:rPr>
          <w:b/>
          <w:bCs/>
          <w:sz w:val="20"/>
          <w:szCs w:val="20"/>
        </w:rPr>
        <w:t>s</w:t>
      </w:r>
    </w:p>
    <w:p w:rsidR="00000000" w:rsidRDefault="00477EE8">
      <w:pPr>
        <w:pStyle w:val="a3"/>
        <w:spacing w:before="120" w:beforeAutospacing="0" w:after="0" w:afterAutospacing="0"/>
        <w:ind w:firstLine="555"/>
        <w:rPr>
          <w:sz w:val="20"/>
          <w:szCs w:val="20"/>
        </w:rPr>
      </w:pPr>
      <w:r>
        <w:rPr>
          <w:sz w:val="20"/>
          <w:szCs w:val="20"/>
        </w:rPr>
        <w:t>We have experie</w:t>
      </w:r>
      <w:r>
        <w:rPr>
          <w:sz w:val="20"/>
          <w:szCs w:val="20"/>
        </w:rPr>
        <w:t>nced volume growth after the launch of our COVID-19 testing services in 2020. Most of the recent growth in our testing volume has resulted from COVID-19 tests that we conduct for certain counties, states and municipalities. The expansion of our COVID-19 te</w:t>
      </w:r>
      <w:r>
        <w:rPr>
          <w:sz w:val="20"/>
          <w:szCs w:val="20"/>
        </w:rPr>
        <w:t>sting business resulted in a substantial change in our business. However, due to decreased demand of testing, we experienced decreasing revenues from our COVID-19 testing services and we do not expect substantial revenue from COVID-19 testing in 2023</w:t>
      </w:r>
      <w:r>
        <w:rPr>
          <w:sz w:val="20"/>
          <w:szCs w:val="20"/>
        </w:rPr>
        <w:t>.</w:t>
      </w:r>
    </w:p>
    <w:p w:rsidR="00000000" w:rsidRDefault="00477EE8">
      <w:pPr>
        <w:pStyle w:val="a3"/>
        <w:spacing w:before="240" w:beforeAutospacing="0" w:after="0" w:afterAutospacing="0"/>
        <w:jc w:val="center"/>
        <w:rPr>
          <w:sz w:val="20"/>
          <w:szCs w:val="20"/>
        </w:rPr>
      </w:pPr>
      <w:r>
        <w:rPr>
          <w:sz w:val="20"/>
          <w:szCs w:val="20"/>
        </w:rPr>
        <w:t>5</w:t>
      </w:r>
      <w:r>
        <w:rPr>
          <w:sz w:val="20"/>
          <w:szCs w:val="20"/>
        </w:rPr>
        <w:t>0</w:t>
      </w:r>
    </w:p>
    <w:p w:rsidR="00000000" w:rsidRDefault="00477EE8">
      <w:pPr>
        <w:rPr>
          <w:rFonts w:eastAsia="Times New Roman"/>
        </w:rPr>
      </w:pPr>
      <w:r>
        <w:rPr>
          <w:rFonts w:eastAsia="Times New Roman"/>
        </w:rPr>
        <w:pict>
          <v:rect id="_x0000_i1090" style="width:0;height:1.5pt" o:hralign="center" o:hrstd="t" o:hr="t" fillcolor="#a0a0a0" stroked="f"/>
        </w:pict>
      </w:r>
    </w:p>
    <w:p w:rsidR="00000000" w:rsidRDefault="00477EE8">
      <w:pPr>
        <w:pStyle w:val="a3"/>
        <w:spacing w:before="360" w:beforeAutospacing="0" w:after="0" w:afterAutospacing="0"/>
        <w:rPr>
          <w:sz w:val="20"/>
          <w:szCs w:val="20"/>
        </w:rPr>
      </w:pPr>
      <w:r>
        <w:rPr>
          <w:b/>
          <w:bCs/>
          <w:sz w:val="20"/>
          <w:szCs w:val="20"/>
        </w:rPr>
        <w:t>Mix of Tests Delivere</w:t>
      </w:r>
      <w:r>
        <w:rPr>
          <w:b/>
          <w:bCs/>
          <w:sz w:val="20"/>
          <w:szCs w:val="20"/>
        </w:rPr>
        <w:t>d</w:t>
      </w:r>
    </w:p>
    <w:p w:rsidR="00000000" w:rsidRDefault="00477EE8">
      <w:pPr>
        <w:pStyle w:val="a3"/>
        <w:spacing w:before="120" w:beforeAutospacing="0" w:after="0" w:afterAutospacing="0"/>
        <w:ind w:firstLine="555"/>
        <w:rPr>
          <w:sz w:val="20"/>
          <w:szCs w:val="20"/>
        </w:rPr>
      </w:pPr>
      <w:r>
        <w:rPr>
          <w:sz w:val="20"/>
          <w:szCs w:val="20"/>
        </w:rPr>
        <w:t>We offer our tests at different price points, and we incur different amounts and types of costs, depending on the nature and level of complexity and customization of the test and the specific terms</w:t>
      </w:r>
      <w:r>
        <w:rPr>
          <w:sz w:val="20"/>
          <w:szCs w:val="20"/>
        </w:rPr>
        <w:t xml:space="preserve"> we have negotiated for the tests, which can vary from customer to customer. As a result, the mix of tests delivered in any period, and the customers that order these tests, impacts our financial results for the period</w:t>
      </w:r>
      <w:r>
        <w:rPr>
          <w:sz w:val="20"/>
          <w:szCs w:val="20"/>
        </w:rPr>
        <w:t>.</w:t>
      </w:r>
    </w:p>
    <w:p w:rsidR="00000000" w:rsidRDefault="00477EE8">
      <w:pPr>
        <w:pStyle w:val="a3"/>
        <w:spacing w:before="360" w:beforeAutospacing="0" w:after="0" w:afterAutospacing="0"/>
        <w:rPr>
          <w:sz w:val="20"/>
          <w:szCs w:val="20"/>
        </w:rPr>
      </w:pPr>
      <w:r>
        <w:rPr>
          <w:b/>
          <w:bCs/>
          <w:sz w:val="20"/>
          <w:szCs w:val="20"/>
        </w:rPr>
        <w:t>Mix of Customer</w:t>
      </w:r>
      <w:r>
        <w:rPr>
          <w:b/>
          <w:bCs/>
          <w:sz w:val="20"/>
          <w:szCs w:val="20"/>
        </w:rPr>
        <w:t>s</w:t>
      </w:r>
    </w:p>
    <w:p w:rsidR="00000000" w:rsidRDefault="00477EE8">
      <w:pPr>
        <w:pStyle w:val="a3"/>
        <w:spacing w:before="120" w:beforeAutospacing="0" w:after="0" w:afterAutospacing="0"/>
        <w:ind w:firstLine="555"/>
        <w:rPr>
          <w:sz w:val="20"/>
          <w:szCs w:val="20"/>
        </w:rPr>
      </w:pPr>
      <w:r>
        <w:rPr>
          <w:sz w:val="20"/>
          <w:szCs w:val="20"/>
        </w:rPr>
        <w:t>We consider each si</w:t>
      </w:r>
      <w:r>
        <w:rPr>
          <w:sz w:val="20"/>
          <w:szCs w:val="20"/>
        </w:rPr>
        <w:t>ngle billing and paying unit to be an individual customer, even though a unit may represent multiple physicians and healthcare providers ordering tests. The composition and concentration of our customer base can fluctuate from period to period, and in cert</w:t>
      </w:r>
      <w:r>
        <w:rPr>
          <w:sz w:val="20"/>
          <w:szCs w:val="20"/>
        </w:rPr>
        <w:t>ain prior periods, a small number of customers has accounted for a significant portion of our revenue. Generally, we do not have long-term purchase agreements with any of our customers, including these key customers, and, as result, any or all of them coul</w:t>
      </w:r>
      <w:r>
        <w:rPr>
          <w:sz w:val="20"/>
          <w:szCs w:val="20"/>
        </w:rPr>
        <w:t>d decide at any time to increase, accelerate, decrease, delay or discontinue their orders from us. Although we believe some of these fluctuations in customer demand may be attributable in part to the nature of our business, in which our customers can exper</w:t>
      </w:r>
      <w:r>
        <w:rPr>
          <w:sz w:val="20"/>
          <w:szCs w:val="20"/>
        </w:rPr>
        <w:t>ience significant volatility in their testing demand from period to period in the ordinary course of their operations, these demand fluctuations, particularly for our key customers, can have a significant impact on our period-to-period performance regardle</w:t>
      </w:r>
      <w:r>
        <w:rPr>
          <w:sz w:val="20"/>
          <w:szCs w:val="20"/>
        </w:rPr>
        <w:t>ss of their cause</w:t>
      </w:r>
      <w:r>
        <w:rPr>
          <w:sz w:val="20"/>
          <w:szCs w:val="20"/>
        </w:rPr>
        <w:t>.</w:t>
      </w:r>
    </w:p>
    <w:p w:rsidR="00000000" w:rsidRDefault="00477EE8">
      <w:pPr>
        <w:pStyle w:val="a3"/>
        <w:spacing w:before="240" w:beforeAutospacing="0" w:after="0" w:afterAutospacing="0"/>
        <w:ind w:firstLine="555"/>
        <w:rPr>
          <w:sz w:val="20"/>
          <w:szCs w:val="20"/>
        </w:rPr>
      </w:pPr>
      <w:r>
        <w:rPr>
          <w:sz w:val="20"/>
          <w:szCs w:val="20"/>
        </w:rPr>
        <w:t>We currently classify our customers into three payor types: (i) Insurance, including claim reimbursement from HRSA for uninsured individuals, (ii) Institutional, including hospitals, medical institutions, other laboratories, governmental</w:t>
      </w:r>
      <w:r>
        <w:rPr>
          <w:sz w:val="20"/>
          <w:szCs w:val="20"/>
        </w:rPr>
        <w:t xml:space="preserve"> bodies, municipalities and large corporations or (iii) Patients who pay directly. Typically, we bill our Institutional customers for our tests and they are responsible for paying us directly and billing their patients separately or obtaining reimbursement</w:t>
      </w:r>
      <w:r>
        <w:rPr>
          <w:sz w:val="20"/>
          <w:szCs w:val="20"/>
        </w:rPr>
        <w:t xml:space="preserve"> from third-party payors in connection with a patient’s diagnosis related group. A small percentage of our customers are patients, who elect to pay for tests themselves with out-of-pocket payments after their physicians have ordered our tests</w:t>
      </w:r>
      <w:r>
        <w:rPr>
          <w:sz w:val="20"/>
          <w:szCs w:val="20"/>
        </w:rPr>
        <w:t>.</w:t>
      </w:r>
    </w:p>
    <w:p w:rsidR="00000000" w:rsidRDefault="00477EE8">
      <w:pPr>
        <w:pStyle w:val="a3"/>
        <w:spacing w:before="240" w:beforeAutospacing="0" w:after="0" w:afterAutospacing="0"/>
        <w:ind w:firstLine="555"/>
        <w:rPr>
          <w:sz w:val="20"/>
          <w:szCs w:val="20"/>
        </w:rPr>
      </w:pPr>
      <w:r>
        <w:rPr>
          <w:sz w:val="20"/>
          <w:szCs w:val="20"/>
        </w:rPr>
        <w:t>We are makin</w:t>
      </w:r>
      <w:r>
        <w:rPr>
          <w:sz w:val="20"/>
          <w:szCs w:val="20"/>
        </w:rPr>
        <w:t>g efforts to diversify our customer market, including building relationships with hospitals and affiliated specialties related to our service offerings. We are also pursuing relationships with payors, including Medicare, some state Medicaid programs and co</w:t>
      </w:r>
      <w:r>
        <w:rPr>
          <w:sz w:val="20"/>
          <w:szCs w:val="20"/>
        </w:rPr>
        <w:t>mmercial payors, in an effort to obtain coverage and reimbursement for our tests to make them accessible to more individual physicians. Generally, when we establish these new customer relationships, we agree with the applicable payor, laboratory or other c</w:t>
      </w:r>
      <w:r>
        <w:rPr>
          <w:sz w:val="20"/>
          <w:szCs w:val="20"/>
        </w:rPr>
        <w:t>ustomer to provide certain of our tests at negotiated rates, but, subject to limited exceptions, most of these relationships do not obligate any party to order our tests at any agreed volume or frequency or at all. Further, any relationships we may develop</w:t>
      </w:r>
      <w:r>
        <w:rPr>
          <w:sz w:val="20"/>
          <w:szCs w:val="20"/>
        </w:rPr>
        <w:t xml:space="preserve"> with any government agencies are subject to unique risks associated with government contracts, including cancellation if adequate appropriations for subsequent performance periods are not made and modification or termination at the government’s convenienc</w:t>
      </w:r>
      <w:r>
        <w:rPr>
          <w:sz w:val="20"/>
          <w:szCs w:val="20"/>
        </w:rPr>
        <w:t>e without prior notice. These efforts may not lead to meaningful or any increases in our customer base and may not improve our ability to achieve or sustain profitability</w:t>
      </w:r>
      <w:r>
        <w:rPr>
          <w:sz w:val="20"/>
          <w:szCs w:val="20"/>
        </w:rPr>
        <w:t>.</w:t>
      </w:r>
    </w:p>
    <w:p w:rsidR="00000000" w:rsidRDefault="00477EE8">
      <w:pPr>
        <w:pStyle w:val="a3"/>
        <w:spacing w:before="360" w:beforeAutospacing="0" w:after="0" w:afterAutospacing="0"/>
        <w:rPr>
          <w:sz w:val="20"/>
          <w:szCs w:val="20"/>
        </w:rPr>
      </w:pPr>
      <w:r>
        <w:rPr>
          <w:b/>
          <w:bCs/>
          <w:sz w:val="20"/>
          <w:szCs w:val="20"/>
        </w:rPr>
        <w:t>Ability to Maintain Our Broad and Flexible Test Men</w:t>
      </w:r>
      <w:r>
        <w:rPr>
          <w:b/>
          <w:bCs/>
          <w:sz w:val="20"/>
          <w:szCs w:val="20"/>
        </w:rPr>
        <w:t>u</w:t>
      </w:r>
    </w:p>
    <w:p w:rsidR="00000000" w:rsidRDefault="00477EE8">
      <w:pPr>
        <w:pStyle w:val="a3"/>
        <w:spacing w:before="120" w:beforeAutospacing="0" w:after="0" w:afterAutospacing="0"/>
        <w:ind w:firstLine="555"/>
        <w:rPr>
          <w:sz w:val="20"/>
          <w:szCs w:val="20"/>
        </w:rPr>
      </w:pPr>
      <w:r>
        <w:rPr>
          <w:sz w:val="20"/>
          <w:szCs w:val="20"/>
        </w:rPr>
        <w:t xml:space="preserve">We believe the large number of </w:t>
      </w:r>
      <w:r>
        <w:rPr>
          <w:sz w:val="20"/>
          <w:szCs w:val="20"/>
        </w:rPr>
        <w:t>genes we incorporate into our test menu provides a meaningful competitive advantage. We believe the breadth of genes in our portfolio allows us to provide more comprehensive genetic information and improves our variant detection rate, which can increase th</w:t>
      </w:r>
      <w:r>
        <w:rPr>
          <w:sz w:val="20"/>
          <w:szCs w:val="20"/>
        </w:rPr>
        <w:t>e clinical actionability of the data we produce. The breadth of genes in our portfolio also allows us to offer hundreds of pre-established, multi-gene panels that focus on specified genetic conditions, including our</w:t>
      </w:r>
      <w:r>
        <w:rPr>
          <w:sz w:val="20"/>
          <w:szCs w:val="20"/>
        </w:rPr>
        <w:t xml:space="preserve"> </w:t>
      </w:r>
      <w:r>
        <w:rPr>
          <w:i/>
          <w:iCs/>
          <w:sz w:val="20"/>
          <w:szCs w:val="20"/>
        </w:rPr>
        <w:t>Focu</w:t>
      </w:r>
      <w:r>
        <w:rPr>
          <w:i/>
          <w:iCs/>
          <w:sz w:val="20"/>
          <w:szCs w:val="20"/>
        </w:rPr>
        <w:t>s</w:t>
      </w:r>
      <w:r>
        <w:rPr>
          <w:sz w:val="20"/>
          <w:szCs w:val="20"/>
        </w:rPr>
        <w:t xml:space="preserve"> and</w:t>
      </w:r>
      <w:r>
        <w:rPr>
          <w:sz w:val="20"/>
          <w:szCs w:val="20"/>
        </w:rPr>
        <w:t xml:space="preserve"> </w:t>
      </w:r>
      <w:r>
        <w:rPr>
          <w:i/>
          <w:iCs/>
          <w:sz w:val="20"/>
          <w:szCs w:val="20"/>
        </w:rPr>
        <w:t>Comprehensiv</w:t>
      </w:r>
      <w:r>
        <w:rPr>
          <w:i/>
          <w:iCs/>
          <w:sz w:val="20"/>
          <w:szCs w:val="20"/>
        </w:rPr>
        <w:t>e</w:t>
      </w:r>
      <w:r>
        <w:rPr>
          <w:sz w:val="20"/>
          <w:szCs w:val="20"/>
        </w:rPr>
        <w:t xml:space="preserve"> oncology panels </w:t>
      </w:r>
      <w:r>
        <w:rPr>
          <w:sz w:val="20"/>
          <w:szCs w:val="20"/>
        </w:rPr>
        <w:t>and</w:t>
      </w:r>
      <w:r>
        <w:rPr>
          <w:sz w:val="20"/>
          <w:szCs w:val="20"/>
        </w:rPr>
        <w:t xml:space="preserve"> </w:t>
      </w:r>
      <w:r>
        <w:rPr>
          <w:i/>
          <w:iCs/>
          <w:sz w:val="20"/>
          <w:szCs w:val="20"/>
        </w:rPr>
        <w:t>Beaco</w:t>
      </w:r>
      <w:r>
        <w:rPr>
          <w:i/>
          <w:iCs/>
          <w:sz w:val="20"/>
          <w:szCs w:val="20"/>
        </w:rPr>
        <w:t>n</w:t>
      </w:r>
      <w:r>
        <w:rPr>
          <w:sz w:val="20"/>
          <w:szCs w:val="20"/>
        </w:rPr>
        <w:t xml:space="preserve"> carrier screening panels and somatic cancer panels. In addition, all of our genetic panel tests can be adjusted up or down to include more or fewer genes, or customers can design their own panels to their exact specifications, resulting in a fle</w:t>
      </w:r>
      <w:r>
        <w:rPr>
          <w:sz w:val="20"/>
          <w:szCs w:val="20"/>
        </w:rPr>
        <w:t>xible and customizable test menu. We believe our ability to continue to offer more genes and more ordering flexibility than our competitors could be a key contributor to the long-term growth of our business</w:t>
      </w:r>
      <w:r>
        <w:rPr>
          <w:sz w:val="20"/>
          <w:szCs w:val="20"/>
        </w:rPr>
        <w:t>.</w:t>
      </w:r>
    </w:p>
    <w:p w:rsidR="00000000" w:rsidRDefault="00477EE8">
      <w:pPr>
        <w:pStyle w:val="a3"/>
        <w:spacing w:before="360" w:beforeAutospacing="0" w:after="0" w:afterAutospacing="0"/>
        <w:rPr>
          <w:sz w:val="20"/>
          <w:szCs w:val="20"/>
        </w:rPr>
      </w:pPr>
      <w:r>
        <w:rPr>
          <w:b/>
          <w:bCs/>
          <w:sz w:val="20"/>
          <w:szCs w:val="20"/>
        </w:rPr>
        <w:t>Ability to Maintain Low Internal Cost</w:t>
      </w:r>
      <w:r>
        <w:rPr>
          <w:b/>
          <w:bCs/>
          <w:sz w:val="20"/>
          <w:szCs w:val="20"/>
        </w:rPr>
        <w:t>s</w:t>
      </w:r>
    </w:p>
    <w:p w:rsidR="00000000" w:rsidRDefault="00477EE8">
      <w:pPr>
        <w:pStyle w:val="a3"/>
        <w:spacing w:before="120" w:beforeAutospacing="0" w:after="0" w:afterAutospacing="0"/>
        <w:ind w:firstLine="555"/>
        <w:rPr>
          <w:sz w:val="20"/>
          <w:szCs w:val="20"/>
        </w:rPr>
      </w:pPr>
      <w:r>
        <w:rPr>
          <w:sz w:val="20"/>
          <w:szCs w:val="20"/>
        </w:rPr>
        <w:t>We have d</w:t>
      </w:r>
      <w:r>
        <w:rPr>
          <w:sz w:val="20"/>
          <w:szCs w:val="20"/>
        </w:rPr>
        <w:t>eveloped various proprietary technologies that improve our laboratory efficiency and reduce the costs we incur to perform our tests, including our proprietary gene probes, data algorithms, adaptive learning software and genetic reference library. This tech</w:t>
      </w:r>
      <w:r>
        <w:rPr>
          <w:sz w:val="20"/>
          <w:szCs w:val="20"/>
        </w:rPr>
        <w:t>nology platform enables us to perform each test and deliver its results at a lower cost to us than many of our competitors, and this low cost allows us to maintain affordable and competitive pricing for our customers, which we believe encourages repeat ord</w:t>
      </w:r>
      <w:r>
        <w:rPr>
          <w:sz w:val="20"/>
          <w:szCs w:val="20"/>
        </w:rPr>
        <w:t>ering from existing customers and attracts new customers. We believe this low internal cost is a key factor in our ability to grow our business and obtain margins on our sales that allow us to drive toward sustained profitability</w:t>
      </w:r>
      <w:r>
        <w:rPr>
          <w:sz w:val="20"/>
          <w:szCs w:val="20"/>
        </w:rPr>
        <w:t>.</w:t>
      </w:r>
    </w:p>
    <w:p w:rsidR="00000000" w:rsidRDefault="00477EE8">
      <w:pPr>
        <w:pStyle w:val="a3"/>
        <w:spacing w:before="240" w:beforeAutospacing="0" w:after="0" w:afterAutospacing="0"/>
        <w:ind w:firstLine="555"/>
        <w:rPr>
          <w:sz w:val="20"/>
          <w:szCs w:val="20"/>
        </w:rPr>
      </w:pPr>
      <w:r>
        <w:rPr>
          <w:sz w:val="20"/>
          <w:szCs w:val="20"/>
        </w:rPr>
        <w:t>Investments in our operat</w:t>
      </w:r>
      <w:r>
        <w:rPr>
          <w:sz w:val="20"/>
          <w:szCs w:val="20"/>
        </w:rPr>
        <w:t>ional capabilities could increase our cost of revenue, but these investments could also, on a near-term and/or long-term basis, increase our operating efficiencies and lead to cost of revenue decreases. As a result, the amount, timing, nature and success o</w:t>
      </w:r>
      <w:r>
        <w:rPr>
          <w:sz w:val="20"/>
          <w:szCs w:val="20"/>
        </w:rPr>
        <w:t>f these investments, as well as other influences on our cost of revenue from period to period, can impact our costs</w:t>
      </w:r>
      <w:r>
        <w:rPr>
          <w:sz w:val="20"/>
          <w:szCs w:val="20"/>
        </w:rPr>
        <w:t>.</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5</w:t>
      </w:r>
      <w:r>
        <w:rPr>
          <w:sz w:val="20"/>
          <w:szCs w:val="20"/>
        </w:rPr>
        <w:t>1</w:t>
      </w:r>
    </w:p>
    <w:p w:rsidR="00000000" w:rsidRDefault="00477EE8">
      <w:pPr>
        <w:rPr>
          <w:rFonts w:eastAsia="Times New Roman"/>
        </w:rPr>
      </w:pPr>
      <w:r>
        <w:rPr>
          <w:rFonts w:eastAsia="Times New Roman"/>
        </w:rPr>
        <w:pict>
          <v:rect id="_x0000_i1091" style="width:0;height:1.5pt" o:hralign="center" o:hrstd="t" o:hr="t" fillcolor="#a0a0a0" stroked="f"/>
        </w:pict>
      </w:r>
    </w:p>
    <w:p w:rsidR="00000000" w:rsidRDefault="00477EE8">
      <w:pPr>
        <w:pStyle w:val="a3"/>
        <w:spacing w:before="240" w:beforeAutospacing="0" w:after="0" w:afterAutospacing="0"/>
        <w:rPr>
          <w:sz w:val="20"/>
          <w:szCs w:val="20"/>
        </w:rPr>
      </w:pPr>
      <w:r>
        <w:rPr>
          <w:sz w:val="20"/>
          <w:szCs w:val="20"/>
        </w:rPr>
        <w:t>Moreover, changes in our other operating expenses, due to investments in these aspects of our business or other factors, are not taken into account but impact our overall results, which can limit the utility of cost as an overall cost measurement tool</w:t>
      </w:r>
      <w:r>
        <w:rPr>
          <w:sz w:val="20"/>
          <w:szCs w:val="20"/>
        </w:rPr>
        <w:t>.</w:t>
      </w:r>
    </w:p>
    <w:p w:rsidR="00000000" w:rsidRDefault="00477EE8">
      <w:pPr>
        <w:pStyle w:val="a3"/>
        <w:spacing w:before="360" w:beforeAutospacing="0" w:after="0" w:afterAutospacing="0"/>
        <w:rPr>
          <w:sz w:val="20"/>
          <w:szCs w:val="20"/>
        </w:rPr>
      </w:pPr>
      <w:r>
        <w:rPr>
          <w:b/>
          <w:bCs/>
          <w:sz w:val="20"/>
          <w:szCs w:val="20"/>
        </w:rPr>
        <w:t>Abi</w:t>
      </w:r>
      <w:r>
        <w:rPr>
          <w:b/>
          <w:bCs/>
          <w:sz w:val="20"/>
          <w:szCs w:val="20"/>
        </w:rPr>
        <w:t>lity to Obtain Reimbursemen</w:t>
      </w:r>
      <w:r>
        <w:rPr>
          <w:b/>
          <w:bCs/>
          <w:sz w:val="20"/>
          <w:szCs w:val="20"/>
        </w:rPr>
        <w:t>t</w:t>
      </w:r>
    </w:p>
    <w:p w:rsidR="00000000" w:rsidRDefault="00477EE8">
      <w:pPr>
        <w:pStyle w:val="a3"/>
        <w:spacing w:before="120" w:beforeAutospacing="0" w:after="0" w:afterAutospacing="0"/>
        <w:ind w:firstLine="555"/>
        <w:rPr>
          <w:sz w:val="20"/>
          <w:szCs w:val="20"/>
        </w:rPr>
      </w:pPr>
      <w:r>
        <w:rPr>
          <w:sz w:val="20"/>
          <w:szCs w:val="20"/>
        </w:rPr>
        <w:t>As part of our business plan for future growth, we intend to pursue coverage and reimbursement from third-party payors at a level adequate for us to achieve profitability. However, we cannot predict whether, under what circumst</w:t>
      </w:r>
      <w:r>
        <w:rPr>
          <w:sz w:val="20"/>
          <w:szCs w:val="20"/>
        </w:rPr>
        <w:t>ances, or at what payment levels payors will cover and reimburse for our tests, and even if we are successful, we believe it could take several years to achieve coverage and adequate contracted reimbursement with third-party payors. To date, we have contra</w:t>
      </w:r>
      <w:r>
        <w:rPr>
          <w:sz w:val="20"/>
          <w:szCs w:val="20"/>
        </w:rPr>
        <w:t>cted directly with national health insurance companies to become an in-network provider and enrolled as a supplier with the Medicare program and some state Medicaid programs</w:t>
      </w:r>
      <w:r>
        <w:rPr>
          <w:sz w:val="20"/>
          <w:szCs w:val="20"/>
        </w:rPr>
        <w:t>,</w:t>
      </w:r>
      <w:r>
        <w:rPr>
          <w:sz w:val="11"/>
          <w:szCs w:val="11"/>
          <w:vertAlign w:val="superscript"/>
        </w:rPr>
        <w:t xml:space="preserve"> </w:t>
      </w:r>
      <w:r>
        <w:rPr>
          <w:sz w:val="20"/>
          <w:szCs w:val="20"/>
        </w:rPr>
        <w:t>which means that we have agreed with these payors to provide certain of our tests</w:t>
      </w:r>
      <w:r>
        <w:rPr>
          <w:sz w:val="20"/>
          <w:szCs w:val="20"/>
        </w:rPr>
        <w:t xml:space="preserve"> at negotiated rates. Although this does not guarantee that we will receive reimbursement for our tests from these or any other payors at adequate levels, we believe our low cost could enhance our ability to compete effectively in the third-party payor mar</w:t>
      </w:r>
      <w:r>
        <w:rPr>
          <w:sz w:val="20"/>
          <w:szCs w:val="20"/>
        </w:rPr>
        <w:t>ket and our flexibility in establishing relationships with additional third-party payors in the future. Our level of success in obtaining and maintaining adequate coverage and reimbursement from third-party payors for our testing services will, we believe,</w:t>
      </w:r>
      <w:r>
        <w:rPr>
          <w:sz w:val="20"/>
          <w:szCs w:val="20"/>
        </w:rPr>
        <w:t xml:space="preserve"> be a key factor in the rate and level of growth of our business over the long term</w:t>
      </w:r>
      <w:r>
        <w:rPr>
          <w:sz w:val="20"/>
          <w:szCs w:val="20"/>
        </w:rPr>
        <w:t>.</w:t>
      </w:r>
    </w:p>
    <w:p w:rsidR="00000000" w:rsidRDefault="00477EE8">
      <w:pPr>
        <w:pStyle w:val="a3"/>
        <w:spacing w:before="360" w:beforeAutospacing="0" w:after="0" w:afterAutospacing="0"/>
        <w:rPr>
          <w:sz w:val="20"/>
          <w:szCs w:val="20"/>
        </w:rPr>
      </w:pPr>
      <w:r>
        <w:rPr>
          <w:b/>
          <w:bCs/>
          <w:sz w:val="20"/>
          <w:szCs w:val="20"/>
        </w:rPr>
        <w:t>Foreign Currency Exchange Rate Fluctuation</w:t>
      </w:r>
      <w:r>
        <w:rPr>
          <w:b/>
          <w:bCs/>
          <w:sz w:val="20"/>
          <w:szCs w:val="20"/>
        </w:rPr>
        <w:t>s</w:t>
      </w:r>
    </w:p>
    <w:p w:rsidR="00000000" w:rsidRDefault="00477EE8">
      <w:pPr>
        <w:pStyle w:val="a3"/>
        <w:spacing w:before="120" w:beforeAutospacing="0" w:after="0" w:afterAutospacing="0"/>
        <w:ind w:firstLine="555"/>
        <w:rPr>
          <w:sz w:val="20"/>
          <w:szCs w:val="20"/>
        </w:rPr>
      </w:pPr>
      <w:r>
        <w:rPr>
          <w:sz w:val="20"/>
          <w:szCs w:val="20"/>
        </w:rPr>
        <w:t>Some of our business to date has been from non-U.S. customers, and we may record increasing revenue levels from non-U.S. source</w:t>
      </w:r>
      <w:r>
        <w:rPr>
          <w:sz w:val="20"/>
          <w:szCs w:val="20"/>
        </w:rPr>
        <w:t>s as we focus on growing our international customer base. These revenue sources expose us to fluctuations in our results associated with changes in foreign currency exchange rates depending on the value of the U.S. dollar compared to the foreign currencies</w:t>
      </w:r>
      <w:r>
        <w:rPr>
          <w:sz w:val="20"/>
          <w:szCs w:val="20"/>
        </w:rPr>
        <w:t xml:space="preserve"> in which we record revenue. During all periods covered by this report, we consider the estimated effect on our revenue of foreign currency exchange rate fluctuations to be immaterial; however, the impact of foreign currency exchange rate fluctuations may </w:t>
      </w:r>
      <w:r>
        <w:rPr>
          <w:sz w:val="20"/>
          <w:szCs w:val="20"/>
        </w:rPr>
        <w:t>increase in future periods as we pursue continued international expansion</w:t>
      </w:r>
      <w:r>
        <w:rPr>
          <w:sz w:val="20"/>
          <w:szCs w:val="20"/>
        </w:rPr>
        <w:t>.</w:t>
      </w:r>
    </w:p>
    <w:p w:rsidR="00000000" w:rsidRDefault="00477EE8">
      <w:pPr>
        <w:pStyle w:val="a3"/>
        <w:spacing w:before="360" w:beforeAutospacing="0" w:after="0" w:afterAutospacing="0"/>
        <w:jc w:val="center"/>
        <w:rPr>
          <w:sz w:val="20"/>
          <w:szCs w:val="20"/>
        </w:rPr>
      </w:pPr>
      <w:r>
        <w:rPr>
          <w:b/>
          <w:bCs/>
          <w:sz w:val="20"/>
          <w:szCs w:val="20"/>
        </w:rPr>
        <w:t>Business Risks and Uncertaintie</w:t>
      </w:r>
      <w:r>
        <w:rPr>
          <w:b/>
          <w:bCs/>
          <w:sz w:val="20"/>
          <w:szCs w:val="20"/>
        </w:rPr>
        <w:t>s</w:t>
      </w:r>
    </w:p>
    <w:p w:rsidR="00000000" w:rsidRDefault="00477EE8">
      <w:pPr>
        <w:pStyle w:val="a3"/>
        <w:spacing w:before="120" w:beforeAutospacing="0" w:after="0" w:afterAutospacing="0"/>
        <w:ind w:firstLine="555"/>
        <w:rPr>
          <w:sz w:val="20"/>
          <w:szCs w:val="20"/>
        </w:rPr>
      </w:pPr>
      <w:r>
        <w:rPr>
          <w:sz w:val="20"/>
          <w:szCs w:val="20"/>
        </w:rPr>
        <w:t>Our business and prospects are exposed to numerous risks and uncertainties. For more information, see “Item 1A. Risk Factors” in this report</w:t>
      </w:r>
      <w:r>
        <w:rPr>
          <w:sz w:val="20"/>
          <w:szCs w:val="20"/>
        </w:rPr>
        <w:t>.</w:t>
      </w:r>
    </w:p>
    <w:p w:rsidR="00000000" w:rsidRDefault="00477EE8">
      <w:pPr>
        <w:pStyle w:val="a3"/>
        <w:spacing w:before="360" w:beforeAutospacing="0" w:after="0" w:afterAutospacing="0"/>
        <w:jc w:val="center"/>
        <w:rPr>
          <w:sz w:val="20"/>
          <w:szCs w:val="20"/>
        </w:rPr>
      </w:pPr>
      <w:r>
        <w:rPr>
          <w:b/>
          <w:bCs/>
          <w:sz w:val="20"/>
          <w:szCs w:val="20"/>
        </w:rPr>
        <w:t>Financ</w:t>
      </w:r>
      <w:r>
        <w:rPr>
          <w:b/>
          <w:bCs/>
          <w:sz w:val="20"/>
          <w:szCs w:val="20"/>
        </w:rPr>
        <w:t>ial Overvie</w:t>
      </w:r>
      <w:r>
        <w:rPr>
          <w:b/>
          <w:bCs/>
          <w:sz w:val="20"/>
          <w:szCs w:val="20"/>
        </w:rPr>
        <w:t>w</w:t>
      </w:r>
    </w:p>
    <w:p w:rsidR="00000000" w:rsidRDefault="00477EE8">
      <w:pPr>
        <w:pStyle w:val="a3"/>
        <w:spacing w:before="120" w:beforeAutospacing="0" w:after="0" w:afterAutospacing="0"/>
        <w:rPr>
          <w:sz w:val="20"/>
          <w:szCs w:val="20"/>
        </w:rPr>
      </w:pPr>
      <w:r>
        <w:rPr>
          <w:b/>
          <w:bCs/>
          <w:sz w:val="20"/>
          <w:szCs w:val="20"/>
        </w:rPr>
        <w:t>Revenu</w:t>
      </w:r>
      <w:r>
        <w:rPr>
          <w:b/>
          <w:bCs/>
          <w:sz w:val="20"/>
          <w:szCs w:val="20"/>
        </w:rPr>
        <w:t>e</w:t>
      </w:r>
    </w:p>
    <w:p w:rsidR="00000000" w:rsidRDefault="00477EE8">
      <w:pPr>
        <w:pStyle w:val="a3"/>
        <w:spacing w:before="120" w:beforeAutospacing="0" w:after="0" w:afterAutospacing="0"/>
        <w:ind w:firstLine="555"/>
        <w:rPr>
          <w:sz w:val="20"/>
          <w:szCs w:val="20"/>
        </w:rPr>
      </w:pPr>
      <w:r>
        <w:rPr>
          <w:sz w:val="20"/>
          <w:szCs w:val="20"/>
        </w:rPr>
        <w:t xml:space="preserve">We generate revenue from sales of our test and testing services. We recognize revenue upon delivery of a report to the ordering physician or other customer based on the established billing rate, less contractual and other adjustments, </w:t>
      </w:r>
      <w:r>
        <w:rPr>
          <w:sz w:val="20"/>
          <w:szCs w:val="20"/>
        </w:rPr>
        <w:t>to arrive at the amount we expect to collect</w:t>
      </w:r>
      <w:r>
        <w:rPr>
          <w:sz w:val="20"/>
          <w:szCs w:val="20"/>
        </w:rPr>
        <w:t>.</w:t>
      </w:r>
      <w:r>
        <w:rPr>
          <w:sz w:val="20"/>
          <w:szCs w:val="20"/>
        </w:rPr>
        <w:t xml:space="preserve"> </w:t>
      </w:r>
    </w:p>
    <w:p w:rsidR="00000000" w:rsidRDefault="00477EE8">
      <w:pPr>
        <w:pStyle w:val="a3"/>
        <w:spacing w:before="360" w:beforeAutospacing="0" w:after="0" w:afterAutospacing="0"/>
        <w:rPr>
          <w:sz w:val="20"/>
          <w:szCs w:val="20"/>
        </w:rPr>
      </w:pPr>
      <w:r>
        <w:rPr>
          <w:b/>
          <w:bCs/>
          <w:sz w:val="20"/>
          <w:szCs w:val="20"/>
        </w:rPr>
        <w:t>Cost of Revenu</w:t>
      </w:r>
      <w:r>
        <w:rPr>
          <w:b/>
          <w:bCs/>
          <w:sz w:val="20"/>
          <w:szCs w:val="20"/>
        </w:rPr>
        <w:t>e</w:t>
      </w:r>
    </w:p>
    <w:p w:rsidR="00000000" w:rsidRDefault="00477EE8">
      <w:pPr>
        <w:pStyle w:val="a3"/>
        <w:spacing w:before="120" w:beforeAutospacing="0" w:after="0" w:afterAutospacing="0"/>
        <w:ind w:firstLine="555"/>
        <w:rPr>
          <w:sz w:val="20"/>
          <w:szCs w:val="20"/>
        </w:rPr>
      </w:pPr>
      <w:r>
        <w:rPr>
          <w:sz w:val="20"/>
          <w:szCs w:val="20"/>
        </w:rPr>
        <w:t xml:space="preserve">Cost of revenue reflects the aggregate costs incurred in delivering test results, including “sequencing as a service,” and consists of: costs of laboratory supplies, including collection kits, </w:t>
      </w:r>
      <w:r>
        <w:rPr>
          <w:sz w:val="20"/>
          <w:szCs w:val="20"/>
        </w:rPr>
        <w:t xml:space="preserve">personnel costs, including salaries, employee benefit costs, bonuses and equity-based compensation expenses; depreciation of laboratory equipment; amortization of leasehold improvements; and allocated overhead expenses, including rent and utilities. Costs </w:t>
      </w:r>
      <w:r>
        <w:rPr>
          <w:sz w:val="20"/>
          <w:szCs w:val="20"/>
        </w:rPr>
        <w:t>associated with performing tests are recorded as tests are processed. We expect cost of revenue to generally increase as and if we increase the number of tests we deliver</w:t>
      </w:r>
      <w:r>
        <w:rPr>
          <w:sz w:val="20"/>
          <w:szCs w:val="20"/>
        </w:rPr>
        <w:t>.</w:t>
      </w:r>
    </w:p>
    <w:p w:rsidR="00000000" w:rsidRDefault="00477EE8">
      <w:pPr>
        <w:pStyle w:val="a3"/>
        <w:spacing w:before="360" w:beforeAutospacing="0" w:after="0" w:afterAutospacing="0"/>
        <w:rPr>
          <w:sz w:val="20"/>
          <w:szCs w:val="20"/>
        </w:rPr>
      </w:pPr>
      <w:r>
        <w:rPr>
          <w:b/>
          <w:bCs/>
          <w:sz w:val="20"/>
          <w:szCs w:val="20"/>
        </w:rPr>
        <w:t>Operating Expense</w:t>
      </w:r>
      <w:r>
        <w:rPr>
          <w:b/>
          <w:bCs/>
          <w:sz w:val="20"/>
          <w:szCs w:val="20"/>
        </w:rPr>
        <w:t>s</w:t>
      </w:r>
    </w:p>
    <w:p w:rsidR="00000000" w:rsidRDefault="00477EE8">
      <w:pPr>
        <w:pStyle w:val="a3"/>
        <w:spacing w:before="120" w:beforeAutospacing="0" w:after="0" w:afterAutospacing="0"/>
        <w:ind w:firstLine="555"/>
        <w:rPr>
          <w:sz w:val="20"/>
          <w:szCs w:val="20"/>
        </w:rPr>
      </w:pPr>
      <w:r>
        <w:rPr>
          <w:sz w:val="20"/>
          <w:szCs w:val="20"/>
        </w:rPr>
        <w:t>Our operating expenses are classified into five categories: resea</w:t>
      </w:r>
      <w:r>
        <w:rPr>
          <w:sz w:val="20"/>
          <w:szCs w:val="20"/>
        </w:rPr>
        <w:t>rch and development; selling and marketing; general and administrative; amortization of intangible assets; and restructuring costs. For each category except for amortization of intangible assets, the largest component is personnel costs, which include sala</w:t>
      </w:r>
      <w:r>
        <w:rPr>
          <w:sz w:val="20"/>
          <w:szCs w:val="20"/>
        </w:rPr>
        <w:t>ries, employee benefit costs, bonuses and equity-based compensation expenses</w:t>
      </w:r>
      <w:r>
        <w:rPr>
          <w:sz w:val="20"/>
          <w:szCs w:val="20"/>
        </w:rPr>
        <w:t>.</w:t>
      </w:r>
    </w:p>
    <w:p w:rsidR="00000000" w:rsidRDefault="00477EE8">
      <w:pPr>
        <w:pStyle w:val="a3"/>
        <w:spacing w:before="360" w:beforeAutospacing="0" w:after="0" w:afterAutospacing="0"/>
        <w:ind w:firstLine="277"/>
        <w:rPr>
          <w:sz w:val="20"/>
          <w:szCs w:val="20"/>
        </w:rPr>
      </w:pPr>
      <w:r>
        <w:rPr>
          <w:b/>
          <w:bCs/>
          <w:i/>
          <w:iCs/>
          <w:sz w:val="20"/>
          <w:szCs w:val="20"/>
        </w:rPr>
        <w:t>Research and Development Expense</w:t>
      </w:r>
      <w:r>
        <w:rPr>
          <w:b/>
          <w:bCs/>
          <w:i/>
          <w:iCs/>
          <w:sz w:val="20"/>
          <w:szCs w:val="20"/>
        </w:rPr>
        <w:t>s</w:t>
      </w:r>
    </w:p>
    <w:p w:rsidR="00000000" w:rsidRDefault="00477EE8">
      <w:pPr>
        <w:pStyle w:val="a3"/>
        <w:spacing w:before="120" w:beforeAutospacing="0" w:after="0" w:afterAutospacing="0"/>
        <w:ind w:firstLine="555"/>
        <w:rPr>
          <w:sz w:val="20"/>
          <w:szCs w:val="20"/>
        </w:rPr>
      </w:pPr>
      <w:r>
        <w:rPr>
          <w:sz w:val="20"/>
          <w:szCs w:val="20"/>
        </w:rPr>
        <w:t>Research and development expenses represent costs incurred to develop our technology and future tests and treatments. These costs consist of per</w:t>
      </w:r>
      <w:r>
        <w:rPr>
          <w:sz w:val="20"/>
          <w:szCs w:val="20"/>
        </w:rPr>
        <w:t>sonnel costs, laboratory supplies, consulting costs and allocated overhead expenses, including rent and utilities. We expense all research and development costs in the periods in which they are incurred. We expect our research and development expenses will</w:t>
      </w:r>
      <w:r>
        <w:rPr>
          <w:sz w:val="20"/>
          <w:szCs w:val="20"/>
        </w:rPr>
        <w:t xml:space="preserve"> continue to increase in absolute dollars as we expect to continue to invest in research and development activities</w:t>
      </w:r>
      <w:r>
        <w:rPr>
          <w:sz w:val="20"/>
          <w:szCs w:val="20"/>
        </w:rPr>
        <w:t>.</w:t>
      </w:r>
    </w:p>
    <w:p w:rsidR="00000000" w:rsidRDefault="00477EE8">
      <w:pPr>
        <w:pStyle w:val="a3"/>
        <w:spacing w:before="240" w:beforeAutospacing="0" w:after="0" w:afterAutospacing="0"/>
        <w:jc w:val="center"/>
        <w:rPr>
          <w:sz w:val="20"/>
          <w:szCs w:val="20"/>
        </w:rPr>
      </w:pPr>
      <w:r>
        <w:rPr>
          <w:sz w:val="20"/>
          <w:szCs w:val="20"/>
        </w:rPr>
        <w:t>5</w:t>
      </w:r>
      <w:r>
        <w:rPr>
          <w:sz w:val="20"/>
          <w:szCs w:val="20"/>
        </w:rPr>
        <w:t>2</w:t>
      </w:r>
    </w:p>
    <w:p w:rsidR="00000000" w:rsidRDefault="00477EE8">
      <w:pPr>
        <w:rPr>
          <w:rFonts w:eastAsia="Times New Roman"/>
        </w:rPr>
      </w:pPr>
      <w:r>
        <w:rPr>
          <w:rFonts w:eastAsia="Times New Roman"/>
        </w:rPr>
        <w:pict>
          <v:rect id="_x0000_i1092" style="width:0;height:1.5pt" o:hralign="center" o:hrstd="t" o:hr="t" fillcolor="#a0a0a0" stroked="f"/>
        </w:pict>
      </w:r>
    </w:p>
    <w:p w:rsidR="00000000" w:rsidRDefault="00477EE8">
      <w:pPr>
        <w:pStyle w:val="a3"/>
        <w:spacing w:before="360" w:beforeAutospacing="0" w:after="0" w:afterAutospacing="0"/>
        <w:ind w:firstLine="277"/>
        <w:rPr>
          <w:sz w:val="20"/>
          <w:szCs w:val="20"/>
        </w:rPr>
      </w:pPr>
      <w:r>
        <w:rPr>
          <w:b/>
          <w:bCs/>
          <w:i/>
          <w:iCs/>
          <w:sz w:val="20"/>
          <w:szCs w:val="20"/>
        </w:rPr>
        <w:t>Selling and Marketing Expense</w:t>
      </w:r>
      <w:r>
        <w:rPr>
          <w:b/>
          <w:bCs/>
          <w:i/>
          <w:iCs/>
          <w:sz w:val="20"/>
          <w:szCs w:val="20"/>
        </w:rPr>
        <w:t>s</w:t>
      </w:r>
    </w:p>
    <w:p w:rsidR="00000000" w:rsidRDefault="00477EE8">
      <w:pPr>
        <w:pStyle w:val="a3"/>
        <w:spacing w:before="120" w:beforeAutospacing="0" w:after="0" w:afterAutospacing="0"/>
        <w:ind w:firstLine="555"/>
        <w:rPr>
          <w:sz w:val="20"/>
          <w:szCs w:val="20"/>
        </w:rPr>
      </w:pPr>
      <w:r>
        <w:rPr>
          <w:sz w:val="20"/>
          <w:szCs w:val="20"/>
        </w:rPr>
        <w:t>Selling and marketing expenses consist of personnel costs, customer s</w:t>
      </w:r>
      <w:r>
        <w:rPr>
          <w:sz w:val="20"/>
          <w:szCs w:val="20"/>
        </w:rPr>
        <w:t xml:space="preserve">ervice expenses, direct marketing expenses, educational and promotional expenses, market research and analysis and allocated overhead expenses, including rent and utilities. We expense all selling and marketing costs as incurred. We expect our selling and </w:t>
      </w:r>
      <w:r>
        <w:rPr>
          <w:sz w:val="20"/>
          <w:szCs w:val="20"/>
        </w:rPr>
        <w:t>marketing expenses will continue to increase in absolute dollars, primarily driven by our increased investment in sales and marketing in recent periods, including developing and expanding our sales team, creating and implementing new sales and marketing st</w:t>
      </w:r>
      <w:r>
        <w:rPr>
          <w:sz w:val="20"/>
          <w:szCs w:val="20"/>
        </w:rPr>
        <w:t>rategies and increasing the overall scope of our marketing efforts</w:t>
      </w:r>
      <w:r>
        <w:rPr>
          <w:sz w:val="20"/>
          <w:szCs w:val="20"/>
        </w:rPr>
        <w:t>.</w:t>
      </w:r>
    </w:p>
    <w:p w:rsidR="00000000" w:rsidRDefault="00477EE8">
      <w:pPr>
        <w:pStyle w:val="a3"/>
        <w:spacing w:before="360" w:beforeAutospacing="0" w:after="0" w:afterAutospacing="0"/>
        <w:ind w:firstLine="277"/>
        <w:rPr>
          <w:sz w:val="20"/>
          <w:szCs w:val="20"/>
        </w:rPr>
      </w:pPr>
      <w:r>
        <w:rPr>
          <w:b/>
          <w:bCs/>
          <w:i/>
          <w:iCs/>
          <w:sz w:val="20"/>
          <w:szCs w:val="20"/>
        </w:rPr>
        <w:t>General and Administrative Expense</w:t>
      </w:r>
      <w:r>
        <w:rPr>
          <w:b/>
          <w:bCs/>
          <w:i/>
          <w:iCs/>
          <w:sz w:val="20"/>
          <w:szCs w:val="20"/>
        </w:rPr>
        <w:t>s</w:t>
      </w:r>
    </w:p>
    <w:p w:rsidR="00000000" w:rsidRDefault="00477EE8">
      <w:pPr>
        <w:pStyle w:val="a3"/>
        <w:spacing w:before="120" w:beforeAutospacing="0" w:after="0" w:afterAutospacing="0"/>
        <w:ind w:firstLine="555"/>
        <w:rPr>
          <w:sz w:val="20"/>
          <w:szCs w:val="20"/>
        </w:rPr>
      </w:pPr>
      <w:r>
        <w:rPr>
          <w:sz w:val="20"/>
          <w:szCs w:val="20"/>
        </w:rPr>
        <w:t>General and administrative expenses include executive, finance, accounting, legal and human resources functions. These expenses consist of personnel costs, audit and legal expenses, consulting costs and allocated overhead expenses, including rent and utili</w:t>
      </w:r>
      <w:r>
        <w:rPr>
          <w:sz w:val="20"/>
          <w:szCs w:val="20"/>
        </w:rPr>
        <w:t>ties. We expense all general and administrative costs as incurred. We expect our general and administrative expenses will continue to increase in absolute dollars as we seek to continue to scale our operations. We also expect to continue to incur general a</w:t>
      </w:r>
      <w:r>
        <w:rPr>
          <w:sz w:val="20"/>
          <w:szCs w:val="20"/>
        </w:rPr>
        <w:t>nd administrative expenses as a result of operating as a public company, including expenses related to compliance with the rules and regulations of the SEC, and the Nasdaq Stock Market, additional insurance expenses, investor relations activities and other</w:t>
      </w:r>
      <w:r>
        <w:rPr>
          <w:sz w:val="20"/>
          <w:szCs w:val="20"/>
        </w:rPr>
        <w:t xml:space="preserve"> administrative and professional services</w:t>
      </w:r>
      <w:r>
        <w:rPr>
          <w:sz w:val="20"/>
          <w:szCs w:val="20"/>
        </w:rPr>
        <w:t>.</w:t>
      </w:r>
    </w:p>
    <w:p w:rsidR="00000000" w:rsidRDefault="00477EE8">
      <w:pPr>
        <w:pStyle w:val="a3"/>
        <w:spacing w:before="360" w:beforeAutospacing="0" w:after="0" w:afterAutospacing="0"/>
        <w:ind w:firstLine="277"/>
        <w:rPr>
          <w:sz w:val="20"/>
          <w:szCs w:val="20"/>
        </w:rPr>
      </w:pPr>
      <w:r>
        <w:rPr>
          <w:b/>
          <w:bCs/>
          <w:i/>
          <w:iCs/>
          <w:sz w:val="20"/>
          <w:szCs w:val="20"/>
        </w:rPr>
        <w:t>Amortization of Intangible Asset</w:t>
      </w:r>
      <w:r>
        <w:rPr>
          <w:b/>
          <w:bCs/>
          <w:i/>
          <w:iCs/>
          <w:sz w:val="20"/>
          <w:szCs w:val="20"/>
        </w:rPr>
        <w:t>s</w:t>
      </w:r>
    </w:p>
    <w:p w:rsidR="00000000" w:rsidRDefault="00477EE8">
      <w:pPr>
        <w:pStyle w:val="a3"/>
        <w:spacing w:before="120" w:beforeAutospacing="0" w:after="0" w:afterAutospacing="0"/>
        <w:ind w:firstLine="555"/>
        <w:rPr>
          <w:sz w:val="20"/>
          <w:szCs w:val="20"/>
        </w:rPr>
      </w:pPr>
      <w:r>
        <w:rPr>
          <w:sz w:val="20"/>
          <w:szCs w:val="20"/>
        </w:rPr>
        <w:t>Amortization of intangible assets consist of amortization expense on customer relationships, royalty-free technology, trade name, laboratory information system platform and in-pla</w:t>
      </w:r>
      <w:r>
        <w:rPr>
          <w:sz w:val="20"/>
          <w:szCs w:val="20"/>
        </w:rPr>
        <w:t>ce intangible assets that arose from the business combinations and a patent acquired. We amortize finite lived intangible assets over the period of estimated benefit using the straight-line method. Indefinite lived intangible assets are tested for impairme</w:t>
      </w:r>
      <w:r>
        <w:rPr>
          <w:sz w:val="20"/>
          <w:szCs w:val="20"/>
        </w:rPr>
        <w:t>nt annually or whenever events or circumstances indicate that the carrying amount of the asset may not be recoverable. If impairment is indicated, we measure the amount of the impairment loss as the amount by which the carrying amount exceeds the fair valu</w:t>
      </w:r>
      <w:r>
        <w:rPr>
          <w:sz w:val="20"/>
          <w:szCs w:val="20"/>
        </w:rPr>
        <w:t>e of the asset</w:t>
      </w:r>
      <w:r>
        <w:rPr>
          <w:sz w:val="20"/>
          <w:szCs w:val="20"/>
        </w:rPr>
        <w:t>.</w:t>
      </w:r>
    </w:p>
    <w:p w:rsidR="00000000" w:rsidRDefault="00477EE8">
      <w:pPr>
        <w:pStyle w:val="a3"/>
        <w:spacing w:before="360" w:beforeAutospacing="0" w:after="0" w:afterAutospacing="0"/>
        <w:ind w:firstLine="277"/>
        <w:rPr>
          <w:sz w:val="20"/>
          <w:szCs w:val="20"/>
        </w:rPr>
      </w:pPr>
      <w:r>
        <w:rPr>
          <w:b/>
          <w:bCs/>
          <w:i/>
          <w:iCs/>
          <w:sz w:val="20"/>
          <w:szCs w:val="20"/>
        </w:rPr>
        <w:t>Restructuring Cost</w:t>
      </w:r>
      <w:r>
        <w:rPr>
          <w:b/>
          <w:bCs/>
          <w:i/>
          <w:iCs/>
          <w:sz w:val="20"/>
          <w:szCs w:val="20"/>
        </w:rPr>
        <w:t>s</w:t>
      </w:r>
    </w:p>
    <w:p w:rsidR="00000000" w:rsidRDefault="00477EE8">
      <w:pPr>
        <w:pStyle w:val="a3"/>
        <w:spacing w:before="120" w:beforeAutospacing="0" w:after="0" w:afterAutospacing="0"/>
        <w:ind w:firstLine="555"/>
        <w:rPr>
          <w:sz w:val="20"/>
          <w:szCs w:val="20"/>
        </w:rPr>
      </w:pPr>
      <w:r>
        <w:rPr>
          <w:sz w:val="20"/>
          <w:szCs w:val="20"/>
        </w:rPr>
        <w:t xml:space="preserve">Restructuring costs represent one-time employee termination benefits provided to employees associated with a newly acquired entity that were involuntarily terminated. A plan of termination was approved and authorized by </w:t>
      </w:r>
      <w:r>
        <w:rPr>
          <w:sz w:val="20"/>
          <w:szCs w:val="20"/>
        </w:rPr>
        <w:t>management in the second quarter of 2022. The plan identified specific employees to be terminated and established terms of benefits those employees would receive upon termination. No additional costs are expected to be incurred under the plan of terminatio</w:t>
      </w:r>
      <w:r>
        <w:rPr>
          <w:sz w:val="20"/>
          <w:szCs w:val="20"/>
        </w:rPr>
        <w:t>n post 2022, and the payable balance is expected to be paid off by August 2023</w:t>
      </w:r>
      <w:r>
        <w:rPr>
          <w:sz w:val="20"/>
          <w:szCs w:val="20"/>
        </w:rPr>
        <w:t>.</w:t>
      </w:r>
    </w:p>
    <w:p w:rsidR="00000000" w:rsidRDefault="00477EE8">
      <w:pPr>
        <w:pStyle w:val="a3"/>
        <w:spacing w:before="360" w:beforeAutospacing="0" w:after="0" w:afterAutospacing="0"/>
        <w:rPr>
          <w:sz w:val="20"/>
          <w:szCs w:val="20"/>
        </w:rPr>
      </w:pPr>
      <w:r>
        <w:rPr>
          <w:b/>
          <w:bCs/>
          <w:sz w:val="20"/>
          <w:szCs w:val="20"/>
        </w:rPr>
        <w:t>Provision for Income Taxe</w:t>
      </w:r>
      <w:r>
        <w:rPr>
          <w:b/>
          <w:bCs/>
          <w:sz w:val="20"/>
          <w:szCs w:val="20"/>
        </w:rPr>
        <w:t>s</w:t>
      </w:r>
      <w:r>
        <w:rPr>
          <w:b/>
          <w:bCs/>
          <w:sz w:val="20"/>
          <w:szCs w:val="20"/>
        </w:rPr>
        <w:t xml:space="preserve"> </w:t>
      </w:r>
    </w:p>
    <w:p w:rsidR="00000000" w:rsidRDefault="00477EE8">
      <w:pPr>
        <w:pStyle w:val="a3"/>
        <w:spacing w:before="120" w:beforeAutospacing="0" w:after="0" w:afterAutospacing="0"/>
        <w:ind w:firstLine="555"/>
        <w:rPr>
          <w:sz w:val="20"/>
          <w:szCs w:val="20"/>
        </w:rPr>
      </w:pPr>
      <w:r>
        <w:rPr>
          <w:sz w:val="20"/>
          <w:szCs w:val="20"/>
        </w:rPr>
        <w:t>Provision for income taxes consists of U.S. federal and state income taxes. A deferred tax liability is recognized for all taxable temporary differe</w:t>
      </w:r>
      <w:r>
        <w:rPr>
          <w:sz w:val="20"/>
          <w:szCs w:val="20"/>
        </w:rPr>
        <w:t>nces, and a deferred tax asset is recognized for all deductible temporary differences, operating losses and tax credit carryforwards. A valuation allowance is provided when it is more likely than not that some portion or all of a deferred tax asset will no</w:t>
      </w:r>
      <w:r>
        <w:rPr>
          <w:sz w:val="20"/>
          <w:szCs w:val="20"/>
        </w:rPr>
        <w:t>t be realized</w:t>
      </w:r>
      <w:r>
        <w:rPr>
          <w:sz w:val="20"/>
          <w:szCs w:val="20"/>
        </w:rPr>
        <w:t>.</w:t>
      </w:r>
    </w:p>
    <w:p w:rsidR="00000000" w:rsidRDefault="00477EE8">
      <w:pPr>
        <w:pStyle w:val="a3"/>
        <w:spacing w:before="240" w:beforeAutospacing="0" w:after="0" w:afterAutospacing="0"/>
        <w:ind w:firstLine="555"/>
        <w:rPr>
          <w:sz w:val="20"/>
          <w:szCs w:val="20"/>
        </w:rPr>
      </w:pPr>
      <w:r>
        <w:rPr>
          <w:sz w:val="20"/>
          <w:szCs w:val="20"/>
        </w:rPr>
        <w:t>The factors that most significantly impact our effective tax rate include the levels of net earnings and certain deductions, including those related to equity-based compensation, the effect of state income taxes, return to provision adjustme</w:t>
      </w:r>
      <w:r>
        <w:rPr>
          <w:sz w:val="20"/>
          <w:szCs w:val="20"/>
        </w:rPr>
        <w:t>nts, and foreign tax rate differential. We expect that these factors could cause our consolidated effective tax rate to differ significantly from the U.S. federal income tax rate in future periods</w:t>
      </w:r>
      <w:r>
        <w:rPr>
          <w:sz w:val="20"/>
          <w:szCs w:val="20"/>
        </w:rPr>
        <w:t>.</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5</w:t>
      </w:r>
      <w:r>
        <w:rPr>
          <w:sz w:val="20"/>
          <w:szCs w:val="20"/>
        </w:rPr>
        <w:t>3</w:t>
      </w:r>
    </w:p>
    <w:p w:rsidR="00000000" w:rsidRDefault="00477EE8">
      <w:pPr>
        <w:rPr>
          <w:rFonts w:eastAsia="Times New Roman"/>
        </w:rPr>
      </w:pPr>
      <w:r>
        <w:rPr>
          <w:rFonts w:eastAsia="Times New Roman"/>
        </w:rPr>
        <w:pict>
          <v:rect id="_x0000_i1093" style="width:0;height:1.5pt" o:hralign="center" o:hrstd="t" o:hr="t" fillcolor="#a0a0a0" stroked="f"/>
        </w:pict>
      </w:r>
    </w:p>
    <w:p w:rsidR="00000000" w:rsidRDefault="00477EE8">
      <w:pPr>
        <w:pStyle w:val="a3"/>
        <w:spacing w:before="360" w:beforeAutospacing="0" w:after="0" w:afterAutospacing="0"/>
        <w:jc w:val="center"/>
        <w:rPr>
          <w:sz w:val="20"/>
          <w:szCs w:val="20"/>
        </w:rPr>
      </w:pPr>
      <w:r>
        <w:rPr>
          <w:b/>
          <w:bCs/>
          <w:sz w:val="20"/>
          <w:szCs w:val="20"/>
        </w:rPr>
        <w:t>Results of Operati</w:t>
      </w:r>
      <w:r>
        <w:rPr>
          <w:b/>
          <w:bCs/>
          <w:sz w:val="20"/>
          <w:szCs w:val="20"/>
        </w:rPr>
        <w:t>on</w:t>
      </w:r>
      <w:r>
        <w:rPr>
          <w:b/>
          <w:bCs/>
          <w:sz w:val="20"/>
          <w:szCs w:val="20"/>
        </w:rPr>
        <w:t>s</w:t>
      </w:r>
      <w:r>
        <w:rPr>
          <w:b/>
          <w:bCs/>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The table below summarizes the results of our continuing operations for each of the periods presented. Historical results are not indicative of the results to be expected in the current period or any future period</w:t>
      </w:r>
      <w:r>
        <w:rPr>
          <w:sz w:val="20"/>
          <w:szCs w:val="20"/>
        </w:rPr>
        <w:t>.</w:t>
      </w:r>
    </w:p>
    <w:p w:rsidR="00000000" w:rsidRDefault="00477EE8">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1"/>
        <w:gridCol w:w="160"/>
        <w:gridCol w:w="877"/>
        <w:gridCol w:w="110"/>
        <w:gridCol w:w="110"/>
        <w:gridCol w:w="160"/>
        <w:gridCol w:w="902"/>
        <w:gridCol w:w="110"/>
        <w:gridCol w:w="110"/>
        <w:gridCol w:w="160"/>
        <w:gridCol w:w="904"/>
        <w:gridCol w:w="127"/>
        <w:gridCol w:w="110"/>
        <w:gridCol w:w="1065"/>
      </w:tblGrid>
      <w:tr w:rsidR="00000000">
        <w:trPr>
          <w:tblCellSpacing w:w="15" w:type="dxa"/>
        </w:trPr>
        <w:tc>
          <w:tcPr>
            <w:tcW w:w="2149"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553"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1"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73"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1"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73"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1" w:type="pct"/>
            <w:vAlign w:val="center"/>
            <w:hideMark/>
          </w:tcPr>
          <w:p w:rsidR="00000000" w:rsidRDefault="00477EE8">
            <w:pPr>
              <w:rPr>
                <w:rFonts w:eastAsia="Times New Roman"/>
                <w:sz w:val="20"/>
                <w:szCs w:val="20"/>
              </w:rPr>
            </w:pPr>
          </w:p>
        </w:tc>
        <w:tc>
          <w:tcPr>
            <w:tcW w:w="666" w:type="pct"/>
            <w:vAlign w:val="center"/>
            <w:hideMark/>
          </w:tcPr>
          <w:p w:rsidR="00000000" w:rsidRDefault="00477EE8">
            <w:pPr>
              <w:rPr>
                <w:rFonts w:eastAsia="Times New Roman"/>
                <w:sz w:val="20"/>
                <w:szCs w:val="20"/>
              </w:rPr>
            </w:pP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477EE8">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b/>
                <w:bCs/>
                <w:sz w:val="16"/>
                <w:szCs w:val="16"/>
              </w:rPr>
              <w:t>%</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b/>
                <w:bCs/>
                <w:sz w:val="16"/>
                <w:szCs w:val="16"/>
              </w:rPr>
              <w:t>Chang</w:t>
            </w:r>
            <w:r>
              <w:rPr>
                <w:b/>
                <w:bCs/>
                <w:sz w:val="16"/>
                <w:szCs w:val="16"/>
              </w:rPr>
              <w:t>e</w:t>
            </w:r>
          </w:p>
        </w:tc>
      </w:tr>
      <w:tr w:rsidR="00000000">
        <w:trPr>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b/>
                <w:bCs/>
                <w:sz w:val="20"/>
                <w:szCs w:val="20"/>
              </w:rPr>
              <w:t>Statement of Operations Data</w:t>
            </w:r>
            <w:r>
              <w:rPr>
                <w:b/>
                <w:bCs/>
                <w:sz w:val="20"/>
                <w:szCs w:val="20"/>
              </w:rPr>
              <w:t>:</w:t>
            </w:r>
          </w:p>
        </w:tc>
        <w:tc>
          <w:tcPr>
            <w:tcW w:w="0" w:type="auto"/>
            <w:gridSpan w:val="13"/>
            <w:vAlign w:val="bottom"/>
            <w:hideMark/>
          </w:tcPr>
          <w:p w:rsidR="00000000" w:rsidRDefault="00477EE8">
            <w:pPr>
              <w:pStyle w:val="a3"/>
              <w:spacing w:before="0" w:beforeAutospacing="0" w:after="0" w:afterAutospacing="0"/>
              <w:jc w:val="center"/>
              <w:rPr>
                <w:sz w:val="16"/>
                <w:szCs w:val="16"/>
              </w:rPr>
            </w:pPr>
            <w:r>
              <w:rPr>
                <w:b/>
                <w:bCs/>
                <w:sz w:val="16"/>
                <w:szCs w:val="16"/>
              </w:rPr>
              <w:t>(dollars in thousands</w:t>
            </w:r>
            <w:r>
              <w:rPr>
                <w:b/>
                <w:bCs/>
                <w:sz w:val="16"/>
                <w:szCs w:val="16"/>
              </w:rPr>
              <w:t>)</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Revenu</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618,96</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992,58</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(373,61</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(38)</w:t>
            </w:r>
            <w:r>
              <w:rPr>
                <w:sz w:val="20"/>
                <w:szCs w:val="20"/>
              </w:rPr>
              <w:t>%</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Cost of revenu</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252,06</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215,53</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36,53</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17</w:t>
            </w:r>
            <w:r>
              <w:rPr>
                <w:sz w:val="20"/>
                <w:szCs w:val="20"/>
              </w:rPr>
              <w:t>%</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Gross profi</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366,90</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777,05</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(410,15</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(53)</w:t>
            </w:r>
            <w:r>
              <w:rPr>
                <w:sz w:val="20"/>
                <w:szCs w:val="20"/>
              </w:rPr>
              <w:t>%</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Operating expenses</w:t>
            </w:r>
            <w:r>
              <w:rPr>
                <w:sz w:val="20"/>
                <w:szCs w:val="20"/>
              </w:rPr>
              <w:t>:</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Research and developmen</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28,91</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24,21</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4,69</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19</w:t>
            </w:r>
            <w:r>
              <w:rPr>
                <w:sz w:val="20"/>
                <w:szCs w:val="20"/>
              </w:rPr>
              <w:t>%</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Selling and marketin</w:t>
            </w:r>
            <w:r>
              <w:rPr>
                <w:sz w:val="20"/>
                <w:szCs w:val="20"/>
              </w:rPr>
              <w:t>g</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38,91</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24,43</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14,47</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59</w:t>
            </w:r>
            <w:r>
              <w:rPr>
                <w:sz w:val="20"/>
                <w:szCs w:val="20"/>
              </w:rPr>
              <w:t>%</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111,07</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50,73</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60,34</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119</w:t>
            </w:r>
            <w:r>
              <w:rPr>
                <w:sz w:val="20"/>
                <w:szCs w:val="20"/>
              </w:rPr>
              <w:t>%</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Amortization of intangible asset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6,49</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1,70</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4,78</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280</w:t>
            </w:r>
            <w:r>
              <w:rPr>
                <w:sz w:val="20"/>
                <w:szCs w:val="20"/>
              </w:rPr>
              <w:t>%</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Restructuring cost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2,97</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2,97</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Total operating expense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188,37</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101,09</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87,27</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86</w:t>
            </w:r>
            <w:r>
              <w:rPr>
                <w:sz w:val="20"/>
                <w:szCs w:val="20"/>
              </w:rPr>
              <w:t>%</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Operating incom</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178,52</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675,95</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(497,42</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(74)</w:t>
            </w:r>
            <w:r>
              <w:rPr>
                <w:sz w:val="20"/>
                <w:szCs w:val="20"/>
              </w:rPr>
              <w:t>%</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Interest and other income, ne</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5,49</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1,34</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4,15</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308</w:t>
            </w:r>
            <w:r>
              <w:rPr>
                <w:sz w:val="20"/>
                <w:szCs w:val="20"/>
              </w:rPr>
              <w:t>%</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Income before income taxes and gain on equity-method investmen</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184,02</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677,30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(493,27</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(73)</w:t>
            </w:r>
            <w:r>
              <w:rPr>
                <w:sz w:val="20"/>
                <w:szCs w:val="20"/>
              </w:rPr>
              <w:t>%</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Provision for income taxe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42,10</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174,79</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(132,69</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(76)</w:t>
            </w:r>
            <w:r>
              <w:rPr>
                <w:sz w:val="20"/>
                <w:szCs w:val="20"/>
              </w:rPr>
              <w:t>%</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Income before gain on equity-method investmen</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141,92</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502,50</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(360,58</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(72)</w:t>
            </w:r>
            <w:r>
              <w:rPr>
                <w:sz w:val="20"/>
                <w:szCs w:val="20"/>
              </w:rPr>
              <w:t>%</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Gain on equity-method investmen</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3,73</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(3,73</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(100)</w:t>
            </w:r>
            <w:r>
              <w:rPr>
                <w:sz w:val="20"/>
                <w:szCs w:val="20"/>
              </w:rPr>
              <w:t>%</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Net income from consolidated operation</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141,92</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506,23</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(364,31</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(72)</w:t>
            </w:r>
            <w:r>
              <w:rPr>
                <w:sz w:val="20"/>
                <w:szCs w:val="20"/>
              </w:rPr>
              <w:t>%</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Net loss attributable to noncontrolling interest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1,48</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1,12</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35</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32</w:t>
            </w:r>
            <w:r>
              <w:rPr>
                <w:sz w:val="20"/>
                <w:szCs w:val="20"/>
              </w:rPr>
              <w:t>%</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Net income attributable to Fulgen</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143,40</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507,36</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(363,96</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(72)</w:t>
            </w:r>
            <w:r>
              <w:rPr>
                <w:sz w:val="20"/>
                <w:szCs w:val="20"/>
              </w:rPr>
              <w:t>%</w:t>
            </w:r>
          </w:p>
        </w:tc>
      </w:tr>
    </w:tbl>
    <w:p w:rsidR="00000000" w:rsidRDefault="00477EE8">
      <w:pPr>
        <w:pStyle w:val="a3"/>
        <w:spacing w:before="120" w:beforeAutospacing="0" w:after="0" w:afterAutospacing="0"/>
        <w:ind w:hanging="422"/>
        <w:rPr>
          <w:sz w:val="20"/>
          <w:szCs w:val="20"/>
        </w:rPr>
      </w:pPr>
      <w:r>
        <w:rPr>
          <w:sz w:val="20"/>
          <w:szCs w:val="20"/>
        </w:rPr>
        <w:t>* Percentage not meaningful</w:t>
      </w:r>
      <w:r>
        <w:rPr>
          <w:sz w:val="20"/>
          <w:szCs w:val="20"/>
        </w:rPr>
        <w:t>.</w:t>
      </w:r>
    </w:p>
    <w:p w:rsidR="00000000" w:rsidRDefault="00477EE8">
      <w:pPr>
        <w:pStyle w:val="a3"/>
        <w:spacing w:before="360" w:beforeAutospacing="0" w:after="0" w:afterAutospacing="0"/>
        <w:rPr>
          <w:sz w:val="20"/>
          <w:szCs w:val="20"/>
        </w:rPr>
      </w:pPr>
      <w:r>
        <w:rPr>
          <w:b/>
          <w:bCs/>
          <w:sz w:val="20"/>
          <w:szCs w:val="20"/>
        </w:rPr>
        <w:t>Revenu</w:t>
      </w:r>
      <w:r>
        <w:rPr>
          <w:b/>
          <w:bCs/>
          <w:sz w:val="20"/>
          <w:szCs w:val="20"/>
        </w:rPr>
        <w:t>e</w:t>
      </w:r>
    </w:p>
    <w:p w:rsidR="00000000" w:rsidRDefault="00477EE8">
      <w:pPr>
        <w:pStyle w:val="a3"/>
        <w:spacing w:before="120" w:beforeAutospacing="0" w:after="0" w:afterAutospacing="0"/>
        <w:ind w:firstLine="555"/>
        <w:rPr>
          <w:sz w:val="20"/>
          <w:szCs w:val="20"/>
        </w:rPr>
      </w:pPr>
      <w:r>
        <w:rPr>
          <w:sz w:val="20"/>
          <w:szCs w:val="20"/>
        </w:rPr>
        <w:t>Revenue decreased $373.6 million, or 38%, from $992.6 million in 2021 to $619.0 million in 2022. The decrease in revenue between periods were primarily due to decreased orders for our COVID-19 tests</w:t>
      </w:r>
      <w:r>
        <w:rPr>
          <w:sz w:val="20"/>
          <w:szCs w:val="20"/>
        </w:rPr>
        <w:t>.</w:t>
      </w:r>
    </w:p>
    <w:p w:rsidR="00000000" w:rsidRDefault="00477EE8">
      <w:pPr>
        <w:pStyle w:val="a3"/>
        <w:spacing w:before="240" w:beforeAutospacing="0" w:after="0" w:afterAutospacing="0"/>
        <w:ind w:firstLine="555"/>
        <w:rPr>
          <w:sz w:val="20"/>
          <w:szCs w:val="20"/>
        </w:rPr>
      </w:pPr>
      <w:r>
        <w:rPr>
          <w:sz w:val="20"/>
          <w:szCs w:val="20"/>
        </w:rPr>
        <w:t>Revenue from non-U.S. sources increased $2.2 million, or</w:t>
      </w:r>
      <w:r>
        <w:rPr>
          <w:sz w:val="20"/>
          <w:szCs w:val="20"/>
        </w:rPr>
        <w:t xml:space="preserve"> 16%, from $13.6 million in 2021 to $15.8 million in 2022. The increase in revenue from non-U.S. sources between periods were primarily due to increased sales of our traditional genetic testing services to customers in China through FF Gene Biotech which c</w:t>
      </w:r>
      <w:r>
        <w:rPr>
          <w:sz w:val="20"/>
          <w:szCs w:val="20"/>
        </w:rPr>
        <w:t>ontributed $9.2 million in total revenue in 2022</w:t>
      </w:r>
      <w:r>
        <w:rPr>
          <w:sz w:val="20"/>
          <w:szCs w:val="20"/>
        </w:rPr>
        <w:t>.</w:t>
      </w:r>
    </w:p>
    <w:p w:rsidR="00000000" w:rsidRDefault="00477EE8">
      <w:pPr>
        <w:pStyle w:val="a3"/>
        <w:spacing w:before="240" w:beforeAutospacing="0" w:after="0" w:afterAutospacing="0"/>
        <w:ind w:firstLine="555"/>
        <w:rPr>
          <w:sz w:val="20"/>
          <w:szCs w:val="20"/>
        </w:rPr>
      </w:pPr>
      <w:r>
        <w:rPr>
          <w:sz w:val="20"/>
          <w:szCs w:val="20"/>
        </w:rPr>
        <w:t>Aggregating customers that are under common control, one of our customers, County of Los Angeles, contributed 19% and 26% of our revenue in 2022 and 2021, respectively</w:t>
      </w:r>
      <w:r>
        <w:rPr>
          <w:sz w:val="20"/>
          <w:szCs w:val="20"/>
        </w:rPr>
        <w:t>.</w:t>
      </w:r>
    </w:p>
    <w:p w:rsidR="00000000" w:rsidRDefault="00477EE8">
      <w:pPr>
        <w:pStyle w:val="a3"/>
        <w:spacing w:before="240" w:beforeAutospacing="0" w:after="0" w:afterAutospacing="0"/>
        <w:jc w:val="center"/>
        <w:rPr>
          <w:sz w:val="20"/>
          <w:szCs w:val="20"/>
        </w:rPr>
      </w:pPr>
      <w:r>
        <w:rPr>
          <w:sz w:val="20"/>
          <w:szCs w:val="20"/>
        </w:rPr>
        <w:t>5</w:t>
      </w:r>
      <w:r>
        <w:rPr>
          <w:sz w:val="20"/>
          <w:szCs w:val="20"/>
        </w:rPr>
        <w:t>4</w:t>
      </w:r>
    </w:p>
    <w:p w:rsidR="00000000" w:rsidRDefault="00477EE8">
      <w:pPr>
        <w:rPr>
          <w:rFonts w:eastAsia="Times New Roman"/>
        </w:rPr>
      </w:pPr>
      <w:r>
        <w:rPr>
          <w:rFonts w:eastAsia="Times New Roman"/>
        </w:rPr>
        <w:pict>
          <v:rect id="_x0000_i1094" style="width:0;height:1.5pt" o:hralign="center" o:hrstd="t" o:hr="t" fillcolor="#a0a0a0" stroked="f"/>
        </w:pict>
      </w:r>
    </w:p>
    <w:p w:rsidR="00000000" w:rsidRDefault="00477EE8">
      <w:pPr>
        <w:pStyle w:val="a3"/>
        <w:spacing w:before="360" w:beforeAutospacing="0" w:after="0" w:afterAutospacing="0"/>
        <w:rPr>
          <w:sz w:val="20"/>
          <w:szCs w:val="20"/>
        </w:rPr>
      </w:pPr>
      <w:r>
        <w:rPr>
          <w:b/>
          <w:bCs/>
          <w:sz w:val="20"/>
          <w:szCs w:val="20"/>
        </w:rPr>
        <w:t>Cost of Revenu</w:t>
      </w:r>
      <w:r>
        <w:rPr>
          <w:b/>
          <w:bCs/>
          <w:sz w:val="20"/>
          <w:szCs w:val="20"/>
        </w:rPr>
        <w:t>e</w:t>
      </w:r>
    </w:p>
    <w:p w:rsidR="00000000" w:rsidRDefault="00477EE8">
      <w:pPr>
        <w:pStyle w:val="a3"/>
        <w:spacing w:before="120" w:beforeAutospacing="0" w:after="0" w:afterAutospacing="0"/>
        <w:ind w:firstLine="555"/>
        <w:rPr>
          <w:sz w:val="20"/>
          <w:szCs w:val="20"/>
        </w:rPr>
      </w:pPr>
      <w:r>
        <w:rPr>
          <w:sz w:val="20"/>
          <w:szCs w:val="20"/>
        </w:rPr>
        <w:t>Cost of revenue increased $36.5 million, or 17%, from $215.5 million in 2021 to $252.1 million in 2022. The increase was primarily due to increases of $45.1 million in personnel costs including equity-based compensation, $6.6 million in a</w:t>
      </w:r>
      <w:r>
        <w:rPr>
          <w:sz w:val="20"/>
          <w:szCs w:val="20"/>
        </w:rPr>
        <w:t>llocated overhead expenses including security expenses, and $3.8 million in shipping and handling expense primarily due to additions of Inform Diagnostics and CSI, and $13.0 million in depreciation expenses primarily due to additions in fixed assets for pr</w:t>
      </w:r>
      <w:r>
        <w:rPr>
          <w:sz w:val="20"/>
          <w:szCs w:val="20"/>
        </w:rPr>
        <w:t>oduction, remaining useful lives of COVID-related equipment and addition of Inform Diagnostics, partially offset by decreases of $27.2 million in reagent and supply expenses, $5.0 million in external customer engagement platforms, and $2.3 million in consu</w:t>
      </w:r>
      <w:r>
        <w:rPr>
          <w:sz w:val="20"/>
          <w:szCs w:val="20"/>
        </w:rPr>
        <w:t>lting and outside labor expense related to the decreased tests delivered</w:t>
      </w:r>
      <w:r>
        <w:rPr>
          <w:sz w:val="20"/>
          <w:szCs w:val="20"/>
        </w:rPr>
        <w:t>.</w:t>
      </w:r>
    </w:p>
    <w:p w:rsidR="00000000" w:rsidRDefault="00477EE8">
      <w:pPr>
        <w:pStyle w:val="a3"/>
        <w:spacing w:before="240" w:beforeAutospacing="0" w:after="0" w:afterAutospacing="0"/>
        <w:ind w:firstLine="555"/>
        <w:rPr>
          <w:sz w:val="20"/>
          <w:szCs w:val="20"/>
        </w:rPr>
      </w:pPr>
      <w:r>
        <w:rPr>
          <w:sz w:val="20"/>
          <w:szCs w:val="20"/>
        </w:rPr>
        <w:t>Our gross profit decreased $410.2 million, or 53%, from $777.1 million in 2021 to $366.9 million in 2022. The decrease in gross profit was primarily due to the decrease in revenue fr</w:t>
      </w:r>
      <w:r>
        <w:rPr>
          <w:sz w:val="20"/>
          <w:szCs w:val="20"/>
        </w:rPr>
        <w:t>om our COVID-19 tests and increases in cost of revenue described above. Our gross profit as a percentage of revenue, or gross margin, decreased from 78.3% to 59.3% due to changes in product mix</w:t>
      </w:r>
      <w:r>
        <w:rPr>
          <w:sz w:val="20"/>
          <w:szCs w:val="20"/>
        </w:rPr>
        <w:t>.</w:t>
      </w:r>
    </w:p>
    <w:p w:rsidR="00000000" w:rsidRDefault="00477EE8">
      <w:pPr>
        <w:pStyle w:val="a3"/>
        <w:spacing w:before="360" w:beforeAutospacing="0" w:after="0" w:afterAutospacing="0"/>
        <w:rPr>
          <w:sz w:val="20"/>
          <w:szCs w:val="20"/>
        </w:rPr>
      </w:pPr>
      <w:r>
        <w:rPr>
          <w:b/>
          <w:bCs/>
          <w:sz w:val="20"/>
          <w:szCs w:val="20"/>
        </w:rPr>
        <w:t>Research and Developmen</w:t>
      </w:r>
      <w:r>
        <w:rPr>
          <w:b/>
          <w:bCs/>
          <w:sz w:val="20"/>
          <w:szCs w:val="20"/>
        </w:rPr>
        <w:t>t</w:t>
      </w:r>
    </w:p>
    <w:p w:rsidR="00000000" w:rsidRDefault="00477EE8">
      <w:pPr>
        <w:pStyle w:val="a3"/>
        <w:spacing w:before="120" w:beforeAutospacing="0" w:after="0" w:afterAutospacing="0"/>
        <w:ind w:firstLine="555"/>
        <w:rPr>
          <w:sz w:val="20"/>
          <w:szCs w:val="20"/>
        </w:rPr>
      </w:pPr>
      <w:r>
        <w:rPr>
          <w:sz w:val="20"/>
          <w:szCs w:val="20"/>
        </w:rPr>
        <w:t>Research and development expenses in</w:t>
      </w:r>
      <w:r>
        <w:rPr>
          <w:sz w:val="20"/>
          <w:szCs w:val="20"/>
        </w:rPr>
        <w:t>creased $4.7 million, or 19%, from $24.2 million in 2021 to $28.9 million in 2022. The increase was primarily due to increases of $6.5 million in personnel costs including equity-based compensation expense related to increased headcount, $415,000 in deprec</w:t>
      </w:r>
      <w:r>
        <w:rPr>
          <w:sz w:val="20"/>
          <w:szCs w:val="20"/>
        </w:rPr>
        <w:t>iation expense, and $235,000 in allocated overhead expenses, partially offset by decreases of $1.5 million in reagent and supply expenses related to decreased reagent usage for research and $1.2 million in donations to COVID-19 research fund and colorectal</w:t>
      </w:r>
      <w:r>
        <w:rPr>
          <w:sz w:val="20"/>
          <w:szCs w:val="20"/>
        </w:rPr>
        <w:t xml:space="preserve"> cancer research made in 2021</w:t>
      </w:r>
      <w:r>
        <w:rPr>
          <w:sz w:val="20"/>
          <w:szCs w:val="20"/>
        </w:rPr>
        <w:t>.</w:t>
      </w:r>
    </w:p>
    <w:p w:rsidR="00000000" w:rsidRDefault="00477EE8">
      <w:pPr>
        <w:pStyle w:val="a3"/>
        <w:spacing w:before="360" w:beforeAutospacing="0" w:after="0" w:afterAutospacing="0"/>
        <w:rPr>
          <w:sz w:val="20"/>
          <w:szCs w:val="20"/>
        </w:rPr>
      </w:pPr>
      <w:r>
        <w:rPr>
          <w:b/>
          <w:bCs/>
          <w:sz w:val="20"/>
          <w:szCs w:val="20"/>
        </w:rPr>
        <w:t>Selling and Marketin</w:t>
      </w:r>
      <w:r>
        <w:rPr>
          <w:b/>
          <w:bCs/>
          <w:sz w:val="20"/>
          <w:szCs w:val="20"/>
        </w:rPr>
        <w:t>g</w:t>
      </w:r>
    </w:p>
    <w:p w:rsidR="00000000" w:rsidRDefault="00477EE8">
      <w:pPr>
        <w:pStyle w:val="a3"/>
        <w:spacing w:before="120" w:beforeAutospacing="0" w:after="0" w:afterAutospacing="0"/>
        <w:ind w:firstLine="555"/>
        <w:rPr>
          <w:sz w:val="20"/>
          <w:szCs w:val="20"/>
        </w:rPr>
      </w:pPr>
      <w:r>
        <w:rPr>
          <w:sz w:val="20"/>
          <w:szCs w:val="20"/>
        </w:rPr>
        <w:t>Selling and marketing expenses increased $14.5 million, or 59%, from $24.4 million in 2021 to $38.9 million in 2022. The increase was primarily due to increases of $7.1 million in personnel costs including equity-based compensation expense related to incre</w:t>
      </w:r>
      <w:r>
        <w:rPr>
          <w:sz w:val="20"/>
          <w:szCs w:val="20"/>
        </w:rPr>
        <w:t>ased headcount, $3.6 million in software expense from Inform Diagnostics, $1.0 million in travel expenses, $967,000 in commission expenses from CSI, $704,000 in consulting and outside labor related to marketing projects in 2022 and $632,000 in allocated ov</w:t>
      </w:r>
      <w:r>
        <w:rPr>
          <w:sz w:val="20"/>
          <w:szCs w:val="20"/>
        </w:rPr>
        <w:t>erhead expenses due to addition of Inform Diagnostics</w:t>
      </w:r>
      <w:r>
        <w:rPr>
          <w:sz w:val="20"/>
          <w:szCs w:val="20"/>
        </w:rPr>
        <w:t>.</w:t>
      </w:r>
    </w:p>
    <w:p w:rsidR="00000000" w:rsidRDefault="00477EE8">
      <w:pPr>
        <w:pStyle w:val="a3"/>
        <w:spacing w:before="360" w:beforeAutospacing="0" w:after="0" w:afterAutospacing="0"/>
        <w:rPr>
          <w:sz w:val="20"/>
          <w:szCs w:val="20"/>
        </w:rPr>
      </w:pPr>
      <w:r>
        <w:rPr>
          <w:b/>
          <w:bCs/>
          <w:sz w:val="20"/>
          <w:szCs w:val="20"/>
        </w:rPr>
        <w:t>General and Administrativ</w:t>
      </w:r>
      <w:r>
        <w:rPr>
          <w:b/>
          <w:bCs/>
          <w:sz w:val="20"/>
          <w:szCs w:val="20"/>
        </w:rPr>
        <w:t>e</w:t>
      </w:r>
    </w:p>
    <w:p w:rsidR="00000000" w:rsidRDefault="00477EE8">
      <w:pPr>
        <w:pStyle w:val="a3"/>
        <w:spacing w:before="120" w:beforeAutospacing="0" w:after="0" w:afterAutospacing="0"/>
        <w:ind w:firstLine="555"/>
        <w:rPr>
          <w:sz w:val="20"/>
          <w:szCs w:val="20"/>
        </w:rPr>
      </w:pPr>
      <w:r>
        <w:rPr>
          <w:sz w:val="20"/>
          <w:szCs w:val="20"/>
        </w:rPr>
        <w:t>General and administrative expenses increased $60.3 million, or 119%, from $50.7 million in 2021 to $111.1 million in 2022. The increase was primarily due to increases of $23.7 million in increased provision for credit losses stemming from the cessation of</w:t>
      </w:r>
      <w:r>
        <w:rPr>
          <w:sz w:val="20"/>
          <w:szCs w:val="20"/>
        </w:rPr>
        <w:t xml:space="preserve"> funding for the HRSA program in March 2022, $14.0 million in personnel costs including equity-based compensation expense related to increased headcount, $6.2 million in acquisition-related costs, $4.9 million in legal and professional fees primarily relat</w:t>
      </w:r>
      <w:r>
        <w:rPr>
          <w:sz w:val="20"/>
          <w:szCs w:val="20"/>
        </w:rPr>
        <w:t>ed to general corporate matters, $3.2 million in allocated overhead expenses, $3.1 million in license and permit expense and $2.4 million in depreciation expense primarily from Inform Diagnostics, $2.2 million in insurance expense, and $1.5 million in acco</w:t>
      </w:r>
      <w:r>
        <w:rPr>
          <w:sz w:val="20"/>
          <w:szCs w:val="20"/>
        </w:rPr>
        <w:t>unting expenses related to financial statement and internal control audit and reviews, partially offset by a decrease of $790,000 in consulting and outside labor expense</w:t>
      </w:r>
      <w:r>
        <w:rPr>
          <w:sz w:val="20"/>
          <w:szCs w:val="20"/>
        </w:rPr>
        <w:t>.</w:t>
      </w:r>
    </w:p>
    <w:p w:rsidR="00000000" w:rsidRDefault="00477EE8">
      <w:pPr>
        <w:pStyle w:val="a3"/>
        <w:spacing w:before="360" w:beforeAutospacing="0" w:after="0" w:afterAutospacing="0"/>
        <w:rPr>
          <w:sz w:val="20"/>
          <w:szCs w:val="20"/>
        </w:rPr>
      </w:pPr>
      <w:r>
        <w:rPr>
          <w:b/>
          <w:bCs/>
          <w:sz w:val="20"/>
          <w:szCs w:val="20"/>
        </w:rPr>
        <w:t>Amortization of Intangible Asset</w:t>
      </w:r>
      <w:r>
        <w:rPr>
          <w:b/>
          <w:bCs/>
          <w:sz w:val="20"/>
          <w:szCs w:val="20"/>
        </w:rPr>
        <w:t>s</w:t>
      </w:r>
    </w:p>
    <w:p w:rsidR="00000000" w:rsidRDefault="00477EE8">
      <w:pPr>
        <w:pStyle w:val="a3"/>
        <w:spacing w:before="120" w:beforeAutospacing="0" w:after="0" w:afterAutospacing="0"/>
        <w:ind w:firstLine="555"/>
        <w:rPr>
          <w:sz w:val="20"/>
          <w:szCs w:val="20"/>
        </w:rPr>
      </w:pPr>
      <w:r>
        <w:rPr>
          <w:sz w:val="20"/>
          <w:szCs w:val="20"/>
        </w:rPr>
        <w:t>Amortization of intangible assets represents amorti</w:t>
      </w:r>
      <w:r>
        <w:rPr>
          <w:sz w:val="20"/>
          <w:szCs w:val="20"/>
        </w:rPr>
        <w:t>zation expenses on the intangible assets that arose from the business combinations in 2022 and 2021 and a patent purchased in 2021. The increase in amortization of intangible assets was primarily due to additions in intangible assets from business combinat</w:t>
      </w:r>
      <w:r>
        <w:rPr>
          <w:sz w:val="20"/>
          <w:szCs w:val="20"/>
        </w:rPr>
        <w:t>ions in 2022</w:t>
      </w:r>
      <w:r>
        <w:rPr>
          <w:sz w:val="20"/>
          <w:szCs w:val="20"/>
        </w:rPr>
        <w:t>.</w:t>
      </w:r>
    </w:p>
    <w:p w:rsidR="00000000" w:rsidRDefault="00477EE8">
      <w:pPr>
        <w:pStyle w:val="a3"/>
        <w:spacing w:before="360" w:beforeAutospacing="0" w:after="0" w:afterAutospacing="0"/>
        <w:rPr>
          <w:sz w:val="20"/>
          <w:szCs w:val="20"/>
        </w:rPr>
      </w:pPr>
      <w:r>
        <w:rPr>
          <w:b/>
          <w:bCs/>
          <w:sz w:val="20"/>
          <w:szCs w:val="20"/>
        </w:rPr>
        <w:t>Restructuring Cost</w:t>
      </w:r>
      <w:r>
        <w:rPr>
          <w:b/>
          <w:bCs/>
          <w:sz w:val="20"/>
          <w:szCs w:val="20"/>
        </w:rPr>
        <w:t>s</w:t>
      </w:r>
    </w:p>
    <w:p w:rsidR="00000000" w:rsidRDefault="00477EE8">
      <w:pPr>
        <w:pStyle w:val="a3"/>
        <w:spacing w:before="120" w:beforeAutospacing="0" w:after="0" w:afterAutospacing="0"/>
        <w:ind w:firstLine="555"/>
        <w:rPr>
          <w:sz w:val="20"/>
          <w:szCs w:val="20"/>
        </w:rPr>
      </w:pPr>
      <w:r>
        <w:rPr>
          <w:sz w:val="20"/>
          <w:szCs w:val="20"/>
        </w:rPr>
        <w:t>Restructuring expenses represent one-time employee termination benefits provided to employees that were involuntarily terminated in association with the acquisition of a new entity in 2022</w:t>
      </w:r>
      <w:r>
        <w:rPr>
          <w:sz w:val="20"/>
          <w:szCs w:val="20"/>
        </w:rPr>
        <w:t>.</w:t>
      </w:r>
    </w:p>
    <w:p w:rsidR="00000000" w:rsidRDefault="00477EE8">
      <w:pPr>
        <w:pStyle w:val="a3"/>
        <w:spacing w:before="360" w:beforeAutospacing="0" w:after="0" w:afterAutospacing="0"/>
        <w:rPr>
          <w:sz w:val="20"/>
          <w:szCs w:val="20"/>
        </w:rPr>
      </w:pPr>
      <w:r>
        <w:rPr>
          <w:b/>
          <w:bCs/>
          <w:sz w:val="20"/>
          <w:szCs w:val="20"/>
        </w:rPr>
        <w:t>Interest and Other Income, Ne</w:t>
      </w:r>
      <w:r>
        <w:rPr>
          <w:b/>
          <w:bCs/>
          <w:sz w:val="20"/>
          <w:szCs w:val="20"/>
        </w:rPr>
        <w:t>t</w:t>
      </w:r>
    </w:p>
    <w:p w:rsidR="00000000" w:rsidRDefault="00477EE8">
      <w:pPr>
        <w:pStyle w:val="a3"/>
        <w:spacing w:before="120" w:beforeAutospacing="0" w:after="0" w:afterAutospacing="0"/>
        <w:ind w:firstLine="555"/>
        <w:rPr>
          <w:sz w:val="20"/>
          <w:szCs w:val="20"/>
        </w:rPr>
      </w:pPr>
      <w:r>
        <w:rPr>
          <w:sz w:val="20"/>
          <w:szCs w:val="20"/>
        </w:rPr>
        <w:t>I</w:t>
      </w:r>
      <w:r>
        <w:rPr>
          <w:sz w:val="20"/>
          <w:szCs w:val="20"/>
        </w:rPr>
        <w:t xml:space="preserve">nterest and other income, net is primarily comprised of net interest income, which was $5.3 million and $1.3 million for 2022 and 2021, respectively. This interest income related to interest earned on various investments in marketable securities including </w:t>
      </w:r>
      <w:r>
        <w:rPr>
          <w:sz w:val="20"/>
          <w:szCs w:val="20"/>
        </w:rPr>
        <w:t>realized and holding gain (loss) on marketable equity securities, net of interest expenses incurred on our notes payable and a margin loan</w:t>
      </w:r>
      <w:r>
        <w:rPr>
          <w:sz w:val="20"/>
          <w:szCs w:val="20"/>
        </w:rPr>
        <w:t>.</w:t>
      </w:r>
    </w:p>
    <w:p w:rsidR="00000000" w:rsidRDefault="00477EE8">
      <w:pPr>
        <w:pStyle w:val="a3"/>
        <w:spacing w:before="240" w:beforeAutospacing="0" w:after="0" w:afterAutospacing="0"/>
        <w:jc w:val="center"/>
        <w:rPr>
          <w:sz w:val="20"/>
          <w:szCs w:val="20"/>
        </w:rPr>
      </w:pPr>
      <w:r>
        <w:rPr>
          <w:sz w:val="20"/>
          <w:szCs w:val="20"/>
        </w:rPr>
        <w:t>5</w:t>
      </w:r>
      <w:r>
        <w:rPr>
          <w:sz w:val="20"/>
          <w:szCs w:val="20"/>
        </w:rPr>
        <w:t>5</w:t>
      </w:r>
    </w:p>
    <w:p w:rsidR="00000000" w:rsidRDefault="00477EE8">
      <w:pPr>
        <w:rPr>
          <w:rFonts w:eastAsia="Times New Roman"/>
        </w:rPr>
      </w:pPr>
      <w:r>
        <w:rPr>
          <w:rFonts w:eastAsia="Times New Roman"/>
        </w:rPr>
        <w:pict>
          <v:rect id="_x0000_i1095" style="width:0;height:1.5pt" o:hralign="center" o:hrstd="t" o:hr="t" fillcolor="#a0a0a0" stroked="f"/>
        </w:pict>
      </w:r>
    </w:p>
    <w:p w:rsidR="00000000" w:rsidRDefault="00477EE8">
      <w:pPr>
        <w:pStyle w:val="a3"/>
        <w:spacing w:before="360" w:beforeAutospacing="0" w:after="0" w:afterAutospacing="0"/>
        <w:rPr>
          <w:sz w:val="20"/>
          <w:szCs w:val="20"/>
        </w:rPr>
      </w:pPr>
      <w:r>
        <w:rPr>
          <w:b/>
          <w:bCs/>
          <w:sz w:val="20"/>
          <w:szCs w:val="20"/>
        </w:rPr>
        <w:t>Provision for Income Taxe</w:t>
      </w:r>
      <w:r>
        <w:rPr>
          <w:b/>
          <w:bCs/>
          <w:sz w:val="20"/>
          <w:szCs w:val="20"/>
        </w:rPr>
        <w:t>s</w:t>
      </w:r>
    </w:p>
    <w:p w:rsidR="00000000" w:rsidRDefault="00477EE8">
      <w:pPr>
        <w:pStyle w:val="a3"/>
        <w:spacing w:before="120" w:beforeAutospacing="0" w:after="0" w:afterAutospacing="0"/>
        <w:ind w:firstLine="555"/>
        <w:rPr>
          <w:sz w:val="20"/>
          <w:szCs w:val="20"/>
        </w:rPr>
      </w:pPr>
      <w:r>
        <w:rPr>
          <w:sz w:val="20"/>
          <w:szCs w:val="20"/>
        </w:rPr>
        <w:t>Provision for income taxes were $42.1 million and</w:t>
      </w:r>
      <w:r>
        <w:rPr>
          <w:sz w:val="20"/>
          <w:szCs w:val="20"/>
        </w:rPr>
        <w:t xml:space="preserve"> $174.8 million in 2022 and 2021, respectively. The effective income tax rate was 22.7% and 25.8% of income before income taxes for 2022 and 2021, respectively. The decrease in the effective tax rate for 2022 relative to 2021 was primarily attributable to </w:t>
      </w:r>
      <w:r>
        <w:rPr>
          <w:sz w:val="20"/>
          <w:szCs w:val="20"/>
        </w:rPr>
        <w:t>international restructuring costs that were incurred in 2021 but not 2022</w:t>
      </w:r>
      <w:r>
        <w:rPr>
          <w:sz w:val="20"/>
          <w:szCs w:val="20"/>
        </w:rPr>
        <w:t>.</w:t>
      </w:r>
    </w:p>
    <w:p w:rsidR="00000000" w:rsidRDefault="00477EE8">
      <w:pPr>
        <w:pStyle w:val="a3"/>
        <w:spacing w:before="240" w:beforeAutospacing="0" w:after="0" w:afterAutospacing="0"/>
        <w:ind w:firstLine="555"/>
        <w:rPr>
          <w:sz w:val="20"/>
          <w:szCs w:val="20"/>
        </w:rPr>
      </w:pPr>
      <w:r>
        <w:rPr>
          <w:sz w:val="20"/>
          <w:szCs w:val="20"/>
        </w:rPr>
        <w:t>See Note 11,</w:t>
      </w:r>
      <w:r>
        <w:rPr>
          <w:sz w:val="20"/>
          <w:szCs w:val="20"/>
        </w:rPr>
        <w:t xml:space="preserve"> </w:t>
      </w:r>
      <w:r>
        <w:rPr>
          <w:i/>
          <w:iCs/>
          <w:sz w:val="20"/>
          <w:szCs w:val="20"/>
        </w:rPr>
        <w:t>Income Taxe</w:t>
      </w:r>
      <w:r>
        <w:rPr>
          <w:i/>
          <w:iCs/>
          <w:sz w:val="20"/>
          <w:szCs w:val="20"/>
        </w:rPr>
        <w:t>s</w:t>
      </w:r>
      <w:r>
        <w:rPr>
          <w:sz w:val="20"/>
          <w:szCs w:val="20"/>
        </w:rPr>
        <w:t>, to our consolidated financial statements included in this report for more information regarding our income taxes</w:t>
      </w:r>
      <w:r>
        <w:rPr>
          <w:sz w:val="20"/>
          <w:szCs w:val="20"/>
        </w:rPr>
        <w:t>.</w:t>
      </w:r>
    </w:p>
    <w:p w:rsidR="00000000" w:rsidRDefault="00477EE8">
      <w:pPr>
        <w:pStyle w:val="a3"/>
        <w:spacing w:before="360" w:beforeAutospacing="0" w:after="0" w:afterAutospacing="0"/>
        <w:rPr>
          <w:sz w:val="20"/>
          <w:szCs w:val="20"/>
        </w:rPr>
      </w:pPr>
      <w:r>
        <w:rPr>
          <w:b/>
          <w:bCs/>
          <w:sz w:val="20"/>
          <w:szCs w:val="20"/>
        </w:rPr>
        <w:t>Gain on Equity-Method Investmen</w:t>
      </w:r>
      <w:r>
        <w:rPr>
          <w:b/>
          <w:bCs/>
          <w:sz w:val="20"/>
          <w:szCs w:val="20"/>
        </w:rPr>
        <w:t>t</w:t>
      </w:r>
    </w:p>
    <w:p w:rsidR="00000000" w:rsidRDefault="00477EE8">
      <w:pPr>
        <w:pStyle w:val="a3"/>
        <w:spacing w:before="120" w:beforeAutospacing="0" w:after="0" w:afterAutospacing="0"/>
        <w:ind w:firstLine="555"/>
        <w:rPr>
          <w:sz w:val="20"/>
          <w:szCs w:val="20"/>
        </w:rPr>
      </w:pPr>
      <w:r>
        <w:rPr>
          <w:sz w:val="20"/>
          <w:szCs w:val="20"/>
        </w:rPr>
        <w:t>Gain on</w:t>
      </w:r>
      <w:r>
        <w:rPr>
          <w:sz w:val="20"/>
          <w:szCs w:val="20"/>
        </w:rPr>
        <w:t xml:space="preserve"> equity-method investment in 2021 related to our preexisting equity interest at Fujian Fujun Gene Biotech Co., Ltd., or FF Gene Biotech as a result of remeasuring to fair value our 30% equity interest held before the acquisition of FF Gene Biotech, or the </w:t>
      </w:r>
      <w:r>
        <w:rPr>
          <w:sz w:val="20"/>
          <w:szCs w:val="20"/>
        </w:rPr>
        <w:t xml:space="preserve">FF Gene Biotech Acquisition. The fair value of the preexisting equity interest was determined based on the characteristics before consummating the FF Gene Biotech Acquisition and estimated by applying income approach and utilizing the discounted cash flow </w:t>
      </w:r>
      <w:r>
        <w:rPr>
          <w:sz w:val="20"/>
          <w:szCs w:val="20"/>
        </w:rPr>
        <w:t>method</w:t>
      </w:r>
      <w:r>
        <w:rPr>
          <w:sz w:val="20"/>
          <w:szCs w:val="20"/>
        </w:rPr>
        <w:t>.</w:t>
      </w:r>
      <w:r>
        <w:rPr>
          <w:sz w:val="20"/>
          <w:szCs w:val="20"/>
        </w:rPr>
        <w:t xml:space="preserve"> </w:t>
      </w:r>
    </w:p>
    <w:p w:rsidR="00000000" w:rsidRDefault="00477EE8">
      <w:pPr>
        <w:pStyle w:val="a3"/>
        <w:spacing w:before="360" w:beforeAutospacing="0" w:after="0" w:afterAutospacing="0"/>
        <w:rPr>
          <w:sz w:val="20"/>
          <w:szCs w:val="20"/>
        </w:rPr>
      </w:pPr>
      <w:r>
        <w:rPr>
          <w:b/>
          <w:bCs/>
          <w:sz w:val="20"/>
          <w:szCs w:val="20"/>
        </w:rPr>
        <w:t>Net Loss Attributable to Noncontrolling Interes</w:t>
      </w:r>
      <w:r>
        <w:rPr>
          <w:b/>
          <w:bCs/>
          <w:sz w:val="20"/>
          <w:szCs w:val="20"/>
        </w:rPr>
        <w:t>t</w:t>
      </w:r>
    </w:p>
    <w:p w:rsidR="00000000" w:rsidRDefault="00477EE8">
      <w:pPr>
        <w:pStyle w:val="a3"/>
        <w:spacing w:before="120" w:beforeAutospacing="0" w:after="0" w:afterAutospacing="0"/>
        <w:ind w:firstLine="555"/>
        <w:rPr>
          <w:sz w:val="20"/>
          <w:szCs w:val="20"/>
        </w:rPr>
      </w:pPr>
      <w:r>
        <w:rPr>
          <w:sz w:val="20"/>
          <w:szCs w:val="20"/>
        </w:rPr>
        <w:t>Net loss attributable to noncontrolling interest represents net loss attributable to minority shareholders from entities not wholly owned</w:t>
      </w:r>
      <w:r>
        <w:rPr>
          <w:sz w:val="20"/>
          <w:szCs w:val="20"/>
        </w:rPr>
        <w:t>.</w:t>
      </w:r>
    </w:p>
    <w:p w:rsidR="00000000" w:rsidRDefault="00477EE8">
      <w:pPr>
        <w:pStyle w:val="a3"/>
        <w:spacing w:before="0" w:beforeAutospacing="0" w:after="0" w:afterAutospacing="0"/>
        <w:ind w:firstLine="555"/>
        <w:rPr>
          <w:sz w:val="20"/>
          <w:szCs w:val="20"/>
        </w:rPr>
      </w:pPr>
      <w:r>
        <w:rPr>
          <w:sz w:val="20"/>
          <w:szCs w:val="20"/>
        </w:rPr>
        <w:t> </w:t>
      </w:r>
    </w:p>
    <w:p w:rsidR="00000000" w:rsidRDefault="00477EE8">
      <w:pPr>
        <w:pStyle w:val="a3"/>
        <w:spacing w:before="240" w:beforeAutospacing="0" w:after="0" w:afterAutospacing="0"/>
        <w:jc w:val="center"/>
        <w:rPr>
          <w:sz w:val="20"/>
          <w:szCs w:val="20"/>
        </w:rPr>
      </w:pPr>
      <w:r>
        <w:rPr>
          <w:sz w:val="20"/>
          <w:szCs w:val="20"/>
        </w:rPr>
        <w:t>5</w:t>
      </w:r>
      <w:r>
        <w:rPr>
          <w:sz w:val="20"/>
          <w:szCs w:val="20"/>
        </w:rPr>
        <w:t>6</w:t>
      </w:r>
    </w:p>
    <w:p w:rsidR="00000000" w:rsidRDefault="00477EE8">
      <w:pPr>
        <w:rPr>
          <w:rFonts w:eastAsia="Times New Roman"/>
        </w:rPr>
      </w:pPr>
      <w:r>
        <w:rPr>
          <w:rFonts w:eastAsia="Times New Roman"/>
        </w:rPr>
        <w:pict>
          <v:rect id="_x0000_i1096" style="width:0;height:1.5pt" o:hralign="center" o:hrstd="t" o:hr="t" fillcolor="#a0a0a0" stroked="f"/>
        </w:pict>
      </w:r>
    </w:p>
    <w:p w:rsidR="00000000" w:rsidRDefault="00477EE8">
      <w:pPr>
        <w:pStyle w:val="a3"/>
        <w:spacing w:before="0" w:beforeAutospacing="0" w:after="0" w:afterAutospacing="0"/>
        <w:jc w:val="center"/>
        <w:rPr>
          <w:sz w:val="20"/>
          <w:szCs w:val="20"/>
        </w:rPr>
      </w:pPr>
      <w:r>
        <w:rPr>
          <w:b/>
          <w:bCs/>
          <w:sz w:val="20"/>
          <w:szCs w:val="20"/>
        </w:rPr>
        <w:t>Liquidity and Capi</w:t>
      </w:r>
      <w:r>
        <w:rPr>
          <w:b/>
          <w:bCs/>
          <w:sz w:val="20"/>
          <w:szCs w:val="20"/>
        </w:rPr>
        <w:t>tal Resource</w:t>
      </w:r>
      <w:r>
        <w:rPr>
          <w:b/>
          <w:bCs/>
          <w:sz w:val="20"/>
          <w:szCs w:val="20"/>
        </w:rPr>
        <w:t>s</w:t>
      </w:r>
    </w:p>
    <w:p w:rsidR="00000000" w:rsidRDefault="00477EE8">
      <w:pPr>
        <w:pStyle w:val="a3"/>
        <w:spacing w:before="240" w:beforeAutospacing="0" w:after="0" w:afterAutospacing="0"/>
        <w:rPr>
          <w:sz w:val="20"/>
          <w:szCs w:val="20"/>
        </w:rPr>
      </w:pPr>
      <w:r>
        <w:rPr>
          <w:b/>
          <w:bCs/>
          <w:sz w:val="20"/>
          <w:szCs w:val="20"/>
        </w:rPr>
        <w:t>Liquidity and Sources of Cas</w:t>
      </w:r>
      <w:r>
        <w:rPr>
          <w:b/>
          <w:bCs/>
          <w:sz w:val="20"/>
          <w:szCs w:val="20"/>
        </w:rPr>
        <w:t>h</w:t>
      </w:r>
    </w:p>
    <w:p w:rsidR="00000000" w:rsidRDefault="00477EE8">
      <w:pPr>
        <w:pStyle w:val="a3"/>
        <w:spacing w:before="120" w:beforeAutospacing="0" w:after="0" w:afterAutospacing="0"/>
        <w:ind w:firstLine="555"/>
        <w:rPr>
          <w:sz w:val="20"/>
          <w:szCs w:val="20"/>
        </w:rPr>
      </w:pPr>
      <w:r>
        <w:rPr>
          <w:sz w:val="20"/>
          <w:szCs w:val="20"/>
        </w:rPr>
        <w:t>We had $852.9 million and $935.5 million in cash, cash equivalents and marketable securities as of December 31, 2022 and 2021, respectively. Our marketable securities primarily consist of equity securities and corporate bonds, municipal bonds, and U.S. gov</w:t>
      </w:r>
      <w:r>
        <w:rPr>
          <w:sz w:val="20"/>
          <w:szCs w:val="20"/>
        </w:rPr>
        <w:t>ernment and U.S. agency debt securities, U.S. treasury bills, and Yankee debt securities as of December 31, 2022 and 2021</w:t>
      </w:r>
      <w:r>
        <w:rPr>
          <w:sz w:val="20"/>
          <w:szCs w:val="20"/>
        </w:rPr>
        <w:t>.</w:t>
      </w:r>
    </w:p>
    <w:p w:rsidR="00000000" w:rsidRDefault="00477EE8">
      <w:pPr>
        <w:pStyle w:val="a3"/>
        <w:spacing w:before="240" w:beforeAutospacing="0" w:after="0" w:afterAutospacing="0"/>
        <w:ind w:firstLine="555"/>
        <w:rPr>
          <w:sz w:val="20"/>
          <w:szCs w:val="20"/>
        </w:rPr>
      </w:pPr>
      <w:r>
        <w:rPr>
          <w:sz w:val="20"/>
          <w:szCs w:val="20"/>
        </w:rPr>
        <w:t>Our primary uses of cash are to fund our operations and to fund strategic acquisitions as we continue to invest in and seek to grow o</w:t>
      </w:r>
      <w:r>
        <w:rPr>
          <w:sz w:val="20"/>
          <w:szCs w:val="20"/>
        </w:rPr>
        <w:t>ur business. Cash used to fund operating expenses is impacted by the timing of our expense payments, as reflected in the changes in our outstanding accounts payable and accrued expenses</w:t>
      </w:r>
      <w:r>
        <w:rPr>
          <w:sz w:val="20"/>
          <w:szCs w:val="20"/>
        </w:rPr>
        <w:t>.</w:t>
      </w:r>
      <w:r>
        <w:rPr>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We believe our existing cash, cash equivalent, and short-term market</w:t>
      </w:r>
      <w:r>
        <w:rPr>
          <w:sz w:val="20"/>
          <w:szCs w:val="20"/>
        </w:rPr>
        <w:t>able securities will be sufficient to meet our anticipated cash requirements for at least the next 12 months. Cash provided by operations has significantly contributed to our ability to meet our liquidity needs, including paying for capital expenditures, h</w:t>
      </w:r>
      <w:r>
        <w:rPr>
          <w:sz w:val="20"/>
          <w:szCs w:val="20"/>
        </w:rPr>
        <w:t>owever, cash provided by our operations has in the past experienced fluctuations from period to period, which we expect may continue in the future. These fluctuations can occur because of a variety of factors, including, among others, factors relating to t</w:t>
      </w:r>
      <w:r>
        <w:rPr>
          <w:sz w:val="20"/>
          <w:szCs w:val="20"/>
        </w:rPr>
        <w:t>he demand for our tests, the amount and timing of sales, the prices we charge for our tests due to changes in product mix, customer mix, general price degradation for tests, or other factors, the rate and timing of our billing and collections cycles and th</w:t>
      </w:r>
      <w:r>
        <w:rPr>
          <w:sz w:val="20"/>
          <w:szCs w:val="20"/>
        </w:rPr>
        <w:t>e timing and amount of our commitments and other payments. Moreover, even if our liquidity expectations are correct, we may still seek to raise additional capital through securities offerings, credit facilities or other debt financings, asset sales or coll</w:t>
      </w:r>
      <w:r>
        <w:rPr>
          <w:sz w:val="20"/>
          <w:szCs w:val="20"/>
        </w:rPr>
        <w:t>aborations or licensing arrangements</w:t>
      </w:r>
      <w:r>
        <w:rPr>
          <w:sz w:val="20"/>
          <w:szCs w:val="20"/>
        </w:rPr>
        <w:t>.</w:t>
      </w:r>
    </w:p>
    <w:p w:rsidR="00000000" w:rsidRDefault="00477EE8">
      <w:pPr>
        <w:pStyle w:val="a3"/>
        <w:spacing w:before="240" w:beforeAutospacing="0" w:after="0" w:afterAutospacing="0"/>
        <w:ind w:firstLine="555"/>
        <w:rPr>
          <w:sz w:val="20"/>
          <w:szCs w:val="20"/>
        </w:rPr>
      </w:pPr>
      <w:r>
        <w:rPr>
          <w:sz w:val="20"/>
          <w:szCs w:val="20"/>
        </w:rPr>
        <w:t>If we raise additional funds by issuing equity securities, our existing stockholders could experience substantial dilution. Additionally, any preferred stock we issue could provide for rights, preferences or privileges</w:t>
      </w:r>
      <w:r>
        <w:rPr>
          <w:sz w:val="20"/>
          <w:szCs w:val="20"/>
        </w:rPr>
        <w:t xml:space="preserve"> senior to those of our common stock, and our issuance of any additional equity securities, or the possibility of such an issuance, could cause the market price of our common stock to decline. The terms of any debt securities we issue or borrowings we incu</w:t>
      </w:r>
      <w:r>
        <w:rPr>
          <w:sz w:val="20"/>
          <w:szCs w:val="20"/>
        </w:rPr>
        <w:t>r, if available, could impose significant restrictions on our operations, such as limitations on our ability to incur additional debt or issue additional equity or other restrictions that could adversely affect our ability to conduct our business, and woul</w:t>
      </w:r>
      <w:r>
        <w:rPr>
          <w:sz w:val="20"/>
          <w:szCs w:val="20"/>
        </w:rPr>
        <w:t>d result in increased fixed payment obligations. If we seek to sell assets or enter into collaborations or licensing arrangements to raise capital, we may be required to accept unfavorable terms or relinquish or license to a third party our rights to impor</w:t>
      </w:r>
      <w:r>
        <w:rPr>
          <w:sz w:val="20"/>
          <w:szCs w:val="20"/>
        </w:rPr>
        <w:t>tant or valuable technologies or tests we may otherwise seek to develop ourselves. Moreover, we may incur substantial costs in pursuing future capital, including investment banking, legal and accounting fees, printing and distribution expenses and other si</w:t>
      </w:r>
      <w:r>
        <w:rPr>
          <w:sz w:val="20"/>
          <w:szCs w:val="20"/>
        </w:rPr>
        <w:t xml:space="preserve">milar costs. Additional funding may not be available to us when needed, on acceptable terms or at all. If we are not able to secure funding if and when needed and on reasonable terms, we may be forced to delay, reduce the scope of or eliminate one or more </w:t>
      </w:r>
      <w:r>
        <w:rPr>
          <w:sz w:val="20"/>
          <w:szCs w:val="20"/>
        </w:rPr>
        <w:t>sales and marketing initiatives, research and development programs or other growth plans or strategies. In addition, we may be forced to work with a partner on one or more aspects of our tests or market development programs or initiatives, which could lowe</w:t>
      </w:r>
      <w:r>
        <w:rPr>
          <w:sz w:val="20"/>
          <w:szCs w:val="20"/>
        </w:rPr>
        <w:t>r the economic value to us of these tests, programs or initiatives. Any such outcome could significantly harm our business, performance and prospects</w:t>
      </w:r>
      <w:r>
        <w:rPr>
          <w:sz w:val="20"/>
          <w:szCs w:val="20"/>
        </w:rPr>
        <w:t>.</w:t>
      </w:r>
    </w:p>
    <w:p w:rsidR="00000000" w:rsidRDefault="00477EE8">
      <w:pPr>
        <w:pStyle w:val="a3"/>
        <w:spacing w:before="360" w:beforeAutospacing="0" w:after="0" w:afterAutospacing="0"/>
        <w:rPr>
          <w:sz w:val="20"/>
          <w:szCs w:val="20"/>
        </w:rPr>
      </w:pPr>
      <w:r>
        <w:rPr>
          <w:b/>
          <w:bCs/>
          <w:sz w:val="20"/>
          <w:szCs w:val="20"/>
        </w:rPr>
        <w:t>Cash Flow</w:t>
      </w:r>
      <w:r>
        <w:rPr>
          <w:b/>
          <w:bCs/>
          <w:sz w:val="20"/>
          <w:szCs w:val="20"/>
        </w:rPr>
        <w:t>s</w:t>
      </w:r>
    </w:p>
    <w:p w:rsidR="00000000" w:rsidRDefault="00477EE8">
      <w:pPr>
        <w:pStyle w:val="a3"/>
        <w:spacing w:before="120" w:beforeAutospacing="0" w:after="0" w:afterAutospacing="0"/>
        <w:ind w:firstLine="555"/>
        <w:rPr>
          <w:sz w:val="20"/>
          <w:szCs w:val="20"/>
        </w:rPr>
      </w:pPr>
      <w:r>
        <w:rPr>
          <w:sz w:val="20"/>
          <w:szCs w:val="20"/>
        </w:rPr>
        <w:t>The following table summarizes cash flows from continuing operations for each of the periods p</w:t>
      </w:r>
      <w:r>
        <w:rPr>
          <w:sz w:val="20"/>
          <w:szCs w:val="20"/>
        </w:rPr>
        <w:t>resented</w:t>
      </w:r>
      <w:r>
        <w:rPr>
          <w:sz w:val="20"/>
          <w:szCs w:val="20"/>
        </w:rPr>
        <w:t>:</w:t>
      </w:r>
    </w:p>
    <w:p w:rsidR="00000000" w:rsidRDefault="00477EE8">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76"/>
        <w:gridCol w:w="160"/>
        <w:gridCol w:w="1339"/>
        <w:gridCol w:w="127"/>
        <w:gridCol w:w="145"/>
        <w:gridCol w:w="160"/>
        <w:gridCol w:w="1357"/>
        <w:gridCol w:w="142"/>
      </w:tblGrid>
      <w:tr w:rsidR="00000000">
        <w:trPr>
          <w:tblCellSpacing w:w="15" w:type="dxa"/>
        </w:trPr>
        <w:tc>
          <w:tcPr>
            <w:tcW w:w="3026"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835"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92"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846"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477EE8">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6"/>
            <w:vAlign w:val="bottom"/>
            <w:hideMark/>
          </w:tcPr>
          <w:p w:rsidR="00000000" w:rsidRDefault="00477EE8">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Net cash provided by operating activitie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253,52</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538,57</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Net cash used in investing activitie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(261,31</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(546,54</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Net cash (used in) provided by financing activitie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(77,14</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85,40</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0" w:beforeAutospacing="0" w:after="0" w:afterAutospacing="0"/>
        <w:rPr>
          <w:sz w:val="20"/>
          <w:szCs w:val="20"/>
        </w:rPr>
      </w:pPr>
      <w:r>
        <w:t> </w:t>
      </w:r>
    </w:p>
    <w:p w:rsidR="00000000" w:rsidRDefault="00477EE8">
      <w:pPr>
        <w:pStyle w:val="a3"/>
        <w:spacing w:before="120" w:beforeAutospacing="0" w:after="0" w:afterAutospacing="0"/>
        <w:ind w:firstLine="555"/>
        <w:rPr>
          <w:sz w:val="20"/>
          <w:szCs w:val="20"/>
        </w:rPr>
      </w:pPr>
      <w:r>
        <w:rPr>
          <w:i/>
          <w:iCs/>
          <w:sz w:val="20"/>
          <w:szCs w:val="20"/>
        </w:rPr>
        <w:t>Operating Activitie</w:t>
      </w:r>
      <w:r>
        <w:rPr>
          <w:i/>
          <w:iCs/>
          <w:sz w:val="20"/>
          <w:szCs w:val="20"/>
        </w:rPr>
        <w:t>s</w:t>
      </w:r>
    </w:p>
    <w:p w:rsidR="00000000" w:rsidRDefault="00477EE8">
      <w:pPr>
        <w:pStyle w:val="a3"/>
        <w:spacing w:before="120" w:beforeAutospacing="0" w:after="0" w:afterAutospacing="0"/>
        <w:ind w:firstLine="555"/>
        <w:rPr>
          <w:sz w:val="20"/>
          <w:szCs w:val="20"/>
        </w:rPr>
      </w:pPr>
      <w:r>
        <w:rPr>
          <w:sz w:val="20"/>
          <w:szCs w:val="20"/>
        </w:rPr>
        <w:t>Cash provided by operating activities in 2022 was $253.5 million. The difference between net income and net cash provided by operating activities for the period was primarily due to the effect of $32.7 million in the depreciation and amortization, $32.6 mi</w:t>
      </w:r>
      <w:r>
        <w:rPr>
          <w:sz w:val="20"/>
          <w:szCs w:val="20"/>
        </w:rPr>
        <w:t>llion in equity-based compensation expenses, $32.6 million in provision for credit losses, $9.1 million in unrecognized tax benefits, $4.9 million in noncash lease expenses, $4.8 million in amortization of premium on marketable securities, and partially of</w:t>
      </w:r>
      <w:r>
        <w:rPr>
          <w:sz w:val="20"/>
          <w:szCs w:val="20"/>
        </w:rPr>
        <w:t>fset by $8.3 million in deferred taxes. Changes in operating assets and liabilities primarily consisted of a decrease of $68.6 million in accounts receivable mainly due to the timing of collections, and partially offset by a negative impact on decreases of</w:t>
      </w:r>
      <w:r>
        <w:rPr>
          <w:sz w:val="20"/>
          <w:szCs w:val="20"/>
        </w:rPr>
        <w:t xml:space="preserve"> $31.3 million in other current and non-current liabilities related to decreased accrued liabilities, customer deposits and contract liabilities, $25.3 million i</w:t>
      </w:r>
      <w:r>
        <w:rPr>
          <w:sz w:val="20"/>
          <w:szCs w:val="20"/>
        </w:rPr>
        <w:t>n</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5</w:t>
      </w:r>
      <w:r>
        <w:rPr>
          <w:sz w:val="20"/>
          <w:szCs w:val="20"/>
        </w:rPr>
        <w:t>7</w:t>
      </w:r>
    </w:p>
    <w:p w:rsidR="00000000" w:rsidRDefault="00477EE8">
      <w:pPr>
        <w:rPr>
          <w:rFonts w:eastAsia="Times New Roman"/>
        </w:rPr>
      </w:pPr>
      <w:r>
        <w:rPr>
          <w:rFonts w:eastAsia="Times New Roman"/>
        </w:rPr>
        <w:pict>
          <v:rect id="_x0000_i1097" style="width:0;height:1.5pt" o:hralign="center" o:hrstd="t" o:hr="t" fillcolor="#a0a0a0" stroked="f"/>
        </w:pict>
      </w:r>
    </w:p>
    <w:p w:rsidR="00000000" w:rsidRDefault="00477EE8">
      <w:pPr>
        <w:pStyle w:val="a3"/>
        <w:spacing w:before="120" w:beforeAutospacing="0" w:after="0" w:afterAutospacing="0"/>
        <w:rPr>
          <w:sz w:val="20"/>
          <w:szCs w:val="20"/>
        </w:rPr>
      </w:pPr>
      <w:r>
        <w:rPr>
          <w:sz w:val="20"/>
          <w:szCs w:val="20"/>
        </w:rPr>
        <w:t>accounts payable mainly due to the timing of payment</w:t>
      </w:r>
      <w:r>
        <w:rPr>
          <w:sz w:val="20"/>
          <w:szCs w:val="20"/>
        </w:rPr>
        <w:t>s, and $4.8 million in operating and finance lease liabilities and an increase of $4.3 million in other current and long-term assets</w:t>
      </w:r>
      <w:r>
        <w:rPr>
          <w:sz w:val="20"/>
          <w:szCs w:val="20"/>
        </w:rPr>
        <w:t>.</w:t>
      </w:r>
      <w:r>
        <w:rPr>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Cash provided by operating activities in 2021 was $538.6 million. The difference between net income and net cash provided</w:t>
      </w:r>
      <w:r>
        <w:rPr>
          <w:sz w:val="20"/>
          <w:szCs w:val="20"/>
        </w:rPr>
        <w:t xml:space="preserve"> by operating activities for the period was primarily due to the effect of $15.9 million in equity-based compensation expenses and $11.0 million in the depreciation and amortization. Changes in operating assets and liabilities primarily consisted of decrea</w:t>
      </w:r>
      <w:r>
        <w:rPr>
          <w:sz w:val="20"/>
          <w:szCs w:val="20"/>
        </w:rPr>
        <w:t>ses of $52.5 million in income tax payable due to tax payments made during the current period and $12.2 million in accounts payable partially offset by the negative impact of a decrease of $42.3 million in accounts receivable mainly due to the timing of co</w:t>
      </w:r>
      <w:r>
        <w:rPr>
          <w:sz w:val="20"/>
          <w:szCs w:val="20"/>
        </w:rPr>
        <w:t>llections from customers and an increase of $13.1 million in accrued and other liabilities primary due to increased customer deposits and bonus accrual</w:t>
      </w:r>
      <w:r>
        <w:rPr>
          <w:sz w:val="20"/>
          <w:szCs w:val="20"/>
        </w:rPr>
        <w:t>.</w:t>
      </w:r>
    </w:p>
    <w:p w:rsidR="00000000" w:rsidRDefault="00477EE8">
      <w:pPr>
        <w:pStyle w:val="a3"/>
        <w:spacing w:before="360" w:beforeAutospacing="0" w:after="0" w:afterAutospacing="0"/>
        <w:ind w:firstLine="555"/>
        <w:rPr>
          <w:sz w:val="20"/>
          <w:szCs w:val="20"/>
        </w:rPr>
      </w:pPr>
      <w:r>
        <w:rPr>
          <w:i/>
          <w:iCs/>
          <w:sz w:val="20"/>
          <w:szCs w:val="20"/>
        </w:rPr>
        <w:t>Investing Activitie</w:t>
      </w:r>
      <w:r>
        <w:rPr>
          <w:i/>
          <w:iCs/>
          <w:sz w:val="20"/>
          <w:szCs w:val="20"/>
        </w:rPr>
        <w:t>s</w:t>
      </w:r>
    </w:p>
    <w:p w:rsidR="00000000" w:rsidRDefault="00477EE8">
      <w:pPr>
        <w:pStyle w:val="a3"/>
        <w:spacing w:before="120" w:beforeAutospacing="0" w:after="0" w:afterAutospacing="0"/>
        <w:ind w:firstLine="555"/>
        <w:rPr>
          <w:sz w:val="20"/>
          <w:szCs w:val="20"/>
        </w:rPr>
      </w:pPr>
      <w:r>
        <w:rPr>
          <w:sz w:val="20"/>
          <w:szCs w:val="20"/>
        </w:rPr>
        <w:t xml:space="preserve">Cash used in investing activities in 2022 was $261.3 million, which primarily related to $418.0 million in purchase of marketable securities, $172.7 million related to business acquisitions, $18.8 million related to the purchase of fixed assets consisting </w:t>
      </w:r>
      <w:r>
        <w:rPr>
          <w:sz w:val="20"/>
          <w:szCs w:val="20"/>
        </w:rPr>
        <w:t xml:space="preserve">mainly of medical laboratory equipment and building improvement, $15.0 million related to the purchase of redeemable preferred stock and $10.0 million related to contingent consideration payouts related to business acquisitions, partially offset by $232.5 </w:t>
      </w:r>
      <w:r>
        <w:rPr>
          <w:sz w:val="20"/>
          <w:szCs w:val="20"/>
        </w:rPr>
        <w:t>million related to maturities of marketable securities and $140.2 million related to proceeds from sales of marketable securities</w:t>
      </w:r>
      <w:r>
        <w:rPr>
          <w:sz w:val="20"/>
          <w:szCs w:val="20"/>
        </w:rPr>
        <w:t>.</w:t>
      </w:r>
    </w:p>
    <w:p w:rsidR="00000000" w:rsidRDefault="00477EE8">
      <w:pPr>
        <w:pStyle w:val="a3"/>
        <w:spacing w:before="240" w:beforeAutospacing="0" w:after="0" w:afterAutospacing="0"/>
        <w:ind w:firstLine="555"/>
        <w:rPr>
          <w:sz w:val="20"/>
          <w:szCs w:val="20"/>
        </w:rPr>
      </w:pPr>
      <w:r>
        <w:rPr>
          <w:sz w:val="20"/>
          <w:szCs w:val="20"/>
        </w:rPr>
        <w:t>Cash used in investing activities in 2021 was $546.5 million, which primarily related to $710.5 million in purchases of marke</w:t>
      </w:r>
      <w:r>
        <w:rPr>
          <w:sz w:val="20"/>
          <w:szCs w:val="20"/>
        </w:rPr>
        <w:t>table securities, $61.9 million related to business acquisitions, $23.8 million related to the purchase of fixed assets consisting mainly of medical laboratory equipment and building improvement, and $20.0 million related to the purchase of redeemable pref</w:t>
      </w:r>
      <w:r>
        <w:rPr>
          <w:sz w:val="20"/>
          <w:szCs w:val="20"/>
        </w:rPr>
        <w:t>erred stock, partially offset by proceeds of $185.7 million related to sales of marketable securities and $83.8 million related to maturities of marketable securities</w:t>
      </w:r>
      <w:r>
        <w:rPr>
          <w:sz w:val="20"/>
          <w:szCs w:val="20"/>
        </w:rPr>
        <w:t>.</w:t>
      </w:r>
    </w:p>
    <w:p w:rsidR="00000000" w:rsidRDefault="00477EE8">
      <w:pPr>
        <w:pStyle w:val="a3"/>
        <w:spacing w:before="360" w:beforeAutospacing="0" w:after="0" w:afterAutospacing="0"/>
        <w:ind w:firstLine="555"/>
        <w:rPr>
          <w:sz w:val="20"/>
          <w:szCs w:val="20"/>
        </w:rPr>
      </w:pPr>
      <w:r>
        <w:rPr>
          <w:i/>
          <w:iCs/>
          <w:sz w:val="20"/>
          <w:szCs w:val="20"/>
        </w:rPr>
        <w:t>Financing Activitie</w:t>
      </w:r>
      <w:r>
        <w:rPr>
          <w:i/>
          <w:iCs/>
          <w:sz w:val="20"/>
          <w:szCs w:val="20"/>
        </w:rPr>
        <w:t>s</w:t>
      </w:r>
    </w:p>
    <w:p w:rsidR="00000000" w:rsidRDefault="00477EE8">
      <w:pPr>
        <w:pStyle w:val="a3"/>
        <w:spacing w:before="120" w:beforeAutospacing="0" w:after="0" w:afterAutospacing="0"/>
        <w:ind w:firstLine="555"/>
        <w:rPr>
          <w:sz w:val="20"/>
          <w:szCs w:val="20"/>
        </w:rPr>
      </w:pPr>
      <w:r>
        <w:rPr>
          <w:sz w:val="20"/>
          <w:szCs w:val="20"/>
        </w:rPr>
        <w:t xml:space="preserve">Cash used in financing activities in 2022 was $77.1 million, which </w:t>
      </w:r>
      <w:r>
        <w:rPr>
          <w:sz w:val="20"/>
          <w:szCs w:val="20"/>
        </w:rPr>
        <w:t>primarily related to $74.3 million used in the repurchase of common stock and $1.8 million used in common stock withholding for employee tax obligations</w:t>
      </w:r>
      <w:r>
        <w:rPr>
          <w:sz w:val="20"/>
          <w:szCs w:val="20"/>
        </w:rPr>
        <w:t>.</w:t>
      </w:r>
    </w:p>
    <w:p w:rsidR="00000000" w:rsidRDefault="00477EE8">
      <w:pPr>
        <w:pStyle w:val="a3"/>
        <w:spacing w:before="240" w:beforeAutospacing="0" w:after="0" w:afterAutospacing="0"/>
        <w:ind w:firstLine="555"/>
        <w:rPr>
          <w:sz w:val="20"/>
          <w:szCs w:val="20"/>
        </w:rPr>
      </w:pPr>
      <w:r>
        <w:rPr>
          <w:sz w:val="20"/>
          <w:szCs w:val="20"/>
        </w:rPr>
        <w:t>Cash provided by financing activities in 2021 was $85.4 million, which primarily related to $89.5 mill</w:t>
      </w:r>
      <w:r>
        <w:rPr>
          <w:sz w:val="20"/>
          <w:szCs w:val="20"/>
        </w:rPr>
        <w:t>ion proceeds from an equity distribution agreement, partially offset by $4.2 million in common stock withholding for employee tax obligations.</w:t>
      </w:r>
      <w:r>
        <w:rPr>
          <w:sz w:val="20"/>
          <w:szCs w:val="20"/>
        </w:rPr>
        <w:br/>
      </w:r>
      <w:r>
        <w:rPr>
          <w:sz w:val="20"/>
          <w:szCs w:val="20"/>
        </w:rPr>
        <w:t> </w:t>
      </w:r>
    </w:p>
    <w:p w:rsidR="00000000" w:rsidRDefault="00477EE8">
      <w:pPr>
        <w:pStyle w:val="a3"/>
        <w:spacing w:before="360" w:beforeAutospacing="0" w:after="0" w:afterAutospacing="0"/>
        <w:rPr>
          <w:sz w:val="20"/>
          <w:szCs w:val="20"/>
        </w:rPr>
      </w:pPr>
      <w:r>
        <w:rPr>
          <w:b/>
          <w:bCs/>
          <w:sz w:val="20"/>
          <w:szCs w:val="20"/>
        </w:rPr>
        <w:t>Stock Repurchase Progra</w:t>
      </w:r>
      <w:r>
        <w:rPr>
          <w:b/>
          <w:bCs/>
          <w:sz w:val="20"/>
          <w:szCs w:val="20"/>
        </w:rPr>
        <w:t>m</w:t>
      </w:r>
    </w:p>
    <w:p w:rsidR="00000000" w:rsidRDefault="00477EE8">
      <w:pPr>
        <w:pStyle w:val="a3"/>
        <w:spacing w:before="120" w:beforeAutospacing="0" w:after="0" w:afterAutospacing="0"/>
        <w:ind w:firstLine="555"/>
        <w:rPr>
          <w:sz w:val="20"/>
          <w:szCs w:val="20"/>
        </w:rPr>
      </w:pPr>
      <w:r>
        <w:rPr>
          <w:sz w:val="20"/>
          <w:szCs w:val="20"/>
        </w:rPr>
        <w:t>In March 2022, our Board authorized a $250.0 million stock repurchase program. The sto</w:t>
      </w:r>
      <w:r>
        <w:rPr>
          <w:sz w:val="20"/>
          <w:szCs w:val="20"/>
        </w:rPr>
        <w:t>ck repurchase program has no expiration from the date of authorization. Under the stock repurchase program, the Company may repurchase shares from time to time in the open market or in privately negotiated transactions</w:t>
      </w:r>
      <w:r>
        <w:rPr>
          <w:sz w:val="20"/>
          <w:szCs w:val="20"/>
        </w:rPr>
        <w:t>.</w:t>
      </w:r>
    </w:p>
    <w:p w:rsidR="00000000" w:rsidRDefault="00477EE8">
      <w:pPr>
        <w:pStyle w:val="a3"/>
        <w:spacing w:before="240" w:beforeAutospacing="0" w:after="0" w:afterAutospacing="0"/>
        <w:ind w:firstLine="555"/>
        <w:rPr>
          <w:sz w:val="20"/>
          <w:szCs w:val="20"/>
        </w:rPr>
      </w:pPr>
      <w:r>
        <w:rPr>
          <w:sz w:val="20"/>
          <w:szCs w:val="20"/>
        </w:rPr>
        <w:t>During the year ended December 31 20</w:t>
      </w:r>
      <w:r>
        <w:rPr>
          <w:sz w:val="20"/>
          <w:szCs w:val="20"/>
        </w:rPr>
        <w:t>22, we repurchased 1.8 million shares of our common stock at an aggregate cost of $74.3 million under the stock repurchase program. As of December 31, 2022, a total of approximately $175.7 million remained available for future repurchases of our common sto</w:t>
      </w:r>
      <w:r>
        <w:rPr>
          <w:sz w:val="20"/>
          <w:szCs w:val="20"/>
        </w:rPr>
        <w:t>ck under our stock repurchase programs</w:t>
      </w:r>
      <w:r>
        <w:rPr>
          <w:sz w:val="20"/>
          <w:szCs w:val="20"/>
        </w:rPr>
        <w:t>.</w:t>
      </w:r>
    </w:p>
    <w:p w:rsidR="00000000" w:rsidRDefault="00477EE8">
      <w:pPr>
        <w:pStyle w:val="a3"/>
        <w:spacing w:before="360" w:beforeAutospacing="0" w:after="0" w:afterAutospacing="0"/>
        <w:rPr>
          <w:sz w:val="20"/>
          <w:szCs w:val="20"/>
        </w:rPr>
      </w:pPr>
      <w:r>
        <w:rPr>
          <w:b/>
          <w:bCs/>
          <w:sz w:val="20"/>
          <w:szCs w:val="20"/>
        </w:rPr>
        <w:t>Material Cash Requirements and Contractual Obligations as of December 31, 202</w:t>
      </w:r>
      <w:r>
        <w:rPr>
          <w:b/>
          <w:bCs/>
          <w:sz w:val="20"/>
          <w:szCs w:val="20"/>
        </w:rPr>
        <w:t>2</w:t>
      </w:r>
    </w:p>
    <w:p w:rsidR="00000000" w:rsidRDefault="00477EE8">
      <w:pPr>
        <w:pStyle w:val="a3"/>
        <w:spacing w:before="120" w:beforeAutospacing="0" w:after="0" w:afterAutospacing="0"/>
        <w:ind w:firstLine="555"/>
        <w:rPr>
          <w:sz w:val="20"/>
          <w:szCs w:val="20"/>
        </w:rPr>
      </w:pPr>
      <w:r>
        <w:rPr>
          <w:sz w:val="20"/>
          <w:szCs w:val="20"/>
        </w:rPr>
        <w:t>As of December 31, 2022, we have an outstanding balance of $15.0 million under our margin account, $5.2 million in notes payable to Xilon</w:t>
      </w:r>
      <w:r>
        <w:rPr>
          <w:sz w:val="20"/>
          <w:szCs w:val="20"/>
        </w:rPr>
        <w:t>g Scientific, which is due in March 2023, and $3.8 million of an installment loan, of which, the current portion is $461,000. See Note 8,</w:t>
      </w:r>
      <w:r>
        <w:rPr>
          <w:sz w:val="20"/>
          <w:szCs w:val="20"/>
        </w:rPr>
        <w:t xml:space="preserve"> </w:t>
      </w:r>
      <w:r>
        <w:rPr>
          <w:i/>
          <w:iCs/>
          <w:sz w:val="20"/>
          <w:szCs w:val="20"/>
        </w:rPr>
        <w:t>Debt, Commitments and Contingencie</w:t>
      </w:r>
      <w:r>
        <w:rPr>
          <w:i/>
          <w:iCs/>
          <w:sz w:val="20"/>
          <w:szCs w:val="20"/>
        </w:rPr>
        <w:t>s</w:t>
      </w:r>
      <w:r>
        <w:rPr>
          <w:sz w:val="20"/>
          <w:szCs w:val="20"/>
        </w:rPr>
        <w:t>, of our consolidated financial statements included in this report</w:t>
      </w:r>
      <w:r>
        <w:rPr>
          <w:sz w:val="20"/>
          <w:szCs w:val="20"/>
        </w:rPr>
        <w:t>.</w:t>
      </w:r>
    </w:p>
    <w:p w:rsidR="00000000" w:rsidRDefault="00477EE8">
      <w:pPr>
        <w:pStyle w:val="a3"/>
        <w:spacing w:before="240" w:beforeAutospacing="0" w:after="0" w:afterAutospacing="0"/>
        <w:ind w:firstLine="555"/>
        <w:rPr>
          <w:sz w:val="20"/>
          <w:szCs w:val="20"/>
        </w:rPr>
      </w:pPr>
      <w:r>
        <w:rPr>
          <w:sz w:val="20"/>
          <w:szCs w:val="20"/>
        </w:rPr>
        <w:t>The following s</w:t>
      </w:r>
      <w:r>
        <w:rPr>
          <w:sz w:val="20"/>
          <w:szCs w:val="20"/>
        </w:rPr>
        <w:t>ummarizes our contractual obligations as of December 31, 2022</w:t>
      </w:r>
      <w:r>
        <w:rPr>
          <w:sz w:val="20"/>
          <w:szCs w:val="20"/>
        </w:rPr>
        <w:t>:</w:t>
      </w:r>
    </w:p>
    <w:p w:rsidR="00000000" w:rsidRDefault="00477EE8">
      <w:pPr>
        <w:pStyle w:val="a3"/>
        <w:spacing w:before="0" w:beforeAutospacing="0" w:after="0" w:afterAutospacing="0"/>
        <w:ind w:firstLine="55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28"/>
        <w:gridCol w:w="160"/>
        <w:gridCol w:w="730"/>
        <w:gridCol w:w="110"/>
        <w:gridCol w:w="110"/>
        <w:gridCol w:w="160"/>
        <w:gridCol w:w="703"/>
        <w:gridCol w:w="110"/>
        <w:gridCol w:w="110"/>
        <w:gridCol w:w="160"/>
        <w:gridCol w:w="703"/>
        <w:gridCol w:w="110"/>
        <w:gridCol w:w="110"/>
        <w:gridCol w:w="160"/>
        <w:gridCol w:w="703"/>
        <w:gridCol w:w="110"/>
        <w:gridCol w:w="110"/>
        <w:gridCol w:w="160"/>
        <w:gridCol w:w="734"/>
        <w:gridCol w:w="125"/>
      </w:tblGrid>
      <w:tr w:rsidR="00000000">
        <w:trPr>
          <w:tblCellSpacing w:w="15" w:type="dxa"/>
        </w:trPr>
        <w:tc>
          <w:tcPr>
            <w:tcW w:w="1894"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474"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3"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474"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3"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474"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3"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474"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3"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494"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18"/>
            <w:vAlign w:val="bottom"/>
            <w:hideMark/>
          </w:tcPr>
          <w:p w:rsidR="00000000" w:rsidRDefault="00477EE8">
            <w:pPr>
              <w:pStyle w:val="a3"/>
              <w:spacing w:before="0" w:beforeAutospacing="0" w:after="0" w:afterAutospacing="0"/>
              <w:jc w:val="center"/>
              <w:rPr>
                <w:sz w:val="16"/>
                <w:szCs w:val="16"/>
              </w:rPr>
            </w:pPr>
            <w:r>
              <w:rPr>
                <w:b/>
                <w:bCs/>
                <w:sz w:val="16"/>
                <w:szCs w:val="16"/>
              </w:rPr>
              <w:t>Payments Due by Perio</w:t>
            </w:r>
            <w:r>
              <w:rPr>
                <w:b/>
                <w:bCs/>
                <w:sz w:val="16"/>
                <w:szCs w:val="16"/>
              </w:rPr>
              <w:t>d</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Less than 1 yea</w:t>
            </w:r>
            <w:r>
              <w:rPr>
                <w:b/>
                <w:bCs/>
                <w:sz w:val="16"/>
                <w:szCs w:val="16"/>
              </w:rPr>
              <w:t>r</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1-3 year</w:t>
            </w:r>
            <w:r>
              <w:rPr>
                <w:b/>
                <w:bCs/>
                <w:sz w:val="16"/>
                <w:szCs w:val="16"/>
              </w:rPr>
              <w:t>s</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3-5 year</w:t>
            </w:r>
            <w:r>
              <w:rPr>
                <w:b/>
                <w:bCs/>
                <w:sz w:val="16"/>
                <w:szCs w:val="16"/>
              </w:rPr>
              <w:t>s</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More than 5 year</w:t>
            </w:r>
            <w:r>
              <w:rPr>
                <w:b/>
                <w:bCs/>
                <w:sz w:val="16"/>
                <w:szCs w:val="16"/>
              </w:rPr>
              <w:t>s</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18"/>
            <w:vAlign w:val="bottom"/>
            <w:hideMark/>
          </w:tcPr>
          <w:p w:rsidR="00000000" w:rsidRDefault="00477EE8">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Operating lease obligations</w:t>
            </w:r>
            <w:r>
              <w:rPr>
                <w:sz w:val="20"/>
                <w:szCs w:val="20"/>
              </w:rPr>
              <w:t xml:space="preserve"> </w:t>
            </w:r>
            <w:r>
              <w:rPr>
                <w:sz w:val="13"/>
                <w:szCs w:val="13"/>
              </w:rPr>
              <w:t>(1</w:t>
            </w:r>
            <w:r>
              <w:rPr>
                <w:sz w:val="13"/>
                <w:szCs w:val="13"/>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15,87</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6,59</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6,19</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2,88</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21</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Finance lease obligation</w:t>
            </w:r>
            <w:r>
              <w:rPr>
                <w:sz w:val="20"/>
                <w:szCs w:val="20"/>
              </w:rPr>
              <w:t>s</w:t>
            </w:r>
            <w:r>
              <w:rPr>
                <w:sz w:val="13"/>
                <w:szCs w:val="13"/>
              </w:rPr>
              <w:t>(2</w:t>
            </w:r>
            <w:r>
              <w:rPr>
                <w:sz w:val="13"/>
                <w:szCs w:val="13"/>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2,93</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98</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1,58</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36</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Purchase obligation</w:t>
            </w:r>
            <w:r>
              <w:rPr>
                <w:sz w:val="20"/>
                <w:szCs w:val="20"/>
              </w:rPr>
              <w:t>s</w:t>
            </w:r>
            <w:r>
              <w:rPr>
                <w:sz w:val="13"/>
                <w:szCs w:val="13"/>
              </w:rPr>
              <w:t>(3</w:t>
            </w:r>
            <w:r>
              <w:rPr>
                <w:sz w:val="13"/>
                <w:szCs w:val="13"/>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10,08</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7,54</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2,54</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      </w:t>
            </w:r>
            <w:r>
              <w:rPr>
                <w:sz w:val="20"/>
                <w:szCs w:val="20"/>
              </w:rPr>
              <w:t>Total contractual obligation</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28,90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15,12</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10,31</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3,24</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21</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0" w:beforeAutospacing="0" w:after="0" w:afterAutospacing="0"/>
        <w:rPr>
          <w:sz w:val="20"/>
          <w:szCs w:val="20"/>
        </w:rPr>
      </w:pPr>
      <w:r>
        <w:rPr>
          <w:sz w:val="20"/>
          <w:szCs w:val="20"/>
        </w:rPr>
        <w:t> </w:t>
      </w:r>
    </w:p>
    <w:p w:rsidR="00000000" w:rsidRDefault="00477EE8">
      <w:pPr>
        <w:pStyle w:val="a3"/>
        <w:spacing w:before="240" w:beforeAutospacing="0" w:after="0" w:afterAutospacing="0"/>
        <w:jc w:val="center"/>
        <w:rPr>
          <w:sz w:val="20"/>
          <w:szCs w:val="20"/>
        </w:rPr>
      </w:pPr>
      <w:r>
        <w:rPr>
          <w:sz w:val="20"/>
          <w:szCs w:val="20"/>
        </w:rPr>
        <w:t>5</w:t>
      </w:r>
      <w:r>
        <w:rPr>
          <w:sz w:val="20"/>
          <w:szCs w:val="20"/>
        </w:rPr>
        <w:t>8</w:t>
      </w:r>
    </w:p>
    <w:p w:rsidR="00000000" w:rsidRDefault="00477EE8">
      <w:pPr>
        <w:rPr>
          <w:rFonts w:eastAsia="Times New Roman"/>
        </w:rPr>
      </w:pPr>
      <w:r>
        <w:rPr>
          <w:rFonts w:eastAsia="Times New Roman"/>
        </w:rPr>
        <w:pict>
          <v:rect id="_x0000_i1098" style="width:0;height:1.5pt" o:hralign="center" o:hrstd="t" o:hr="t" fillcolor="#a0a0a0" stroked="f"/>
        </w:pict>
      </w:r>
    </w:p>
    <w:p w:rsidR="00000000" w:rsidRDefault="00477EE8">
      <w:pPr>
        <w:pStyle w:val="a3"/>
        <w:spacing w:before="0" w:beforeAutospacing="0" w:after="0" w:afterAutospacing="0"/>
        <w:ind w:firstLine="555"/>
        <w:rPr>
          <w:sz w:val="20"/>
          <w:szCs w:val="20"/>
        </w:rPr>
      </w:pPr>
      <w:r>
        <w:rPr>
          <w:sz w:val="20"/>
          <w:szCs w:val="20"/>
        </w:rPr>
        <w:t> </w:t>
      </w:r>
    </w:p>
    <w:p w:rsidR="00000000" w:rsidRDefault="00477EE8">
      <w:pPr>
        <w:rPr>
          <w:rFonts w:eastAsia="Times New Roman"/>
        </w:rPr>
      </w:pPr>
      <w:r>
        <w:rPr>
          <w:rFonts w:eastAsia="Times New Roman"/>
          <w:sz w:val="16"/>
          <w:szCs w:val="16"/>
        </w:rPr>
        <w:t>(1</w:t>
      </w:r>
      <w:r>
        <w:rPr>
          <w:rFonts w:eastAsia="Times New Roman"/>
          <w:sz w:val="16"/>
          <w:szCs w:val="16"/>
        </w:rPr>
        <w:t>)</w:t>
      </w:r>
    </w:p>
    <w:p w:rsidR="00000000" w:rsidRDefault="00477EE8">
      <w:pPr>
        <w:divId w:val="1600139991"/>
        <w:rPr>
          <w:rFonts w:eastAsia="Times New Roman"/>
        </w:rPr>
      </w:pPr>
      <w:r>
        <w:rPr>
          <w:rFonts w:eastAsia="Times New Roman"/>
          <w:sz w:val="16"/>
          <w:szCs w:val="16"/>
        </w:rPr>
        <w:t>Represents non-cancelable operating leases. For further information, refer to Note 9 to the Consolidated Financial Statements</w:t>
      </w:r>
      <w:r>
        <w:rPr>
          <w:rFonts w:eastAsia="Times New Roman"/>
          <w:sz w:val="16"/>
          <w:szCs w:val="16"/>
        </w:rPr>
        <w:t>.</w:t>
      </w:r>
    </w:p>
    <w:p w:rsidR="00000000" w:rsidRDefault="00477EE8">
      <w:pPr>
        <w:divId w:val="2091656888"/>
        <w:rPr>
          <w:rFonts w:eastAsia="Times New Roman"/>
        </w:rPr>
      </w:pPr>
      <w:r>
        <w:rPr>
          <w:rFonts w:eastAsia="Times New Roman"/>
          <w:sz w:val="16"/>
          <w:szCs w:val="16"/>
        </w:rPr>
        <w:t>(2</w:t>
      </w:r>
      <w:r>
        <w:rPr>
          <w:rFonts w:eastAsia="Times New Roman"/>
          <w:sz w:val="16"/>
          <w:szCs w:val="16"/>
        </w:rPr>
        <w:t>)</w:t>
      </w:r>
    </w:p>
    <w:p w:rsidR="00000000" w:rsidRDefault="00477EE8">
      <w:pPr>
        <w:divId w:val="1924217093"/>
        <w:rPr>
          <w:rFonts w:eastAsia="Times New Roman"/>
        </w:rPr>
      </w:pPr>
      <w:r>
        <w:rPr>
          <w:rFonts w:eastAsia="Times New Roman"/>
          <w:sz w:val="16"/>
          <w:szCs w:val="16"/>
        </w:rPr>
        <w:t>Represents non-cancelable finance leases. For further information, refer to Note 9 to the Consolidated Financial Statements</w:t>
      </w:r>
      <w:r>
        <w:rPr>
          <w:rFonts w:eastAsia="Times New Roman"/>
          <w:sz w:val="16"/>
          <w:szCs w:val="16"/>
        </w:rPr>
        <w:t>.</w:t>
      </w:r>
    </w:p>
    <w:p w:rsidR="00000000" w:rsidRDefault="00477EE8">
      <w:pPr>
        <w:divId w:val="304821367"/>
        <w:rPr>
          <w:rFonts w:eastAsia="Times New Roman"/>
        </w:rPr>
      </w:pPr>
      <w:r>
        <w:rPr>
          <w:rFonts w:eastAsia="Times New Roman"/>
          <w:sz w:val="16"/>
          <w:szCs w:val="16"/>
        </w:rPr>
        <w:t>(3</w:t>
      </w:r>
      <w:r>
        <w:rPr>
          <w:rFonts w:eastAsia="Times New Roman"/>
          <w:sz w:val="16"/>
          <w:szCs w:val="16"/>
        </w:rPr>
        <w:t>)</w:t>
      </w:r>
    </w:p>
    <w:p w:rsidR="00000000" w:rsidRDefault="00477EE8">
      <w:pPr>
        <w:divId w:val="2130706766"/>
        <w:rPr>
          <w:rFonts w:eastAsia="Times New Roman"/>
        </w:rPr>
      </w:pPr>
      <w:r>
        <w:rPr>
          <w:rFonts w:eastAsia="Times New Roman"/>
          <w:sz w:val="16"/>
          <w:szCs w:val="16"/>
        </w:rPr>
        <w:t>Represents non-cancelable purchase obligations for medical lab equipment, reagents and other supplies, see Note 8 to the Consolidated Financial Statements</w:t>
      </w:r>
      <w:r>
        <w:rPr>
          <w:rFonts w:eastAsia="Times New Roman"/>
          <w:sz w:val="16"/>
          <w:szCs w:val="16"/>
        </w:rPr>
        <w:t>.</w:t>
      </w:r>
    </w:p>
    <w:p w:rsidR="00000000" w:rsidRDefault="00477EE8">
      <w:pPr>
        <w:pStyle w:val="a3"/>
        <w:spacing w:before="360" w:beforeAutospacing="0" w:after="0" w:afterAutospacing="0"/>
        <w:jc w:val="center"/>
        <w:rPr>
          <w:sz w:val="20"/>
          <w:szCs w:val="20"/>
        </w:rPr>
      </w:pPr>
      <w:r>
        <w:rPr>
          <w:b/>
          <w:bCs/>
          <w:sz w:val="20"/>
          <w:szCs w:val="20"/>
        </w:rPr>
        <w:t>Critical Accounting Policies and Use of Estimate</w:t>
      </w:r>
      <w:r>
        <w:rPr>
          <w:b/>
          <w:bCs/>
          <w:sz w:val="20"/>
          <w:szCs w:val="20"/>
        </w:rPr>
        <w:t>s</w:t>
      </w:r>
    </w:p>
    <w:p w:rsidR="00000000" w:rsidRDefault="00477EE8">
      <w:pPr>
        <w:pStyle w:val="a3"/>
        <w:spacing w:before="120" w:beforeAutospacing="0" w:after="0" w:afterAutospacing="0"/>
        <w:ind w:firstLine="555"/>
        <w:rPr>
          <w:sz w:val="20"/>
          <w:szCs w:val="20"/>
        </w:rPr>
      </w:pPr>
      <w:r>
        <w:rPr>
          <w:sz w:val="20"/>
          <w:szCs w:val="20"/>
        </w:rPr>
        <w:t>This discussion and analysis is based on our c</w:t>
      </w:r>
      <w:r>
        <w:rPr>
          <w:sz w:val="20"/>
          <w:szCs w:val="20"/>
        </w:rPr>
        <w:t>onsolidated financial statements included in this report, which have been prepared in accordance with U.S. Generally Accepted Accounting Principles, or U.S. GAAP. The preparation of consolidated financial statements in accordance with U.S. GAAP requires ma</w:t>
      </w:r>
      <w:r>
        <w:rPr>
          <w:sz w:val="20"/>
          <w:szCs w:val="20"/>
        </w:rPr>
        <w:t>nagement to make certain estimates, judgments and assumptions and decisions that affect the reported amounts and related disclosures, including the selection of appropriate accounting principles and the assumptions on which to base accounting estimates. In</w:t>
      </w:r>
      <w:r>
        <w:rPr>
          <w:sz w:val="20"/>
          <w:szCs w:val="20"/>
        </w:rPr>
        <w:t xml:space="preserve"> making these estimates and assumptions and reaching these decisions, we apply judgment based on our understanding and analysis of the relevant circumstances, including historical data and experience available at the date of the consolidated financial stat</w:t>
      </w:r>
      <w:r>
        <w:rPr>
          <w:sz w:val="20"/>
          <w:szCs w:val="20"/>
        </w:rPr>
        <w:t>ements, as well as various other factors management believes to be reasonable under the circumstances, including but not limited to valuation of intangible assets and goodwill in recent business combinations. Actual results could differ from our estimates.</w:t>
      </w:r>
      <w:r>
        <w:rPr>
          <w:sz w:val="20"/>
          <w:szCs w:val="20"/>
        </w:rPr>
        <w:t xml:space="preserve"> We are committed to incorporating accounting principles, assumptions and estimates that promote the representational faithfulness, verifiability, neutrality and transparency of the accounting information included in our consolidated financial statements</w:t>
      </w:r>
      <w:r>
        <w:rPr>
          <w:sz w:val="20"/>
          <w:szCs w:val="20"/>
        </w:rPr>
        <w:t>.</w:t>
      </w:r>
    </w:p>
    <w:p w:rsidR="00000000" w:rsidRDefault="00477EE8">
      <w:pPr>
        <w:pStyle w:val="a3"/>
        <w:spacing w:before="240" w:beforeAutospacing="0" w:after="0" w:afterAutospacing="0"/>
        <w:ind w:firstLine="555"/>
        <w:rPr>
          <w:sz w:val="20"/>
          <w:szCs w:val="20"/>
        </w:rPr>
      </w:pPr>
      <w:r>
        <w:rPr>
          <w:sz w:val="20"/>
          <w:szCs w:val="20"/>
        </w:rPr>
        <w:t>While our significant accounting policies are described in more detail in the notes to the consolidated financial statements included in this report, we believe the accounting policies discussed below used in the preparation of our consolidated financial s</w:t>
      </w:r>
      <w:r>
        <w:rPr>
          <w:sz w:val="20"/>
          <w:szCs w:val="20"/>
        </w:rPr>
        <w:t>tatements require the most significant estimates, judgments, assumptions and decisions</w:t>
      </w:r>
      <w:r>
        <w:rPr>
          <w:sz w:val="20"/>
          <w:szCs w:val="20"/>
        </w:rPr>
        <w:t>.</w:t>
      </w:r>
      <w:r>
        <w:rPr>
          <w:sz w:val="20"/>
          <w:szCs w:val="20"/>
        </w:rPr>
        <w:t xml:space="preserve"> </w:t>
      </w:r>
    </w:p>
    <w:p w:rsidR="00000000" w:rsidRDefault="00477EE8">
      <w:pPr>
        <w:pStyle w:val="a3"/>
        <w:spacing w:before="360" w:beforeAutospacing="0" w:after="0" w:afterAutospacing="0"/>
        <w:jc w:val="center"/>
        <w:rPr>
          <w:sz w:val="20"/>
          <w:szCs w:val="20"/>
        </w:rPr>
      </w:pPr>
      <w:r>
        <w:rPr>
          <w:b/>
          <w:bCs/>
          <w:sz w:val="20"/>
          <w:szCs w:val="20"/>
        </w:rPr>
        <w:t>Revenue Recognitio</w:t>
      </w:r>
      <w:r>
        <w:rPr>
          <w:b/>
          <w:bCs/>
          <w:sz w:val="20"/>
          <w:szCs w:val="20"/>
        </w:rPr>
        <w:t>n</w:t>
      </w:r>
    </w:p>
    <w:p w:rsidR="00000000" w:rsidRDefault="00477EE8">
      <w:pPr>
        <w:pStyle w:val="a3"/>
        <w:spacing w:before="120" w:beforeAutospacing="0" w:after="0" w:afterAutospacing="0"/>
        <w:ind w:firstLine="555"/>
        <w:rPr>
          <w:sz w:val="20"/>
          <w:szCs w:val="20"/>
        </w:rPr>
      </w:pPr>
      <w:r>
        <w:rPr>
          <w:sz w:val="20"/>
          <w:szCs w:val="20"/>
        </w:rPr>
        <w:t>We generate revenue from sales of our testing services. We currently receive payments from: insurance, institutional customers, including hospitals</w:t>
      </w:r>
      <w:r>
        <w:rPr>
          <w:sz w:val="20"/>
          <w:szCs w:val="20"/>
        </w:rPr>
        <w:t>, medical institutions, other laboratories, governmental bodies, municipalities and large corporations, and patients who pay directly</w:t>
      </w:r>
      <w:r>
        <w:rPr>
          <w:sz w:val="20"/>
          <w:szCs w:val="20"/>
        </w:rPr>
        <w:t>.</w:t>
      </w:r>
    </w:p>
    <w:p w:rsidR="00000000" w:rsidRDefault="00477EE8">
      <w:pPr>
        <w:pStyle w:val="a3"/>
        <w:spacing w:before="240" w:beforeAutospacing="0" w:after="0" w:afterAutospacing="0"/>
        <w:ind w:firstLine="555"/>
        <w:rPr>
          <w:sz w:val="20"/>
          <w:szCs w:val="20"/>
        </w:rPr>
      </w:pPr>
      <w:r>
        <w:rPr>
          <w:sz w:val="20"/>
          <w:szCs w:val="20"/>
        </w:rPr>
        <w:t>We recognize revenue in an amount that reflects the consideration to which we expect to be entitled in exchange for the t</w:t>
      </w:r>
      <w:r>
        <w:rPr>
          <w:sz w:val="20"/>
          <w:szCs w:val="20"/>
        </w:rPr>
        <w:t>ransfer of promised goods or services to our customers. To determine revenue recognition for contracts with customers, the Company performs the following steps: (1) identifies the contract with the customer, (2) identifies the performance obligations in th</w:t>
      </w:r>
      <w:r>
        <w:rPr>
          <w:sz w:val="20"/>
          <w:szCs w:val="20"/>
        </w:rPr>
        <w:t>e contract, (3) determines the transaction price, (4) allocates the transaction price to the performance obligations in the contract, and (5) recognizes revenue when (or as) the entity satisfies a performance obligation</w:t>
      </w:r>
      <w:r>
        <w:rPr>
          <w:sz w:val="20"/>
          <w:szCs w:val="20"/>
        </w:rPr>
        <w:t>.</w:t>
      </w:r>
      <w:r>
        <w:rPr>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Our test results are primarily del</w:t>
      </w:r>
      <w:r>
        <w:rPr>
          <w:sz w:val="20"/>
          <w:szCs w:val="20"/>
        </w:rPr>
        <w:t>ivered electronically. We bill certain customers for shipping and handling fees incurred by us associated with our tests, and shipping and handling fees billed to customers are included in revenue, and shipping and handling fees incurred are included in co</w:t>
      </w:r>
      <w:r>
        <w:rPr>
          <w:sz w:val="20"/>
          <w:szCs w:val="20"/>
        </w:rPr>
        <w:t>st of revenue in the accompanying Consolidated Statements of Income</w:t>
      </w:r>
      <w:r>
        <w:rPr>
          <w:sz w:val="20"/>
          <w:szCs w:val="20"/>
        </w:rPr>
        <w:t>.</w:t>
      </w:r>
      <w:r>
        <w:rPr>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While the transaction price is typically stated within the contract, we may accept payments from third-party payors that are less than the contractually stated price and is therefore var</w:t>
      </w:r>
      <w:r>
        <w:rPr>
          <w:sz w:val="20"/>
          <w:szCs w:val="20"/>
        </w:rPr>
        <w:t>iable consideration. Accounting for insurance contracts includes estimation of the transaction price, defined as the amount we expect to be entitled to receive in exchange for providing the services under the contract. Due to our out-of-network status with</w:t>
      </w:r>
      <w:r>
        <w:rPr>
          <w:sz w:val="20"/>
          <w:szCs w:val="20"/>
        </w:rPr>
        <w:t xml:space="preserve"> the majority of insurance payors for COVID-19 tests, estimation of the transaction price represents variable consideration</w:t>
      </w:r>
      <w:r>
        <w:rPr>
          <w:sz w:val="20"/>
          <w:szCs w:val="20"/>
        </w:rPr>
        <w:t>.</w:t>
      </w:r>
    </w:p>
    <w:p w:rsidR="00000000" w:rsidRDefault="00477EE8">
      <w:pPr>
        <w:pStyle w:val="a3"/>
        <w:spacing w:before="360" w:beforeAutospacing="0" w:after="0" w:afterAutospacing="0"/>
        <w:jc w:val="center"/>
        <w:rPr>
          <w:sz w:val="20"/>
          <w:szCs w:val="20"/>
        </w:rPr>
      </w:pPr>
      <w:r>
        <w:rPr>
          <w:b/>
          <w:bCs/>
          <w:sz w:val="20"/>
          <w:szCs w:val="20"/>
        </w:rPr>
        <w:t>Valuation of Goodwill and Intangible Asset</w:t>
      </w:r>
      <w:r>
        <w:rPr>
          <w:b/>
          <w:bCs/>
          <w:sz w:val="20"/>
          <w:szCs w:val="20"/>
        </w:rPr>
        <w:t>s</w:t>
      </w:r>
    </w:p>
    <w:p w:rsidR="00000000" w:rsidRDefault="00477EE8">
      <w:pPr>
        <w:pStyle w:val="a3"/>
        <w:spacing w:before="120" w:beforeAutospacing="0" w:after="0" w:afterAutospacing="0"/>
        <w:ind w:firstLine="555"/>
        <w:rPr>
          <w:sz w:val="20"/>
          <w:szCs w:val="20"/>
        </w:rPr>
      </w:pPr>
      <w:r>
        <w:rPr>
          <w:sz w:val="20"/>
          <w:szCs w:val="20"/>
        </w:rPr>
        <w:t>The valuation of assets acquired in a business combination and asset impairment reviews</w:t>
      </w:r>
      <w:r>
        <w:rPr>
          <w:sz w:val="20"/>
          <w:szCs w:val="20"/>
        </w:rPr>
        <w:t xml:space="preserve"> require the use of significant estimates and assumptions. The acquisition method of accounting for business combinations requires us to estimate the fair value of assets acquired, liabilities assumed, and any noncontrolling interest in an acquired busines</w:t>
      </w:r>
      <w:r>
        <w:rPr>
          <w:sz w:val="20"/>
          <w:szCs w:val="20"/>
        </w:rPr>
        <w:t>s to properly allocate purchase price consideration between assets that are depreciated or amortized and goodwill</w:t>
      </w:r>
      <w:r>
        <w:rPr>
          <w:sz w:val="20"/>
          <w:szCs w:val="20"/>
        </w:rPr>
        <w:t>.</w:t>
      </w:r>
    </w:p>
    <w:p w:rsidR="00000000" w:rsidRDefault="00477EE8">
      <w:pPr>
        <w:pStyle w:val="a3"/>
        <w:spacing w:before="240" w:beforeAutospacing="0" w:after="0" w:afterAutospacing="0"/>
        <w:ind w:firstLine="555"/>
        <w:rPr>
          <w:sz w:val="20"/>
          <w:szCs w:val="20"/>
        </w:rPr>
      </w:pPr>
      <w:r>
        <w:rPr>
          <w:sz w:val="20"/>
          <w:szCs w:val="20"/>
        </w:rPr>
        <w:t>Long-lived assets, including property and equipment and intangible assets, excluding goodwill, are reviewed for impairment whenever events or</w:t>
      </w:r>
      <w:r>
        <w:rPr>
          <w:sz w:val="20"/>
          <w:szCs w:val="20"/>
        </w:rPr>
        <w:t xml:space="preserve"> changes in circumstances indicate that the carrying amount of an asset may not be recoverable. An impairment loss would be recognized when estimated future cash flows expected from an asset and its eventual disposition is less than the carrying amount</w:t>
      </w:r>
      <w:r>
        <w:rPr>
          <w:sz w:val="20"/>
          <w:szCs w:val="20"/>
        </w:rPr>
        <w:t>.</w:t>
      </w:r>
    </w:p>
    <w:p w:rsidR="00000000" w:rsidRDefault="00477EE8">
      <w:pPr>
        <w:pStyle w:val="a3"/>
        <w:spacing w:before="240" w:beforeAutospacing="0" w:after="0" w:afterAutospacing="0"/>
        <w:ind w:firstLine="555"/>
        <w:rPr>
          <w:sz w:val="20"/>
          <w:szCs w:val="20"/>
        </w:rPr>
      </w:pPr>
      <w:r>
        <w:rPr>
          <w:sz w:val="20"/>
          <w:szCs w:val="20"/>
        </w:rPr>
        <w:t>We</w:t>
      </w:r>
      <w:r>
        <w:rPr>
          <w:sz w:val="20"/>
          <w:szCs w:val="20"/>
        </w:rPr>
        <w:t xml:space="preserve"> evaluate goodwill annually or more frequently if events or changes in circumstances indicate that goodwill may be impaired. In accordance with guidance related to impairment testing, we have the option to first assess qualitative factors to determin</w:t>
      </w:r>
      <w:r>
        <w:rPr>
          <w:sz w:val="20"/>
          <w:szCs w:val="20"/>
        </w:rPr>
        <w:t>e</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5</w:t>
      </w:r>
      <w:r>
        <w:rPr>
          <w:sz w:val="20"/>
          <w:szCs w:val="20"/>
        </w:rPr>
        <w:t>9</w:t>
      </w:r>
    </w:p>
    <w:p w:rsidR="00000000" w:rsidRDefault="00477EE8">
      <w:pPr>
        <w:rPr>
          <w:rFonts w:eastAsia="Times New Roman"/>
        </w:rPr>
      </w:pPr>
      <w:r>
        <w:rPr>
          <w:rFonts w:eastAsia="Times New Roman"/>
        </w:rPr>
        <w:pict>
          <v:rect id="_x0000_i1099" style="width:0;height:1.5pt" o:hralign="center" o:hrstd="t" o:hr="t" fillcolor="#a0a0a0" stroked="f"/>
        </w:pict>
      </w:r>
    </w:p>
    <w:p w:rsidR="00000000" w:rsidRDefault="00477EE8">
      <w:pPr>
        <w:pStyle w:val="a3"/>
        <w:spacing w:before="240" w:beforeAutospacing="0" w:after="0" w:afterAutospacing="0"/>
        <w:rPr>
          <w:sz w:val="20"/>
          <w:szCs w:val="20"/>
        </w:rPr>
      </w:pPr>
      <w:r>
        <w:rPr>
          <w:sz w:val="20"/>
          <w:szCs w:val="20"/>
        </w:rPr>
        <w:t xml:space="preserve">whether it is necessary to perform the quantitative goodwill impairment test. If the qualitative assessment option is not elected, or if the qualitative assessment indicates that it is more likely than not that the fair </w:t>
      </w:r>
      <w:r>
        <w:rPr>
          <w:sz w:val="20"/>
          <w:szCs w:val="20"/>
        </w:rPr>
        <w:t>value is less than its carrying amount, a quantitative analysis is then performed. The quantitative analysis, if performed, compares the fair value of the reporting unit with its respective carrying amount, including goodwill. If the fair value of the repo</w:t>
      </w:r>
      <w:r>
        <w:rPr>
          <w:sz w:val="20"/>
          <w:szCs w:val="20"/>
        </w:rPr>
        <w:t>rting unit exceeds its carrying amount, including goodwill, goodwill is considered not to be impaired and no additional steps are necessary. If the fair value is less than the carrying amount, including goodwill, then an impairment adjustment must be recor</w:t>
      </w:r>
      <w:r>
        <w:rPr>
          <w:sz w:val="20"/>
          <w:szCs w:val="20"/>
        </w:rPr>
        <w:t>ded up to the carrying amount of goodwill</w:t>
      </w:r>
      <w:r>
        <w:rPr>
          <w:sz w:val="20"/>
          <w:szCs w:val="20"/>
        </w:rPr>
        <w:t>.</w:t>
      </w:r>
    </w:p>
    <w:p w:rsidR="00000000" w:rsidRDefault="00477EE8">
      <w:pPr>
        <w:pStyle w:val="a3"/>
        <w:spacing w:before="360" w:beforeAutospacing="0" w:after="0" w:afterAutospacing="0"/>
        <w:jc w:val="center"/>
        <w:rPr>
          <w:sz w:val="20"/>
          <w:szCs w:val="20"/>
        </w:rPr>
      </w:pPr>
      <w:r>
        <w:rPr>
          <w:b/>
          <w:bCs/>
          <w:sz w:val="20"/>
          <w:szCs w:val="20"/>
        </w:rPr>
        <w:t>Recent Accounting Pronouncement</w:t>
      </w:r>
      <w:r>
        <w:rPr>
          <w:b/>
          <w:bCs/>
          <w:sz w:val="20"/>
          <w:szCs w:val="20"/>
        </w:rPr>
        <w:t>s</w:t>
      </w:r>
    </w:p>
    <w:p w:rsidR="00000000" w:rsidRDefault="00477EE8">
      <w:pPr>
        <w:pStyle w:val="a3"/>
        <w:spacing w:before="120" w:beforeAutospacing="0" w:after="0" w:afterAutospacing="0"/>
        <w:ind w:firstLine="555"/>
        <w:rPr>
          <w:sz w:val="20"/>
          <w:szCs w:val="20"/>
        </w:rPr>
      </w:pPr>
      <w:r>
        <w:rPr>
          <w:sz w:val="20"/>
          <w:szCs w:val="20"/>
        </w:rPr>
        <w:t>See Note 2,</w:t>
      </w:r>
      <w:r>
        <w:rPr>
          <w:sz w:val="20"/>
          <w:szCs w:val="20"/>
        </w:rPr>
        <w:t xml:space="preserve"> </w:t>
      </w:r>
      <w:r>
        <w:rPr>
          <w:i/>
          <w:iCs/>
          <w:sz w:val="20"/>
          <w:szCs w:val="20"/>
        </w:rPr>
        <w:t>Summary of Significant Accounting Policie</w:t>
      </w:r>
      <w:r>
        <w:rPr>
          <w:i/>
          <w:iCs/>
          <w:sz w:val="20"/>
          <w:szCs w:val="20"/>
        </w:rPr>
        <w:t>s</w:t>
      </w:r>
      <w:r>
        <w:rPr>
          <w:sz w:val="20"/>
          <w:szCs w:val="20"/>
        </w:rPr>
        <w:t>, to our consolidated financial statements included in this report for information about recent accounting pronouncements</w:t>
      </w:r>
      <w:r>
        <w:rPr>
          <w:sz w:val="20"/>
          <w:szCs w:val="20"/>
        </w:rPr>
        <w:t>.</w:t>
      </w:r>
      <w:r>
        <w:rPr>
          <w:sz w:val="20"/>
          <w:szCs w:val="20"/>
        </w:rPr>
        <w:t xml:space="preserve"> </w:t>
      </w:r>
    </w:p>
    <w:p w:rsidR="00000000" w:rsidRDefault="00477EE8">
      <w:pPr>
        <w:pStyle w:val="a3"/>
        <w:spacing w:before="360" w:beforeAutospacing="0" w:after="0" w:afterAutospacing="0"/>
        <w:jc w:val="center"/>
        <w:rPr>
          <w:sz w:val="20"/>
          <w:szCs w:val="20"/>
        </w:rPr>
      </w:pPr>
      <w:r>
        <w:rPr>
          <w:b/>
          <w:bCs/>
          <w:sz w:val="20"/>
          <w:szCs w:val="20"/>
        </w:rPr>
        <w:t>Off-Balance Sheet Arrangement</w:t>
      </w:r>
      <w:r>
        <w:rPr>
          <w:b/>
          <w:bCs/>
          <w:sz w:val="20"/>
          <w:szCs w:val="20"/>
        </w:rPr>
        <w:t>s</w:t>
      </w:r>
    </w:p>
    <w:p w:rsidR="00000000" w:rsidRDefault="00477EE8">
      <w:pPr>
        <w:pStyle w:val="a3"/>
        <w:spacing w:before="120" w:beforeAutospacing="0" w:after="0" w:afterAutospacing="0"/>
        <w:ind w:firstLine="555"/>
        <w:rPr>
          <w:sz w:val="20"/>
          <w:szCs w:val="20"/>
        </w:rPr>
      </w:pPr>
      <w:r>
        <w:rPr>
          <w:sz w:val="20"/>
          <w:szCs w:val="20"/>
        </w:rPr>
        <w:t>We did not have, and do not currently have, any off-balance sheet arrangements during the periods pre</w:t>
      </w:r>
      <w:r>
        <w:rPr>
          <w:sz w:val="20"/>
          <w:szCs w:val="20"/>
        </w:rPr>
        <w:t>sented, as defined in the rules and regulations of the SEC, that have or are reasonably likely to have a current or future effect on our financial condition, changes in financial condition, revenue or expenses, results of operations, liquidity, capital exp</w:t>
      </w:r>
      <w:r>
        <w:rPr>
          <w:sz w:val="20"/>
          <w:szCs w:val="20"/>
        </w:rPr>
        <w:t>enditures or capital resources that is material to investors</w:t>
      </w:r>
      <w:r>
        <w:rPr>
          <w:sz w:val="20"/>
          <w:szCs w:val="20"/>
        </w:rPr>
        <w:t>.</w:t>
      </w:r>
    </w:p>
    <w:p w:rsidR="00000000" w:rsidRDefault="00477EE8">
      <w:pPr>
        <w:pStyle w:val="a3"/>
        <w:spacing w:before="360" w:beforeAutospacing="0" w:after="0" w:afterAutospacing="0"/>
        <w:rPr>
          <w:sz w:val="20"/>
          <w:szCs w:val="20"/>
        </w:rPr>
      </w:pPr>
      <w:r>
        <w:rPr>
          <w:b/>
          <w:bCs/>
          <w:sz w:val="20"/>
          <w:szCs w:val="20"/>
        </w:rPr>
        <w:t>Item 7A. Quantitative and Qualita</w:t>
      </w:r>
      <w:r>
        <w:rPr>
          <w:b/>
          <w:bCs/>
          <w:sz w:val="20"/>
          <w:szCs w:val="20"/>
        </w:rPr>
        <w:t>t</w:t>
      </w:r>
      <w:r>
        <w:rPr>
          <w:b/>
          <w:bCs/>
          <w:sz w:val="20"/>
          <w:szCs w:val="20"/>
        </w:rPr>
        <w:t>ive Disclosures About Market Risk</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We are exposed to market risks from fluctuations in interest rates and foreign currency translation, which may adversely affe</w:t>
      </w:r>
      <w:r>
        <w:rPr>
          <w:sz w:val="20"/>
          <w:szCs w:val="20"/>
        </w:rPr>
        <w:t>ct our results of operations and financial condition</w:t>
      </w:r>
      <w:r>
        <w:rPr>
          <w:sz w:val="20"/>
          <w:szCs w:val="20"/>
        </w:rPr>
        <w:t>.</w:t>
      </w:r>
    </w:p>
    <w:p w:rsidR="00000000" w:rsidRDefault="00477EE8">
      <w:pPr>
        <w:pStyle w:val="a3"/>
        <w:spacing w:before="360" w:beforeAutospacing="0" w:after="0" w:afterAutospacing="0"/>
        <w:rPr>
          <w:sz w:val="20"/>
          <w:szCs w:val="20"/>
        </w:rPr>
      </w:pPr>
      <w:r>
        <w:rPr>
          <w:b/>
          <w:bCs/>
          <w:i/>
          <w:iCs/>
          <w:sz w:val="20"/>
          <w:szCs w:val="20"/>
        </w:rPr>
        <w:t>Interest Rate Ris</w:t>
      </w:r>
      <w:r>
        <w:rPr>
          <w:b/>
          <w:bCs/>
          <w:i/>
          <w:iCs/>
          <w:sz w:val="20"/>
          <w:szCs w:val="20"/>
        </w:rPr>
        <w:t>k</w:t>
      </w:r>
    </w:p>
    <w:p w:rsidR="00000000" w:rsidRDefault="00477EE8">
      <w:pPr>
        <w:pStyle w:val="a3"/>
        <w:spacing w:before="120" w:beforeAutospacing="0" w:after="0" w:afterAutospacing="0"/>
        <w:ind w:firstLine="555"/>
        <w:rPr>
          <w:sz w:val="20"/>
          <w:szCs w:val="20"/>
        </w:rPr>
      </w:pPr>
      <w:r>
        <w:rPr>
          <w:sz w:val="20"/>
          <w:szCs w:val="20"/>
        </w:rPr>
        <w:t>We invest in marketable debt securities, including corporate debt securities, municipal bonds, U.S. government and agency debt securities, and debt instruments issued by foreign gover</w:t>
      </w:r>
      <w:r>
        <w:rPr>
          <w:sz w:val="20"/>
          <w:szCs w:val="20"/>
        </w:rPr>
        <w:t xml:space="preserve">nments. Our investment policy and strategy are focused on the preservation of capital and supporting our liquidity requirements. We typically invest in highly rated securities, with the primary objective of minimizing the potential risk of principal loss. </w:t>
      </w:r>
      <w:r>
        <w:rPr>
          <w:sz w:val="20"/>
          <w:szCs w:val="20"/>
        </w:rPr>
        <w:t>Our investments in fixed rate interest earning securities carry a degree of interest rate risk. Fixed rate securities may have their fair market value adversely affected due to a rise in interest rates. Unrealized gains or losses on our marketable debt sec</w:t>
      </w:r>
      <w:r>
        <w:rPr>
          <w:sz w:val="20"/>
          <w:szCs w:val="20"/>
        </w:rPr>
        <w:t>urities are primarily due to interest rate fluctuations as compared to interest rates at the time of purchase. We measure our debt securities at fair value with gains and losses recorded in Other Comprehensive Income until the securities are sold, less any</w:t>
      </w:r>
      <w:r>
        <w:rPr>
          <w:sz w:val="20"/>
          <w:szCs w:val="20"/>
        </w:rPr>
        <w:t xml:space="preserve"> expected credit losses</w:t>
      </w:r>
      <w:r>
        <w:rPr>
          <w:sz w:val="20"/>
          <w:szCs w:val="20"/>
        </w:rPr>
        <w:t>.</w:t>
      </w:r>
      <w:r>
        <w:rPr>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To provide a meaningful assessment of the interest rate risk associated with our investment portfolio, we performed a sensitivity analysis to determine the impact a change in interest rates would have on the value of the investmen</w:t>
      </w:r>
      <w:r>
        <w:rPr>
          <w:sz w:val="20"/>
          <w:szCs w:val="20"/>
        </w:rPr>
        <w:t>t portfolio assuming a 100-basis point parallel shift in the yield curve. Based on investment positions as of December 31, 2022, a hypothetical 100 basis point increase in interest rates across all maturities would result in a $7.3 million incremental decl</w:t>
      </w:r>
      <w:r>
        <w:rPr>
          <w:sz w:val="20"/>
          <w:szCs w:val="20"/>
        </w:rPr>
        <w:t>ine in the fair market value of the portfolio. Such losses would only be realized if we sold the investments prior to maturity</w:t>
      </w:r>
      <w:r>
        <w:rPr>
          <w:sz w:val="20"/>
          <w:szCs w:val="20"/>
        </w:rPr>
        <w:t>.</w:t>
      </w:r>
    </w:p>
    <w:p w:rsidR="00000000" w:rsidRDefault="00477EE8">
      <w:pPr>
        <w:pStyle w:val="a3"/>
        <w:spacing w:before="360" w:beforeAutospacing="0" w:after="0" w:afterAutospacing="0"/>
        <w:rPr>
          <w:sz w:val="20"/>
          <w:szCs w:val="20"/>
        </w:rPr>
      </w:pPr>
      <w:r>
        <w:rPr>
          <w:b/>
          <w:bCs/>
          <w:i/>
          <w:iCs/>
          <w:sz w:val="20"/>
          <w:szCs w:val="20"/>
        </w:rPr>
        <w:t>Foreign Currency Ris</w:t>
      </w:r>
      <w:r>
        <w:rPr>
          <w:b/>
          <w:bCs/>
          <w:i/>
          <w:iCs/>
          <w:sz w:val="20"/>
          <w:szCs w:val="20"/>
        </w:rPr>
        <w:t>k</w:t>
      </w:r>
    </w:p>
    <w:p w:rsidR="00000000" w:rsidRDefault="00477EE8">
      <w:pPr>
        <w:pStyle w:val="a3"/>
        <w:spacing w:before="120" w:beforeAutospacing="0" w:after="0" w:afterAutospacing="0"/>
        <w:ind w:firstLine="555"/>
        <w:rPr>
          <w:sz w:val="20"/>
          <w:szCs w:val="20"/>
        </w:rPr>
      </w:pPr>
      <w:r>
        <w:rPr>
          <w:sz w:val="20"/>
          <w:szCs w:val="20"/>
        </w:rPr>
        <w:t>We transact business in multiple currencies, in addition, we translate the assets and liabilities of our n</w:t>
      </w:r>
      <w:r>
        <w:rPr>
          <w:sz w:val="20"/>
          <w:szCs w:val="20"/>
        </w:rPr>
        <w:t xml:space="preserve">on-U.S. dollar functional currency subsidiaries into U.S. dollars. Foreign assets, liabilities, revenues, as well as costs and expenses denominated in foreign currencies, expose us to the risk of fluctuations in foreign currency exchange rates against the </w:t>
      </w:r>
      <w:r>
        <w:rPr>
          <w:sz w:val="20"/>
          <w:szCs w:val="20"/>
        </w:rPr>
        <w:t>U.S. dollar. Our foreign currency exposures are primarily concentrated in the Chinese yuan. For the purpose of analyzing foreign currency exchange risk, we considered the historical trends in foreign currency exchange rates and determined that it was reaso</w:t>
      </w:r>
      <w:r>
        <w:rPr>
          <w:sz w:val="20"/>
          <w:szCs w:val="20"/>
        </w:rPr>
        <w:t>nably possible that adverse changes in exchange rates of 10% could be experienced in the near term</w:t>
      </w:r>
      <w:r>
        <w:rPr>
          <w:sz w:val="20"/>
          <w:szCs w:val="20"/>
        </w:rPr>
        <w:t>.</w:t>
      </w:r>
      <w:r>
        <w:rPr>
          <w:sz w:val="20"/>
          <w:szCs w:val="20"/>
        </w:rPr>
        <w:t xml:space="preserve"> </w:t>
      </w:r>
    </w:p>
    <w:p w:rsidR="00000000" w:rsidRDefault="00477EE8">
      <w:pPr>
        <w:pStyle w:val="a3"/>
        <w:spacing w:before="240" w:beforeAutospacing="0" w:after="0" w:afterAutospacing="0"/>
        <w:ind w:firstLine="555"/>
        <w:rPr>
          <w:sz w:val="20"/>
          <w:szCs w:val="20"/>
        </w:rPr>
      </w:pPr>
      <w:r>
        <w:rPr>
          <w:sz w:val="20"/>
          <w:szCs w:val="20"/>
        </w:rPr>
        <w:t>If an adverse 10% foreign currency exchange rate change was applied to total monetary assets denominated in currencies other than the functional currencies</w:t>
      </w:r>
      <w:r>
        <w:rPr>
          <w:sz w:val="20"/>
          <w:szCs w:val="20"/>
        </w:rPr>
        <w:t xml:space="preserve"> at the balance sheet date, it would have resulted in decrease on income before income taxes of approximately $844,000 as of December 31, 2022</w:t>
      </w:r>
      <w:r>
        <w:rPr>
          <w:sz w:val="20"/>
          <w:szCs w:val="20"/>
        </w:rPr>
        <w:t>.</w:t>
      </w:r>
    </w:p>
    <w:p w:rsidR="00000000" w:rsidRDefault="00477EE8">
      <w:pPr>
        <w:pStyle w:val="a3"/>
        <w:spacing w:before="120" w:beforeAutospacing="0" w:after="0" w:afterAutospacing="0"/>
        <w:ind w:firstLine="555"/>
        <w:rPr>
          <w:sz w:val="20"/>
          <w:szCs w:val="20"/>
        </w:rPr>
      </w:pPr>
      <w:r>
        <w:rPr>
          <w:sz w:val="20"/>
          <w:szCs w:val="20"/>
        </w:rPr>
        <w:t> </w:t>
      </w:r>
    </w:p>
    <w:p w:rsidR="00000000" w:rsidRDefault="00477EE8">
      <w:pPr>
        <w:pStyle w:val="a3"/>
        <w:spacing w:before="240" w:beforeAutospacing="0" w:after="0" w:afterAutospacing="0"/>
        <w:jc w:val="center"/>
        <w:rPr>
          <w:sz w:val="20"/>
          <w:szCs w:val="20"/>
        </w:rPr>
      </w:pPr>
      <w:r>
        <w:rPr>
          <w:sz w:val="20"/>
          <w:szCs w:val="20"/>
        </w:rPr>
        <w:t>6</w:t>
      </w:r>
      <w:r>
        <w:rPr>
          <w:sz w:val="20"/>
          <w:szCs w:val="20"/>
        </w:rPr>
        <w:t>0</w:t>
      </w:r>
    </w:p>
    <w:p w:rsidR="00000000" w:rsidRDefault="00477EE8">
      <w:pPr>
        <w:rPr>
          <w:rFonts w:eastAsia="Times New Roman"/>
        </w:rPr>
      </w:pPr>
      <w:r>
        <w:rPr>
          <w:rFonts w:eastAsia="Times New Roman"/>
        </w:rPr>
        <w:pict>
          <v:rect id="_x0000_i1100" style="width:0;height:1.5pt" o:hralign="center" o:hrstd="t" o:hr="t" fillcolor="#a0a0a0" stroked="f"/>
        </w:pict>
      </w:r>
    </w:p>
    <w:p w:rsidR="00000000" w:rsidRDefault="00477EE8">
      <w:pPr>
        <w:pStyle w:val="a3"/>
        <w:spacing w:before="0" w:beforeAutospacing="0" w:after="0" w:afterAutospacing="0"/>
        <w:rPr>
          <w:sz w:val="20"/>
          <w:szCs w:val="20"/>
        </w:rPr>
      </w:pPr>
      <w:r>
        <w:rPr>
          <w:b/>
          <w:bCs/>
          <w:sz w:val="20"/>
          <w:szCs w:val="20"/>
        </w:rPr>
        <w:t>Item 8. Financial Stateme</w:t>
      </w:r>
      <w:r>
        <w:rPr>
          <w:b/>
          <w:bCs/>
          <w:sz w:val="20"/>
          <w:szCs w:val="20"/>
        </w:rPr>
        <w:t>n</w:t>
      </w:r>
      <w:r>
        <w:rPr>
          <w:b/>
          <w:bCs/>
          <w:sz w:val="20"/>
          <w:szCs w:val="20"/>
        </w:rPr>
        <w:t>ts and Supplementary Data</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The information r</w:t>
      </w:r>
      <w:r>
        <w:rPr>
          <w:sz w:val="20"/>
          <w:szCs w:val="20"/>
        </w:rPr>
        <w:t>equired by this Item 8 immediately follows the signature page to this report and is incorporated herein by reference</w:t>
      </w:r>
      <w:r>
        <w:rPr>
          <w:sz w:val="20"/>
          <w:szCs w:val="20"/>
        </w:rPr>
        <w:t>.</w:t>
      </w:r>
    </w:p>
    <w:p w:rsidR="00000000" w:rsidRDefault="00477EE8">
      <w:pPr>
        <w:pStyle w:val="a3"/>
        <w:spacing w:before="360" w:beforeAutospacing="0" w:after="0" w:afterAutospacing="0"/>
        <w:rPr>
          <w:sz w:val="20"/>
          <w:szCs w:val="20"/>
        </w:rPr>
      </w:pPr>
      <w:r>
        <w:rPr>
          <w:b/>
          <w:bCs/>
          <w:sz w:val="20"/>
          <w:szCs w:val="20"/>
        </w:rPr>
        <w:t>Item 9. Changes in and Disagreements with Acco</w:t>
      </w:r>
      <w:r>
        <w:rPr>
          <w:b/>
          <w:bCs/>
          <w:sz w:val="20"/>
          <w:szCs w:val="20"/>
        </w:rPr>
        <w:t>u</w:t>
      </w:r>
      <w:r>
        <w:rPr>
          <w:b/>
          <w:bCs/>
          <w:sz w:val="20"/>
          <w:szCs w:val="20"/>
        </w:rPr>
        <w:t>ntants on Accounting and Financial Disclosure</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None</w:t>
      </w:r>
      <w:r>
        <w:rPr>
          <w:sz w:val="20"/>
          <w:szCs w:val="20"/>
        </w:rPr>
        <w:t>.</w:t>
      </w:r>
    </w:p>
    <w:p w:rsidR="00000000" w:rsidRDefault="00477EE8">
      <w:pPr>
        <w:pStyle w:val="a3"/>
        <w:spacing w:before="360" w:beforeAutospacing="0" w:after="0" w:afterAutospacing="0"/>
        <w:rPr>
          <w:sz w:val="20"/>
          <w:szCs w:val="20"/>
        </w:rPr>
      </w:pPr>
      <w:r>
        <w:rPr>
          <w:b/>
          <w:bCs/>
          <w:sz w:val="20"/>
          <w:szCs w:val="20"/>
        </w:rPr>
        <w:t>Item 9A. Control</w:t>
      </w:r>
      <w:r>
        <w:rPr>
          <w:b/>
          <w:bCs/>
          <w:sz w:val="20"/>
          <w:szCs w:val="20"/>
        </w:rPr>
        <w:t>s</w:t>
      </w:r>
      <w:r>
        <w:rPr>
          <w:b/>
          <w:bCs/>
          <w:sz w:val="20"/>
          <w:szCs w:val="20"/>
        </w:rPr>
        <w:t xml:space="preserve"> and Procedures</w:t>
      </w:r>
      <w:r>
        <w:rPr>
          <w:b/>
          <w:bCs/>
          <w:sz w:val="20"/>
          <w:szCs w:val="20"/>
        </w:rPr>
        <w:t>.</w:t>
      </w:r>
    </w:p>
    <w:p w:rsidR="00000000" w:rsidRDefault="00477EE8">
      <w:pPr>
        <w:pStyle w:val="a3"/>
        <w:spacing w:before="120" w:beforeAutospacing="0" w:after="0" w:afterAutospacing="0"/>
        <w:rPr>
          <w:sz w:val="20"/>
          <w:szCs w:val="20"/>
        </w:rPr>
      </w:pPr>
      <w:r>
        <w:rPr>
          <w:b/>
          <w:bCs/>
          <w:sz w:val="20"/>
          <w:szCs w:val="20"/>
        </w:rPr>
        <w:t>Evaluation of Disclosure Controls and Procedure</w:t>
      </w:r>
      <w:r>
        <w:rPr>
          <w:b/>
          <w:bCs/>
          <w:sz w:val="20"/>
          <w:szCs w:val="20"/>
        </w:rPr>
        <w:t>s</w:t>
      </w:r>
    </w:p>
    <w:p w:rsidR="00000000" w:rsidRDefault="00477EE8">
      <w:pPr>
        <w:pStyle w:val="a3"/>
        <w:spacing w:before="120" w:beforeAutospacing="0" w:after="0" w:afterAutospacing="0"/>
        <w:ind w:firstLine="555"/>
        <w:rPr>
          <w:sz w:val="20"/>
          <w:szCs w:val="20"/>
        </w:rPr>
      </w:pPr>
      <w:r>
        <w:rPr>
          <w:sz w:val="20"/>
          <w:szCs w:val="20"/>
        </w:rPr>
        <w:t xml:space="preserve">Disclosure controls and procedures are controls and other procedures of a company that are designed to ensure that information required to be disclosed by the company in the reports that it files or submits </w:t>
      </w:r>
      <w:r>
        <w:rPr>
          <w:sz w:val="20"/>
          <w:szCs w:val="20"/>
        </w:rPr>
        <w:t>under the Exchange Act is recorded, processed, summarized and reported within the time periods specified in the SEC’s rules and forms. Disclosure controls and procedures include, without limitation, controls and procedures designed to ensure that informati</w:t>
      </w:r>
      <w:r>
        <w:rPr>
          <w:sz w:val="20"/>
          <w:szCs w:val="20"/>
        </w:rPr>
        <w:t>on required to be disclosed by a company in the reports that it files or submits under the Exchange Act is accumulated and communicated to the company’s management, including its principal executive officer and principal financial officer, or persons perfo</w:t>
      </w:r>
      <w:r>
        <w:rPr>
          <w:sz w:val="20"/>
          <w:szCs w:val="20"/>
        </w:rPr>
        <w:t>rming similar functions, as appropriate to allow timely decisions regarding required disclosure. As required by Rules 13a-15(b) and 15d-15(b) under the Exchange Act, our management, with the participation of our principal executive officer and principal fi</w:t>
      </w:r>
      <w:r>
        <w:rPr>
          <w:sz w:val="20"/>
          <w:szCs w:val="20"/>
        </w:rPr>
        <w:t>nancial officer, conducted an evaluation of the effectiveness of our disclosure controls and procedures as of December 31, 2022. Based on this evaluation, our principal executive officer and principal financial officer concluded that our disclosure control</w:t>
      </w:r>
      <w:r>
        <w:rPr>
          <w:sz w:val="20"/>
          <w:szCs w:val="20"/>
        </w:rPr>
        <w:t>s and procedures were effective as of December 31, 2022</w:t>
      </w:r>
      <w:r>
        <w:rPr>
          <w:sz w:val="20"/>
          <w:szCs w:val="20"/>
        </w:rPr>
        <w:t>.</w:t>
      </w:r>
    </w:p>
    <w:p w:rsidR="00000000" w:rsidRDefault="00477EE8">
      <w:pPr>
        <w:pStyle w:val="a3"/>
        <w:spacing w:before="360" w:beforeAutospacing="0" w:after="0" w:afterAutospacing="0"/>
        <w:rPr>
          <w:sz w:val="20"/>
          <w:szCs w:val="20"/>
        </w:rPr>
      </w:pPr>
      <w:r>
        <w:rPr>
          <w:b/>
          <w:bCs/>
          <w:sz w:val="20"/>
          <w:szCs w:val="20"/>
        </w:rPr>
        <w:t>Internal Control over Financial Reportin</w:t>
      </w:r>
      <w:r>
        <w:rPr>
          <w:b/>
          <w:bCs/>
          <w:sz w:val="20"/>
          <w:szCs w:val="20"/>
        </w:rPr>
        <w:t>g</w:t>
      </w:r>
    </w:p>
    <w:p w:rsidR="00000000" w:rsidRDefault="00477EE8">
      <w:pPr>
        <w:pStyle w:val="a3"/>
        <w:spacing w:before="120" w:beforeAutospacing="0" w:after="0" w:afterAutospacing="0"/>
        <w:rPr>
          <w:sz w:val="20"/>
          <w:szCs w:val="20"/>
        </w:rPr>
      </w:pPr>
      <w:r>
        <w:rPr>
          <w:i/>
          <w:iCs/>
          <w:sz w:val="20"/>
          <w:szCs w:val="20"/>
        </w:rPr>
        <w:t>Changes in Internal Control over Financial Reporting</w:t>
      </w:r>
      <w:r>
        <w:rPr>
          <w:i/>
          <w:iCs/>
          <w:sz w:val="20"/>
          <w:szCs w:val="20"/>
        </w:rPr>
        <w:t>.</w:t>
      </w:r>
      <w:r>
        <w:rPr>
          <w:sz w:val="20"/>
          <w:szCs w:val="20"/>
        </w:rPr>
        <w:t xml:space="preserve"> </w:t>
      </w:r>
    </w:p>
    <w:p w:rsidR="00000000" w:rsidRDefault="00477EE8">
      <w:pPr>
        <w:pStyle w:val="a3"/>
        <w:spacing w:before="120" w:beforeAutospacing="0" w:after="0" w:afterAutospacing="0"/>
        <w:ind w:firstLine="511"/>
        <w:rPr>
          <w:sz w:val="20"/>
          <w:szCs w:val="20"/>
        </w:rPr>
      </w:pPr>
      <w:r>
        <w:rPr>
          <w:sz w:val="20"/>
          <w:szCs w:val="20"/>
        </w:rPr>
        <w:t>There has been no change in our internal control over financial reporting during the year ended Decemb</w:t>
      </w:r>
      <w:r>
        <w:rPr>
          <w:sz w:val="20"/>
          <w:szCs w:val="20"/>
        </w:rPr>
        <w:t>er 31, 2022, that has materially affected, or is reasonably likely to materially affect, our internal control over financial reporting</w:t>
      </w:r>
      <w:r>
        <w:rPr>
          <w:sz w:val="20"/>
          <w:szCs w:val="20"/>
        </w:rPr>
        <w:t>.</w:t>
      </w:r>
    </w:p>
    <w:p w:rsidR="00000000" w:rsidRDefault="00477EE8">
      <w:pPr>
        <w:pStyle w:val="a3"/>
        <w:spacing w:before="240" w:beforeAutospacing="0" w:after="0" w:afterAutospacing="0"/>
        <w:ind w:firstLine="511"/>
        <w:rPr>
          <w:sz w:val="20"/>
          <w:szCs w:val="20"/>
        </w:rPr>
      </w:pPr>
      <w:r>
        <w:rPr>
          <w:sz w:val="20"/>
          <w:szCs w:val="20"/>
        </w:rPr>
        <w:t>In 2022, we completed the acquisition of Inform Diagnostics and Fulgent Pharma. See Note 15 of "Notes to Consolidated Fi</w:t>
      </w:r>
      <w:r>
        <w:rPr>
          <w:sz w:val="20"/>
          <w:szCs w:val="20"/>
        </w:rPr>
        <w:t>nancial Statements" for more information. We are currently integrating Inform Diagnostics and Fulgent Pharma into our operations and internal control processes. As we complete this integration, we are analyzing, evaluating, and where necessary, making chan</w:t>
      </w:r>
      <w:r>
        <w:rPr>
          <w:sz w:val="20"/>
          <w:szCs w:val="20"/>
        </w:rPr>
        <w:t>ges in control and procedures related to the business of Inform Diagnostics and Fulgent Pharma, which we expect to complete within one year after the date of acquisition. Pursuant to the SEC’s guidance that an assessment of a recently acquired business may</w:t>
      </w:r>
      <w:r>
        <w:rPr>
          <w:sz w:val="20"/>
          <w:szCs w:val="20"/>
        </w:rPr>
        <w:t xml:space="preserve"> be omitted from the scope of an assessment in the year of acquisition, the scope of our assessment of the effectiveness of our internal controls over financial reporting at December 31, 2022 excludes Inform Diagnostics and Fulgent Pharma to the extent tha</w:t>
      </w:r>
      <w:r>
        <w:rPr>
          <w:sz w:val="20"/>
          <w:szCs w:val="20"/>
        </w:rPr>
        <w:t>t they are not yet integrated into our internal controls environment</w:t>
      </w:r>
      <w:r>
        <w:rPr>
          <w:sz w:val="20"/>
          <w:szCs w:val="20"/>
        </w:rPr>
        <w:t>.</w:t>
      </w:r>
      <w:r>
        <w:rPr>
          <w:sz w:val="20"/>
          <w:szCs w:val="20"/>
        </w:rPr>
        <w:t xml:space="preserve"> </w:t>
      </w:r>
    </w:p>
    <w:p w:rsidR="00000000" w:rsidRDefault="00477EE8">
      <w:pPr>
        <w:pStyle w:val="a3"/>
        <w:spacing w:before="360" w:beforeAutospacing="0" w:after="0" w:afterAutospacing="0"/>
        <w:rPr>
          <w:sz w:val="20"/>
          <w:szCs w:val="20"/>
        </w:rPr>
      </w:pPr>
      <w:r>
        <w:rPr>
          <w:i/>
          <w:iCs/>
          <w:sz w:val="20"/>
          <w:szCs w:val="20"/>
        </w:rPr>
        <w:t>Management’s Annual Report on Internal Control over Financial Reportin</w:t>
      </w:r>
      <w:r>
        <w:rPr>
          <w:i/>
          <w:iCs/>
          <w:sz w:val="20"/>
          <w:szCs w:val="20"/>
        </w:rPr>
        <w:t>g</w:t>
      </w:r>
      <w:r>
        <w:rPr>
          <w:sz w:val="20"/>
          <w:szCs w:val="20"/>
        </w:rPr>
        <w:t>.</w:t>
      </w:r>
      <w:r>
        <w:rPr>
          <w:sz w:val="20"/>
          <w:szCs w:val="20"/>
        </w:rPr>
        <w:t xml:space="preserve"> </w:t>
      </w:r>
    </w:p>
    <w:p w:rsidR="00000000" w:rsidRDefault="00477EE8">
      <w:pPr>
        <w:pStyle w:val="a3"/>
        <w:spacing w:before="120" w:beforeAutospacing="0" w:after="0" w:afterAutospacing="0"/>
        <w:ind w:firstLine="511"/>
        <w:rPr>
          <w:sz w:val="20"/>
          <w:szCs w:val="20"/>
        </w:rPr>
      </w:pPr>
      <w:r>
        <w:rPr>
          <w:sz w:val="20"/>
          <w:szCs w:val="20"/>
        </w:rPr>
        <w:t>Our management is responsible for establishing and maintaining adequate internal control over financial reporti</w:t>
      </w:r>
      <w:r>
        <w:rPr>
          <w:sz w:val="20"/>
          <w:szCs w:val="20"/>
        </w:rPr>
        <w:t>ng, as defined in Rule 13a-15(f) of the Exchange Act. Our management conducted an evaluation of the effectiveness of our internal control over financial reporting based on the framework in Internal Control—Integrated Framework issued by the Committee of Sp</w:t>
      </w:r>
      <w:r>
        <w:rPr>
          <w:sz w:val="20"/>
          <w:szCs w:val="20"/>
        </w:rPr>
        <w:t>onsoring Organizations of the Treadway Commission (2013 framework). Based on this evaluation, management concluded that our internal control over financial reporting was effective as of December 31, 2022. Management reviewed the results of its assessment w</w:t>
      </w:r>
      <w:r>
        <w:rPr>
          <w:sz w:val="20"/>
          <w:szCs w:val="20"/>
        </w:rPr>
        <w:t>ith our Audit and Compliance Committee. The effectiveness of our internal control over financial reporting as of December 31, 2022 has been audited by Deloitte &amp; Touche LLP, an independent registered public accounting firm, as stated in its report, which i</w:t>
      </w:r>
      <w:r>
        <w:rPr>
          <w:sz w:val="20"/>
          <w:szCs w:val="20"/>
        </w:rPr>
        <w:t>s included in Item 8 of this Annual Report on Form 10-K</w:t>
      </w:r>
      <w:r>
        <w:rPr>
          <w:sz w:val="20"/>
          <w:szCs w:val="20"/>
        </w:rPr>
        <w:t>.</w:t>
      </w:r>
    </w:p>
    <w:p w:rsidR="00000000" w:rsidRDefault="00477EE8">
      <w:pPr>
        <w:pStyle w:val="a3"/>
        <w:spacing w:before="240" w:beforeAutospacing="0" w:after="0" w:afterAutospacing="0"/>
        <w:ind w:firstLine="511"/>
        <w:rPr>
          <w:sz w:val="20"/>
          <w:szCs w:val="20"/>
        </w:rPr>
      </w:pPr>
      <w:r>
        <w:rPr>
          <w:sz w:val="20"/>
          <w:szCs w:val="20"/>
        </w:rPr>
        <w:t>As permitted by the Securities and Exchange Commission, companies are allowed to exclude acquisitions from their assessment of internal control over financial reporting during the first year of an ac</w:t>
      </w:r>
      <w:r>
        <w:rPr>
          <w:sz w:val="20"/>
          <w:szCs w:val="20"/>
        </w:rPr>
        <w:t xml:space="preserve">quisition. In 2022, we acquired Inform Diagnostics and Fulgent Pharma. Pursuant to applicable rules, because we have not yet fully incorporated the internal controls and procedures of the acquired entity into our internal control over financial reporting, </w:t>
      </w:r>
      <w:r>
        <w:rPr>
          <w:sz w:val="20"/>
          <w:szCs w:val="20"/>
        </w:rPr>
        <w:t>management excluded the acquired businesses from our assessment of the effectiveness of internal control over financial reporting as of December 31, 2022. The Inform Diagnostics and Fulgent Pharma business represented 14% of our revenue and 20% of our tota</w:t>
      </w:r>
      <w:r>
        <w:rPr>
          <w:sz w:val="20"/>
          <w:szCs w:val="20"/>
        </w:rPr>
        <w:t>l assets as of and for the year ended December 31, 2022</w:t>
      </w:r>
      <w:r>
        <w:rPr>
          <w:sz w:val="20"/>
          <w:szCs w:val="20"/>
        </w:rPr>
        <w:t>.</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6</w:t>
      </w:r>
      <w:r>
        <w:rPr>
          <w:sz w:val="20"/>
          <w:szCs w:val="20"/>
        </w:rPr>
        <w:t>1</w:t>
      </w:r>
    </w:p>
    <w:p w:rsidR="00000000" w:rsidRDefault="00477EE8">
      <w:pPr>
        <w:rPr>
          <w:rFonts w:eastAsia="Times New Roman"/>
        </w:rPr>
      </w:pPr>
      <w:r>
        <w:rPr>
          <w:rFonts w:eastAsia="Times New Roman"/>
        </w:rPr>
        <w:pict>
          <v:rect id="_x0000_i1101" style="width:0;height:1.5pt" o:hralign="center" o:hrstd="t" o:hr="t" fillcolor="#a0a0a0" stroked="f"/>
        </w:pict>
      </w:r>
    </w:p>
    <w:p w:rsidR="00000000" w:rsidRDefault="00477EE8">
      <w:pPr>
        <w:pStyle w:val="a3"/>
        <w:spacing w:before="360" w:beforeAutospacing="0" w:after="0" w:afterAutospacing="0"/>
        <w:rPr>
          <w:sz w:val="20"/>
          <w:szCs w:val="20"/>
        </w:rPr>
      </w:pPr>
      <w:r>
        <w:rPr>
          <w:b/>
          <w:bCs/>
          <w:sz w:val="20"/>
          <w:szCs w:val="20"/>
        </w:rPr>
        <w:t>Inherent Limitations on Disclosure Controls and Procedures and Internal Control over Financial Reportin</w:t>
      </w:r>
      <w:r>
        <w:rPr>
          <w:b/>
          <w:bCs/>
          <w:sz w:val="20"/>
          <w:szCs w:val="20"/>
        </w:rPr>
        <w:t>g</w:t>
      </w:r>
    </w:p>
    <w:p w:rsidR="00000000" w:rsidRDefault="00477EE8">
      <w:pPr>
        <w:pStyle w:val="a3"/>
        <w:spacing w:before="120" w:beforeAutospacing="0" w:after="0" w:afterAutospacing="0"/>
        <w:ind w:firstLine="511"/>
        <w:rPr>
          <w:sz w:val="20"/>
          <w:szCs w:val="20"/>
        </w:rPr>
      </w:pPr>
      <w:r>
        <w:rPr>
          <w:sz w:val="20"/>
          <w:szCs w:val="20"/>
        </w:rPr>
        <w:t>Management recognizes that any controls and procedure</w:t>
      </w:r>
      <w:r>
        <w:rPr>
          <w:sz w:val="20"/>
          <w:szCs w:val="20"/>
        </w:rPr>
        <w:t>s, no matter how well-designed and operated, can provide only reasonable assurance of achieving their objectives, and management necessarily applies its judgment in evaluating the benefits of possible controls and procedures relative to their costs. Becaus</w:t>
      </w:r>
      <w:r>
        <w:rPr>
          <w:sz w:val="20"/>
          <w:szCs w:val="20"/>
        </w:rPr>
        <w:t>e of these inherent limitations, our disclosure and internal controls may not prevent or detect all instances of fraud, misstatements or other control issues. In addition, projections of any evaluation of the effectiveness of disclosure or internal control</w:t>
      </w:r>
      <w:r>
        <w:rPr>
          <w:sz w:val="20"/>
          <w:szCs w:val="20"/>
        </w:rPr>
        <w:t>s to future periods are subject to risks, including, among others, that controls may become inadequate because of changes in conditions or that the degree of compliance with policies or procedures may deteriorat</w:t>
      </w:r>
      <w:r>
        <w:rPr>
          <w:sz w:val="20"/>
          <w:szCs w:val="20"/>
        </w:rPr>
        <w:t>e</w:t>
      </w:r>
    </w:p>
    <w:p w:rsidR="00000000" w:rsidRDefault="00477EE8">
      <w:pPr>
        <w:pStyle w:val="a3"/>
        <w:spacing w:before="240" w:beforeAutospacing="0" w:after="0" w:afterAutospacing="0"/>
        <w:rPr>
          <w:sz w:val="20"/>
          <w:szCs w:val="20"/>
        </w:rPr>
      </w:pPr>
      <w:r>
        <w:rPr>
          <w:b/>
          <w:bCs/>
          <w:sz w:val="20"/>
          <w:szCs w:val="20"/>
        </w:rPr>
        <w:t>REPORT OF INDEPENDENT REGISTERED PUBLIC ACC</w:t>
      </w:r>
      <w:r>
        <w:rPr>
          <w:b/>
          <w:bCs/>
          <w:sz w:val="20"/>
          <w:szCs w:val="20"/>
        </w:rPr>
        <w:t>OUNTING FIR</w:t>
      </w:r>
      <w:r>
        <w:rPr>
          <w:b/>
          <w:bCs/>
          <w:sz w:val="20"/>
          <w:szCs w:val="20"/>
        </w:rPr>
        <w:t>M</w:t>
      </w:r>
    </w:p>
    <w:p w:rsidR="00000000" w:rsidRDefault="00477EE8">
      <w:pPr>
        <w:pStyle w:val="a3"/>
        <w:spacing w:before="120" w:beforeAutospacing="0" w:after="0" w:afterAutospacing="0"/>
        <w:rPr>
          <w:sz w:val="20"/>
          <w:szCs w:val="20"/>
        </w:rPr>
      </w:pPr>
      <w:r>
        <w:rPr>
          <w:sz w:val="20"/>
          <w:szCs w:val="20"/>
        </w:rPr>
        <w:t>To the stockholders and the Board of Directors of Fulgent Genetics, Inc</w:t>
      </w:r>
      <w:r>
        <w:rPr>
          <w:sz w:val="20"/>
          <w:szCs w:val="20"/>
        </w:rPr>
        <w:t>.</w:t>
      </w:r>
    </w:p>
    <w:p w:rsidR="00000000" w:rsidRDefault="00477EE8">
      <w:pPr>
        <w:pStyle w:val="a3"/>
        <w:spacing w:before="120" w:beforeAutospacing="0" w:after="0" w:afterAutospacing="0"/>
        <w:rPr>
          <w:sz w:val="20"/>
          <w:szCs w:val="20"/>
        </w:rPr>
      </w:pPr>
      <w:r>
        <w:rPr>
          <w:b/>
          <w:bCs/>
          <w:sz w:val="20"/>
          <w:szCs w:val="20"/>
        </w:rPr>
        <w:t>Opinion on Internal Control over Financial Reportin</w:t>
      </w:r>
      <w:r>
        <w:rPr>
          <w:b/>
          <w:bCs/>
          <w:sz w:val="20"/>
          <w:szCs w:val="20"/>
        </w:rPr>
        <w:t>g</w:t>
      </w:r>
    </w:p>
    <w:p w:rsidR="00000000" w:rsidRDefault="00477EE8">
      <w:pPr>
        <w:pStyle w:val="a3"/>
        <w:spacing w:before="120" w:beforeAutospacing="0" w:after="0" w:afterAutospacing="0"/>
        <w:rPr>
          <w:sz w:val="20"/>
          <w:szCs w:val="20"/>
        </w:rPr>
      </w:pPr>
      <w:r>
        <w:rPr>
          <w:sz w:val="20"/>
          <w:szCs w:val="20"/>
        </w:rPr>
        <w:t>We have audited the internal control over financial reporting of Fulgent Genetics, Inc. and subsidiaries (the “Compan</w:t>
      </w:r>
      <w:r>
        <w:rPr>
          <w:sz w:val="20"/>
          <w:szCs w:val="20"/>
        </w:rPr>
        <w:t>y”) as of December 31, 2022, based on criteria established in</w:t>
      </w:r>
      <w:r>
        <w:rPr>
          <w:sz w:val="20"/>
          <w:szCs w:val="20"/>
        </w:rPr>
        <w:t xml:space="preserve"> </w:t>
      </w:r>
      <w:r>
        <w:rPr>
          <w:i/>
          <w:iCs/>
          <w:sz w:val="20"/>
          <w:szCs w:val="20"/>
        </w:rPr>
        <w:t>Internal Control — Integrated Framework (2013</w:t>
      </w:r>
      <w:r>
        <w:rPr>
          <w:i/>
          <w:iCs/>
          <w:sz w:val="20"/>
          <w:szCs w:val="20"/>
        </w:rPr>
        <w:t>)</w:t>
      </w:r>
      <w:r>
        <w:rPr>
          <w:sz w:val="20"/>
          <w:szCs w:val="20"/>
        </w:rPr>
        <w:t xml:space="preserve"> issued by the Committee of Sponsoring Organizations of the Treadway Commission (COSO). In our opinion, the Company maintained, in all material resp</w:t>
      </w:r>
      <w:r>
        <w:rPr>
          <w:sz w:val="20"/>
          <w:szCs w:val="20"/>
        </w:rPr>
        <w:t>ects, effective internal control over financial reporting as of December 31, 2022, based on criteria established in</w:t>
      </w:r>
      <w:r>
        <w:rPr>
          <w:sz w:val="20"/>
          <w:szCs w:val="20"/>
        </w:rPr>
        <w:t xml:space="preserve"> </w:t>
      </w:r>
      <w:r>
        <w:rPr>
          <w:i/>
          <w:iCs/>
          <w:sz w:val="20"/>
          <w:szCs w:val="20"/>
        </w:rPr>
        <w:t>Internal Control — Integrated Framework (2013</w:t>
      </w:r>
      <w:r>
        <w:rPr>
          <w:i/>
          <w:iCs/>
          <w:sz w:val="20"/>
          <w:szCs w:val="20"/>
        </w:rPr>
        <w:t>)</w:t>
      </w:r>
      <w:r>
        <w:rPr>
          <w:sz w:val="20"/>
          <w:szCs w:val="20"/>
        </w:rPr>
        <w:t xml:space="preserve"> issued by COSO</w:t>
      </w:r>
      <w:r>
        <w:rPr>
          <w:sz w:val="20"/>
          <w:szCs w:val="20"/>
        </w:rPr>
        <w:t>.</w:t>
      </w:r>
    </w:p>
    <w:p w:rsidR="00000000" w:rsidRDefault="00477EE8">
      <w:pPr>
        <w:pStyle w:val="a3"/>
        <w:spacing w:before="240" w:beforeAutospacing="0" w:after="0" w:afterAutospacing="0"/>
        <w:rPr>
          <w:sz w:val="20"/>
          <w:szCs w:val="20"/>
        </w:rPr>
      </w:pPr>
      <w:r>
        <w:rPr>
          <w:sz w:val="20"/>
          <w:szCs w:val="20"/>
        </w:rPr>
        <w:t xml:space="preserve">We have also audited, in accordance with the standards of the Public Company </w:t>
      </w:r>
      <w:r>
        <w:rPr>
          <w:sz w:val="20"/>
          <w:szCs w:val="20"/>
        </w:rPr>
        <w:t>Accounting Oversight Board (United States) (PCAOB), the consolidated financial statements as of and for the year ended December 31, 2022, of the Company and our report dated February 28, 2023, expressed an unqualified opinion on those financial statements</w:t>
      </w:r>
      <w:r>
        <w:rPr>
          <w:sz w:val="20"/>
          <w:szCs w:val="20"/>
        </w:rPr>
        <w:t>.</w:t>
      </w:r>
    </w:p>
    <w:p w:rsidR="00000000" w:rsidRDefault="00477EE8">
      <w:pPr>
        <w:pStyle w:val="a3"/>
        <w:spacing w:before="240" w:beforeAutospacing="0" w:after="0" w:afterAutospacing="0"/>
        <w:rPr>
          <w:sz w:val="20"/>
          <w:szCs w:val="20"/>
        </w:rPr>
      </w:pPr>
      <w:r>
        <w:rPr>
          <w:sz w:val="20"/>
          <w:szCs w:val="20"/>
        </w:rPr>
        <w:t>As described in "Management’s Annual Report on Internal Control over Financial Reporting,"management excluded from its assessment the internal control over financial reporting at Inform Diagnostics, Inc. and Fulgent Pharma Holdings, Inc. which were acquir</w:t>
      </w:r>
      <w:r>
        <w:rPr>
          <w:sz w:val="20"/>
          <w:szCs w:val="20"/>
        </w:rPr>
        <w:t>ed on April 26, 2022 and November 7, 2022, respectively, and whose financial statements constitute 14% of revenues and 20% of total assets of the consolidated financial statement amounts as of and for the year ended December 31, 2022. Accordingly, our audi</w:t>
      </w:r>
      <w:r>
        <w:rPr>
          <w:sz w:val="20"/>
          <w:szCs w:val="20"/>
        </w:rPr>
        <w:t>t did not include the internal control over financial reporting at Inform Diagnostics, Inc. and Fulgent Pharma Holdings, Inc</w:t>
      </w:r>
      <w:r>
        <w:rPr>
          <w:sz w:val="20"/>
          <w:szCs w:val="20"/>
        </w:rPr>
        <w:t>.</w:t>
      </w:r>
    </w:p>
    <w:p w:rsidR="00000000" w:rsidRDefault="00477EE8">
      <w:pPr>
        <w:pStyle w:val="a3"/>
        <w:spacing w:before="240" w:beforeAutospacing="0" w:after="0" w:afterAutospacing="0"/>
        <w:rPr>
          <w:sz w:val="20"/>
          <w:szCs w:val="20"/>
        </w:rPr>
      </w:pPr>
      <w:r>
        <w:rPr>
          <w:b/>
          <w:bCs/>
          <w:sz w:val="20"/>
          <w:szCs w:val="20"/>
        </w:rPr>
        <w:t>Basis for Opinio</w:t>
      </w:r>
      <w:r>
        <w:rPr>
          <w:b/>
          <w:bCs/>
          <w:sz w:val="20"/>
          <w:szCs w:val="20"/>
        </w:rPr>
        <w:t>n</w:t>
      </w:r>
    </w:p>
    <w:p w:rsidR="00000000" w:rsidRDefault="00477EE8">
      <w:pPr>
        <w:pStyle w:val="a3"/>
        <w:spacing w:before="120" w:beforeAutospacing="0" w:after="0" w:afterAutospacing="0"/>
        <w:rPr>
          <w:sz w:val="20"/>
          <w:szCs w:val="20"/>
        </w:rPr>
      </w:pPr>
      <w:r>
        <w:rPr>
          <w:sz w:val="20"/>
          <w:szCs w:val="20"/>
        </w:rPr>
        <w:t>The Company’</w:t>
      </w:r>
      <w:r>
        <w:rPr>
          <w:sz w:val="20"/>
          <w:szCs w:val="20"/>
        </w:rPr>
        <w:t>s management is responsible for maintaining effective internal control over financial reporting and for its assessment of the effectiveness of internal control over financial reporting, included in the accompanying "Management’s Annual Report on Internal C</w:t>
      </w:r>
      <w:r>
        <w:rPr>
          <w:sz w:val="20"/>
          <w:szCs w:val="20"/>
        </w:rPr>
        <w:t>ontrol over Financial Reporting".Our responsibility is to express an opinion on the Company’s internal control over financial reporting based on our audit. We are a public accounting firm registered with the PCAOB and are required to be independent with re</w:t>
      </w:r>
      <w:r>
        <w:rPr>
          <w:sz w:val="20"/>
          <w:szCs w:val="20"/>
        </w:rPr>
        <w:t>spect to the Company in accordance with the U.S. federal securities laws and the applicable rules and regulations of the Securities and Exchange Commission and the PCAOB</w:t>
      </w:r>
      <w:r>
        <w:rPr>
          <w:sz w:val="20"/>
          <w:szCs w:val="20"/>
        </w:rPr>
        <w:t>.</w:t>
      </w:r>
    </w:p>
    <w:p w:rsidR="00000000" w:rsidRDefault="00477EE8">
      <w:pPr>
        <w:pStyle w:val="a3"/>
        <w:spacing w:before="240" w:beforeAutospacing="0" w:after="0" w:afterAutospacing="0"/>
        <w:rPr>
          <w:sz w:val="20"/>
          <w:szCs w:val="20"/>
        </w:rPr>
      </w:pPr>
      <w:r>
        <w:rPr>
          <w:sz w:val="20"/>
          <w:szCs w:val="20"/>
        </w:rPr>
        <w:t>We conducted our audit in accordance with the standards of the PCAOB. Those standards</w:t>
      </w:r>
      <w:r>
        <w:rPr>
          <w:sz w:val="20"/>
          <w:szCs w:val="20"/>
        </w:rPr>
        <w:t xml:space="preserve"> require that we plan and perform the audit to obtain reasonable assurance about whether effective internal control over financial reporting was maintained in all material respects. Our audit included obtaining an understanding of internal control over fin</w:t>
      </w:r>
      <w:r>
        <w:rPr>
          <w:sz w:val="20"/>
          <w:szCs w:val="20"/>
        </w:rPr>
        <w:t>ancial reporting, assessing the risk that a material weakness exists, testing and evaluating the design and operating effectiveness of internal control based on the assessed risk, and performing such other procedures as we considered necessary in the circu</w:t>
      </w:r>
      <w:r>
        <w:rPr>
          <w:sz w:val="20"/>
          <w:szCs w:val="20"/>
        </w:rPr>
        <w:t>mstances. We believe that our audit provides a reasonable basis for our opinion</w:t>
      </w:r>
      <w:r>
        <w:rPr>
          <w:sz w:val="20"/>
          <w:szCs w:val="20"/>
        </w:rPr>
        <w:t>.</w:t>
      </w:r>
    </w:p>
    <w:p w:rsidR="00000000" w:rsidRDefault="00477EE8">
      <w:pPr>
        <w:pStyle w:val="a3"/>
        <w:spacing w:before="240" w:beforeAutospacing="0" w:after="0" w:afterAutospacing="0"/>
        <w:rPr>
          <w:sz w:val="20"/>
          <w:szCs w:val="20"/>
        </w:rPr>
      </w:pPr>
      <w:r>
        <w:rPr>
          <w:b/>
          <w:bCs/>
          <w:sz w:val="20"/>
          <w:szCs w:val="20"/>
        </w:rPr>
        <w:t>Definition and Limitations of Internal Control over Financial Reportin</w:t>
      </w:r>
      <w:r>
        <w:rPr>
          <w:b/>
          <w:bCs/>
          <w:sz w:val="20"/>
          <w:szCs w:val="20"/>
        </w:rPr>
        <w:t>g</w:t>
      </w:r>
    </w:p>
    <w:p w:rsidR="00000000" w:rsidRDefault="00477EE8">
      <w:pPr>
        <w:pStyle w:val="a3"/>
        <w:spacing w:before="120" w:beforeAutospacing="0" w:after="0" w:afterAutospacing="0"/>
        <w:rPr>
          <w:sz w:val="20"/>
          <w:szCs w:val="20"/>
        </w:rPr>
      </w:pPr>
      <w:r>
        <w:rPr>
          <w:sz w:val="20"/>
          <w:szCs w:val="20"/>
        </w:rPr>
        <w:t>A company’s internal control over financial reporting is a process designed to provide reasonable assur</w:t>
      </w:r>
      <w:r>
        <w:rPr>
          <w:sz w:val="20"/>
          <w:szCs w:val="20"/>
        </w:rPr>
        <w:t>ance regarding the reliability of financial reporting and the preparation of financial statements for external purposes in accordance with generally accepted accounting principles. A company’s internal control over financial reporting includes those polici</w:t>
      </w:r>
      <w:r>
        <w:rPr>
          <w:sz w:val="20"/>
          <w:szCs w:val="20"/>
        </w:rPr>
        <w:t>es and procedures that (1) pertain to the maintenance of records that, in reasonable detail, accurately and fairly reflect the transactions and dispositions of the assets of the company; (2) provide reasonable assurance that transactions are recorded as ne</w:t>
      </w:r>
      <w:r>
        <w:rPr>
          <w:sz w:val="20"/>
          <w:szCs w:val="20"/>
        </w:rPr>
        <w:t>cessary to permit preparation of financial statements in accordance with generally accepted accounting principles, and that receipts and expenditures of the company are being made only in accordance with authorizations of management and directors of the co</w:t>
      </w:r>
      <w:r>
        <w:rPr>
          <w:sz w:val="20"/>
          <w:szCs w:val="20"/>
        </w:rPr>
        <w:t>mpany; and (3) provide reasonable assurance regarding prevention or timely detection of unauthorized acquisition, use, or disposition of the company’s assets that could have a material effect on the financial statements</w:t>
      </w:r>
      <w:r>
        <w:rPr>
          <w:sz w:val="20"/>
          <w:szCs w:val="20"/>
        </w:rPr>
        <w:t>.</w:t>
      </w:r>
    </w:p>
    <w:p w:rsidR="00000000" w:rsidRDefault="00477EE8">
      <w:pPr>
        <w:pStyle w:val="a3"/>
        <w:spacing w:before="240" w:beforeAutospacing="0" w:after="0" w:afterAutospacing="0"/>
        <w:rPr>
          <w:sz w:val="20"/>
          <w:szCs w:val="20"/>
        </w:rPr>
      </w:pPr>
      <w:r>
        <w:rPr>
          <w:sz w:val="20"/>
          <w:szCs w:val="20"/>
        </w:rPr>
        <w:t>Because of its inherent limitations</w:t>
      </w:r>
      <w:r>
        <w:rPr>
          <w:sz w:val="20"/>
          <w:szCs w:val="20"/>
        </w:rPr>
        <w:t>, internal control over financial reporting may not prevent or detect misstatements. Also, projections of any evaluation of effectiveness to future periods are subject to the risk that controls may become inadequate because of changes in conditions, or tha</w:t>
      </w:r>
      <w:r>
        <w:rPr>
          <w:sz w:val="20"/>
          <w:szCs w:val="20"/>
        </w:rPr>
        <w:t>t the degree of compliance with the policies or procedures may deteriorate</w:t>
      </w:r>
      <w:r>
        <w:rPr>
          <w:sz w:val="20"/>
          <w:szCs w:val="20"/>
        </w:rPr>
        <w:t>.</w:t>
      </w:r>
    </w:p>
    <w:p w:rsidR="00000000" w:rsidRDefault="00477EE8">
      <w:pPr>
        <w:pStyle w:val="a3"/>
        <w:spacing w:before="240" w:beforeAutospacing="0" w:after="0" w:afterAutospacing="0"/>
        <w:jc w:val="center"/>
        <w:rPr>
          <w:sz w:val="20"/>
          <w:szCs w:val="20"/>
        </w:rPr>
      </w:pPr>
      <w:r>
        <w:rPr>
          <w:sz w:val="20"/>
          <w:szCs w:val="20"/>
        </w:rPr>
        <w:t>6</w:t>
      </w:r>
      <w:r>
        <w:rPr>
          <w:sz w:val="20"/>
          <w:szCs w:val="20"/>
        </w:rPr>
        <w:t>2</w:t>
      </w:r>
    </w:p>
    <w:p w:rsidR="00000000" w:rsidRDefault="00477EE8">
      <w:pPr>
        <w:rPr>
          <w:rFonts w:eastAsia="Times New Roman"/>
        </w:rPr>
      </w:pPr>
      <w:r>
        <w:rPr>
          <w:rFonts w:eastAsia="Times New Roman"/>
        </w:rPr>
        <w:pict>
          <v:rect id="_x0000_i1102" style="width:0;height:1.5pt" o:hralign="center" o:hrstd="t" o:hr="t" fillcolor="#a0a0a0" stroked="f"/>
        </w:pict>
      </w:r>
    </w:p>
    <w:p w:rsidR="00000000" w:rsidRDefault="00477EE8">
      <w:pPr>
        <w:pStyle w:val="a3"/>
        <w:spacing w:before="240" w:beforeAutospacing="0" w:after="0" w:afterAutospacing="0"/>
        <w:rPr>
          <w:sz w:val="20"/>
          <w:szCs w:val="20"/>
        </w:rPr>
      </w:pPr>
      <w:r>
        <w:rPr>
          <w:sz w:val="20"/>
          <w:szCs w:val="20"/>
        </w:rPr>
        <w:t>/s/ DELOITTE &amp; TOUCHE LL</w:t>
      </w:r>
      <w:r>
        <w:rPr>
          <w:sz w:val="20"/>
          <w:szCs w:val="20"/>
        </w:rPr>
        <w:t>P</w:t>
      </w:r>
    </w:p>
    <w:p w:rsidR="00000000" w:rsidRDefault="00477EE8">
      <w:pPr>
        <w:pStyle w:val="a3"/>
        <w:spacing w:before="0" w:beforeAutospacing="0" w:after="0" w:afterAutospacing="0"/>
        <w:rPr>
          <w:sz w:val="20"/>
          <w:szCs w:val="20"/>
        </w:rPr>
      </w:pPr>
      <w:r>
        <w:rPr>
          <w:sz w:val="20"/>
          <w:szCs w:val="20"/>
        </w:rPr>
        <w:t>Los Angeles, Californi</w:t>
      </w:r>
      <w:r>
        <w:rPr>
          <w:sz w:val="20"/>
          <w:szCs w:val="20"/>
        </w:rPr>
        <w:t>a</w:t>
      </w:r>
      <w:r>
        <w:rPr>
          <w:sz w:val="20"/>
          <w:szCs w:val="20"/>
        </w:rPr>
        <w:t xml:space="preserve"> </w:t>
      </w:r>
    </w:p>
    <w:p w:rsidR="00000000" w:rsidRDefault="00477EE8">
      <w:pPr>
        <w:pStyle w:val="a3"/>
        <w:spacing w:before="120" w:beforeAutospacing="0" w:after="0" w:afterAutospacing="0"/>
        <w:rPr>
          <w:sz w:val="20"/>
          <w:szCs w:val="20"/>
        </w:rPr>
      </w:pPr>
      <w:r>
        <w:rPr>
          <w:sz w:val="20"/>
          <w:szCs w:val="20"/>
        </w:rPr>
        <w:t>February 28, 202</w:t>
      </w:r>
      <w:r>
        <w:rPr>
          <w:sz w:val="20"/>
          <w:szCs w:val="20"/>
        </w:rPr>
        <w:t>3</w:t>
      </w:r>
    </w:p>
    <w:p w:rsidR="00000000" w:rsidRDefault="00477EE8">
      <w:pPr>
        <w:pStyle w:val="a3"/>
        <w:spacing w:before="320" w:beforeAutospacing="0" w:after="0" w:afterAutospacing="0"/>
        <w:rPr>
          <w:sz w:val="20"/>
          <w:szCs w:val="20"/>
        </w:rPr>
      </w:pPr>
      <w:r>
        <w:rPr>
          <w:b/>
          <w:bCs/>
          <w:sz w:val="20"/>
          <w:szCs w:val="20"/>
        </w:rPr>
        <w:t>Item 9B. Othe</w:t>
      </w:r>
      <w:r>
        <w:rPr>
          <w:b/>
          <w:bCs/>
          <w:sz w:val="20"/>
          <w:szCs w:val="20"/>
        </w:rPr>
        <w:t>r</w:t>
      </w:r>
      <w:r>
        <w:rPr>
          <w:b/>
          <w:bCs/>
          <w:sz w:val="20"/>
          <w:szCs w:val="20"/>
        </w:rPr>
        <w:t xml:space="preserve"> Information</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Non</w:t>
      </w:r>
      <w:r>
        <w:rPr>
          <w:sz w:val="20"/>
          <w:szCs w:val="20"/>
        </w:rPr>
        <w:t>e</w:t>
      </w:r>
    </w:p>
    <w:p w:rsidR="00000000" w:rsidRDefault="00477EE8">
      <w:pPr>
        <w:pStyle w:val="a3"/>
        <w:spacing w:before="320" w:beforeAutospacing="0" w:after="0" w:afterAutospacing="0"/>
        <w:rPr>
          <w:sz w:val="20"/>
          <w:szCs w:val="20"/>
        </w:rPr>
      </w:pPr>
      <w:r>
        <w:rPr>
          <w:b/>
          <w:bCs/>
          <w:sz w:val="20"/>
          <w:szCs w:val="20"/>
        </w:rPr>
        <w:t xml:space="preserve">Item 9C. Disclosure Regarding Foreign </w:t>
      </w:r>
      <w:r>
        <w:rPr>
          <w:b/>
          <w:bCs/>
          <w:sz w:val="20"/>
          <w:szCs w:val="20"/>
        </w:rPr>
        <w:t>Jurisdictions that Prevent Inspections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Non</w:t>
      </w:r>
      <w:r>
        <w:rPr>
          <w:sz w:val="20"/>
          <w:szCs w:val="20"/>
        </w:rPr>
        <w:t>e</w:t>
      </w:r>
    </w:p>
    <w:p w:rsidR="00000000" w:rsidRDefault="00477EE8">
      <w:pPr>
        <w:pStyle w:val="a3"/>
        <w:spacing w:before="240" w:beforeAutospacing="0" w:after="0" w:afterAutospacing="0"/>
        <w:jc w:val="center"/>
        <w:rPr>
          <w:sz w:val="20"/>
          <w:szCs w:val="20"/>
        </w:rPr>
      </w:pPr>
      <w:r>
        <w:rPr>
          <w:sz w:val="20"/>
          <w:szCs w:val="20"/>
        </w:rPr>
        <w:t>6</w:t>
      </w:r>
      <w:r>
        <w:rPr>
          <w:sz w:val="20"/>
          <w:szCs w:val="20"/>
        </w:rPr>
        <w:t>3</w:t>
      </w:r>
    </w:p>
    <w:p w:rsidR="00000000" w:rsidRDefault="00477EE8">
      <w:pPr>
        <w:rPr>
          <w:rFonts w:eastAsia="Times New Roman"/>
        </w:rPr>
      </w:pPr>
      <w:r>
        <w:rPr>
          <w:rFonts w:eastAsia="Times New Roman"/>
        </w:rPr>
        <w:pict>
          <v:rect id="_x0000_i1103" style="width:0;height:1.5pt" o:hralign="center" o:hrstd="t" o:hr="t" fillcolor="#a0a0a0" stroked="f"/>
        </w:pict>
      </w:r>
    </w:p>
    <w:p w:rsidR="00000000" w:rsidRDefault="00477EE8">
      <w:pPr>
        <w:pStyle w:val="a3"/>
        <w:spacing w:before="0" w:beforeAutospacing="0" w:after="0" w:afterAutospacing="0"/>
        <w:jc w:val="center"/>
        <w:rPr>
          <w:sz w:val="20"/>
          <w:szCs w:val="20"/>
        </w:rPr>
      </w:pPr>
      <w:r>
        <w:rPr>
          <w:b/>
          <w:bCs/>
          <w:sz w:val="20"/>
          <w:szCs w:val="20"/>
        </w:rPr>
        <w:t>PAR</w:t>
      </w:r>
      <w:r>
        <w:rPr>
          <w:b/>
          <w:bCs/>
          <w:sz w:val="20"/>
          <w:szCs w:val="20"/>
        </w:rPr>
        <w:t>T</w:t>
      </w:r>
      <w:r>
        <w:rPr>
          <w:b/>
          <w:bCs/>
          <w:sz w:val="20"/>
          <w:szCs w:val="20"/>
        </w:rPr>
        <w:t xml:space="preserve"> II</w:t>
      </w:r>
      <w:r>
        <w:rPr>
          <w:b/>
          <w:bCs/>
          <w:sz w:val="20"/>
          <w:szCs w:val="20"/>
        </w:rPr>
        <w:t>I</w:t>
      </w:r>
    </w:p>
    <w:p w:rsidR="00000000" w:rsidRDefault="00477EE8">
      <w:pPr>
        <w:pStyle w:val="a3"/>
        <w:spacing w:before="240" w:beforeAutospacing="0" w:after="0" w:afterAutospacing="0"/>
        <w:rPr>
          <w:sz w:val="20"/>
          <w:szCs w:val="20"/>
        </w:rPr>
      </w:pPr>
      <w:r>
        <w:rPr>
          <w:b/>
          <w:bCs/>
          <w:sz w:val="20"/>
          <w:szCs w:val="20"/>
        </w:rPr>
        <w:t>Item 10. Directors, Executive Of</w:t>
      </w:r>
      <w:r>
        <w:rPr>
          <w:b/>
          <w:bCs/>
          <w:sz w:val="20"/>
          <w:szCs w:val="20"/>
        </w:rPr>
        <w:t>f</w:t>
      </w:r>
      <w:r>
        <w:rPr>
          <w:b/>
          <w:bCs/>
          <w:sz w:val="20"/>
          <w:szCs w:val="20"/>
        </w:rPr>
        <w:t>icers and Corporate Governance</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The information required by this item is incorporated by reference to the definitive proxy stateme</w:t>
      </w:r>
      <w:r>
        <w:rPr>
          <w:sz w:val="20"/>
          <w:szCs w:val="20"/>
        </w:rPr>
        <w:t>nt for our 2023 annual meeting of stockholders or an amendment to this report, in either case to be filed with the SEC within 120 days after the end of our fiscal year ended December 31, 2022</w:t>
      </w:r>
      <w:r>
        <w:rPr>
          <w:sz w:val="20"/>
          <w:szCs w:val="20"/>
        </w:rPr>
        <w:t>.</w:t>
      </w:r>
    </w:p>
    <w:p w:rsidR="00000000" w:rsidRDefault="00477EE8">
      <w:pPr>
        <w:pStyle w:val="a3"/>
        <w:spacing w:before="360" w:beforeAutospacing="0" w:after="0" w:afterAutospacing="0"/>
        <w:rPr>
          <w:sz w:val="20"/>
          <w:szCs w:val="20"/>
        </w:rPr>
      </w:pPr>
      <w:r>
        <w:rPr>
          <w:b/>
          <w:bCs/>
          <w:sz w:val="20"/>
          <w:szCs w:val="20"/>
        </w:rPr>
        <w:t>Item 11. Executi</w:t>
      </w:r>
      <w:r>
        <w:rPr>
          <w:b/>
          <w:bCs/>
          <w:sz w:val="20"/>
          <w:szCs w:val="20"/>
        </w:rPr>
        <w:t>v</w:t>
      </w:r>
      <w:r>
        <w:rPr>
          <w:b/>
          <w:bCs/>
          <w:sz w:val="20"/>
          <w:szCs w:val="20"/>
        </w:rPr>
        <w:t>e Compensation</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The information required by this item is incorporated by reference to the definitive proxy statement for our 2023 annual meeting of stockholders or an amendment to this report, in either case to be filed with the SEC within 120 days after the end of our fi</w:t>
      </w:r>
      <w:r>
        <w:rPr>
          <w:sz w:val="20"/>
          <w:szCs w:val="20"/>
        </w:rPr>
        <w:t>scal year ended December 31, 2022</w:t>
      </w:r>
      <w:r>
        <w:rPr>
          <w:sz w:val="20"/>
          <w:szCs w:val="20"/>
        </w:rPr>
        <w:t>.</w:t>
      </w:r>
    </w:p>
    <w:p w:rsidR="00000000" w:rsidRDefault="00477EE8">
      <w:pPr>
        <w:pStyle w:val="a3"/>
        <w:spacing w:before="360" w:beforeAutospacing="0" w:after="0" w:afterAutospacing="0"/>
        <w:rPr>
          <w:sz w:val="20"/>
          <w:szCs w:val="20"/>
        </w:rPr>
      </w:pPr>
      <w:r>
        <w:rPr>
          <w:b/>
          <w:bCs/>
          <w:sz w:val="20"/>
          <w:szCs w:val="20"/>
        </w:rPr>
        <w:t>Item 12. Security Ownership of Certain Beneficial Ow</w:t>
      </w:r>
      <w:r>
        <w:rPr>
          <w:b/>
          <w:bCs/>
          <w:sz w:val="20"/>
          <w:szCs w:val="20"/>
        </w:rPr>
        <w:t>n</w:t>
      </w:r>
      <w:r>
        <w:rPr>
          <w:b/>
          <w:bCs/>
          <w:sz w:val="20"/>
          <w:szCs w:val="20"/>
        </w:rPr>
        <w:t>ers and Management and Related Stockholder Matters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The information required by this item is incorporated by reference to the definitive proxy statement for our 2023 an</w:t>
      </w:r>
      <w:r>
        <w:rPr>
          <w:sz w:val="20"/>
          <w:szCs w:val="20"/>
        </w:rPr>
        <w:t>nual meeting of stockholders or an amendment to this report, in either case to be filed with the SEC within 120 days after the end of our fiscal year ended December 31, 2022</w:t>
      </w:r>
      <w:r>
        <w:rPr>
          <w:sz w:val="20"/>
          <w:szCs w:val="20"/>
        </w:rPr>
        <w:t>.</w:t>
      </w:r>
    </w:p>
    <w:p w:rsidR="00000000" w:rsidRDefault="00477EE8">
      <w:pPr>
        <w:pStyle w:val="a3"/>
        <w:spacing w:before="360" w:beforeAutospacing="0" w:after="0" w:afterAutospacing="0"/>
        <w:rPr>
          <w:sz w:val="20"/>
          <w:szCs w:val="20"/>
        </w:rPr>
      </w:pPr>
      <w:r>
        <w:rPr>
          <w:b/>
          <w:bCs/>
          <w:sz w:val="20"/>
          <w:szCs w:val="20"/>
        </w:rPr>
        <w:t>Item 13. Certain Relationships and Relate</w:t>
      </w:r>
      <w:r>
        <w:rPr>
          <w:b/>
          <w:bCs/>
          <w:sz w:val="20"/>
          <w:szCs w:val="20"/>
        </w:rPr>
        <w:t>d</w:t>
      </w:r>
      <w:r>
        <w:rPr>
          <w:b/>
          <w:bCs/>
          <w:sz w:val="20"/>
          <w:szCs w:val="20"/>
        </w:rPr>
        <w:t xml:space="preserve"> Transactions, and Director Independenc</w:t>
      </w:r>
      <w:r>
        <w:rPr>
          <w:b/>
          <w:bCs/>
          <w:sz w:val="20"/>
          <w:szCs w:val="20"/>
        </w:rPr>
        <w:t>e</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The information required by this item is incorporated by reference to the definitive proxy statement for our 2023 annual meeting of stockholders or an amendment to this report, in either case to be filed with the SEC within 120 days after the end of our</w:t>
      </w:r>
      <w:r>
        <w:rPr>
          <w:sz w:val="20"/>
          <w:szCs w:val="20"/>
        </w:rPr>
        <w:t xml:space="preserve"> fiscal year ended December 31, 2022</w:t>
      </w:r>
      <w:r>
        <w:rPr>
          <w:sz w:val="20"/>
          <w:szCs w:val="20"/>
        </w:rPr>
        <w:t>.</w:t>
      </w:r>
    </w:p>
    <w:p w:rsidR="00000000" w:rsidRDefault="00477EE8">
      <w:pPr>
        <w:pStyle w:val="a3"/>
        <w:spacing w:before="360" w:beforeAutospacing="0" w:after="0" w:afterAutospacing="0"/>
        <w:rPr>
          <w:sz w:val="20"/>
          <w:szCs w:val="20"/>
        </w:rPr>
      </w:pPr>
      <w:r>
        <w:rPr>
          <w:b/>
          <w:bCs/>
          <w:sz w:val="20"/>
          <w:szCs w:val="20"/>
        </w:rPr>
        <w:t>Item 14. Principal Acco</w:t>
      </w:r>
      <w:r>
        <w:rPr>
          <w:b/>
          <w:bCs/>
          <w:sz w:val="20"/>
          <w:szCs w:val="20"/>
        </w:rPr>
        <w:t>u</w:t>
      </w:r>
      <w:r>
        <w:rPr>
          <w:b/>
          <w:bCs/>
          <w:sz w:val="20"/>
          <w:szCs w:val="20"/>
        </w:rPr>
        <w:t>nting Fees and Services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 xml:space="preserve">The information required by this item is incorporated by reference to the definitive proxy statement for our 2023 annual meeting of stockholders or an amendment to this </w:t>
      </w:r>
      <w:r>
        <w:rPr>
          <w:sz w:val="20"/>
          <w:szCs w:val="20"/>
        </w:rPr>
        <w:t>report, in either case to be filed with the SEC within 120 days after the end of our fiscal year ended December 31, 2022</w:t>
      </w:r>
      <w:r>
        <w:rPr>
          <w:sz w:val="20"/>
          <w:szCs w:val="20"/>
        </w:rPr>
        <w:t>.</w:t>
      </w:r>
    </w:p>
    <w:p w:rsidR="00000000" w:rsidRDefault="00477EE8">
      <w:pPr>
        <w:pStyle w:val="a3"/>
        <w:spacing w:before="0" w:beforeAutospacing="0" w:after="0" w:afterAutospacing="0"/>
        <w:rPr>
          <w:sz w:val="20"/>
          <w:szCs w:val="20"/>
        </w:rPr>
      </w:pPr>
      <w:r>
        <w:rPr>
          <w:sz w:val="20"/>
          <w:szCs w:val="20"/>
        </w:rPr>
        <w:t> </w:t>
      </w:r>
    </w:p>
    <w:p w:rsidR="00000000" w:rsidRDefault="00477EE8">
      <w:pPr>
        <w:pStyle w:val="a3"/>
        <w:spacing w:before="240" w:beforeAutospacing="0" w:after="0" w:afterAutospacing="0"/>
        <w:jc w:val="center"/>
        <w:rPr>
          <w:sz w:val="20"/>
          <w:szCs w:val="20"/>
        </w:rPr>
      </w:pPr>
      <w:r>
        <w:rPr>
          <w:sz w:val="20"/>
          <w:szCs w:val="20"/>
        </w:rPr>
        <w:t>6</w:t>
      </w:r>
      <w:r>
        <w:rPr>
          <w:sz w:val="20"/>
          <w:szCs w:val="20"/>
        </w:rPr>
        <w:t>4</w:t>
      </w:r>
    </w:p>
    <w:p w:rsidR="00000000" w:rsidRDefault="00477EE8">
      <w:pPr>
        <w:rPr>
          <w:rFonts w:eastAsia="Times New Roman"/>
        </w:rPr>
      </w:pPr>
      <w:r>
        <w:rPr>
          <w:rFonts w:eastAsia="Times New Roman"/>
        </w:rPr>
        <w:pict>
          <v:rect id="_x0000_i1104" style="width:0;height:1.5pt" o:hralign="center" o:hrstd="t" o:hr="t" fillcolor="#a0a0a0" stroked="f"/>
        </w:pict>
      </w:r>
    </w:p>
    <w:p w:rsidR="00000000" w:rsidRDefault="00477EE8">
      <w:pPr>
        <w:pStyle w:val="a3"/>
        <w:spacing w:before="0" w:beforeAutospacing="0" w:after="0" w:afterAutospacing="0"/>
        <w:jc w:val="center"/>
        <w:rPr>
          <w:sz w:val="20"/>
          <w:szCs w:val="20"/>
        </w:rPr>
      </w:pPr>
      <w:r>
        <w:rPr>
          <w:b/>
          <w:bCs/>
          <w:sz w:val="20"/>
          <w:szCs w:val="20"/>
        </w:rPr>
        <w:t>PAR</w:t>
      </w:r>
      <w:r>
        <w:rPr>
          <w:b/>
          <w:bCs/>
          <w:sz w:val="20"/>
          <w:szCs w:val="20"/>
        </w:rPr>
        <w:t>T</w:t>
      </w:r>
      <w:r>
        <w:rPr>
          <w:b/>
          <w:bCs/>
          <w:sz w:val="20"/>
          <w:szCs w:val="20"/>
        </w:rPr>
        <w:t xml:space="preserve"> I</w:t>
      </w:r>
      <w:r>
        <w:rPr>
          <w:b/>
          <w:bCs/>
          <w:sz w:val="20"/>
          <w:szCs w:val="20"/>
        </w:rPr>
        <w:t>V</w:t>
      </w:r>
    </w:p>
    <w:p w:rsidR="00000000" w:rsidRDefault="00477EE8">
      <w:pPr>
        <w:pStyle w:val="a3"/>
        <w:spacing w:before="240" w:beforeAutospacing="0" w:after="0" w:afterAutospacing="0"/>
        <w:rPr>
          <w:sz w:val="20"/>
          <w:szCs w:val="20"/>
        </w:rPr>
      </w:pPr>
      <w:r>
        <w:rPr>
          <w:b/>
          <w:bCs/>
          <w:sz w:val="20"/>
          <w:szCs w:val="20"/>
        </w:rPr>
        <w:t>Item 15. Exhibits and Finan</w:t>
      </w:r>
      <w:r>
        <w:rPr>
          <w:b/>
          <w:bCs/>
          <w:sz w:val="20"/>
          <w:szCs w:val="20"/>
        </w:rPr>
        <w:t>c</w:t>
      </w:r>
      <w:r>
        <w:rPr>
          <w:b/>
          <w:bCs/>
          <w:sz w:val="20"/>
          <w:szCs w:val="20"/>
        </w:rPr>
        <w:t>ial Statement Schedules</w:t>
      </w:r>
      <w:r>
        <w:rPr>
          <w:b/>
          <w:bCs/>
          <w:sz w:val="20"/>
          <w:szCs w:val="20"/>
        </w:rPr>
        <w:t>.</w:t>
      </w:r>
    </w:p>
    <w:p w:rsidR="00000000" w:rsidRDefault="00477EE8">
      <w:pPr>
        <w:pStyle w:val="a3"/>
        <w:spacing w:before="120" w:beforeAutospacing="0" w:after="0" w:afterAutospacing="0"/>
        <w:ind w:hanging="581"/>
        <w:rPr>
          <w:sz w:val="20"/>
          <w:szCs w:val="20"/>
        </w:rPr>
      </w:pPr>
      <w:r>
        <w:rPr>
          <w:b/>
          <w:bCs/>
          <w:sz w:val="20"/>
          <w:szCs w:val="20"/>
        </w:rPr>
        <w:t>(a)(1) Consolidated Financial S</w:t>
      </w:r>
      <w:r>
        <w:rPr>
          <w:b/>
          <w:bCs/>
          <w:sz w:val="20"/>
          <w:szCs w:val="20"/>
        </w:rPr>
        <w:t>tatements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The following financial statements are included immediately following the signature page hereof and are filed as part of this report</w:t>
      </w:r>
      <w:r>
        <w:rPr>
          <w:sz w:val="20"/>
          <w:szCs w:val="20"/>
        </w:rPr>
        <w:t>:</w:t>
      </w:r>
    </w:p>
    <w:p w:rsidR="00000000" w:rsidRDefault="00477EE8">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505"/>
        <w:gridCol w:w="254"/>
        <w:gridCol w:w="547"/>
      </w:tblGrid>
      <w:tr w:rsidR="00000000">
        <w:trPr>
          <w:tblCellSpacing w:w="15" w:type="dxa"/>
        </w:trPr>
        <w:tc>
          <w:tcPr>
            <w:tcW w:w="4598" w:type="pct"/>
            <w:vAlign w:val="center"/>
            <w:hideMark/>
          </w:tcPr>
          <w:p w:rsidR="00000000" w:rsidRDefault="00477EE8">
            <w:pPr>
              <w:rPr>
                <w:sz w:val="20"/>
                <w:szCs w:val="20"/>
              </w:rPr>
            </w:pPr>
          </w:p>
        </w:tc>
        <w:tc>
          <w:tcPr>
            <w:tcW w:w="52" w:type="pct"/>
            <w:vAlign w:val="center"/>
            <w:hideMark/>
          </w:tcPr>
          <w:p w:rsidR="00000000" w:rsidRDefault="00477EE8">
            <w:pPr>
              <w:rPr>
                <w:rFonts w:eastAsia="Times New Roman"/>
                <w:sz w:val="20"/>
                <w:szCs w:val="20"/>
              </w:rPr>
            </w:pPr>
          </w:p>
        </w:tc>
        <w:tc>
          <w:tcPr>
            <w:tcW w:w="349" w:type="pct"/>
            <w:vAlign w:val="center"/>
            <w:hideMark/>
          </w:tcPr>
          <w:p w:rsidR="00000000" w:rsidRDefault="00477EE8">
            <w:pPr>
              <w:rPr>
                <w:rFonts w:eastAsia="Times New Roman"/>
                <w:sz w:val="20"/>
                <w:szCs w:val="20"/>
              </w:rPr>
            </w:pP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hyperlink w:anchor="report_independent_registered_public_ac" w:history="1">
              <w:r>
                <w:rPr>
                  <w:rStyle w:val="a4"/>
                  <w:sz w:val="20"/>
                  <w:szCs w:val="20"/>
                </w:rPr>
                <w:t>Report of Independent Registered Public Accounting Fir</w:t>
              </w:r>
              <w:r>
                <w:rPr>
                  <w:rStyle w:val="a4"/>
                  <w:sz w:val="20"/>
                  <w:szCs w:val="20"/>
                </w:rPr>
                <w:t>m</w:t>
              </w:r>
            </w:hyperlink>
            <w:r>
              <w:rPr>
                <w:sz w:val="20"/>
                <w:szCs w:val="20"/>
              </w:rPr>
              <w:t> (PCAOB ID:</w:t>
            </w:r>
            <w:r>
              <w:rPr>
                <w:sz w:val="20"/>
                <w:szCs w:val="20"/>
              </w:rPr>
              <w:t xml:space="preserve"> </w:t>
            </w:r>
            <w:r>
              <w:rPr>
                <w:sz w:val="20"/>
                <w:szCs w:val="20"/>
              </w:rPr>
              <w:t>3</w:t>
            </w:r>
            <w:r>
              <w:rPr>
                <w:sz w:val="20"/>
                <w:szCs w:val="20"/>
              </w:rPr>
              <w:t>4</w:t>
            </w:r>
            <w:r>
              <w:rPr>
                <w:sz w:val="20"/>
                <w:szCs w:val="20"/>
              </w:rPr>
              <w:t>)</w:t>
            </w:r>
          </w:p>
        </w:tc>
        <w:tc>
          <w:tcPr>
            <w:tcW w:w="0" w:type="auto"/>
            <w:hideMark/>
          </w:tcPr>
          <w:p w:rsidR="00000000" w:rsidRDefault="00477EE8">
            <w:pPr>
              <w:pStyle w:val="a3"/>
              <w:spacing w:before="0" w:beforeAutospacing="0" w:after="0" w:afterAutospacing="0"/>
              <w:ind w:right="144"/>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ind w:right="144"/>
              <w:jc w:val="right"/>
              <w:rPr>
                <w:sz w:val="20"/>
                <w:szCs w:val="20"/>
              </w:rPr>
            </w:pPr>
            <w:r>
              <w:rPr>
                <w:sz w:val="20"/>
                <w:szCs w:val="20"/>
              </w:rPr>
              <w:t>F</w:t>
            </w:r>
            <w:r>
              <w:rPr>
                <w:sz w:val="20"/>
                <w:szCs w:val="20"/>
              </w:rPr>
              <w:t>-</w:t>
            </w:r>
            <w:r>
              <w:rPr>
                <w:sz w:val="20"/>
                <w:szCs w:val="20"/>
              </w:rPr>
              <w:t>2</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hyperlink w:anchor="consolidated_balance_sheet" w:history="1">
              <w:r>
                <w:rPr>
                  <w:rStyle w:val="a4"/>
                  <w:sz w:val="20"/>
                  <w:szCs w:val="20"/>
                </w:rPr>
                <w:t>Consolidated Balance Sheets as of December 31, 2022 and 202</w:t>
              </w:r>
              <w:r>
                <w:rPr>
                  <w:rStyle w:val="a4"/>
                  <w:sz w:val="20"/>
                  <w:szCs w:val="20"/>
                </w:rPr>
                <w:t>1</w:t>
              </w:r>
            </w:hyperlink>
          </w:p>
        </w:tc>
        <w:tc>
          <w:tcPr>
            <w:tcW w:w="0" w:type="auto"/>
            <w:hideMark/>
          </w:tcPr>
          <w:p w:rsidR="00000000" w:rsidRDefault="00477EE8">
            <w:pPr>
              <w:pStyle w:val="a3"/>
              <w:spacing w:before="0" w:beforeAutospacing="0" w:after="0" w:afterAutospacing="0"/>
              <w:ind w:right="144"/>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ind w:right="144"/>
              <w:jc w:val="right"/>
              <w:rPr>
                <w:sz w:val="20"/>
                <w:szCs w:val="20"/>
              </w:rPr>
            </w:pPr>
            <w:r>
              <w:rPr>
                <w:sz w:val="20"/>
                <w:szCs w:val="20"/>
              </w:rPr>
              <w:t>F</w:t>
            </w:r>
            <w:r>
              <w:rPr>
                <w:sz w:val="20"/>
                <w:szCs w:val="20"/>
              </w:rPr>
              <w:t>-</w:t>
            </w:r>
            <w:r>
              <w:rPr>
                <w:sz w:val="20"/>
                <w:szCs w:val="20"/>
              </w:rPr>
              <w:t>4</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hyperlink w:anchor="consolidated_statements_operations" w:history="1">
              <w:r>
                <w:rPr>
                  <w:rStyle w:val="a4"/>
                  <w:sz w:val="20"/>
                  <w:szCs w:val="20"/>
                </w:rPr>
                <w:t>Consolidated Statements of Income for the Years Ended December 31, 2022, 2021 and 202</w:t>
              </w:r>
              <w:r>
                <w:rPr>
                  <w:rStyle w:val="a4"/>
                  <w:sz w:val="20"/>
                  <w:szCs w:val="20"/>
                </w:rPr>
                <w:t>0</w:t>
              </w:r>
            </w:hyperlink>
          </w:p>
        </w:tc>
        <w:tc>
          <w:tcPr>
            <w:tcW w:w="0" w:type="auto"/>
            <w:hideMark/>
          </w:tcPr>
          <w:p w:rsidR="00000000" w:rsidRDefault="00477EE8">
            <w:pPr>
              <w:pStyle w:val="a3"/>
              <w:spacing w:before="0" w:beforeAutospacing="0" w:after="0" w:afterAutospacing="0"/>
              <w:ind w:right="144"/>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ind w:right="144"/>
              <w:jc w:val="right"/>
              <w:rPr>
                <w:sz w:val="20"/>
                <w:szCs w:val="20"/>
              </w:rPr>
            </w:pPr>
            <w:r>
              <w:rPr>
                <w:sz w:val="20"/>
                <w:szCs w:val="20"/>
              </w:rPr>
              <w:t>F</w:t>
            </w:r>
            <w:r>
              <w:rPr>
                <w:sz w:val="20"/>
                <w:szCs w:val="20"/>
              </w:rPr>
              <w:t>-</w:t>
            </w:r>
            <w:r>
              <w:rPr>
                <w:sz w:val="20"/>
                <w:szCs w:val="20"/>
              </w:rPr>
              <w:t>5</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hyperlink w:anchor="consolidated_stmt_of_comp_lost" w:history="1">
              <w:r>
                <w:rPr>
                  <w:rStyle w:val="a4"/>
                  <w:sz w:val="20"/>
                  <w:szCs w:val="20"/>
                </w:rPr>
                <w:t>Consolidated Statements of Comprehensive Income for</w:t>
              </w:r>
              <w:r>
                <w:rPr>
                  <w:rStyle w:val="a4"/>
                  <w:sz w:val="20"/>
                  <w:szCs w:val="20"/>
                </w:rPr>
                <w:t xml:space="preserve"> the Years Ended December 31, 2022, 2021 and 202</w:t>
              </w:r>
              <w:r>
                <w:rPr>
                  <w:rStyle w:val="a4"/>
                  <w:sz w:val="20"/>
                  <w:szCs w:val="20"/>
                </w:rPr>
                <w:t>0</w:t>
              </w:r>
            </w:hyperlink>
          </w:p>
        </w:tc>
        <w:tc>
          <w:tcPr>
            <w:tcW w:w="0" w:type="auto"/>
            <w:hideMark/>
          </w:tcPr>
          <w:p w:rsidR="00000000" w:rsidRDefault="00477EE8">
            <w:pPr>
              <w:pStyle w:val="a3"/>
              <w:spacing w:before="0" w:beforeAutospacing="0" w:after="0" w:afterAutospacing="0"/>
              <w:ind w:right="144"/>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ind w:right="144"/>
              <w:jc w:val="right"/>
              <w:rPr>
                <w:sz w:val="20"/>
                <w:szCs w:val="20"/>
              </w:rPr>
            </w:pPr>
            <w:r>
              <w:rPr>
                <w:sz w:val="20"/>
                <w:szCs w:val="20"/>
              </w:rPr>
              <w:t>F</w:t>
            </w:r>
            <w:r>
              <w:rPr>
                <w:sz w:val="20"/>
                <w:szCs w:val="20"/>
              </w:rPr>
              <w:t>-</w:t>
            </w:r>
            <w:r>
              <w:rPr>
                <w:sz w:val="20"/>
                <w:szCs w:val="20"/>
              </w:rPr>
              <w:t>6</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hyperlink w:anchor="consolidated_stmt_of_stockholdres" w:history="1">
              <w:r>
                <w:rPr>
                  <w:rStyle w:val="a4"/>
                  <w:sz w:val="20"/>
                  <w:szCs w:val="20"/>
                </w:rPr>
                <w:t>Consolidated Statements of Stockholders’ Equity for the Years Ended December 31, 2022, 2021 and 202</w:t>
              </w:r>
              <w:r>
                <w:rPr>
                  <w:rStyle w:val="a4"/>
                  <w:sz w:val="20"/>
                  <w:szCs w:val="20"/>
                </w:rPr>
                <w:t>0</w:t>
              </w:r>
            </w:hyperlink>
          </w:p>
        </w:tc>
        <w:tc>
          <w:tcPr>
            <w:tcW w:w="0" w:type="auto"/>
            <w:hideMark/>
          </w:tcPr>
          <w:p w:rsidR="00000000" w:rsidRDefault="00477EE8">
            <w:pPr>
              <w:pStyle w:val="a3"/>
              <w:spacing w:before="0" w:beforeAutospacing="0" w:after="0" w:afterAutospacing="0"/>
              <w:ind w:right="144"/>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ind w:right="144"/>
              <w:jc w:val="right"/>
              <w:rPr>
                <w:sz w:val="20"/>
                <w:szCs w:val="20"/>
              </w:rPr>
            </w:pPr>
            <w:r>
              <w:rPr>
                <w:sz w:val="20"/>
                <w:szCs w:val="20"/>
              </w:rPr>
              <w:t>F</w:t>
            </w:r>
            <w:r>
              <w:rPr>
                <w:sz w:val="20"/>
                <w:szCs w:val="20"/>
              </w:rPr>
              <w:t>-</w:t>
            </w:r>
            <w:r>
              <w:rPr>
                <w:sz w:val="20"/>
                <w:szCs w:val="20"/>
              </w:rPr>
              <w:t>7</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hyperlink w:anchor="consolidated_statements_cash_flows" w:history="1">
              <w:r>
                <w:rPr>
                  <w:rStyle w:val="a4"/>
                  <w:sz w:val="20"/>
                  <w:szCs w:val="20"/>
                </w:rPr>
                <w:t>Consolidated Statements of Cash Flows for the Years Ended December 31, 2022, 2021 and 202</w:t>
              </w:r>
              <w:r>
                <w:rPr>
                  <w:rStyle w:val="a4"/>
                  <w:sz w:val="20"/>
                  <w:szCs w:val="20"/>
                </w:rPr>
                <w:t>0</w:t>
              </w:r>
            </w:hyperlink>
          </w:p>
        </w:tc>
        <w:tc>
          <w:tcPr>
            <w:tcW w:w="0" w:type="auto"/>
            <w:hideMark/>
          </w:tcPr>
          <w:p w:rsidR="00000000" w:rsidRDefault="00477EE8">
            <w:pPr>
              <w:pStyle w:val="a3"/>
              <w:spacing w:before="0" w:beforeAutospacing="0" w:after="0" w:afterAutospacing="0"/>
              <w:ind w:right="144"/>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ind w:right="144"/>
              <w:jc w:val="right"/>
              <w:rPr>
                <w:sz w:val="20"/>
                <w:szCs w:val="20"/>
              </w:rPr>
            </w:pPr>
            <w:r>
              <w:rPr>
                <w:sz w:val="20"/>
                <w:szCs w:val="20"/>
              </w:rPr>
              <w:t>F</w:t>
            </w:r>
            <w:r>
              <w:rPr>
                <w:sz w:val="20"/>
                <w:szCs w:val="20"/>
              </w:rPr>
              <w:t>-</w:t>
            </w:r>
            <w:r>
              <w:rPr>
                <w:sz w:val="20"/>
                <w:szCs w:val="20"/>
              </w:rPr>
              <w:t>1</w:t>
            </w:r>
            <w:r>
              <w:rPr>
                <w:sz w:val="20"/>
                <w:szCs w:val="20"/>
              </w:rPr>
              <w:t>0</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hyperlink w:anchor="notes_to_consolidated_financial_stateme" w:history="1">
              <w:r>
                <w:rPr>
                  <w:rStyle w:val="a4"/>
                  <w:sz w:val="20"/>
                  <w:szCs w:val="20"/>
                </w:rPr>
                <w:t>Notes to Consolidated Financial Statem</w:t>
              </w:r>
              <w:r>
                <w:rPr>
                  <w:rStyle w:val="a4"/>
                  <w:sz w:val="20"/>
                  <w:szCs w:val="20"/>
                </w:rPr>
                <w:t>ent</w:t>
              </w:r>
              <w:r>
                <w:rPr>
                  <w:rStyle w:val="a4"/>
                  <w:sz w:val="20"/>
                  <w:szCs w:val="20"/>
                </w:rPr>
                <w:t>s</w:t>
              </w:r>
            </w:hyperlink>
          </w:p>
        </w:tc>
        <w:tc>
          <w:tcPr>
            <w:tcW w:w="0" w:type="auto"/>
            <w:hideMark/>
          </w:tcPr>
          <w:p w:rsidR="00000000" w:rsidRDefault="00477EE8">
            <w:pPr>
              <w:pStyle w:val="a3"/>
              <w:spacing w:before="0" w:beforeAutospacing="0" w:after="0" w:afterAutospacing="0"/>
              <w:ind w:right="144"/>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ind w:right="144"/>
              <w:jc w:val="right"/>
              <w:rPr>
                <w:sz w:val="20"/>
                <w:szCs w:val="20"/>
              </w:rPr>
            </w:pPr>
            <w:r>
              <w:rPr>
                <w:sz w:val="20"/>
                <w:szCs w:val="20"/>
              </w:rPr>
              <w:t>F</w:t>
            </w:r>
            <w:r>
              <w:rPr>
                <w:sz w:val="20"/>
                <w:szCs w:val="20"/>
              </w:rPr>
              <w:t>-</w:t>
            </w:r>
            <w:r>
              <w:rPr>
                <w:sz w:val="20"/>
                <w:szCs w:val="20"/>
              </w:rPr>
              <w:t>1</w:t>
            </w:r>
            <w:r>
              <w:rPr>
                <w:sz w:val="20"/>
                <w:szCs w:val="20"/>
              </w:rPr>
              <w:t>1</w:t>
            </w:r>
          </w:p>
        </w:tc>
      </w:tr>
    </w:tbl>
    <w:p w:rsidR="00000000" w:rsidRDefault="00477EE8">
      <w:pPr>
        <w:pStyle w:val="a3"/>
        <w:spacing w:before="0" w:beforeAutospacing="0" w:after="0" w:afterAutospacing="0"/>
        <w:rPr>
          <w:sz w:val="20"/>
          <w:szCs w:val="20"/>
        </w:rPr>
      </w:pPr>
      <w:r>
        <w:t> </w:t>
      </w:r>
    </w:p>
    <w:p w:rsidR="00000000" w:rsidRDefault="00477EE8">
      <w:pPr>
        <w:pStyle w:val="a3"/>
        <w:spacing w:before="120" w:beforeAutospacing="0" w:after="0" w:afterAutospacing="0"/>
        <w:ind w:hanging="581"/>
        <w:rPr>
          <w:sz w:val="20"/>
          <w:szCs w:val="20"/>
        </w:rPr>
      </w:pPr>
      <w:r>
        <w:rPr>
          <w:b/>
          <w:bCs/>
          <w:sz w:val="20"/>
          <w:szCs w:val="20"/>
        </w:rPr>
        <w:t>(a)(2) Financial Statement Schedules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All financial statement schedules have been omitted, as they are not required, not applicable, or the required information is otherwise included</w:t>
      </w:r>
      <w:r>
        <w:rPr>
          <w:sz w:val="20"/>
          <w:szCs w:val="20"/>
        </w:rPr>
        <w:t>.</w:t>
      </w:r>
    </w:p>
    <w:p w:rsidR="00000000" w:rsidRDefault="00477EE8">
      <w:pPr>
        <w:pStyle w:val="a3"/>
        <w:spacing w:before="360" w:beforeAutospacing="0" w:after="0" w:afterAutospacing="0"/>
        <w:ind w:hanging="581"/>
        <w:rPr>
          <w:sz w:val="20"/>
          <w:szCs w:val="20"/>
        </w:rPr>
      </w:pPr>
      <w:r>
        <w:rPr>
          <w:b/>
          <w:bCs/>
          <w:sz w:val="20"/>
          <w:szCs w:val="20"/>
        </w:rPr>
        <w:t>(a)(3) Exhibits</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The information required by this Item 15</w:t>
      </w:r>
      <w:r>
        <w:rPr>
          <w:sz w:val="20"/>
          <w:szCs w:val="20"/>
        </w:rPr>
        <w:t>(a)(3) is set forth on the Exhibit Index immediately preceding the signature page of this report and is incorporated herein by reference</w:t>
      </w:r>
      <w:r>
        <w:rPr>
          <w:sz w:val="20"/>
          <w:szCs w:val="20"/>
        </w:rPr>
        <w:t>.</w:t>
      </w:r>
    </w:p>
    <w:p w:rsidR="00000000" w:rsidRDefault="00477EE8">
      <w:pPr>
        <w:pStyle w:val="a3"/>
        <w:spacing w:before="360" w:beforeAutospacing="0" w:after="0" w:afterAutospacing="0"/>
        <w:rPr>
          <w:sz w:val="20"/>
          <w:szCs w:val="20"/>
        </w:rPr>
      </w:pPr>
      <w:r>
        <w:rPr>
          <w:b/>
          <w:bCs/>
          <w:sz w:val="20"/>
          <w:szCs w:val="20"/>
        </w:rPr>
        <w:t>Item 16. Form 10-</w:t>
      </w:r>
      <w:r>
        <w:rPr>
          <w:b/>
          <w:bCs/>
          <w:sz w:val="20"/>
          <w:szCs w:val="20"/>
        </w:rPr>
        <w:t>K</w:t>
      </w:r>
      <w:r>
        <w:rPr>
          <w:b/>
          <w:bCs/>
          <w:sz w:val="20"/>
          <w:szCs w:val="20"/>
        </w:rPr>
        <w:t xml:space="preserve"> Summary</w:t>
      </w:r>
      <w:r>
        <w:rPr>
          <w:b/>
          <w:bCs/>
          <w:sz w:val="20"/>
          <w:szCs w:val="20"/>
        </w:rPr>
        <w:t>.</w:t>
      </w:r>
    </w:p>
    <w:p w:rsidR="00000000" w:rsidRDefault="00477EE8">
      <w:pPr>
        <w:pStyle w:val="a3"/>
        <w:spacing w:before="120" w:beforeAutospacing="0" w:after="0" w:afterAutospacing="0"/>
        <w:ind w:firstLine="555"/>
        <w:rPr>
          <w:sz w:val="20"/>
          <w:szCs w:val="20"/>
        </w:rPr>
      </w:pPr>
      <w:r>
        <w:rPr>
          <w:sz w:val="20"/>
          <w:szCs w:val="20"/>
        </w:rPr>
        <w:t>None</w:t>
      </w:r>
      <w:r>
        <w:rPr>
          <w:sz w:val="20"/>
          <w:szCs w:val="20"/>
        </w:rPr>
        <w:t>.</w:t>
      </w:r>
    </w:p>
    <w:p w:rsidR="00000000" w:rsidRDefault="00477EE8">
      <w:pPr>
        <w:pStyle w:val="a3"/>
        <w:spacing w:before="240" w:beforeAutospacing="0" w:after="0" w:afterAutospacing="0"/>
        <w:jc w:val="center"/>
        <w:rPr>
          <w:sz w:val="20"/>
          <w:szCs w:val="20"/>
        </w:rPr>
      </w:pPr>
      <w:r>
        <w:rPr>
          <w:sz w:val="20"/>
          <w:szCs w:val="20"/>
        </w:rPr>
        <w:t>6</w:t>
      </w:r>
      <w:r>
        <w:rPr>
          <w:sz w:val="20"/>
          <w:szCs w:val="20"/>
        </w:rPr>
        <w:t>5</w:t>
      </w:r>
    </w:p>
    <w:p w:rsidR="00000000" w:rsidRDefault="00477EE8">
      <w:pPr>
        <w:rPr>
          <w:rFonts w:eastAsia="Times New Roman"/>
        </w:rPr>
      </w:pPr>
      <w:r>
        <w:rPr>
          <w:rFonts w:eastAsia="Times New Roman"/>
        </w:rPr>
        <w:pict>
          <v:rect id="_x0000_i1105" style="width:0;height:1.5pt" o:hralign="center" o:hrstd="t" o:hr="t" fillcolor="#a0a0a0" stroked="f"/>
        </w:pict>
      </w:r>
    </w:p>
    <w:p w:rsidR="00000000" w:rsidRDefault="00477EE8">
      <w:pPr>
        <w:pStyle w:val="a3"/>
        <w:spacing w:before="0" w:beforeAutospacing="0" w:after="0" w:afterAutospacing="0"/>
        <w:jc w:val="center"/>
        <w:rPr>
          <w:sz w:val="20"/>
          <w:szCs w:val="20"/>
        </w:rPr>
      </w:pPr>
      <w:r>
        <w:rPr>
          <w:b/>
          <w:bCs/>
          <w:sz w:val="20"/>
          <w:szCs w:val="20"/>
        </w:rPr>
        <w:t>EXHIBIT INDE</w:t>
      </w:r>
      <w:r>
        <w:rPr>
          <w:b/>
          <w:bCs/>
          <w:sz w:val="20"/>
          <w:szCs w:val="20"/>
        </w:rPr>
        <w:t>X</w:t>
      </w:r>
    </w:p>
    <w:p w:rsidR="00000000" w:rsidRDefault="00477EE8">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44"/>
        <w:gridCol w:w="109"/>
        <w:gridCol w:w="2533"/>
        <w:gridCol w:w="109"/>
        <w:gridCol w:w="799"/>
        <w:gridCol w:w="109"/>
        <w:gridCol w:w="799"/>
        <w:gridCol w:w="109"/>
        <w:gridCol w:w="1113"/>
        <w:gridCol w:w="109"/>
        <w:gridCol w:w="871"/>
        <w:gridCol w:w="109"/>
        <w:gridCol w:w="893"/>
      </w:tblGrid>
      <w:tr w:rsidR="00000000">
        <w:trPr>
          <w:tblCellSpacing w:w="15" w:type="dxa"/>
        </w:trPr>
        <w:tc>
          <w:tcPr>
            <w:tcW w:w="387" w:type="pct"/>
            <w:shd w:val="clear" w:color="auto" w:fill="FFFFFF"/>
            <w:vAlign w:val="center"/>
            <w:hideMark/>
          </w:tcPr>
          <w:p w:rsidR="00000000" w:rsidRDefault="00477EE8">
            <w:pPr>
              <w:rPr>
                <w:sz w:val="20"/>
                <w:szCs w:val="20"/>
              </w:rPr>
            </w:pPr>
          </w:p>
        </w:tc>
        <w:tc>
          <w:tcPr>
            <w:tcW w:w="50" w:type="pct"/>
            <w:shd w:val="clear" w:color="auto" w:fill="FFFFFF"/>
            <w:vAlign w:val="center"/>
            <w:hideMark/>
          </w:tcPr>
          <w:p w:rsidR="00000000" w:rsidRDefault="00477EE8">
            <w:pPr>
              <w:rPr>
                <w:rFonts w:eastAsia="Times New Roman"/>
                <w:sz w:val="20"/>
                <w:szCs w:val="20"/>
              </w:rPr>
            </w:pPr>
          </w:p>
        </w:tc>
        <w:tc>
          <w:tcPr>
            <w:tcW w:w="1594" w:type="pct"/>
            <w:shd w:val="clear" w:color="auto" w:fill="FFFFFF"/>
            <w:vAlign w:val="center"/>
            <w:hideMark/>
          </w:tcPr>
          <w:p w:rsidR="00000000" w:rsidRDefault="00477EE8">
            <w:pPr>
              <w:rPr>
                <w:rFonts w:eastAsia="Times New Roman"/>
                <w:sz w:val="20"/>
                <w:szCs w:val="20"/>
              </w:rPr>
            </w:pPr>
          </w:p>
        </w:tc>
        <w:tc>
          <w:tcPr>
            <w:tcW w:w="50" w:type="pct"/>
            <w:shd w:val="clear" w:color="auto" w:fill="FFFFFF"/>
            <w:vAlign w:val="center"/>
            <w:hideMark/>
          </w:tcPr>
          <w:p w:rsidR="00000000" w:rsidRDefault="00477EE8">
            <w:pPr>
              <w:rPr>
                <w:rFonts w:eastAsia="Times New Roman"/>
                <w:sz w:val="20"/>
                <w:szCs w:val="20"/>
              </w:rPr>
            </w:pPr>
          </w:p>
        </w:tc>
        <w:tc>
          <w:tcPr>
            <w:tcW w:w="494" w:type="pct"/>
            <w:shd w:val="clear" w:color="auto" w:fill="FFFFFF"/>
            <w:vAlign w:val="center"/>
            <w:hideMark/>
          </w:tcPr>
          <w:p w:rsidR="00000000" w:rsidRDefault="00477EE8">
            <w:pPr>
              <w:rPr>
                <w:rFonts w:eastAsia="Times New Roman"/>
                <w:sz w:val="20"/>
                <w:szCs w:val="20"/>
              </w:rPr>
            </w:pPr>
          </w:p>
        </w:tc>
        <w:tc>
          <w:tcPr>
            <w:tcW w:w="50" w:type="pct"/>
            <w:shd w:val="clear" w:color="auto" w:fill="FFFFFF"/>
            <w:vAlign w:val="center"/>
            <w:hideMark/>
          </w:tcPr>
          <w:p w:rsidR="00000000" w:rsidRDefault="00477EE8">
            <w:pPr>
              <w:rPr>
                <w:rFonts w:eastAsia="Times New Roman"/>
                <w:sz w:val="20"/>
                <w:szCs w:val="20"/>
              </w:rPr>
            </w:pPr>
          </w:p>
        </w:tc>
        <w:tc>
          <w:tcPr>
            <w:tcW w:w="494" w:type="pct"/>
            <w:shd w:val="clear" w:color="auto" w:fill="FFFFFF"/>
            <w:vAlign w:val="center"/>
            <w:hideMark/>
          </w:tcPr>
          <w:p w:rsidR="00000000" w:rsidRDefault="00477EE8">
            <w:pPr>
              <w:rPr>
                <w:rFonts w:eastAsia="Times New Roman"/>
                <w:sz w:val="20"/>
                <w:szCs w:val="20"/>
              </w:rPr>
            </w:pPr>
          </w:p>
        </w:tc>
        <w:tc>
          <w:tcPr>
            <w:tcW w:w="50" w:type="pct"/>
            <w:shd w:val="clear" w:color="auto" w:fill="FFFFFF"/>
            <w:vAlign w:val="center"/>
            <w:hideMark/>
          </w:tcPr>
          <w:p w:rsidR="00000000" w:rsidRDefault="00477EE8">
            <w:pPr>
              <w:rPr>
                <w:rFonts w:eastAsia="Times New Roman"/>
                <w:sz w:val="20"/>
                <w:szCs w:val="20"/>
              </w:rPr>
            </w:pPr>
          </w:p>
        </w:tc>
        <w:tc>
          <w:tcPr>
            <w:tcW w:w="693" w:type="pct"/>
            <w:shd w:val="clear" w:color="auto" w:fill="FFFFFF"/>
            <w:vAlign w:val="center"/>
            <w:hideMark/>
          </w:tcPr>
          <w:p w:rsidR="00000000" w:rsidRDefault="00477EE8">
            <w:pPr>
              <w:rPr>
                <w:rFonts w:eastAsia="Times New Roman"/>
                <w:sz w:val="20"/>
                <w:szCs w:val="20"/>
              </w:rPr>
            </w:pPr>
          </w:p>
        </w:tc>
        <w:tc>
          <w:tcPr>
            <w:tcW w:w="50" w:type="pct"/>
            <w:shd w:val="clear" w:color="auto" w:fill="FFFFFF"/>
            <w:vAlign w:val="center"/>
            <w:hideMark/>
          </w:tcPr>
          <w:p w:rsidR="00000000" w:rsidRDefault="00477EE8">
            <w:pPr>
              <w:rPr>
                <w:rFonts w:eastAsia="Times New Roman"/>
                <w:sz w:val="20"/>
                <w:szCs w:val="20"/>
              </w:rPr>
            </w:pPr>
          </w:p>
        </w:tc>
        <w:tc>
          <w:tcPr>
            <w:tcW w:w="494" w:type="pct"/>
            <w:shd w:val="clear" w:color="auto" w:fill="FFFFFF"/>
            <w:vAlign w:val="center"/>
            <w:hideMark/>
          </w:tcPr>
          <w:p w:rsidR="00000000" w:rsidRDefault="00477EE8">
            <w:pPr>
              <w:rPr>
                <w:rFonts w:eastAsia="Times New Roman"/>
                <w:sz w:val="20"/>
                <w:szCs w:val="20"/>
              </w:rPr>
            </w:pPr>
          </w:p>
        </w:tc>
        <w:tc>
          <w:tcPr>
            <w:tcW w:w="50" w:type="pct"/>
            <w:shd w:val="clear" w:color="auto" w:fill="FFFFFF"/>
            <w:vAlign w:val="center"/>
            <w:hideMark/>
          </w:tcPr>
          <w:p w:rsidR="00000000" w:rsidRDefault="00477EE8">
            <w:pPr>
              <w:rPr>
                <w:rFonts w:eastAsia="Times New Roman"/>
                <w:sz w:val="20"/>
                <w:szCs w:val="20"/>
              </w:rPr>
            </w:pPr>
          </w:p>
        </w:tc>
        <w:tc>
          <w:tcPr>
            <w:tcW w:w="544" w:type="pct"/>
            <w:shd w:val="clear" w:color="auto" w:fill="FFFFFF"/>
            <w:vAlign w:val="center"/>
            <w:hideMark/>
          </w:tcPr>
          <w:p w:rsidR="00000000" w:rsidRDefault="00477EE8">
            <w:pPr>
              <w:rPr>
                <w:rFonts w:eastAsia="Times New Roman"/>
                <w:sz w:val="20"/>
                <w:szCs w:val="20"/>
              </w:rPr>
            </w:pP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jc w:val="center"/>
              <w:rPr>
                <w:sz w:val="16"/>
                <w:szCs w:val="16"/>
              </w:rPr>
            </w:pPr>
            <w:r>
              <w:rPr>
                <w:b/>
                <w:bCs/>
                <w:sz w:val="16"/>
                <w:szCs w:val="16"/>
              </w:rPr>
              <w:t>Exhibi</w:t>
            </w:r>
            <w:r>
              <w:rPr>
                <w:b/>
                <w:bCs/>
                <w:sz w:val="16"/>
                <w:szCs w:val="16"/>
              </w:rPr>
              <w:t>t</w:t>
            </w:r>
          </w:p>
          <w:p w:rsidR="00000000" w:rsidRDefault="00477EE8">
            <w:pPr>
              <w:pStyle w:val="a3"/>
              <w:spacing w:before="0" w:beforeAutospacing="0" w:after="0" w:afterAutospacing="0"/>
              <w:jc w:val="center"/>
              <w:rPr>
                <w:sz w:val="16"/>
                <w:szCs w:val="16"/>
              </w:rPr>
            </w:pPr>
            <w:r>
              <w:rPr>
                <w:b/>
                <w:bCs/>
                <w:sz w:val="16"/>
                <w:szCs w:val="16"/>
              </w:rPr>
              <w:t>Numbe</w:t>
            </w:r>
            <w:r>
              <w:rPr>
                <w:b/>
                <w:bCs/>
                <w:sz w:val="16"/>
                <w:szCs w:val="16"/>
              </w:rPr>
              <w:t>r</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b/>
                <w:bCs/>
                <w:sz w:val="16"/>
                <w:szCs w:val="16"/>
              </w:rPr>
              <w:t>Descriptio</w:t>
            </w:r>
            <w:r>
              <w:rPr>
                <w:b/>
                <w:bCs/>
                <w:sz w:val="16"/>
                <w:szCs w:val="16"/>
              </w:rPr>
              <w:t>n</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16"/>
                <w:szCs w:val="16"/>
              </w:rPr>
            </w:pPr>
            <w:r>
              <w:rPr>
                <w:b/>
                <w:bCs/>
                <w:sz w:val="16"/>
                <w:szCs w:val="16"/>
              </w:rPr>
              <w:t>For</w:t>
            </w:r>
            <w:r>
              <w:rPr>
                <w:b/>
                <w:bCs/>
                <w:sz w:val="16"/>
                <w:szCs w:val="16"/>
              </w:rPr>
              <w:t>m</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16"/>
                <w:szCs w:val="16"/>
              </w:rPr>
            </w:pPr>
            <w:r>
              <w:rPr>
                <w:b/>
                <w:bCs/>
                <w:sz w:val="16"/>
                <w:szCs w:val="16"/>
              </w:rPr>
              <w:t>File Numbe</w:t>
            </w:r>
            <w:r>
              <w:rPr>
                <w:b/>
                <w:bCs/>
                <w:sz w:val="16"/>
                <w:szCs w:val="16"/>
              </w:rPr>
              <w:t>r</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16"/>
                <w:szCs w:val="16"/>
              </w:rPr>
            </w:pPr>
            <w:r>
              <w:rPr>
                <w:b/>
                <w:bCs/>
                <w:sz w:val="16"/>
                <w:szCs w:val="16"/>
              </w:rPr>
              <w:t>Incorporated b</w:t>
            </w:r>
            <w:r>
              <w:rPr>
                <w:b/>
                <w:bCs/>
                <w:sz w:val="16"/>
                <w:szCs w:val="16"/>
              </w:rPr>
              <w:t>y</w:t>
            </w:r>
          </w:p>
          <w:p w:rsidR="00000000" w:rsidRDefault="00477EE8">
            <w:pPr>
              <w:pStyle w:val="a3"/>
              <w:spacing w:before="0" w:beforeAutospacing="0" w:after="0" w:afterAutospacing="0"/>
              <w:jc w:val="center"/>
              <w:rPr>
                <w:sz w:val="16"/>
                <w:szCs w:val="16"/>
              </w:rPr>
            </w:pPr>
            <w:r>
              <w:rPr>
                <w:b/>
                <w:bCs/>
                <w:sz w:val="16"/>
                <w:szCs w:val="16"/>
              </w:rPr>
              <w:t>Reference Exhibi</w:t>
            </w:r>
            <w:r>
              <w:rPr>
                <w:b/>
                <w:bCs/>
                <w:sz w:val="16"/>
                <w:szCs w:val="16"/>
              </w:rPr>
              <w:t>t</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16"/>
                <w:szCs w:val="16"/>
              </w:rPr>
            </w:pPr>
            <w:r>
              <w:rPr>
                <w:b/>
                <w:bCs/>
                <w:sz w:val="16"/>
                <w:szCs w:val="16"/>
              </w:rPr>
              <w:t>Filing Dat</w:t>
            </w:r>
            <w:r>
              <w:rPr>
                <w:b/>
                <w:bCs/>
                <w:sz w:val="16"/>
                <w:szCs w:val="16"/>
              </w:rPr>
              <w:t>e</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16"/>
                <w:szCs w:val="16"/>
              </w:rPr>
            </w:pPr>
            <w:r>
              <w:rPr>
                <w:b/>
                <w:bCs/>
                <w:sz w:val="16"/>
                <w:szCs w:val="16"/>
              </w:rPr>
              <w:t>File</w:t>
            </w:r>
            <w:r>
              <w:rPr>
                <w:b/>
                <w:bCs/>
                <w:sz w:val="16"/>
                <w:szCs w:val="16"/>
              </w:rPr>
              <w:t>d</w:t>
            </w:r>
          </w:p>
          <w:p w:rsidR="00000000" w:rsidRDefault="00477EE8">
            <w:pPr>
              <w:pStyle w:val="a3"/>
              <w:spacing w:before="0" w:beforeAutospacing="0" w:after="0" w:afterAutospacing="0"/>
              <w:jc w:val="center"/>
              <w:rPr>
                <w:sz w:val="16"/>
                <w:szCs w:val="16"/>
              </w:rPr>
            </w:pPr>
            <w:r>
              <w:rPr>
                <w:b/>
                <w:bCs/>
                <w:sz w:val="16"/>
                <w:szCs w:val="16"/>
              </w:rPr>
              <w:t>Herewit</w:t>
            </w:r>
            <w:r>
              <w:rPr>
                <w:b/>
                <w:bCs/>
                <w:sz w:val="16"/>
                <w:szCs w:val="16"/>
              </w:rPr>
              <w:t>h</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  2.</w:t>
            </w:r>
            <w:r>
              <w:rPr>
                <w:sz w:val="20"/>
                <w:szCs w:val="20"/>
              </w:rPr>
              <w:t>1</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16" w:history="1">
              <w:r>
                <w:rPr>
                  <w:rStyle w:val="a4"/>
                  <w:sz w:val="20"/>
                  <w:szCs w:val="20"/>
                </w:rPr>
                <w:t>Agreement and Plan of Merger, dated September 16, 2016, by and among the registrant, Fulgent MergerSub, LLC and Fulgent Therapeutics LLC</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S-1/</w:t>
            </w:r>
            <w:r>
              <w:rPr>
                <w:sz w:val="20"/>
                <w:szCs w:val="20"/>
              </w:rPr>
              <w:t>A</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333-2134</w:t>
            </w:r>
            <w:r>
              <w:rPr>
                <w:sz w:val="20"/>
                <w:szCs w:val="20"/>
              </w:rPr>
              <w:t>6</w:t>
            </w:r>
            <w:r>
              <w:rPr>
                <w:sz w:val="20"/>
                <w:szCs w:val="20"/>
              </w:rPr>
              <w:t>9</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2.</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9/19/201</w:t>
            </w:r>
            <w:r>
              <w:rPr>
                <w:sz w:val="20"/>
                <w:szCs w:val="20"/>
              </w:rPr>
              <w:t>6</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36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  3.</w:t>
            </w:r>
            <w:r>
              <w:rPr>
                <w:sz w:val="20"/>
                <w:szCs w:val="20"/>
              </w:rPr>
              <w:t>1</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17" w:history="1">
              <w:r>
                <w:rPr>
                  <w:rStyle w:val="a4"/>
                  <w:sz w:val="20"/>
                  <w:szCs w:val="20"/>
                </w:rPr>
                <w:t>Certificate of Incorporation of the registrant, dated May 13, 2016</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Q</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001-3789</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8/14/201</w:t>
            </w:r>
            <w:r>
              <w:rPr>
                <w:sz w:val="20"/>
                <w:szCs w:val="20"/>
              </w:rPr>
              <w:t>7</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36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  3.1.</w:t>
            </w:r>
            <w:r>
              <w:rPr>
                <w:sz w:val="20"/>
                <w:szCs w:val="20"/>
              </w:rPr>
              <w:t>1</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18" w:history="1">
              <w:r>
                <w:rPr>
                  <w:rStyle w:val="a4"/>
                  <w:sz w:val="20"/>
                  <w:szCs w:val="20"/>
                </w:rPr>
                <w:t>Certificate of Amendment to Certificate of Incorporation of the registrant, dated August 2, 201</w:t>
              </w:r>
              <w:r>
                <w:rPr>
                  <w:rStyle w:val="a4"/>
                  <w:sz w:val="20"/>
                  <w:szCs w:val="20"/>
                </w:rPr>
                <w:t>6</w:t>
              </w:r>
            </w:hyperlink>
            <w:r>
              <w:rPr>
                <w:sz w:val="20"/>
                <w:szCs w:val="20"/>
              </w:rPr>
              <w:t>.</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Q</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001-3789</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3.1.</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8/14/201</w:t>
            </w:r>
            <w:r>
              <w:rPr>
                <w:sz w:val="20"/>
                <w:szCs w:val="20"/>
              </w:rPr>
              <w:t>7</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36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  3.1.</w:t>
            </w:r>
            <w:r>
              <w:rPr>
                <w:sz w:val="20"/>
                <w:szCs w:val="20"/>
              </w:rPr>
              <w:t>2</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19" w:history="1">
              <w:r>
                <w:rPr>
                  <w:rStyle w:val="a4"/>
                  <w:sz w:val="20"/>
                  <w:szCs w:val="20"/>
                </w:rPr>
                <w:t>Certificate of Amendment to Certificate of Incorporation of the registrant, dated May 17, 201</w:t>
              </w:r>
              <w:r>
                <w:rPr>
                  <w:rStyle w:val="a4"/>
                  <w:sz w:val="20"/>
                  <w:szCs w:val="20"/>
                </w:rPr>
                <w:t>7</w:t>
              </w:r>
            </w:hyperlink>
            <w:r>
              <w:rPr>
                <w:sz w:val="20"/>
                <w:szCs w:val="20"/>
              </w:rPr>
              <w:t>.</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Q</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001-3789</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3.1.</w:t>
            </w:r>
            <w:r>
              <w:rPr>
                <w:sz w:val="20"/>
                <w:szCs w:val="20"/>
              </w:rPr>
              <w:t>2</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8/14/201</w:t>
            </w:r>
            <w:r>
              <w:rPr>
                <w:sz w:val="20"/>
                <w:szCs w:val="20"/>
              </w:rPr>
              <w:t>7</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  3.</w:t>
            </w:r>
            <w:r>
              <w:rPr>
                <w:sz w:val="20"/>
                <w:szCs w:val="20"/>
              </w:rPr>
              <w:t>2</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20" w:history="1">
              <w:r>
                <w:rPr>
                  <w:rStyle w:val="a4"/>
                  <w:sz w:val="20"/>
                  <w:szCs w:val="20"/>
                </w:rPr>
                <w:t>Bylaws of the registrant</w:t>
              </w:r>
              <w:r>
                <w:rPr>
                  <w:rStyle w:val="a4"/>
                  <w:sz w:val="20"/>
                  <w:szCs w:val="20"/>
                </w:rPr>
                <w:t>.</w:t>
              </w:r>
            </w:hyperlink>
            <w:r>
              <w:rPr>
                <w:sz w:val="20"/>
                <w:szCs w:val="20"/>
              </w:rPr>
              <w:t xml:space="preserve">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S-1/</w:t>
            </w:r>
            <w:r>
              <w:rPr>
                <w:sz w:val="20"/>
                <w:szCs w:val="20"/>
              </w:rPr>
              <w:t>A</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333-21346</w:t>
            </w:r>
            <w:r>
              <w:rPr>
                <w:sz w:val="20"/>
                <w:szCs w:val="20"/>
              </w:rPr>
              <w:t>9</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w:t>
            </w:r>
            <w:r>
              <w:rPr>
                <w:sz w:val="20"/>
                <w:szCs w:val="20"/>
              </w:rPr>
              <w:t>2</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9/26/201</w:t>
            </w:r>
            <w:r>
              <w:rPr>
                <w:sz w:val="20"/>
                <w:szCs w:val="20"/>
              </w:rPr>
              <w:t>6</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  4.</w:t>
            </w:r>
            <w:r>
              <w:rPr>
                <w:sz w:val="20"/>
                <w:szCs w:val="20"/>
              </w:rPr>
              <w:t>1</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21" w:history="1">
              <w:r>
                <w:rPr>
                  <w:rStyle w:val="a4"/>
                  <w:sz w:val="20"/>
                  <w:szCs w:val="20"/>
                </w:rPr>
                <w:t>Form of Certificate of Common Stock of the registran</w:t>
              </w:r>
              <w:r>
                <w:rPr>
                  <w:rStyle w:val="a4"/>
                  <w:sz w:val="20"/>
                  <w:szCs w:val="20"/>
                </w:rPr>
                <w:t>t</w:t>
              </w:r>
            </w:hyperlink>
            <w:r>
              <w:rPr>
                <w:sz w:val="20"/>
                <w:szCs w:val="20"/>
              </w:rPr>
              <w:t>.</w:t>
            </w:r>
            <w:r>
              <w:rPr>
                <w:sz w:val="20"/>
                <w:szCs w:val="20"/>
              </w:rPr>
              <w:t xml:space="preserve">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S-1/</w:t>
            </w:r>
            <w:r>
              <w:rPr>
                <w:sz w:val="20"/>
                <w:szCs w:val="20"/>
              </w:rPr>
              <w:t>A</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333-21346</w:t>
            </w:r>
            <w:r>
              <w:rPr>
                <w:sz w:val="20"/>
                <w:szCs w:val="20"/>
              </w:rPr>
              <w:t>9</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4.</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9/19/201</w:t>
            </w:r>
            <w:r>
              <w:rPr>
                <w:sz w:val="20"/>
                <w:szCs w:val="20"/>
              </w:rPr>
              <w:t>6</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  4.</w:t>
            </w:r>
            <w:r>
              <w:rPr>
                <w:sz w:val="20"/>
                <w:szCs w:val="20"/>
              </w:rPr>
              <w:t>2</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22" w:history="1">
              <w:r>
                <w:rPr>
                  <w:rStyle w:val="a4"/>
                  <w:sz w:val="20"/>
                  <w:szCs w:val="20"/>
                </w:rPr>
                <w:t>Investor’s Rights Agreement, dated May 17, 2016, by and between Fulgent Therapeutics LLC and Xi Long USA, Inc</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S-</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333-21346</w:t>
            </w:r>
            <w:r>
              <w:rPr>
                <w:sz w:val="20"/>
                <w:szCs w:val="20"/>
              </w:rPr>
              <w:t>9</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4.</w:t>
            </w:r>
            <w:r>
              <w:rPr>
                <w:sz w:val="20"/>
                <w:szCs w:val="20"/>
              </w:rPr>
              <w:t>2</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9/2/201</w:t>
            </w:r>
            <w:r>
              <w:rPr>
                <w:sz w:val="20"/>
                <w:szCs w:val="20"/>
              </w:rPr>
              <w:t>6</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  4.</w:t>
            </w:r>
            <w:r>
              <w:rPr>
                <w:sz w:val="20"/>
                <w:szCs w:val="20"/>
              </w:rPr>
              <w:t>3</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23" w:history="1">
              <w:r>
                <w:rPr>
                  <w:rStyle w:val="a4"/>
                  <w:sz w:val="20"/>
                  <w:szCs w:val="20"/>
                </w:rPr>
                <w:t>Description of the registrant’s securities</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X</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10.1</w:t>
            </w:r>
            <w:r>
              <w:rPr>
                <w:sz w:val="20"/>
                <w:szCs w:val="20"/>
              </w:rPr>
              <w:t>#</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24" w:history="1">
              <w:r>
                <w:rPr>
                  <w:rStyle w:val="a4"/>
                  <w:sz w:val="20"/>
                  <w:szCs w:val="20"/>
                </w:rPr>
                <w:t>Form of Indemnification Agreement between the registrant and each of its officers and directors</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S-</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333-21346</w:t>
            </w:r>
            <w:r>
              <w:rPr>
                <w:sz w:val="20"/>
                <w:szCs w:val="20"/>
              </w:rPr>
              <w:t>9</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9/2/201</w:t>
            </w:r>
            <w:r>
              <w:rPr>
                <w:sz w:val="20"/>
                <w:szCs w:val="20"/>
              </w:rPr>
              <w:t>6</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10.2</w:t>
            </w:r>
            <w:r>
              <w:rPr>
                <w:sz w:val="20"/>
                <w:szCs w:val="20"/>
              </w:rPr>
              <w:t>#</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25" w:history="1">
              <w:r>
                <w:rPr>
                  <w:rStyle w:val="a4"/>
                  <w:sz w:val="20"/>
                  <w:szCs w:val="20"/>
                </w:rPr>
                <w:t>Amended and Restated 2015 Equity Incentive Plan of Fulgent Therapeutics LLC</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S-</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333-21346</w:t>
            </w:r>
            <w:r>
              <w:rPr>
                <w:sz w:val="20"/>
                <w:szCs w:val="20"/>
              </w:rPr>
              <w:t>9</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2</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9/2/201</w:t>
            </w:r>
            <w:r>
              <w:rPr>
                <w:sz w:val="20"/>
                <w:szCs w:val="20"/>
              </w:rPr>
              <w:t>6</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10.3</w:t>
            </w:r>
            <w:r>
              <w:rPr>
                <w:sz w:val="20"/>
                <w:szCs w:val="20"/>
              </w:rPr>
              <w:t>#</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26" w:history="1">
              <w:r>
                <w:rPr>
                  <w:rStyle w:val="a4"/>
                  <w:sz w:val="20"/>
                  <w:szCs w:val="20"/>
                </w:rPr>
                <w:t>Form of Notice of Option Grant and Option Agreement under the Amended and Restated 2015 Equity Incentive Plan of Fulgent Therapeutics LLC</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S-</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333-21346</w:t>
            </w:r>
            <w:r>
              <w:rPr>
                <w:sz w:val="20"/>
                <w:szCs w:val="20"/>
              </w:rPr>
              <w:t>9</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3</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9/2/201</w:t>
            </w:r>
            <w:r>
              <w:rPr>
                <w:sz w:val="20"/>
                <w:szCs w:val="20"/>
              </w:rPr>
              <w:t>6</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10.4</w:t>
            </w:r>
            <w:r>
              <w:rPr>
                <w:sz w:val="20"/>
                <w:szCs w:val="20"/>
              </w:rPr>
              <w:t>#</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27" w:history="1">
              <w:r>
                <w:rPr>
                  <w:rStyle w:val="a4"/>
                  <w:sz w:val="20"/>
                  <w:szCs w:val="20"/>
                </w:rPr>
                <w:t>Form of Notice of Profits Interest Grant and Profits Interest Agreement under the Amended and Restated 2015 Equity Incentive Plan of Fulgent Therapeutics LLC</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S-</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333-21346</w:t>
            </w:r>
            <w:r>
              <w:rPr>
                <w:sz w:val="20"/>
                <w:szCs w:val="20"/>
              </w:rPr>
              <w:t>9</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9/2/201</w:t>
            </w:r>
            <w:r>
              <w:rPr>
                <w:sz w:val="20"/>
                <w:szCs w:val="20"/>
              </w:rPr>
              <w:t>6</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10.5</w:t>
            </w:r>
            <w:r>
              <w:rPr>
                <w:sz w:val="20"/>
                <w:szCs w:val="20"/>
              </w:rPr>
              <w:t>#</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28" w:history="1">
              <w:r>
                <w:rPr>
                  <w:rStyle w:val="a4"/>
                  <w:sz w:val="20"/>
                  <w:szCs w:val="20"/>
                </w:rPr>
                <w:t>Form of Notice of Restricted Share Unit Grant and Restricted Share Unit Agreement under the Amended and Restated 2015 Equity Incentive Plan of Fulgent Ther</w:t>
              </w:r>
              <w:r>
                <w:rPr>
                  <w:rStyle w:val="a4"/>
                  <w:sz w:val="20"/>
                  <w:szCs w:val="20"/>
                </w:rPr>
                <w:t>apeutics LLC</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S-</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333-21346</w:t>
            </w:r>
            <w:r>
              <w:rPr>
                <w:sz w:val="20"/>
                <w:szCs w:val="20"/>
              </w:rPr>
              <w:t>9</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5</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9/2/201</w:t>
            </w:r>
            <w:r>
              <w:rPr>
                <w:sz w:val="20"/>
                <w:szCs w:val="20"/>
              </w:rPr>
              <w:t>6</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10.6</w:t>
            </w:r>
            <w:r>
              <w:rPr>
                <w:sz w:val="20"/>
                <w:szCs w:val="20"/>
              </w:rPr>
              <w:t>#</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29" w:history="1">
              <w:r>
                <w:rPr>
                  <w:rStyle w:val="a4"/>
                  <w:sz w:val="20"/>
                  <w:szCs w:val="20"/>
                </w:rPr>
                <w:t>2016 Omnibus Incentive Plan of the registrant</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S-1/</w:t>
            </w:r>
            <w:r>
              <w:rPr>
                <w:sz w:val="20"/>
                <w:szCs w:val="20"/>
              </w:rPr>
              <w:t>A</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333-21346</w:t>
            </w:r>
            <w:r>
              <w:rPr>
                <w:sz w:val="20"/>
                <w:szCs w:val="20"/>
              </w:rPr>
              <w:t>9</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6</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9/26/201</w:t>
            </w:r>
            <w:r>
              <w:rPr>
                <w:sz w:val="20"/>
                <w:szCs w:val="20"/>
              </w:rPr>
              <w:t>6</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10.7</w:t>
            </w:r>
            <w:r>
              <w:rPr>
                <w:sz w:val="20"/>
                <w:szCs w:val="20"/>
              </w:rPr>
              <w:t>#</w:t>
            </w:r>
            <w:r>
              <w:rPr>
                <w:sz w:val="20"/>
                <w:szCs w:val="20"/>
              </w:rPr>
              <w:t xml:space="preserve">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30" w:history="1">
              <w:r>
                <w:rPr>
                  <w:rStyle w:val="a4"/>
                  <w:sz w:val="20"/>
                  <w:szCs w:val="20"/>
                </w:rPr>
                <w:t>Form of Notice of Stock Option Award and Stock Option Award Agreement under the 2016 Omnibus Incentive Plan of the registrant</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S-</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333-21346</w:t>
            </w:r>
            <w:r>
              <w:rPr>
                <w:sz w:val="20"/>
                <w:szCs w:val="20"/>
              </w:rPr>
              <w:t>9</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7</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9/2/201</w:t>
            </w:r>
            <w:r>
              <w:rPr>
                <w:sz w:val="20"/>
                <w:szCs w:val="20"/>
              </w:rPr>
              <w:t>6</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10.8</w:t>
            </w:r>
            <w:r>
              <w:rPr>
                <w:sz w:val="20"/>
                <w:szCs w:val="20"/>
              </w:rPr>
              <w:t>#</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31" w:history="1">
              <w:r>
                <w:rPr>
                  <w:rStyle w:val="a4"/>
                  <w:sz w:val="20"/>
                  <w:szCs w:val="20"/>
                </w:rPr>
                <w:t>Form of Notice of Restricted Stock Unit Award and Restricted Stock Unit Agreement under the 2016 Omnibus Inc</w:t>
              </w:r>
              <w:r>
                <w:rPr>
                  <w:rStyle w:val="a4"/>
                  <w:sz w:val="20"/>
                  <w:szCs w:val="20"/>
                </w:rPr>
                <w:t>entive Plan of the registrant</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K</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001-3789</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8</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3/17/201</w:t>
            </w:r>
            <w:r>
              <w:rPr>
                <w:sz w:val="20"/>
                <w:szCs w:val="20"/>
              </w:rPr>
              <w:t>7</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10.9</w:t>
            </w:r>
            <w:r>
              <w:rPr>
                <w:sz w:val="20"/>
                <w:szCs w:val="20"/>
              </w:rPr>
              <w:t>#</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32" w:history="1">
              <w:r>
                <w:rPr>
                  <w:rStyle w:val="a4"/>
                  <w:sz w:val="20"/>
                  <w:szCs w:val="20"/>
                </w:rPr>
                <w:t>Form of Option Substitution Award under the 2016 Omnibus Incentive Plan of the registrant</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S-</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333-21346</w:t>
            </w:r>
            <w:r>
              <w:rPr>
                <w:sz w:val="20"/>
                <w:szCs w:val="20"/>
              </w:rPr>
              <w:t>9</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9</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9/2/201</w:t>
            </w:r>
            <w:r>
              <w:rPr>
                <w:sz w:val="20"/>
                <w:szCs w:val="20"/>
              </w:rPr>
              <w:t>6</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bl>
    <w:p w:rsidR="00000000" w:rsidRDefault="00477EE8">
      <w:pPr>
        <w:pStyle w:val="a3"/>
        <w:spacing w:before="240" w:beforeAutospacing="0" w:after="0" w:afterAutospacing="0"/>
        <w:jc w:val="center"/>
        <w:rPr>
          <w:sz w:val="20"/>
          <w:szCs w:val="20"/>
        </w:rPr>
      </w:pPr>
      <w:r>
        <w:rPr>
          <w:sz w:val="20"/>
          <w:szCs w:val="20"/>
        </w:rPr>
        <w:t>6</w:t>
      </w:r>
      <w:r>
        <w:rPr>
          <w:sz w:val="20"/>
          <w:szCs w:val="20"/>
        </w:rPr>
        <w:t>6</w:t>
      </w:r>
    </w:p>
    <w:p w:rsidR="00000000" w:rsidRDefault="00477EE8">
      <w:pPr>
        <w:rPr>
          <w:rFonts w:eastAsia="Times New Roman"/>
        </w:rPr>
      </w:pPr>
      <w:r>
        <w:rPr>
          <w:rFonts w:eastAsia="Times New Roman"/>
        </w:rPr>
        <w:pict>
          <v:rect id="_x0000_i110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44"/>
        <w:gridCol w:w="109"/>
        <w:gridCol w:w="2533"/>
        <w:gridCol w:w="109"/>
        <w:gridCol w:w="799"/>
        <w:gridCol w:w="109"/>
        <w:gridCol w:w="799"/>
        <w:gridCol w:w="109"/>
        <w:gridCol w:w="1113"/>
        <w:gridCol w:w="109"/>
        <w:gridCol w:w="871"/>
        <w:gridCol w:w="109"/>
        <w:gridCol w:w="893"/>
      </w:tblGrid>
      <w:tr w:rsidR="00000000">
        <w:trPr>
          <w:tblCellSpacing w:w="15" w:type="dxa"/>
        </w:trPr>
        <w:tc>
          <w:tcPr>
            <w:tcW w:w="387" w:type="pct"/>
            <w:shd w:val="clear" w:color="auto" w:fill="FFFFFF"/>
            <w:vAlign w:val="center"/>
            <w:hideMark/>
          </w:tcPr>
          <w:p w:rsidR="00000000" w:rsidRDefault="00477EE8">
            <w:pPr>
              <w:rPr>
                <w:rFonts w:eastAsia="Times New Roman"/>
              </w:rPr>
            </w:pPr>
          </w:p>
        </w:tc>
        <w:tc>
          <w:tcPr>
            <w:tcW w:w="50" w:type="pct"/>
            <w:shd w:val="clear" w:color="auto" w:fill="FFFFFF"/>
            <w:vAlign w:val="center"/>
            <w:hideMark/>
          </w:tcPr>
          <w:p w:rsidR="00000000" w:rsidRDefault="00477EE8">
            <w:pPr>
              <w:rPr>
                <w:rFonts w:eastAsia="Times New Roman"/>
                <w:sz w:val="20"/>
                <w:szCs w:val="20"/>
              </w:rPr>
            </w:pPr>
          </w:p>
        </w:tc>
        <w:tc>
          <w:tcPr>
            <w:tcW w:w="1594" w:type="pct"/>
            <w:shd w:val="clear" w:color="auto" w:fill="FFFFFF"/>
            <w:vAlign w:val="center"/>
            <w:hideMark/>
          </w:tcPr>
          <w:p w:rsidR="00000000" w:rsidRDefault="00477EE8">
            <w:pPr>
              <w:rPr>
                <w:rFonts w:eastAsia="Times New Roman"/>
                <w:sz w:val="20"/>
                <w:szCs w:val="20"/>
              </w:rPr>
            </w:pPr>
          </w:p>
        </w:tc>
        <w:tc>
          <w:tcPr>
            <w:tcW w:w="50" w:type="pct"/>
            <w:shd w:val="clear" w:color="auto" w:fill="FFFFFF"/>
            <w:vAlign w:val="center"/>
            <w:hideMark/>
          </w:tcPr>
          <w:p w:rsidR="00000000" w:rsidRDefault="00477EE8">
            <w:pPr>
              <w:rPr>
                <w:rFonts w:eastAsia="Times New Roman"/>
                <w:sz w:val="20"/>
                <w:szCs w:val="20"/>
              </w:rPr>
            </w:pPr>
          </w:p>
        </w:tc>
        <w:tc>
          <w:tcPr>
            <w:tcW w:w="494" w:type="pct"/>
            <w:shd w:val="clear" w:color="auto" w:fill="FFFFFF"/>
            <w:vAlign w:val="center"/>
            <w:hideMark/>
          </w:tcPr>
          <w:p w:rsidR="00000000" w:rsidRDefault="00477EE8">
            <w:pPr>
              <w:rPr>
                <w:rFonts w:eastAsia="Times New Roman"/>
                <w:sz w:val="20"/>
                <w:szCs w:val="20"/>
              </w:rPr>
            </w:pPr>
          </w:p>
        </w:tc>
        <w:tc>
          <w:tcPr>
            <w:tcW w:w="50" w:type="pct"/>
            <w:shd w:val="clear" w:color="auto" w:fill="FFFFFF"/>
            <w:vAlign w:val="center"/>
            <w:hideMark/>
          </w:tcPr>
          <w:p w:rsidR="00000000" w:rsidRDefault="00477EE8">
            <w:pPr>
              <w:rPr>
                <w:rFonts w:eastAsia="Times New Roman"/>
                <w:sz w:val="20"/>
                <w:szCs w:val="20"/>
              </w:rPr>
            </w:pPr>
          </w:p>
        </w:tc>
        <w:tc>
          <w:tcPr>
            <w:tcW w:w="494" w:type="pct"/>
            <w:shd w:val="clear" w:color="auto" w:fill="FFFFFF"/>
            <w:vAlign w:val="center"/>
            <w:hideMark/>
          </w:tcPr>
          <w:p w:rsidR="00000000" w:rsidRDefault="00477EE8">
            <w:pPr>
              <w:rPr>
                <w:rFonts w:eastAsia="Times New Roman"/>
                <w:sz w:val="20"/>
                <w:szCs w:val="20"/>
              </w:rPr>
            </w:pPr>
          </w:p>
        </w:tc>
        <w:tc>
          <w:tcPr>
            <w:tcW w:w="50" w:type="pct"/>
            <w:shd w:val="clear" w:color="auto" w:fill="FFFFFF"/>
            <w:vAlign w:val="center"/>
            <w:hideMark/>
          </w:tcPr>
          <w:p w:rsidR="00000000" w:rsidRDefault="00477EE8">
            <w:pPr>
              <w:rPr>
                <w:rFonts w:eastAsia="Times New Roman"/>
                <w:sz w:val="20"/>
                <w:szCs w:val="20"/>
              </w:rPr>
            </w:pPr>
          </w:p>
        </w:tc>
        <w:tc>
          <w:tcPr>
            <w:tcW w:w="693" w:type="pct"/>
            <w:shd w:val="clear" w:color="auto" w:fill="FFFFFF"/>
            <w:vAlign w:val="center"/>
            <w:hideMark/>
          </w:tcPr>
          <w:p w:rsidR="00000000" w:rsidRDefault="00477EE8">
            <w:pPr>
              <w:rPr>
                <w:rFonts w:eastAsia="Times New Roman"/>
                <w:sz w:val="20"/>
                <w:szCs w:val="20"/>
              </w:rPr>
            </w:pPr>
          </w:p>
        </w:tc>
        <w:tc>
          <w:tcPr>
            <w:tcW w:w="50" w:type="pct"/>
            <w:shd w:val="clear" w:color="auto" w:fill="FFFFFF"/>
            <w:vAlign w:val="center"/>
            <w:hideMark/>
          </w:tcPr>
          <w:p w:rsidR="00000000" w:rsidRDefault="00477EE8">
            <w:pPr>
              <w:rPr>
                <w:rFonts w:eastAsia="Times New Roman"/>
                <w:sz w:val="20"/>
                <w:szCs w:val="20"/>
              </w:rPr>
            </w:pPr>
          </w:p>
        </w:tc>
        <w:tc>
          <w:tcPr>
            <w:tcW w:w="494" w:type="pct"/>
            <w:shd w:val="clear" w:color="auto" w:fill="FFFFFF"/>
            <w:vAlign w:val="center"/>
            <w:hideMark/>
          </w:tcPr>
          <w:p w:rsidR="00000000" w:rsidRDefault="00477EE8">
            <w:pPr>
              <w:rPr>
                <w:rFonts w:eastAsia="Times New Roman"/>
                <w:sz w:val="20"/>
                <w:szCs w:val="20"/>
              </w:rPr>
            </w:pPr>
          </w:p>
        </w:tc>
        <w:tc>
          <w:tcPr>
            <w:tcW w:w="50" w:type="pct"/>
            <w:shd w:val="clear" w:color="auto" w:fill="FFFFFF"/>
            <w:vAlign w:val="center"/>
            <w:hideMark/>
          </w:tcPr>
          <w:p w:rsidR="00000000" w:rsidRDefault="00477EE8">
            <w:pPr>
              <w:rPr>
                <w:rFonts w:eastAsia="Times New Roman"/>
                <w:sz w:val="20"/>
                <w:szCs w:val="20"/>
              </w:rPr>
            </w:pPr>
          </w:p>
        </w:tc>
        <w:tc>
          <w:tcPr>
            <w:tcW w:w="544" w:type="pct"/>
            <w:shd w:val="clear" w:color="auto" w:fill="FFFFFF"/>
            <w:vAlign w:val="center"/>
            <w:hideMark/>
          </w:tcPr>
          <w:p w:rsidR="00000000" w:rsidRDefault="00477EE8">
            <w:pPr>
              <w:rPr>
                <w:rFonts w:eastAsia="Times New Roman"/>
                <w:sz w:val="20"/>
                <w:szCs w:val="20"/>
              </w:rPr>
            </w:pP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jc w:val="center"/>
              <w:rPr>
                <w:sz w:val="16"/>
                <w:szCs w:val="16"/>
              </w:rPr>
            </w:pPr>
            <w:r>
              <w:rPr>
                <w:b/>
                <w:bCs/>
                <w:sz w:val="16"/>
                <w:szCs w:val="16"/>
              </w:rPr>
              <w:t>Exhibi</w:t>
            </w:r>
            <w:r>
              <w:rPr>
                <w:b/>
                <w:bCs/>
                <w:sz w:val="16"/>
                <w:szCs w:val="16"/>
              </w:rPr>
              <w:t>t</w:t>
            </w:r>
          </w:p>
          <w:p w:rsidR="00000000" w:rsidRDefault="00477EE8">
            <w:pPr>
              <w:pStyle w:val="a3"/>
              <w:spacing w:before="0" w:beforeAutospacing="0" w:after="0" w:afterAutospacing="0"/>
              <w:jc w:val="center"/>
              <w:rPr>
                <w:sz w:val="16"/>
                <w:szCs w:val="16"/>
              </w:rPr>
            </w:pPr>
            <w:r>
              <w:rPr>
                <w:b/>
                <w:bCs/>
                <w:sz w:val="16"/>
                <w:szCs w:val="16"/>
              </w:rPr>
              <w:t>Numbe</w:t>
            </w:r>
            <w:r>
              <w:rPr>
                <w:b/>
                <w:bCs/>
                <w:sz w:val="16"/>
                <w:szCs w:val="16"/>
              </w:rPr>
              <w:t>r</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b/>
                <w:bCs/>
                <w:sz w:val="16"/>
                <w:szCs w:val="16"/>
              </w:rPr>
              <w:t>Descriptio</w:t>
            </w:r>
            <w:r>
              <w:rPr>
                <w:b/>
                <w:bCs/>
                <w:sz w:val="16"/>
                <w:szCs w:val="16"/>
              </w:rPr>
              <w:t>n</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16"/>
                <w:szCs w:val="16"/>
              </w:rPr>
            </w:pPr>
            <w:r>
              <w:rPr>
                <w:b/>
                <w:bCs/>
                <w:sz w:val="16"/>
                <w:szCs w:val="16"/>
              </w:rPr>
              <w:t>For</w:t>
            </w:r>
            <w:r>
              <w:rPr>
                <w:b/>
                <w:bCs/>
                <w:sz w:val="16"/>
                <w:szCs w:val="16"/>
              </w:rPr>
              <w:t>m</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16"/>
                <w:szCs w:val="16"/>
              </w:rPr>
            </w:pPr>
            <w:r>
              <w:rPr>
                <w:b/>
                <w:bCs/>
                <w:sz w:val="16"/>
                <w:szCs w:val="16"/>
              </w:rPr>
              <w:t>File Numbe</w:t>
            </w:r>
            <w:r>
              <w:rPr>
                <w:b/>
                <w:bCs/>
                <w:sz w:val="16"/>
                <w:szCs w:val="16"/>
              </w:rPr>
              <w:t>r</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16"/>
                <w:szCs w:val="16"/>
              </w:rPr>
            </w:pPr>
            <w:r>
              <w:rPr>
                <w:b/>
                <w:bCs/>
                <w:sz w:val="16"/>
                <w:szCs w:val="16"/>
              </w:rPr>
              <w:t>Incorporated b</w:t>
            </w:r>
            <w:r>
              <w:rPr>
                <w:b/>
                <w:bCs/>
                <w:sz w:val="16"/>
                <w:szCs w:val="16"/>
              </w:rPr>
              <w:t>y</w:t>
            </w:r>
          </w:p>
          <w:p w:rsidR="00000000" w:rsidRDefault="00477EE8">
            <w:pPr>
              <w:pStyle w:val="a3"/>
              <w:spacing w:before="0" w:beforeAutospacing="0" w:after="0" w:afterAutospacing="0"/>
              <w:jc w:val="center"/>
              <w:rPr>
                <w:sz w:val="16"/>
                <w:szCs w:val="16"/>
              </w:rPr>
            </w:pPr>
            <w:r>
              <w:rPr>
                <w:b/>
                <w:bCs/>
                <w:sz w:val="16"/>
                <w:szCs w:val="16"/>
              </w:rPr>
              <w:t>Reference Exhibi</w:t>
            </w:r>
            <w:r>
              <w:rPr>
                <w:b/>
                <w:bCs/>
                <w:sz w:val="16"/>
                <w:szCs w:val="16"/>
              </w:rPr>
              <w:t>t</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16"/>
                <w:szCs w:val="16"/>
              </w:rPr>
            </w:pPr>
            <w:r>
              <w:rPr>
                <w:b/>
                <w:bCs/>
                <w:sz w:val="16"/>
                <w:szCs w:val="16"/>
              </w:rPr>
              <w:t>Filing Dat</w:t>
            </w:r>
            <w:r>
              <w:rPr>
                <w:b/>
                <w:bCs/>
                <w:sz w:val="16"/>
                <w:szCs w:val="16"/>
              </w:rPr>
              <w:t>e</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16"/>
                <w:szCs w:val="16"/>
              </w:rPr>
            </w:pPr>
            <w:r>
              <w:rPr>
                <w:b/>
                <w:bCs/>
                <w:sz w:val="16"/>
                <w:szCs w:val="16"/>
              </w:rPr>
              <w:t>File</w:t>
            </w:r>
            <w:r>
              <w:rPr>
                <w:b/>
                <w:bCs/>
                <w:sz w:val="16"/>
                <w:szCs w:val="16"/>
              </w:rPr>
              <w:t>d</w:t>
            </w:r>
          </w:p>
          <w:p w:rsidR="00000000" w:rsidRDefault="00477EE8">
            <w:pPr>
              <w:pStyle w:val="a3"/>
              <w:spacing w:before="0" w:beforeAutospacing="0" w:after="0" w:afterAutospacing="0"/>
              <w:jc w:val="center"/>
              <w:rPr>
                <w:sz w:val="16"/>
                <w:szCs w:val="16"/>
              </w:rPr>
            </w:pPr>
            <w:r>
              <w:rPr>
                <w:b/>
                <w:bCs/>
                <w:sz w:val="16"/>
                <w:szCs w:val="16"/>
              </w:rPr>
              <w:t>Herewit</w:t>
            </w:r>
            <w:r>
              <w:rPr>
                <w:b/>
                <w:bCs/>
                <w:sz w:val="16"/>
                <w:szCs w:val="16"/>
              </w:rPr>
              <w:t>h</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10.10</w:t>
            </w:r>
            <w:r>
              <w:rPr>
                <w:sz w:val="20"/>
                <w:szCs w:val="20"/>
              </w:rPr>
              <w:t>#</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33" w:history="1">
              <w:r>
                <w:rPr>
                  <w:rStyle w:val="a4"/>
                  <w:sz w:val="20"/>
                  <w:szCs w:val="20"/>
                </w:rPr>
                <w:t>Form of Notice of Restricted Stock Unit Substitution Award and Restricted Stock Unit Agreement under the 2016 Omnibus Incentive Plan of the registrant</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S-</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333-21346</w:t>
            </w:r>
            <w:r>
              <w:rPr>
                <w:sz w:val="20"/>
                <w:szCs w:val="20"/>
              </w:rPr>
              <w:t>9</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10.1</w:t>
            </w:r>
            <w:r>
              <w:rPr>
                <w:sz w:val="20"/>
                <w:szCs w:val="20"/>
              </w:rPr>
              <w:t>0</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9/2/201</w:t>
            </w:r>
            <w:r>
              <w:rPr>
                <w:sz w:val="20"/>
                <w:szCs w:val="20"/>
              </w:rPr>
              <w:t>6</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10.11</w:t>
            </w:r>
            <w:r>
              <w:rPr>
                <w:sz w:val="20"/>
                <w:szCs w:val="20"/>
              </w:rPr>
              <w:t>#</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34" w:history="1">
              <w:r>
                <w:rPr>
                  <w:rStyle w:val="a4"/>
                  <w:sz w:val="20"/>
                  <w:szCs w:val="20"/>
                </w:rPr>
                <w:t>Employment Agreement, dated May 25, 2016, by and among Fulgent Therapeutics LLC, the registrant and Ming Hsieh</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S-</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333-21346</w:t>
            </w:r>
            <w:r>
              <w:rPr>
                <w:sz w:val="20"/>
                <w:szCs w:val="20"/>
              </w:rPr>
              <w:t>9</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10.1</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9/2/201</w:t>
            </w:r>
            <w:r>
              <w:rPr>
                <w:sz w:val="20"/>
                <w:szCs w:val="20"/>
              </w:rPr>
              <w:t>6</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10.12</w:t>
            </w:r>
            <w:r>
              <w:rPr>
                <w:sz w:val="20"/>
                <w:szCs w:val="20"/>
              </w:rPr>
              <w:t>#</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35" w:history="1">
              <w:r>
                <w:rPr>
                  <w:rStyle w:val="a4"/>
                  <w:sz w:val="20"/>
                  <w:szCs w:val="20"/>
                </w:rPr>
                <w:t>Employment Agreement, dated May 25, 2016, by and among Fulgent Therapeutics LLC, the registrant and Paul Kim</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S-</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333-21346</w:t>
            </w:r>
            <w:r>
              <w:rPr>
                <w:sz w:val="20"/>
                <w:szCs w:val="20"/>
              </w:rPr>
              <w:t>9</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10.1</w:t>
            </w:r>
            <w:r>
              <w:rPr>
                <w:sz w:val="20"/>
                <w:szCs w:val="20"/>
              </w:rPr>
              <w:t>2</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9/2/201</w:t>
            </w:r>
            <w:r>
              <w:rPr>
                <w:sz w:val="20"/>
                <w:szCs w:val="20"/>
              </w:rPr>
              <w:t>6</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10.13</w:t>
            </w:r>
            <w:r>
              <w:rPr>
                <w:sz w:val="20"/>
                <w:szCs w:val="20"/>
              </w:rPr>
              <w:t>#</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36" w:history="1">
              <w:r>
                <w:rPr>
                  <w:rStyle w:val="a4"/>
                  <w:sz w:val="20"/>
                  <w:szCs w:val="20"/>
                </w:rPr>
                <w:t>Amended and Restated Employment Agreement, dated May 25, 2016, by and among Fulgent Therapeutics LLC, the registrant and Han Lin Gao</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S-</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333-21346</w:t>
            </w:r>
            <w:r>
              <w:rPr>
                <w:sz w:val="20"/>
                <w:szCs w:val="20"/>
              </w:rPr>
              <w:t>9</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10.1</w:t>
            </w:r>
            <w:r>
              <w:rPr>
                <w:sz w:val="20"/>
                <w:szCs w:val="20"/>
              </w:rPr>
              <w:t>3</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9/2/201</w:t>
            </w:r>
            <w:r>
              <w:rPr>
                <w:sz w:val="20"/>
                <w:szCs w:val="20"/>
              </w:rPr>
              <w:t>6</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10.14</w:t>
            </w:r>
            <w:r>
              <w:rPr>
                <w:sz w:val="20"/>
                <w:szCs w:val="20"/>
              </w:rPr>
              <w:t>#</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37" w:history="1">
              <w:r>
                <w:rPr>
                  <w:rStyle w:val="a4"/>
                  <w:sz w:val="20"/>
                  <w:szCs w:val="20"/>
                </w:rPr>
                <w:t>Severance Agreement, dated July 7, 2016, by and among Fulgent Therapeutics LLC, the registrant and Ming Hsieh</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S-</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333-21346</w:t>
            </w:r>
            <w:r>
              <w:rPr>
                <w:sz w:val="20"/>
                <w:szCs w:val="20"/>
              </w:rPr>
              <w:t>9</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10.1</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9/2/201</w:t>
            </w:r>
            <w:r>
              <w:rPr>
                <w:sz w:val="20"/>
                <w:szCs w:val="20"/>
              </w:rPr>
              <w:t>6</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10.15</w:t>
            </w:r>
            <w:r>
              <w:rPr>
                <w:sz w:val="20"/>
                <w:szCs w:val="20"/>
              </w:rPr>
              <w:t>#</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38" w:history="1">
              <w:r>
                <w:rPr>
                  <w:rStyle w:val="a4"/>
                  <w:sz w:val="20"/>
                  <w:szCs w:val="20"/>
                </w:rPr>
                <w:t>Severance Agreement, dated July 7, 2016, by and among Fulgent Therapeutics LLC, the registrant and Paul Kim</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S-</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333-21346</w:t>
            </w:r>
            <w:r>
              <w:rPr>
                <w:sz w:val="20"/>
                <w:szCs w:val="20"/>
              </w:rPr>
              <w:t>9</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10.1</w:t>
            </w:r>
            <w:r>
              <w:rPr>
                <w:sz w:val="20"/>
                <w:szCs w:val="20"/>
              </w:rPr>
              <w:t>5</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9/2/201</w:t>
            </w:r>
            <w:r>
              <w:rPr>
                <w:sz w:val="20"/>
                <w:szCs w:val="20"/>
              </w:rPr>
              <w:t>6</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10.16</w:t>
            </w:r>
            <w:r>
              <w:rPr>
                <w:sz w:val="20"/>
                <w:szCs w:val="20"/>
              </w:rPr>
              <w:t>#</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39" w:history="1">
              <w:r>
                <w:rPr>
                  <w:rStyle w:val="a4"/>
                  <w:sz w:val="20"/>
                  <w:szCs w:val="20"/>
                </w:rPr>
                <w:t>Severance Agreement, dated July 7, 2016, by and among Fulgent Therapeutics LLC, the registrant and Han Lin Gao</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S-</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333-21346</w:t>
            </w:r>
            <w:r>
              <w:rPr>
                <w:sz w:val="20"/>
                <w:szCs w:val="20"/>
              </w:rPr>
              <w:t>9</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10.1</w:t>
            </w:r>
            <w:r>
              <w:rPr>
                <w:sz w:val="20"/>
                <w:szCs w:val="20"/>
              </w:rPr>
              <w:t>6</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9/2/201</w:t>
            </w:r>
            <w:r>
              <w:rPr>
                <w:sz w:val="20"/>
                <w:szCs w:val="20"/>
              </w:rPr>
              <w:t>6</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10.1</w:t>
            </w:r>
            <w:r>
              <w:rPr>
                <w:sz w:val="20"/>
                <w:szCs w:val="20"/>
              </w:rPr>
              <w:t>7</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40" w:history="1">
              <w:r>
                <w:rPr>
                  <w:rStyle w:val="a4"/>
                  <w:sz w:val="20"/>
                  <w:szCs w:val="20"/>
                </w:rPr>
                <w:t>Contribution and Allocation Agreement, dated May 19, 2016, by and among Fulgent Therapeutics LLC, Fulgent Pharma LLC and Ming Hsieh</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S-</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333-21346</w:t>
            </w:r>
            <w:r>
              <w:rPr>
                <w:sz w:val="20"/>
                <w:szCs w:val="20"/>
              </w:rPr>
              <w:t>9</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10.1</w:t>
            </w:r>
            <w:r>
              <w:rPr>
                <w:sz w:val="20"/>
                <w:szCs w:val="20"/>
              </w:rPr>
              <w:t>7</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9/2/201</w:t>
            </w:r>
            <w:r>
              <w:rPr>
                <w:sz w:val="20"/>
                <w:szCs w:val="20"/>
              </w:rPr>
              <w:t>6</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10.1</w:t>
            </w:r>
            <w:r>
              <w:rPr>
                <w:sz w:val="20"/>
                <w:szCs w:val="20"/>
              </w:rPr>
              <w:t>8</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41" w:history="1">
              <w:r>
                <w:rPr>
                  <w:rStyle w:val="a4"/>
                  <w:sz w:val="20"/>
                  <w:szCs w:val="20"/>
                </w:rPr>
                <w:t>Form of Fourth Amended and Restated Operating Agreement of Fulgent Therapeutics LLC, to be in effect upon completion of the Reorganization</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S-1/</w:t>
            </w:r>
            <w:r>
              <w:rPr>
                <w:sz w:val="20"/>
                <w:szCs w:val="20"/>
              </w:rPr>
              <w:t>A</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333-21346</w:t>
            </w:r>
            <w:r>
              <w:rPr>
                <w:sz w:val="20"/>
                <w:szCs w:val="20"/>
              </w:rPr>
              <w:t>9</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2.</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9/19/201</w:t>
            </w:r>
            <w:r>
              <w:rPr>
                <w:sz w:val="20"/>
                <w:szCs w:val="20"/>
              </w:rPr>
              <w:t>6</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10.1</w:t>
            </w:r>
            <w:r>
              <w:rPr>
                <w:sz w:val="20"/>
                <w:szCs w:val="20"/>
              </w:rPr>
              <w:t>9</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42" w:history="1">
              <w:r>
                <w:rPr>
                  <w:rStyle w:val="a4"/>
                  <w:sz w:val="20"/>
                  <w:szCs w:val="20"/>
                </w:rPr>
                <w:t>Commercial Leases, dated April 14, 2015, April 28, 2016, March 24, 2016 and August 1, 2016, by and between E &amp; E Plaza LLC and Fulgent Therapeutics LLC</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S-</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333-21346</w:t>
            </w:r>
            <w:r>
              <w:rPr>
                <w:sz w:val="20"/>
                <w:szCs w:val="20"/>
              </w:rPr>
              <w:t>9</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10.1</w:t>
            </w:r>
            <w:r>
              <w:rPr>
                <w:sz w:val="20"/>
                <w:szCs w:val="20"/>
              </w:rPr>
              <w:t>9</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9/2/201</w:t>
            </w:r>
            <w:r>
              <w:rPr>
                <w:sz w:val="20"/>
                <w:szCs w:val="20"/>
              </w:rPr>
              <w:t>6</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10.2</w:t>
            </w:r>
            <w:r>
              <w:rPr>
                <w:sz w:val="20"/>
                <w:szCs w:val="20"/>
              </w:rPr>
              <w:t>0</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43" w:history="1">
              <w:r>
                <w:rPr>
                  <w:rStyle w:val="a4"/>
                  <w:sz w:val="20"/>
                  <w:szCs w:val="20"/>
                </w:rPr>
                <w:t>Director Compensation Program of the registrant, effective as of September 28, 2016 and amended November</w:t>
              </w:r>
              <w:r>
                <w:rPr>
                  <w:rStyle w:val="a4"/>
                  <w:sz w:val="20"/>
                  <w:szCs w:val="20"/>
                </w:rPr>
                <w:t xml:space="preserve"> 2, 2017</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K</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001-3789</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10.2</w:t>
            </w:r>
            <w:r>
              <w:rPr>
                <w:sz w:val="20"/>
                <w:szCs w:val="20"/>
              </w:rPr>
              <w:t>0</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3/20/201</w:t>
            </w:r>
            <w:r>
              <w:rPr>
                <w:sz w:val="20"/>
                <w:szCs w:val="20"/>
              </w:rPr>
              <w:t>8</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10.21</w:t>
            </w:r>
            <w:r>
              <w:rPr>
                <w:sz w:val="20"/>
                <w:szCs w:val="20"/>
              </w:rPr>
              <w:t>§</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44" w:history="1">
              <w:r>
                <w:rPr>
                  <w:rStyle w:val="a4"/>
                  <w:sz w:val="20"/>
                  <w:szCs w:val="20"/>
                </w:rPr>
                <w:t>Cooperation Agreement on the Establishment of Fujian Fujun Gene Biotech Co., Ltd., dated April 25, 2017, by and among Shenzhen Fujin Gene Science &amp; Techno</w:t>
              </w:r>
              <w:r>
                <w:rPr>
                  <w:rStyle w:val="a4"/>
                  <w:sz w:val="20"/>
                  <w:szCs w:val="20"/>
                </w:rPr>
                <w:t>logy Co., Ltd., Xilong Scientific Co., Ltd. and Fuzhou Jinqiang Investment Partnership (LP)</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Q</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001-3789</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8/14/201</w:t>
            </w:r>
            <w:r>
              <w:rPr>
                <w:sz w:val="20"/>
                <w:szCs w:val="20"/>
              </w:rPr>
              <w:t>7</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10.22</w:t>
            </w:r>
            <w:r>
              <w:rPr>
                <w:sz w:val="20"/>
                <w:szCs w:val="20"/>
              </w:rPr>
              <w:t>§</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45" w:history="1">
              <w:r>
                <w:rPr>
                  <w:rStyle w:val="a4"/>
                  <w:sz w:val="20"/>
                  <w:szCs w:val="20"/>
                </w:rPr>
                <w:t>Supplemental Agreement to Cooperation Agreement, dated April 10, 2019, by and among Fulgent Genetics, Inc., Shenzhen Fujin Gene Technology Co., Ltd., Xilo</w:t>
              </w:r>
              <w:r>
                <w:rPr>
                  <w:rStyle w:val="a4"/>
                  <w:sz w:val="20"/>
                  <w:szCs w:val="20"/>
                </w:rPr>
                <w:t>ng Science Co., Ltd. and Fuzhou Jinqiang Investment Partnership (Limited)</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Q</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001-3789</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8/12/201</w:t>
            </w:r>
            <w:r>
              <w:rPr>
                <w:sz w:val="20"/>
                <w:szCs w:val="20"/>
              </w:rPr>
              <w:t>9</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10.2</w:t>
            </w:r>
            <w:r>
              <w:rPr>
                <w:sz w:val="20"/>
                <w:szCs w:val="20"/>
              </w:rPr>
              <w:t>3</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46" w:history="1">
              <w:r>
                <w:rPr>
                  <w:rStyle w:val="a4"/>
                  <w:sz w:val="20"/>
                  <w:szCs w:val="20"/>
                </w:rPr>
                <w:t>Commercial Lease, dated Janu</w:t>
              </w:r>
              <w:r>
                <w:rPr>
                  <w:rStyle w:val="a4"/>
                  <w:sz w:val="20"/>
                  <w:szCs w:val="20"/>
                </w:rPr>
                <w:t>ary 31, 2018, by and between E &amp; E Plaza LLC and Fulgent Therapeutics LLC</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K</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001-3789</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10.2</w:t>
            </w:r>
            <w:r>
              <w:rPr>
                <w:sz w:val="20"/>
                <w:szCs w:val="20"/>
              </w:rPr>
              <w:t>3</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3/22/201</w:t>
            </w:r>
            <w:r>
              <w:rPr>
                <w:sz w:val="20"/>
                <w:szCs w:val="20"/>
              </w:rPr>
              <w:t>9</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bl>
    <w:p w:rsidR="00000000" w:rsidRDefault="00477EE8">
      <w:pPr>
        <w:pStyle w:val="a3"/>
        <w:spacing w:before="240" w:beforeAutospacing="0" w:after="0" w:afterAutospacing="0"/>
        <w:jc w:val="center"/>
        <w:rPr>
          <w:sz w:val="20"/>
          <w:szCs w:val="20"/>
        </w:rPr>
      </w:pPr>
      <w:r>
        <w:rPr>
          <w:sz w:val="20"/>
          <w:szCs w:val="20"/>
        </w:rPr>
        <w:t>6</w:t>
      </w:r>
      <w:r>
        <w:rPr>
          <w:sz w:val="20"/>
          <w:szCs w:val="20"/>
        </w:rPr>
        <w:t>7</w:t>
      </w:r>
    </w:p>
    <w:p w:rsidR="00000000" w:rsidRDefault="00477EE8">
      <w:pPr>
        <w:rPr>
          <w:rFonts w:eastAsia="Times New Roman"/>
        </w:rPr>
      </w:pPr>
      <w:r>
        <w:rPr>
          <w:rFonts w:eastAsia="Times New Roman"/>
        </w:rPr>
        <w:pict>
          <v:rect id="_x0000_i110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9"/>
        <w:gridCol w:w="109"/>
        <w:gridCol w:w="2498"/>
        <w:gridCol w:w="109"/>
        <w:gridCol w:w="764"/>
        <w:gridCol w:w="109"/>
        <w:gridCol w:w="764"/>
        <w:gridCol w:w="109"/>
        <w:gridCol w:w="1078"/>
        <w:gridCol w:w="109"/>
        <w:gridCol w:w="971"/>
        <w:gridCol w:w="109"/>
        <w:gridCol w:w="858"/>
      </w:tblGrid>
      <w:tr w:rsidR="00000000">
        <w:trPr>
          <w:tblCellSpacing w:w="15" w:type="dxa"/>
        </w:trPr>
        <w:tc>
          <w:tcPr>
            <w:tcW w:w="387" w:type="pct"/>
            <w:shd w:val="clear" w:color="auto" w:fill="FFFFFF"/>
            <w:vAlign w:val="center"/>
            <w:hideMark/>
          </w:tcPr>
          <w:p w:rsidR="00000000" w:rsidRDefault="00477EE8">
            <w:pPr>
              <w:rPr>
                <w:rFonts w:eastAsia="Times New Roman"/>
              </w:rPr>
            </w:pPr>
          </w:p>
        </w:tc>
        <w:tc>
          <w:tcPr>
            <w:tcW w:w="50" w:type="pct"/>
            <w:shd w:val="clear" w:color="auto" w:fill="FFFFFF"/>
            <w:vAlign w:val="center"/>
            <w:hideMark/>
          </w:tcPr>
          <w:p w:rsidR="00000000" w:rsidRDefault="00477EE8">
            <w:pPr>
              <w:rPr>
                <w:rFonts w:eastAsia="Times New Roman"/>
                <w:sz w:val="20"/>
                <w:szCs w:val="20"/>
              </w:rPr>
            </w:pPr>
          </w:p>
        </w:tc>
        <w:tc>
          <w:tcPr>
            <w:tcW w:w="1594" w:type="pct"/>
            <w:shd w:val="clear" w:color="auto" w:fill="FFFFFF"/>
            <w:vAlign w:val="center"/>
            <w:hideMark/>
          </w:tcPr>
          <w:p w:rsidR="00000000" w:rsidRDefault="00477EE8">
            <w:pPr>
              <w:rPr>
                <w:rFonts w:eastAsia="Times New Roman"/>
                <w:sz w:val="20"/>
                <w:szCs w:val="20"/>
              </w:rPr>
            </w:pPr>
          </w:p>
        </w:tc>
        <w:tc>
          <w:tcPr>
            <w:tcW w:w="50" w:type="pct"/>
            <w:shd w:val="clear" w:color="auto" w:fill="FFFFFF"/>
            <w:vAlign w:val="center"/>
            <w:hideMark/>
          </w:tcPr>
          <w:p w:rsidR="00000000" w:rsidRDefault="00477EE8">
            <w:pPr>
              <w:rPr>
                <w:rFonts w:eastAsia="Times New Roman"/>
                <w:sz w:val="20"/>
                <w:szCs w:val="20"/>
              </w:rPr>
            </w:pPr>
          </w:p>
        </w:tc>
        <w:tc>
          <w:tcPr>
            <w:tcW w:w="494" w:type="pct"/>
            <w:shd w:val="clear" w:color="auto" w:fill="FFFFFF"/>
            <w:vAlign w:val="center"/>
            <w:hideMark/>
          </w:tcPr>
          <w:p w:rsidR="00000000" w:rsidRDefault="00477EE8">
            <w:pPr>
              <w:rPr>
                <w:rFonts w:eastAsia="Times New Roman"/>
                <w:sz w:val="20"/>
                <w:szCs w:val="20"/>
              </w:rPr>
            </w:pPr>
          </w:p>
        </w:tc>
        <w:tc>
          <w:tcPr>
            <w:tcW w:w="50" w:type="pct"/>
            <w:shd w:val="clear" w:color="auto" w:fill="FFFFFF"/>
            <w:vAlign w:val="center"/>
            <w:hideMark/>
          </w:tcPr>
          <w:p w:rsidR="00000000" w:rsidRDefault="00477EE8">
            <w:pPr>
              <w:rPr>
                <w:rFonts w:eastAsia="Times New Roman"/>
                <w:sz w:val="20"/>
                <w:szCs w:val="20"/>
              </w:rPr>
            </w:pPr>
          </w:p>
        </w:tc>
        <w:tc>
          <w:tcPr>
            <w:tcW w:w="494" w:type="pct"/>
            <w:shd w:val="clear" w:color="auto" w:fill="FFFFFF"/>
            <w:vAlign w:val="center"/>
            <w:hideMark/>
          </w:tcPr>
          <w:p w:rsidR="00000000" w:rsidRDefault="00477EE8">
            <w:pPr>
              <w:rPr>
                <w:rFonts w:eastAsia="Times New Roman"/>
                <w:sz w:val="20"/>
                <w:szCs w:val="20"/>
              </w:rPr>
            </w:pPr>
          </w:p>
        </w:tc>
        <w:tc>
          <w:tcPr>
            <w:tcW w:w="50" w:type="pct"/>
            <w:shd w:val="clear" w:color="auto" w:fill="FFFFFF"/>
            <w:vAlign w:val="center"/>
            <w:hideMark/>
          </w:tcPr>
          <w:p w:rsidR="00000000" w:rsidRDefault="00477EE8">
            <w:pPr>
              <w:rPr>
                <w:rFonts w:eastAsia="Times New Roman"/>
                <w:sz w:val="20"/>
                <w:szCs w:val="20"/>
              </w:rPr>
            </w:pPr>
          </w:p>
        </w:tc>
        <w:tc>
          <w:tcPr>
            <w:tcW w:w="693" w:type="pct"/>
            <w:shd w:val="clear" w:color="auto" w:fill="FFFFFF"/>
            <w:vAlign w:val="center"/>
            <w:hideMark/>
          </w:tcPr>
          <w:p w:rsidR="00000000" w:rsidRDefault="00477EE8">
            <w:pPr>
              <w:rPr>
                <w:rFonts w:eastAsia="Times New Roman"/>
                <w:sz w:val="20"/>
                <w:szCs w:val="20"/>
              </w:rPr>
            </w:pPr>
          </w:p>
        </w:tc>
        <w:tc>
          <w:tcPr>
            <w:tcW w:w="50" w:type="pct"/>
            <w:shd w:val="clear" w:color="auto" w:fill="FFFFFF"/>
            <w:vAlign w:val="center"/>
            <w:hideMark/>
          </w:tcPr>
          <w:p w:rsidR="00000000" w:rsidRDefault="00477EE8">
            <w:pPr>
              <w:rPr>
                <w:rFonts w:eastAsia="Times New Roman"/>
                <w:sz w:val="20"/>
                <w:szCs w:val="20"/>
              </w:rPr>
            </w:pPr>
          </w:p>
        </w:tc>
        <w:tc>
          <w:tcPr>
            <w:tcW w:w="494" w:type="pct"/>
            <w:shd w:val="clear" w:color="auto" w:fill="FFFFFF"/>
            <w:vAlign w:val="center"/>
            <w:hideMark/>
          </w:tcPr>
          <w:p w:rsidR="00000000" w:rsidRDefault="00477EE8">
            <w:pPr>
              <w:rPr>
                <w:rFonts w:eastAsia="Times New Roman"/>
                <w:sz w:val="20"/>
                <w:szCs w:val="20"/>
              </w:rPr>
            </w:pPr>
          </w:p>
        </w:tc>
        <w:tc>
          <w:tcPr>
            <w:tcW w:w="50" w:type="pct"/>
            <w:shd w:val="clear" w:color="auto" w:fill="FFFFFF"/>
            <w:vAlign w:val="center"/>
            <w:hideMark/>
          </w:tcPr>
          <w:p w:rsidR="00000000" w:rsidRDefault="00477EE8">
            <w:pPr>
              <w:rPr>
                <w:rFonts w:eastAsia="Times New Roman"/>
                <w:sz w:val="20"/>
                <w:szCs w:val="20"/>
              </w:rPr>
            </w:pPr>
          </w:p>
        </w:tc>
        <w:tc>
          <w:tcPr>
            <w:tcW w:w="544" w:type="pct"/>
            <w:shd w:val="clear" w:color="auto" w:fill="FFFFFF"/>
            <w:vAlign w:val="center"/>
            <w:hideMark/>
          </w:tcPr>
          <w:p w:rsidR="00000000" w:rsidRDefault="00477EE8">
            <w:pPr>
              <w:rPr>
                <w:rFonts w:eastAsia="Times New Roman"/>
                <w:sz w:val="20"/>
                <w:szCs w:val="20"/>
              </w:rPr>
            </w:pP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jc w:val="center"/>
              <w:rPr>
                <w:sz w:val="16"/>
                <w:szCs w:val="16"/>
              </w:rPr>
            </w:pPr>
            <w:r>
              <w:rPr>
                <w:b/>
                <w:bCs/>
                <w:sz w:val="16"/>
                <w:szCs w:val="16"/>
              </w:rPr>
              <w:t>Exhibi</w:t>
            </w:r>
            <w:r>
              <w:rPr>
                <w:b/>
                <w:bCs/>
                <w:sz w:val="16"/>
                <w:szCs w:val="16"/>
              </w:rPr>
              <w:t>t</w:t>
            </w:r>
          </w:p>
          <w:p w:rsidR="00000000" w:rsidRDefault="00477EE8">
            <w:pPr>
              <w:pStyle w:val="a3"/>
              <w:spacing w:before="0" w:beforeAutospacing="0" w:after="0" w:afterAutospacing="0"/>
              <w:jc w:val="center"/>
              <w:rPr>
                <w:sz w:val="16"/>
                <w:szCs w:val="16"/>
              </w:rPr>
            </w:pPr>
            <w:r>
              <w:rPr>
                <w:b/>
                <w:bCs/>
                <w:sz w:val="16"/>
                <w:szCs w:val="16"/>
              </w:rPr>
              <w:t>Numbe</w:t>
            </w:r>
            <w:r>
              <w:rPr>
                <w:b/>
                <w:bCs/>
                <w:sz w:val="16"/>
                <w:szCs w:val="16"/>
              </w:rPr>
              <w:t>r</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b/>
                <w:bCs/>
                <w:sz w:val="16"/>
                <w:szCs w:val="16"/>
              </w:rPr>
              <w:t>Descriptio</w:t>
            </w:r>
            <w:r>
              <w:rPr>
                <w:b/>
                <w:bCs/>
                <w:sz w:val="16"/>
                <w:szCs w:val="16"/>
              </w:rPr>
              <w:t>n</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16"/>
                <w:szCs w:val="16"/>
              </w:rPr>
            </w:pPr>
            <w:r>
              <w:rPr>
                <w:b/>
                <w:bCs/>
                <w:sz w:val="16"/>
                <w:szCs w:val="16"/>
              </w:rPr>
              <w:t>For</w:t>
            </w:r>
            <w:r>
              <w:rPr>
                <w:b/>
                <w:bCs/>
                <w:sz w:val="16"/>
                <w:szCs w:val="16"/>
              </w:rPr>
              <w:t>m</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16"/>
                <w:szCs w:val="16"/>
              </w:rPr>
            </w:pPr>
            <w:r>
              <w:rPr>
                <w:b/>
                <w:bCs/>
                <w:sz w:val="16"/>
                <w:szCs w:val="16"/>
              </w:rPr>
              <w:t>File Numbe</w:t>
            </w:r>
            <w:r>
              <w:rPr>
                <w:b/>
                <w:bCs/>
                <w:sz w:val="16"/>
                <w:szCs w:val="16"/>
              </w:rPr>
              <w:t>r</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16"/>
                <w:szCs w:val="16"/>
              </w:rPr>
            </w:pPr>
            <w:r>
              <w:rPr>
                <w:b/>
                <w:bCs/>
                <w:sz w:val="16"/>
                <w:szCs w:val="16"/>
              </w:rPr>
              <w:t>Incorporated b</w:t>
            </w:r>
            <w:r>
              <w:rPr>
                <w:b/>
                <w:bCs/>
                <w:sz w:val="16"/>
                <w:szCs w:val="16"/>
              </w:rPr>
              <w:t>y</w:t>
            </w:r>
          </w:p>
          <w:p w:rsidR="00000000" w:rsidRDefault="00477EE8">
            <w:pPr>
              <w:pStyle w:val="a3"/>
              <w:spacing w:before="0" w:beforeAutospacing="0" w:after="0" w:afterAutospacing="0"/>
              <w:jc w:val="center"/>
              <w:rPr>
                <w:sz w:val="16"/>
                <w:szCs w:val="16"/>
              </w:rPr>
            </w:pPr>
            <w:r>
              <w:rPr>
                <w:b/>
                <w:bCs/>
                <w:sz w:val="16"/>
                <w:szCs w:val="16"/>
              </w:rPr>
              <w:t>Reference Exhibi</w:t>
            </w:r>
            <w:r>
              <w:rPr>
                <w:b/>
                <w:bCs/>
                <w:sz w:val="16"/>
                <w:szCs w:val="16"/>
              </w:rPr>
              <w:t>t</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16"/>
                <w:szCs w:val="16"/>
              </w:rPr>
            </w:pPr>
            <w:r>
              <w:rPr>
                <w:b/>
                <w:bCs/>
                <w:sz w:val="16"/>
                <w:szCs w:val="16"/>
              </w:rPr>
              <w:t>Filing Dat</w:t>
            </w:r>
            <w:r>
              <w:rPr>
                <w:b/>
                <w:bCs/>
                <w:sz w:val="16"/>
                <w:szCs w:val="16"/>
              </w:rPr>
              <w:t>e</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16"/>
                <w:szCs w:val="16"/>
              </w:rPr>
            </w:pPr>
            <w:r>
              <w:rPr>
                <w:b/>
                <w:bCs/>
                <w:sz w:val="16"/>
                <w:szCs w:val="16"/>
              </w:rPr>
              <w:t>File</w:t>
            </w:r>
            <w:r>
              <w:rPr>
                <w:b/>
                <w:bCs/>
                <w:sz w:val="16"/>
                <w:szCs w:val="16"/>
              </w:rPr>
              <w:t>d</w:t>
            </w:r>
          </w:p>
          <w:p w:rsidR="00000000" w:rsidRDefault="00477EE8">
            <w:pPr>
              <w:pStyle w:val="a3"/>
              <w:spacing w:before="0" w:beforeAutospacing="0" w:after="0" w:afterAutospacing="0"/>
              <w:jc w:val="center"/>
              <w:rPr>
                <w:sz w:val="16"/>
                <w:szCs w:val="16"/>
              </w:rPr>
            </w:pPr>
            <w:r>
              <w:rPr>
                <w:b/>
                <w:bCs/>
                <w:sz w:val="16"/>
                <w:szCs w:val="16"/>
              </w:rPr>
              <w:t>Herewit</w:t>
            </w:r>
            <w:r>
              <w:rPr>
                <w:b/>
                <w:bCs/>
                <w:sz w:val="16"/>
                <w:szCs w:val="16"/>
              </w:rPr>
              <w:t>h</w:t>
            </w:r>
          </w:p>
        </w:tc>
      </w:tr>
      <w:tr w:rsidR="00000000">
        <w:trPr>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10.2</w:t>
            </w:r>
            <w:r>
              <w:rPr>
                <w:sz w:val="20"/>
                <w:szCs w:val="20"/>
              </w:rPr>
              <w:t>4</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47" w:history="1">
              <w:r>
                <w:rPr>
                  <w:rStyle w:val="a4"/>
                  <w:sz w:val="20"/>
                  <w:szCs w:val="20"/>
                </w:rPr>
                <w:t>Equity Distribution Agreement, dated August 30, 2019, by and between Fulgent Genetics, Inc. and Piper Jaffray &amp; Co</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8-</w:t>
            </w:r>
            <w:r>
              <w:rPr>
                <w:sz w:val="20"/>
                <w:szCs w:val="20"/>
              </w:rPr>
              <w:t>K</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001-3789</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8/30/201</w:t>
            </w:r>
            <w:r>
              <w:rPr>
                <w:sz w:val="20"/>
                <w:szCs w:val="20"/>
              </w:rPr>
              <w:t>9</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10.2</w:t>
            </w:r>
            <w:r>
              <w:rPr>
                <w:sz w:val="20"/>
                <w:szCs w:val="20"/>
              </w:rPr>
              <w:t>5</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48" w:history="1">
              <w:r>
                <w:rPr>
                  <w:rStyle w:val="a4"/>
                  <w:sz w:val="20"/>
                  <w:szCs w:val="20"/>
                </w:rPr>
                <w:t>Purchase Agreement, dated as of November 13, 2019, by and between Fulgent Genetics, Inc. and Piper Jaffray &amp; Co</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8-</w:t>
            </w:r>
            <w:r>
              <w:rPr>
                <w:sz w:val="20"/>
                <w:szCs w:val="20"/>
              </w:rPr>
              <w:t>K</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001-3789</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11/14/201</w:t>
            </w:r>
            <w:r>
              <w:rPr>
                <w:sz w:val="20"/>
                <w:szCs w:val="20"/>
              </w:rPr>
              <w:t>9</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10.2</w:t>
            </w:r>
            <w:r>
              <w:rPr>
                <w:sz w:val="20"/>
                <w:szCs w:val="20"/>
              </w:rPr>
              <w:t>6</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49" w:history="1">
              <w:r>
                <w:rPr>
                  <w:rStyle w:val="a4"/>
                  <w:sz w:val="20"/>
                  <w:szCs w:val="20"/>
                </w:rPr>
                <w:t>Amendment No. 1 to Equity Distribution Agreement, dated August 4, 2020, by and between Fulgent Genetics, Inc. and Piper Sandle</w:t>
              </w:r>
              <w:r>
                <w:rPr>
                  <w:rStyle w:val="a4"/>
                  <w:sz w:val="20"/>
                  <w:szCs w:val="20"/>
                </w:rPr>
                <w:t>r &amp; Co</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8-</w:t>
            </w:r>
            <w:r>
              <w:rPr>
                <w:sz w:val="20"/>
                <w:szCs w:val="20"/>
              </w:rPr>
              <w:t>K</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001-3789</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8/5/202</w:t>
            </w:r>
            <w:r>
              <w:rPr>
                <w:sz w:val="20"/>
                <w:szCs w:val="20"/>
              </w:rPr>
              <w:t>0</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10.2</w:t>
            </w:r>
            <w:r>
              <w:rPr>
                <w:sz w:val="20"/>
                <w:szCs w:val="20"/>
              </w:rPr>
              <w:t>7</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50" w:history="1">
              <w:r>
                <w:rPr>
                  <w:rStyle w:val="a4"/>
                  <w:sz w:val="20"/>
                  <w:szCs w:val="20"/>
                </w:rPr>
                <w:t>Equity Distribution Agreement, dated as of September 24, 2020, by and between Fulgent Genetics, Inc. and Piper Sandler &amp; Co</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8-</w:t>
            </w:r>
            <w:r>
              <w:rPr>
                <w:sz w:val="20"/>
                <w:szCs w:val="20"/>
              </w:rPr>
              <w:t>K</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001-3789</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9/25/202</w:t>
            </w:r>
            <w:r>
              <w:rPr>
                <w:sz w:val="20"/>
                <w:szCs w:val="20"/>
              </w:rPr>
              <w:t>0</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10.2</w:t>
            </w:r>
            <w:r>
              <w:rPr>
                <w:sz w:val="20"/>
                <w:szCs w:val="20"/>
              </w:rPr>
              <w:t>8</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51" w:history="1">
              <w:r>
                <w:rPr>
                  <w:rStyle w:val="a4"/>
                  <w:sz w:val="20"/>
                  <w:szCs w:val="20"/>
                </w:rPr>
                <w:t>Equity Distribution Agreement, dated as of November 20, 2020, by and between Fulgent Genetics, Inc. and Piper Sandler &amp; Co., BTIG, LLC, and Oppenheimer &amp; Co.</w:t>
              </w:r>
              <w:r>
                <w:rPr>
                  <w:rStyle w:val="a4"/>
                  <w:sz w:val="20"/>
                  <w:szCs w:val="20"/>
                </w:rPr>
                <w:t xml:space="preserve"> Inc</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8-</w:t>
            </w:r>
            <w:r>
              <w:rPr>
                <w:sz w:val="20"/>
                <w:szCs w:val="20"/>
              </w:rPr>
              <w:t>K</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001-3789</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11/20/202</w:t>
            </w:r>
            <w:r>
              <w:rPr>
                <w:sz w:val="20"/>
                <w:szCs w:val="20"/>
              </w:rPr>
              <w:t>0</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10.2</w:t>
            </w:r>
            <w:r>
              <w:rPr>
                <w:sz w:val="20"/>
                <w:szCs w:val="20"/>
              </w:rPr>
              <w:t>9</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52" w:history="1">
              <w:r>
                <w:rPr>
                  <w:rStyle w:val="a4"/>
                  <w:sz w:val="20"/>
                  <w:szCs w:val="20"/>
                </w:rPr>
                <w:t>Fulgent Genetics, Inc. Amended and Restated 2016 Omnibus Incentive Pla</w:t>
              </w:r>
              <w:r>
                <w:rPr>
                  <w:rStyle w:val="a4"/>
                  <w:sz w:val="20"/>
                  <w:szCs w:val="20"/>
                </w:rPr>
                <w:t>n</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8-</w:t>
            </w:r>
            <w:r>
              <w:rPr>
                <w:sz w:val="20"/>
                <w:szCs w:val="20"/>
              </w:rPr>
              <w:t>K</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001-3789</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5/21/201</w:t>
            </w:r>
            <w:r>
              <w:rPr>
                <w:sz w:val="20"/>
                <w:szCs w:val="20"/>
              </w:rPr>
              <w:t>8</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10.3</w:t>
            </w:r>
            <w:r>
              <w:rPr>
                <w:sz w:val="20"/>
                <w:szCs w:val="20"/>
              </w:rPr>
              <w:t>0</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53" w:history="1">
              <w:r>
                <w:rPr>
                  <w:rStyle w:val="a4"/>
                  <w:sz w:val="20"/>
                  <w:szCs w:val="20"/>
                </w:rPr>
                <w:t>Fulgent Genetics, Inc. Amended and Restated 2016 Omnibus Incentive Pla</w:t>
              </w:r>
              <w:r>
                <w:rPr>
                  <w:rStyle w:val="a4"/>
                  <w:sz w:val="20"/>
                  <w:szCs w:val="20"/>
                </w:rPr>
                <w:t>n</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8-</w:t>
            </w:r>
            <w:r>
              <w:rPr>
                <w:sz w:val="20"/>
                <w:szCs w:val="20"/>
              </w:rPr>
              <w:t>K</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001-3789</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9/18/202</w:t>
            </w:r>
            <w:r>
              <w:rPr>
                <w:sz w:val="20"/>
                <w:szCs w:val="20"/>
              </w:rPr>
              <w:t>0</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10.31</w:t>
            </w:r>
            <w:r>
              <w:rPr>
                <w:sz w:val="20"/>
                <w:szCs w:val="20"/>
              </w:rPr>
              <w:t>^</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54" w:history="1">
              <w:r>
                <w:rPr>
                  <w:rStyle w:val="a4"/>
                  <w:sz w:val="20"/>
                  <w:szCs w:val="20"/>
                </w:rPr>
                <w:t>Agreement for Purchase and Sale of Property, dated July 23, 202</w:t>
              </w:r>
              <w:r>
                <w:rPr>
                  <w:rStyle w:val="a4"/>
                  <w:sz w:val="20"/>
                  <w:szCs w:val="20"/>
                </w:rPr>
                <w:t>0</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8-</w:t>
            </w:r>
            <w:r>
              <w:rPr>
                <w:sz w:val="20"/>
                <w:szCs w:val="20"/>
              </w:rPr>
              <w:t>K</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001-3789</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2.</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10/21/202</w:t>
            </w:r>
            <w:r>
              <w:rPr>
                <w:sz w:val="20"/>
                <w:szCs w:val="20"/>
              </w:rPr>
              <w:t>0</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10.32</w:t>
            </w:r>
            <w:r>
              <w:rPr>
                <w:sz w:val="20"/>
                <w:szCs w:val="20"/>
              </w:rPr>
              <w:t>^</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55" w:history="1">
              <w:r>
                <w:rPr>
                  <w:rStyle w:val="a4"/>
                  <w:sz w:val="20"/>
                  <w:szCs w:val="20"/>
                </w:rPr>
                <w:t>Aircraft Purchase Agreement, dated August 18, 2020, by and between ServiceMaster Acceptance Corporation and the Compan</w:t>
              </w:r>
              <w:r>
                <w:rPr>
                  <w:rStyle w:val="a4"/>
                  <w:sz w:val="20"/>
                  <w:szCs w:val="20"/>
                </w:rPr>
                <w:t>y</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Q</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001-3789</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2</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11/9/202</w:t>
            </w:r>
            <w:r>
              <w:rPr>
                <w:sz w:val="20"/>
                <w:szCs w:val="20"/>
              </w:rPr>
              <w:t>0</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10.3</w:t>
            </w:r>
            <w:r>
              <w:rPr>
                <w:sz w:val="20"/>
                <w:szCs w:val="20"/>
              </w:rPr>
              <w:t>3</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56" w:history="1">
              <w:r>
                <w:rPr>
                  <w:rStyle w:val="a4"/>
                  <w:sz w:val="20"/>
                  <w:szCs w:val="20"/>
                </w:rPr>
                <w:t xml:space="preserve">Commercial Sublease Agreement, dated July </w:t>
              </w:r>
              <w:r>
                <w:rPr>
                  <w:rStyle w:val="a4"/>
                  <w:sz w:val="20"/>
                  <w:szCs w:val="20"/>
                </w:rPr>
                <w:t>1</w:t>
              </w:r>
              <w:r>
                <w:rPr>
                  <w:rStyle w:val="a4"/>
                  <w:sz w:val="13"/>
                  <w:szCs w:val="13"/>
                </w:rPr>
                <w:t>s</w:t>
              </w:r>
              <w:r>
                <w:rPr>
                  <w:rStyle w:val="a4"/>
                  <w:sz w:val="13"/>
                  <w:szCs w:val="13"/>
                </w:rPr>
                <w:t>t</w:t>
              </w:r>
              <w:r>
                <w:rPr>
                  <w:rStyle w:val="a4"/>
                  <w:sz w:val="20"/>
                  <w:szCs w:val="20"/>
                </w:rPr>
                <w:t>, 2020, between Medscan Laboratories Inc. and Fulgent Genetics, Inc.; Commercial Lease Agreement, dated June 17, 2020, by and between Medscan Laboratories Inc. and Ten-Voss Ltd</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K</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001-3789</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10.3</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3/8/202</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10.3</w:t>
            </w:r>
            <w:r>
              <w:rPr>
                <w:sz w:val="20"/>
                <w:szCs w:val="20"/>
              </w:rPr>
              <w:t>4</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57" w:history="1">
              <w:r>
                <w:rPr>
                  <w:rStyle w:val="a4"/>
                  <w:sz w:val="20"/>
                  <w:szCs w:val="20"/>
                </w:rPr>
                <w:t>Commercial Lease Assignment &amp; Assumption, dated January 11, 2021 by and between Ten-Voss Ltd., Medscan Laboratories, Inc. and Fulgent Genetics, Inc</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K</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001-3789</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10.3</w:t>
            </w:r>
            <w:r>
              <w:rPr>
                <w:sz w:val="20"/>
                <w:szCs w:val="20"/>
              </w:rPr>
              <w:t>5</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3/8/202</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10.3</w:t>
            </w:r>
            <w:r>
              <w:rPr>
                <w:sz w:val="20"/>
                <w:szCs w:val="20"/>
              </w:rPr>
              <w:t>5</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58" w:history="1">
              <w:r>
                <w:rPr>
                  <w:rStyle w:val="a4"/>
                  <w:sz w:val="20"/>
                  <w:szCs w:val="20"/>
                </w:rPr>
                <w:t>Commercial Lease Addendum, dated February 1, 2021, by and between E &amp; E Plaza LLC and Fulgent Genetics, Inc</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K</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001-3789</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.3</w:t>
            </w:r>
            <w:r>
              <w:rPr>
                <w:sz w:val="20"/>
                <w:szCs w:val="20"/>
              </w:rPr>
              <w:t>6</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3/8/202</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10.36</w:t>
            </w:r>
            <w:r>
              <w:rPr>
                <w:sz w:val="20"/>
                <w:szCs w:val="20"/>
              </w:rPr>
              <w:t>#</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59" w:history="1">
              <w:r>
                <w:rPr>
                  <w:rStyle w:val="a4"/>
                  <w:sz w:val="20"/>
                  <w:szCs w:val="20"/>
                </w:rPr>
                <w:t>Employment Agreement, dated March 8, 2021, by and among Fulgent Therapeutics, LLC, Fulgent Genetics, Inc. and Jian Xie</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K</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001-3789</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10.3</w:t>
            </w:r>
            <w:r>
              <w:rPr>
                <w:sz w:val="20"/>
                <w:szCs w:val="20"/>
              </w:rPr>
              <w:t>7</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3/8/202</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10.37</w:t>
            </w:r>
            <w:r>
              <w:rPr>
                <w:sz w:val="20"/>
                <w:szCs w:val="20"/>
              </w:rPr>
              <w:t>#</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60" w:history="1">
              <w:r>
                <w:rPr>
                  <w:rStyle w:val="a4"/>
                  <w:sz w:val="20"/>
                  <w:szCs w:val="20"/>
                </w:rPr>
                <w:t xml:space="preserve">Severance Agreement, dated March 8, 2021, by and among Fulgent Therapeutics LLC, Fulgent Genetics, Inc. </w:t>
              </w:r>
              <w:r>
                <w:rPr>
                  <w:rStyle w:val="a4"/>
                  <w:sz w:val="20"/>
                  <w:szCs w:val="20"/>
                </w:rPr>
                <w:t>and Jian Xie</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K</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001-3789</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10.3</w:t>
            </w:r>
            <w:r>
              <w:rPr>
                <w:sz w:val="20"/>
                <w:szCs w:val="20"/>
              </w:rPr>
              <w:t>8</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3/8/202</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10.38#</w:t>
            </w:r>
            <w:r>
              <w:rPr>
                <w:sz w:val="20"/>
                <w:szCs w:val="20"/>
              </w:rPr>
              <w:t>^</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61" w:history="1">
              <w:r>
                <w:rPr>
                  <w:rStyle w:val="a4"/>
                  <w:sz w:val="20"/>
                  <w:szCs w:val="20"/>
                </w:rPr>
                <w:t>Amended and Restated Non-Employee Director Compensation Polic</w:t>
              </w:r>
              <w:r>
                <w:rPr>
                  <w:rStyle w:val="a4"/>
                  <w:sz w:val="20"/>
                  <w:szCs w:val="20"/>
                </w:rPr>
                <w:t>y</w:t>
              </w:r>
            </w:hyperlink>
            <w:r>
              <w:rPr>
                <w:sz w:val="20"/>
                <w:szCs w:val="20"/>
              </w:rPr>
              <w:t>.</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Q</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001-3789</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5/7/202</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10.39</w:t>
            </w:r>
            <w:r>
              <w:rPr>
                <w:sz w:val="20"/>
                <w:szCs w:val="20"/>
              </w:rPr>
              <w:t>§</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62" w:history="1">
              <w:r>
                <w:rPr>
                  <w:rStyle w:val="a4"/>
                  <w:sz w:val="20"/>
                  <w:szCs w:val="20"/>
                </w:rPr>
                <w:t>Restructuring Agreement of Fujian Fujun Gene Biotech Co., Ltd</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Q</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001-3789</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8/10/202</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10.40</w:t>
            </w:r>
            <w:r>
              <w:rPr>
                <w:sz w:val="20"/>
                <w:szCs w:val="20"/>
              </w:rPr>
              <w:t>^</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63" w:history="1">
              <w:r>
                <w:rPr>
                  <w:rStyle w:val="a4"/>
                  <w:sz w:val="20"/>
                  <w:szCs w:val="20"/>
                </w:rPr>
                <w:t>Amended and Restated Commercial Lease Agreement, dated May 6, 2016, by an</w:t>
              </w:r>
              <w:r>
                <w:rPr>
                  <w:rStyle w:val="a4"/>
                  <w:sz w:val="20"/>
                  <w:szCs w:val="20"/>
                </w:rPr>
                <w:t>d</w:t>
              </w:r>
              <w:r>
                <w:rPr>
                  <w:rStyle w:val="a4"/>
                  <w:sz w:val="20"/>
                  <w:szCs w:val="20"/>
                </w:rPr>
                <w:t xml:space="preserve"> </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K</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001-3789</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10.4</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2/28/202</w:t>
            </w:r>
            <w:r>
              <w:rPr>
                <w:sz w:val="20"/>
                <w:szCs w:val="20"/>
              </w:rPr>
              <w:t>2</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bl>
    <w:p w:rsidR="00000000" w:rsidRDefault="00477EE8">
      <w:pPr>
        <w:pStyle w:val="a3"/>
        <w:spacing w:before="240" w:beforeAutospacing="0" w:after="0" w:afterAutospacing="0"/>
        <w:jc w:val="center"/>
        <w:rPr>
          <w:sz w:val="20"/>
          <w:szCs w:val="20"/>
        </w:rPr>
      </w:pPr>
      <w:r>
        <w:rPr>
          <w:sz w:val="20"/>
          <w:szCs w:val="20"/>
        </w:rPr>
        <w:t>6</w:t>
      </w:r>
      <w:r>
        <w:rPr>
          <w:sz w:val="20"/>
          <w:szCs w:val="20"/>
        </w:rPr>
        <w:t>8</w:t>
      </w:r>
    </w:p>
    <w:p w:rsidR="00000000" w:rsidRDefault="00477EE8">
      <w:pPr>
        <w:rPr>
          <w:rFonts w:eastAsia="Times New Roman"/>
        </w:rPr>
      </w:pPr>
      <w:r>
        <w:rPr>
          <w:rFonts w:eastAsia="Times New Roman"/>
        </w:rPr>
        <w:pict>
          <v:rect id="_x0000_i110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44"/>
        <w:gridCol w:w="109"/>
        <w:gridCol w:w="2533"/>
        <w:gridCol w:w="109"/>
        <w:gridCol w:w="799"/>
        <w:gridCol w:w="109"/>
        <w:gridCol w:w="799"/>
        <w:gridCol w:w="109"/>
        <w:gridCol w:w="1113"/>
        <w:gridCol w:w="109"/>
        <w:gridCol w:w="871"/>
        <w:gridCol w:w="109"/>
        <w:gridCol w:w="893"/>
      </w:tblGrid>
      <w:tr w:rsidR="00000000">
        <w:trPr>
          <w:tblCellSpacing w:w="15" w:type="dxa"/>
        </w:trPr>
        <w:tc>
          <w:tcPr>
            <w:tcW w:w="387" w:type="pct"/>
            <w:shd w:val="clear" w:color="auto" w:fill="FFFFFF"/>
            <w:vAlign w:val="center"/>
            <w:hideMark/>
          </w:tcPr>
          <w:p w:rsidR="00000000" w:rsidRDefault="00477EE8">
            <w:pPr>
              <w:rPr>
                <w:rFonts w:eastAsia="Times New Roman"/>
              </w:rPr>
            </w:pPr>
          </w:p>
        </w:tc>
        <w:tc>
          <w:tcPr>
            <w:tcW w:w="50" w:type="pct"/>
            <w:shd w:val="clear" w:color="auto" w:fill="FFFFFF"/>
            <w:vAlign w:val="center"/>
            <w:hideMark/>
          </w:tcPr>
          <w:p w:rsidR="00000000" w:rsidRDefault="00477EE8">
            <w:pPr>
              <w:rPr>
                <w:rFonts w:eastAsia="Times New Roman"/>
                <w:sz w:val="20"/>
                <w:szCs w:val="20"/>
              </w:rPr>
            </w:pPr>
          </w:p>
        </w:tc>
        <w:tc>
          <w:tcPr>
            <w:tcW w:w="1594" w:type="pct"/>
            <w:shd w:val="clear" w:color="auto" w:fill="FFFFFF"/>
            <w:vAlign w:val="center"/>
            <w:hideMark/>
          </w:tcPr>
          <w:p w:rsidR="00000000" w:rsidRDefault="00477EE8">
            <w:pPr>
              <w:rPr>
                <w:rFonts w:eastAsia="Times New Roman"/>
                <w:sz w:val="20"/>
                <w:szCs w:val="20"/>
              </w:rPr>
            </w:pPr>
          </w:p>
        </w:tc>
        <w:tc>
          <w:tcPr>
            <w:tcW w:w="50" w:type="pct"/>
            <w:shd w:val="clear" w:color="auto" w:fill="FFFFFF"/>
            <w:vAlign w:val="center"/>
            <w:hideMark/>
          </w:tcPr>
          <w:p w:rsidR="00000000" w:rsidRDefault="00477EE8">
            <w:pPr>
              <w:rPr>
                <w:rFonts w:eastAsia="Times New Roman"/>
                <w:sz w:val="20"/>
                <w:szCs w:val="20"/>
              </w:rPr>
            </w:pPr>
          </w:p>
        </w:tc>
        <w:tc>
          <w:tcPr>
            <w:tcW w:w="494" w:type="pct"/>
            <w:shd w:val="clear" w:color="auto" w:fill="FFFFFF"/>
            <w:vAlign w:val="center"/>
            <w:hideMark/>
          </w:tcPr>
          <w:p w:rsidR="00000000" w:rsidRDefault="00477EE8">
            <w:pPr>
              <w:rPr>
                <w:rFonts w:eastAsia="Times New Roman"/>
                <w:sz w:val="20"/>
                <w:szCs w:val="20"/>
              </w:rPr>
            </w:pPr>
          </w:p>
        </w:tc>
        <w:tc>
          <w:tcPr>
            <w:tcW w:w="50" w:type="pct"/>
            <w:shd w:val="clear" w:color="auto" w:fill="FFFFFF"/>
            <w:vAlign w:val="center"/>
            <w:hideMark/>
          </w:tcPr>
          <w:p w:rsidR="00000000" w:rsidRDefault="00477EE8">
            <w:pPr>
              <w:rPr>
                <w:rFonts w:eastAsia="Times New Roman"/>
                <w:sz w:val="20"/>
                <w:szCs w:val="20"/>
              </w:rPr>
            </w:pPr>
          </w:p>
        </w:tc>
        <w:tc>
          <w:tcPr>
            <w:tcW w:w="494" w:type="pct"/>
            <w:shd w:val="clear" w:color="auto" w:fill="FFFFFF"/>
            <w:vAlign w:val="center"/>
            <w:hideMark/>
          </w:tcPr>
          <w:p w:rsidR="00000000" w:rsidRDefault="00477EE8">
            <w:pPr>
              <w:rPr>
                <w:rFonts w:eastAsia="Times New Roman"/>
                <w:sz w:val="20"/>
                <w:szCs w:val="20"/>
              </w:rPr>
            </w:pPr>
          </w:p>
        </w:tc>
        <w:tc>
          <w:tcPr>
            <w:tcW w:w="50" w:type="pct"/>
            <w:shd w:val="clear" w:color="auto" w:fill="FFFFFF"/>
            <w:vAlign w:val="center"/>
            <w:hideMark/>
          </w:tcPr>
          <w:p w:rsidR="00000000" w:rsidRDefault="00477EE8">
            <w:pPr>
              <w:rPr>
                <w:rFonts w:eastAsia="Times New Roman"/>
                <w:sz w:val="20"/>
                <w:szCs w:val="20"/>
              </w:rPr>
            </w:pPr>
          </w:p>
        </w:tc>
        <w:tc>
          <w:tcPr>
            <w:tcW w:w="693" w:type="pct"/>
            <w:shd w:val="clear" w:color="auto" w:fill="FFFFFF"/>
            <w:vAlign w:val="center"/>
            <w:hideMark/>
          </w:tcPr>
          <w:p w:rsidR="00000000" w:rsidRDefault="00477EE8">
            <w:pPr>
              <w:rPr>
                <w:rFonts w:eastAsia="Times New Roman"/>
                <w:sz w:val="20"/>
                <w:szCs w:val="20"/>
              </w:rPr>
            </w:pPr>
          </w:p>
        </w:tc>
        <w:tc>
          <w:tcPr>
            <w:tcW w:w="50" w:type="pct"/>
            <w:shd w:val="clear" w:color="auto" w:fill="FFFFFF"/>
            <w:vAlign w:val="center"/>
            <w:hideMark/>
          </w:tcPr>
          <w:p w:rsidR="00000000" w:rsidRDefault="00477EE8">
            <w:pPr>
              <w:rPr>
                <w:rFonts w:eastAsia="Times New Roman"/>
                <w:sz w:val="20"/>
                <w:szCs w:val="20"/>
              </w:rPr>
            </w:pPr>
          </w:p>
        </w:tc>
        <w:tc>
          <w:tcPr>
            <w:tcW w:w="494" w:type="pct"/>
            <w:shd w:val="clear" w:color="auto" w:fill="FFFFFF"/>
            <w:vAlign w:val="center"/>
            <w:hideMark/>
          </w:tcPr>
          <w:p w:rsidR="00000000" w:rsidRDefault="00477EE8">
            <w:pPr>
              <w:rPr>
                <w:rFonts w:eastAsia="Times New Roman"/>
                <w:sz w:val="20"/>
                <w:szCs w:val="20"/>
              </w:rPr>
            </w:pPr>
          </w:p>
        </w:tc>
        <w:tc>
          <w:tcPr>
            <w:tcW w:w="50" w:type="pct"/>
            <w:shd w:val="clear" w:color="auto" w:fill="FFFFFF"/>
            <w:vAlign w:val="center"/>
            <w:hideMark/>
          </w:tcPr>
          <w:p w:rsidR="00000000" w:rsidRDefault="00477EE8">
            <w:pPr>
              <w:rPr>
                <w:rFonts w:eastAsia="Times New Roman"/>
                <w:sz w:val="20"/>
                <w:szCs w:val="20"/>
              </w:rPr>
            </w:pPr>
          </w:p>
        </w:tc>
        <w:tc>
          <w:tcPr>
            <w:tcW w:w="544" w:type="pct"/>
            <w:shd w:val="clear" w:color="auto" w:fill="FFFFFF"/>
            <w:vAlign w:val="center"/>
            <w:hideMark/>
          </w:tcPr>
          <w:p w:rsidR="00000000" w:rsidRDefault="00477EE8">
            <w:pPr>
              <w:rPr>
                <w:rFonts w:eastAsia="Times New Roman"/>
                <w:sz w:val="20"/>
                <w:szCs w:val="20"/>
              </w:rPr>
            </w:pP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jc w:val="center"/>
              <w:rPr>
                <w:sz w:val="16"/>
                <w:szCs w:val="16"/>
              </w:rPr>
            </w:pPr>
            <w:r>
              <w:rPr>
                <w:b/>
                <w:bCs/>
                <w:sz w:val="16"/>
                <w:szCs w:val="16"/>
              </w:rPr>
              <w:t>Exhibi</w:t>
            </w:r>
            <w:r>
              <w:rPr>
                <w:b/>
                <w:bCs/>
                <w:sz w:val="16"/>
                <w:szCs w:val="16"/>
              </w:rPr>
              <w:t>t</w:t>
            </w:r>
          </w:p>
          <w:p w:rsidR="00000000" w:rsidRDefault="00477EE8">
            <w:pPr>
              <w:pStyle w:val="a3"/>
              <w:spacing w:before="0" w:beforeAutospacing="0" w:after="0" w:afterAutospacing="0"/>
              <w:jc w:val="center"/>
              <w:rPr>
                <w:sz w:val="16"/>
                <w:szCs w:val="16"/>
              </w:rPr>
            </w:pPr>
            <w:r>
              <w:rPr>
                <w:b/>
                <w:bCs/>
                <w:sz w:val="16"/>
                <w:szCs w:val="16"/>
              </w:rPr>
              <w:t>Numbe</w:t>
            </w:r>
            <w:r>
              <w:rPr>
                <w:b/>
                <w:bCs/>
                <w:sz w:val="16"/>
                <w:szCs w:val="16"/>
              </w:rPr>
              <w:t>r</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b/>
                <w:bCs/>
                <w:sz w:val="16"/>
                <w:szCs w:val="16"/>
              </w:rPr>
              <w:t>Descriptio</w:t>
            </w:r>
            <w:r>
              <w:rPr>
                <w:b/>
                <w:bCs/>
                <w:sz w:val="16"/>
                <w:szCs w:val="16"/>
              </w:rPr>
              <w:t>n</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16"/>
                <w:szCs w:val="16"/>
              </w:rPr>
            </w:pPr>
            <w:r>
              <w:rPr>
                <w:b/>
                <w:bCs/>
                <w:sz w:val="16"/>
                <w:szCs w:val="16"/>
              </w:rPr>
              <w:t>For</w:t>
            </w:r>
            <w:r>
              <w:rPr>
                <w:b/>
                <w:bCs/>
                <w:sz w:val="16"/>
                <w:szCs w:val="16"/>
              </w:rPr>
              <w:t>m</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16"/>
                <w:szCs w:val="16"/>
              </w:rPr>
            </w:pPr>
            <w:r>
              <w:rPr>
                <w:b/>
                <w:bCs/>
                <w:sz w:val="16"/>
                <w:szCs w:val="16"/>
              </w:rPr>
              <w:t>File Numbe</w:t>
            </w:r>
            <w:r>
              <w:rPr>
                <w:b/>
                <w:bCs/>
                <w:sz w:val="16"/>
                <w:szCs w:val="16"/>
              </w:rPr>
              <w:t>r</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16"/>
                <w:szCs w:val="16"/>
              </w:rPr>
            </w:pPr>
            <w:r>
              <w:rPr>
                <w:b/>
                <w:bCs/>
                <w:sz w:val="16"/>
                <w:szCs w:val="16"/>
              </w:rPr>
              <w:t>Incorporated b</w:t>
            </w:r>
            <w:r>
              <w:rPr>
                <w:b/>
                <w:bCs/>
                <w:sz w:val="16"/>
                <w:szCs w:val="16"/>
              </w:rPr>
              <w:t>y</w:t>
            </w:r>
          </w:p>
          <w:p w:rsidR="00000000" w:rsidRDefault="00477EE8">
            <w:pPr>
              <w:pStyle w:val="a3"/>
              <w:spacing w:before="0" w:beforeAutospacing="0" w:after="0" w:afterAutospacing="0"/>
              <w:jc w:val="center"/>
              <w:rPr>
                <w:sz w:val="16"/>
                <w:szCs w:val="16"/>
              </w:rPr>
            </w:pPr>
            <w:r>
              <w:rPr>
                <w:b/>
                <w:bCs/>
                <w:sz w:val="16"/>
                <w:szCs w:val="16"/>
              </w:rPr>
              <w:t>Reference Exhibi</w:t>
            </w:r>
            <w:r>
              <w:rPr>
                <w:b/>
                <w:bCs/>
                <w:sz w:val="16"/>
                <w:szCs w:val="16"/>
              </w:rPr>
              <w:t>t</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16"/>
                <w:szCs w:val="16"/>
              </w:rPr>
            </w:pPr>
            <w:r>
              <w:rPr>
                <w:b/>
                <w:bCs/>
                <w:sz w:val="16"/>
                <w:szCs w:val="16"/>
              </w:rPr>
              <w:t>Filing Dat</w:t>
            </w:r>
            <w:r>
              <w:rPr>
                <w:b/>
                <w:bCs/>
                <w:sz w:val="16"/>
                <w:szCs w:val="16"/>
              </w:rPr>
              <w:t>e</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16"/>
                <w:szCs w:val="16"/>
              </w:rPr>
            </w:pPr>
            <w:r>
              <w:rPr>
                <w:b/>
                <w:bCs/>
                <w:sz w:val="16"/>
                <w:szCs w:val="16"/>
              </w:rPr>
              <w:t>File</w:t>
            </w:r>
            <w:r>
              <w:rPr>
                <w:b/>
                <w:bCs/>
                <w:sz w:val="16"/>
                <w:szCs w:val="16"/>
              </w:rPr>
              <w:t>d</w:t>
            </w:r>
          </w:p>
          <w:p w:rsidR="00000000" w:rsidRDefault="00477EE8">
            <w:pPr>
              <w:pStyle w:val="a3"/>
              <w:spacing w:before="0" w:beforeAutospacing="0" w:after="0" w:afterAutospacing="0"/>
              <w:jc w:val="center"/>
              <w:rPr>
                <w:sz w:val="16"/>
                <w:szCs w:val="16"/>
              </w:rPr>
            </w:pPr>
            <w:r>
              <w:rPr>
                <w:b/>
                <w:bCs/>
                <w:sz w:val="16"/>
                <w:szCs w:val="16"/>
              </w:rPr>
              <w:t>Herewit</w:t>
            </w:r>
            <w:r>
              <w:rPr>
                <w:b/>
                <w:bCs/>
                <w:sz w:val="16"/>
                <w:szCs w:val="16"/>
              </w:rPr>
              <w:t>h</w:t>
            </w:r>
          </w:p>
        </w:tc>
      </w:tr>
      <w:tr w:rsidR="00000000">
        <w:trPr>
          <w:trHeight w:val="200"/>
          <w:tblCellSpacing w:w="15" w:type="dxa"/>
        </w:trPr>
        <w:tc>
          <w:tcPr>
            <w:tcW w:w="0" w:type="auto"/>
            <w:hideMark/>
          </w:tcPr>
          <w:p w:rsidR="00000000" w:rsidRDefault="00477EE8">
            <w:pPr>
              <w:pStyle w:val="a3"/>
              <w:spacing w:before="0" w:beforeAutospacing="0" w:after="0" w:afterAutospacing="0"/>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64" w:history="1">
              <w:r>
                <w:rPr>
                  <w:rStyle w:val="a4"/>
                  <w:sz w:val="20"/>
                  <w:szCs w:val="20"/>
                </w:rPr>
                <w:t>between Store Master Funding IX, LLC and Cytometry Specialists, Inc</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10.41</w:t>
            </w:r>
            <w:r>
              <w:rPr>
                <w:sz w:val="20"/>
                <w:szCs w:val="20"/>
              </w:rPr>
              <w:t>#</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65" w:history="1">
              <w:r>
                <w:rPr>
                  <w:rStyle w:val="a4"/>
                  <w:sz w:val="20"/>
                  <w:szCs w:val="20"/>
                </w:rPr>
                <w:t>Fulgent Genetics, Inc. Incentive Compensation Recoupment Policy</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8-</w:t>
            </w:r>
            <w:r>
              <w:rPr>
                <w:sz w:val="20"/>
                <w:szCs w:val="20"/>
              </w:rPr>
              <w:t>K</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001-3789</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3/29/202</w:t>
            </w:r>
            <w:r>
              <w:rPr>
                <w:sz w:val="20"/>
                <w:szCs w:val="20"/>
              </w:rPr>
              <w:t>2</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10.4</w:t>
            </w:r>
            <w:r>
              <w:rPr>
                <w:sz w:val="20"/>
                <w:szCs w:val="20"/>
              </w:rPr>
              <w:t>2</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66" w:history="1">
              <w:r>
                <w:rPr>
                  <w:rStyle w:val="a4"/>
                  <w:sz w:val="20"/>
                  <w:szCs w:val="20"/>
                </w:rPr>
                <w:t>Agreement and Plan of Merger by and among Fulgent Therapeutics LLC, solely for purpose of Section 6.20, Fulgent Genetics, Inc., Ducks Acquisition Sub, Inc., Symphony Buyer, Inc., solely in its capac</w:t>
              </w:r>
              <w:r>
                <w:rPr>
                  <w:rStyle w:val="a4"/>
                  <w:sz w:val="20"/>
                  <w:szCs w:val="20"/>
                </w:rPr>
                <w:t xml:space="preserve">ity as the representative of Symphony’s securityholders, Avista Capital Partners IV GP, L.P. and solely for purposes of Section 6.21, Article VIII and Section 10.14, those company stockholders set forth on the signature page thereto, dated as of April 16, </w:t>
              </w:r>
              <w:r>
                <w:rPr>
                  <w:rStyle w:val="a4"/>
                  <w:sz w:val="20"/>
                  <w:szCs w:val="20"/>
                </w:rPr>
                <w:t>2022</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8-</w:t>
            </w:r>
            <w:r>
              <w:rPr>
                <w:sz w:val="20"/>
                <w:szCs w:val="20"/>
              </w:rPr>
              <w:t>K</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001-3789</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2.</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4/26/202</w:t>
            </w:r>
            <w:r>
              <w:rPr>
                <w:sz w:val="20"/>
                <w:szCs w:val="20"/>
              </w:rPr>
              <w:t>2</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10.4</w:t>
            </w:r>
            <w:r>
              <w:rPr>
                <w:sz w:val="20"/>
                <w:szCs w:val="20"/>
              </w:rPr>
              <w:t>3</w:t>
            </w:r>
            <w:r>
              <w:rPr>
                <w:sz w:val="16"/>
                <w:szCs w:val="16"/>
              </w:rPr>
              <w:t>#</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67" w:history="1">
              <w:r>
                <w:rPr>
                  <w:rStyle w:val="a4"/>
                  <w:sz w:val="20"/>
                  <w:szCs w:val="20"/>
                </w:rPr>
                <w:t>Amended and Restated Non-Employee Director Compensation Policy, dated as of August 1, 2022</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Q</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001-3789</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11/7/202</w:t>
            </w:r>
            <w:r>
              <w:rPr>
                <w:sz w:val="20"/>
                <w:szCs w:val="20"/>
              </w:rPr>
              <w:t>2</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10.44</w:t>
            </w:r>
            <w:r>
              <w:rPr>
                <w:sz w:val="20"/>
                <w:szCs w:val="20"/>
              </w:rPr>
              <w:t>#</w:t>
            </w:r>
          </w:p>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68" w:history="1">
              <w:r>
                <w:rPr>
                  <w:rStyle w:val="a4"/>
                  <w:sz w:val="20"/>
                  <w:szCs w:val="20"/>
                </w:rPr>
                <w:t>Form of Notice of Restricted Stock Unit Award and Restricted Stock Unit Agreement under the Fulgent Pharma Holdings, Inc. 2022 Omnibus Incentive Pla</w:t>
              </w:r>
              <w:r>
                <w:rPr>
                  <w:rStyle w:val="a4"/>
                  <w:sz w:val="20"/>
                  <w:szCs w:val="20"/>
                </w:rPr>
                <w:t>n</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Q</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001-3789</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2</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11/7/202</w:t>
            </w:r>
            <w:r>
              <w:rPr>
                <w:sz w:val="20"/>
                <w:szCs w:val="20"/>
              </w:rPr>
              <w:t>2</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10.45</w:t>
            </w:r>
            <w:r>
              <w:rPr>
                <w:sz w:val="20"/>
                <w:szCs w:val="20"/>
              </w:rPr>
              <w:t>^</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69" w:history="1">
              <w:r>
                <w:rPr>
                  <w:rStyle w:val="a4"/>
                  <w:sz w:val="20"/>
                  <w:szCs w:val="20"/>
                </w:rPr>
                <w:t xml:space="preserve">Agreement and Plan of Merger, by and among Fulgent Genetics, FG Merger Sub, Inc., Fulgent Pharma Holdings, Inc. </w:t>
              </w:r>
              <w:r>
                <w:rPr>
                  <w:rStyle w:val="a4"/>
                  <w:sz w:val="20"/>
                  <w:szCs w:val="20"/>
                </w:rPr>
                <w:t>and solely for purposes of Section 2.4, Section 5.5, Article VI, Section 7.8 and Section 7.14, those company stockholders set forth on the signature page thereto, dated November 7, 202</w:t>
              </w:r>
              <w:r>
                <w:rPr>
                  <w:rStyle w:val="a4"/>
                  <w:sz w:val="20"/>
                  <w:szCs w:val="20"/>
                </w:rPr>
                <w:t>2</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Q</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001-3789</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10.</w:t>
            </w:r>
            <w:r>
              <w:rPr>
                <w:sz w:val="20"/>
                <w:szCs w:val="20"/>
              </w:rPr>
              <w:t>3</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11/7/202</w:t>
            </w:r>
            <w:r>
              <w:rPr>
                <w:sz w:val="20"/>
                <w:szCs w:val="20"/>
              </w:rPr>
              <w:t>2</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10.4</w:t>
            </w:r>
            <w:r>
              <w:rPr>
                <w:sz w:val="20"/>
                <w:szCs w:val="20"/>
              </w:rPr>
              <w:t>6</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70" w:history="1">
              <w:r>
                <w:rPr>
                  <w:rStyle w:val="a4"/>
                  <w:sz w:val="20"/>
                  <w:szCs w:val="20"/>
                </w:rPr>
                <w:t>Rule 10b5-1 Issuer Repurchase Plan, by and between Fulgent Genetics, Inc. and Piper Sandler &amp; Co., dated December 15, 202</w:t>
              </w:r>
              <w:r>
                <w:rPr>
                  <w:rStyle w:val="a4"/>
                  <w:sz w:val="20"/>
                  <w:szCs w:val="20"/>
                </w:rPr>
                <w:t>2</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X</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10.4</w:t>
            </w:r>
            <w:r>
              <w:rPr>
                <w:sz w:val="20"/>
                <w:szCs w:val="20"/>
              </w:rPr>
              <w:t>7</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71" w:history="1">
              <w:r>
                <w:rPr>
                  <w:rStyle w:val="a4"/>
                  <w:sz w:val="20"/>
                  <w:szCs w:val="20"/>
                </w:rPr>
                <w:t>Commercial Lease Addendum (II), dated January 6, 2023, by and between Fulgent Therapeutics LLC and E&amp;E Plaza LL</w:t>
              </w:r>
              <w:r>
                <w:rPr>
                  <w:rStyle w:val="a4"/>
                  <w:sz w:val="20"/>
                  <w:szCs w:val="20"/>
                </w:rPr>
                <w:t>C</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8-</w:t>
            </w:r>
            <w:r>
              <w:rPr>
                <w:sz w:val="20"/>
                <w:szCs w:val="20"/>
              </w:rPr>
              <w:t>K</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001-3789</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1/12/202</w:t>
            </w:r>
            <w:r>
              <w:rPr>
                <w:sz w:val="20"/>
                <w:szCs w:val="20"/>
              </w:rPr>
              <w:t>3</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p w:rsidR="00000000" w:rsidRDefault="00477EE8">
            <w:pPr>
              <w:pStyle w:val="a3"/>
              <w:spacing w:before="0" w:beforeAutospacing="0" w:after="0" w:afterAutospacing="0"/>
              <w:jc w:val="center"/>
              <w:rPr>
                <w:sz w:val="20"/>
                <w:szCs w:val="20"/>
              </w:rPr>
            </w:pPr>
            <w:r>
              <w:rPr>
                <w:sz w:val="20"/>
                <w:szCs w:val="20"/>
              </w:rPr>
              <w:t> </w:t>
            </w:r>
          </w:p>
          <w:p w:rsidR="00000000" w:rsidRDefault="00477EE8">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10.48</w:t>
            </w:r>
            <w:r>
              <w:rPr>
                <w:sz w:val="20"/>
                <w:szCs w:val="20"/>
              </w:rPr>
              <w:t>^</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72" w:history="1">
              <w:r>
                <w:rPr>
                  <w:rStyle w:val="a4"/>
                  <w:sz w:val="20"/>
                  <w:szCs w:val="20"/>
                </w:rPr>
                <w:t>Commercial Lease Agreement, dated October 20, 2008, by and between Inform Diagnostics, Inc. and iSTAR CTL I, L.P</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X</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10.4</w:t>
            </w:r>
            <w:r>
              <w:rPr>
                <w:sz w:val="20"/>
                <w:szCs w:val="20"/>
              </w:rPr>
              <w:t>9</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73" w:history="1">
              <w:r>
                <w:rPr>
                  <w:rStyle w:val="a4"/>
                  <w:sz w:val="20"/>
                  <w:szCs w:val="20"/>
                </w:rPr>
                <w:t>Commercial Lease Amendment (I), dated December 30, 2013, by and between Inform Diagnostics, Inc. and LC Med Property TT, LL</w:t>
              </w:r>
              <w:r>
                <w:rPr>
                  <w:rStyle w:val="a4"/>
                  <w:sz w:val="20"/>
                  <w:szCs w:val="20"/>
                </w:rPr>
                <w:t>C</w:t>
              </w:r>
              <w:r>
                <w:rPr>
                  <w:rStyle w:val="a4"/>
                  <w:sz w:val="20"/>
                  <w:szCs w:val="20"/>
                </w:rPr>
                <w:t xml:space="preserve"> </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X</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10.50</w:t>
            </w:r>
            <w:r>
              <w:rPr>
                <w:sz w:val="20"/>
                <w:szCs w:val="20"/>
              </w:rPr>
              <w:t>^</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74" w:history="1">
              <w:r>
                <w:rPr>
                  <w:rStyle w:val="a4"/>
                  <w:sz w:val="20"/>
                  <w:szCs w:val="20"/>
                </w:rPr>
                <w:t>Commercial Lease Amendment (II), dated February 3, 2014, by and bet</w:t>
              </w:r>
              <w:r>
                <w:rPr>
                  <w:rStyle w:val="a4"/>
                  <w:sz w:val="20"/>
                  <w:szCs w:val="20"/>
                </w:rPr>
                <w:t>ween Inform Diagnostics, Inc. and LC Med Property TT, LL</w:t>
              </w:r>
              <w:r>
                <w:rPr>
                  <w:rStyle w:val="a4"/>
                  <w:sz w:val="20"/>
                  <w:szCs w:val="20"/>
                </w:rPr>
                <w:t>C</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X</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10.5</w:t>
            </w:r>
            <w:r>
              <w:rPr>
                <w:sz w:val="20"/>
                <w:szCs w:val="20"/>
              </w:rPr>
              <w:t>1</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75" w:history="1">
              <w:r>
                <w:rPr>
                  <w:rStyle w:val="a4"/>
                  <w:sz w:val="20"/>
                  <w:szCs w:val="20"/>
                </w:rPr>
                <w:t>Commercial Lease Agreement by and between Inform Diagnostics and Crawford Street DE, LL</w:t>
              </w:r>
              <w:r>
                <w:rPr>
                  <w:rStyle w:val="a4"/>
                  <w:sz w:val="20"/>
                  <w:szCs w:val="20"/>
                </w:rPr>
                <w:t>C</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X</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10.52</w:t>
            </w:r>
            <w:r>
              <w:rPr>
                <w:sz w:val="20"/>
                <w:szCs w:val="20"/>
              </w:rPr>
              <w:t>#</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76" w:history="1">
              <w:r>
                <w:rPr>
                  <w:rStyle w:val="a4"/>
                  <w:sz w:val="20"/>
                  <w:szCs w:val="20"/>
                </w:rPr>
                <w:t>2022 Fulgent Pharma Holdings, Inc. Omnibus Incentive Pla</w:t>
              </w:r>
              <w:r>
                <w:rPr>
                  <w:rStyle w:val="a4"/>
                  <w:sz w:val="20"/>
                  <w:szCs w:val="20"/>
                </w:rPr>
                <w:t>n</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X</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21.</w:t>
            </w:r>
            <w:r>
              <w:rPr>
                <w:sz w:val="20"/>
                <w:szCs w:val="20"/>
              </w:rPr>
              <w:t>1</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77" w:history="1">
              <w:r>
                <w:rPr>
                  <w:rStyle w:val="a4"/>
                  <w:sz w:val="20"/>
                  <w:szCs w:val="20"/>
                </w:rPr>
                <w:t>Subsidiaries of the registrant</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X</w:t>
            </w:r>
          </w:p>
        </w:tc>
      </w:tr>
    </w:tbl>
    <w:p w:rsidR="00000000" w:rsidRDefault="00477EE8">
      <w:pPr>
        <w:pStyle w:val="a3"/>
        <w:spacing w:before="240" w:beforeAutospacing="0" w:after="0" w:afterAutospacing="0"/>
        <w:jc w:val="center"/>
        <w:rPr>
          <w:sz w:val="20"/>
          <w:szCs w:val="20"/>
        </w:rPr>
      </w:pPr>
      <w:r>
        <w:rPr>
          <w:sz w:val="20"/>
          <w:szCs w:val="20"/>
        </w:rPr>
        <w:t>6</w:t>
      </w:r>
      <w:r>
        <w:rPr>
          <w:sz w:val="20"/>
          <w:szCs w:val="20"/>
        </w:rPr>
        <w:t>9</w:t>
      </w:r>
    </w:p>
    <w:p w:rsidR="00000000" w:rsidRDefault="00477EE8">
      <w:pPr>
        <w:rPr>
          <w:rFonts w:eastAsia="Times New Roman"/>
        </w:rPr>
      </w:pPr>
      <w:r>
        <w:rPr>
          <w:rFonts w:eastAsia="Times New Roman"/>
        </w:rPr>
        <w:pict>
          <v:rect id="_x0000_i110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5"/>
        <w:gridCol w:w="109"/>
        <w:gridCol w:w="2515"/>
        <w:gridCol w:w="109"/>
        <w:gridCol w:w="780"/>
        <w:gridCol w:w="109"/>
        <w:gridCol w:w="781"/>
        <w:gridCol w:w="109"/>
        <w:gridCol w:w="1095"/>
        <w:gridCol w:w="109"/>
        <w:gridCol w:w="781"/>
        <w:gridCol w:w="109"/>
        <w:gridCol w:w="875"/>
      </w:tblGrid>
      <w:tr w:rsidR="00000000">
        <w:trPr>
          <w:tblCellSpacing w:w="15" w:type="dxa"/>
        </w:trPr>
        <w:tc>
          <w:tcPr>
            <w:tcW w:w="387" w:type="pct"/>
            <w:shd w:val="clear" w:color="auto" w:fill="FFFFFF"/>
            <w:vAlign w:val="center"/>
            <w:hideMark/>
          </w:tcPr>
          <w:p w:rsidR="00000000" w:rsidRDefault="00477EE8">
            <w:pPr>
              <w:rPr>
                <w:rFonts w:eastAsia="Times New Roman"/>
              </w:rPr>
            </w:pPr>
          </w:p>
        </w:tc>
        <w:tc>
          <w:tcPr>
            <w:tcW w:w="50" w:type="pct"/>
            <w:shd w:val="clear" w:color="auto" w:fill="FFFFFF"/>
            <w:vAlign w:val="center"/>
            <w:hideMark/>
          </w:tcPr>
          <w:p w:rsidR="00000000" w:rsidRDefault="00477EE8">
            <w:pPr>
              <w:rPr>
                <w:rFonts w:eastAsia="Times New Roman"/>
                <w:sz w:val="20"/>
                <w:szCs w:val="20"/>
              </w:rPr>
            </w:pPr>
          </w:p>
        </w:tc>
        <w:tc>
          <w:tcPr>
            <w:tcW w:w="1594" w:type="pct"/>
            <w:shd w:val="clear" w:color="auto" w:fill="FFFFFF"/>
            <w:vAlign w:val="center"/>
            <w:hideMark/>
          </w:tcPr>
          <w:p w:rsidR="00000000" w:rsidRDefault="00477EE8">
            <w:pPr>
              <w:rPr>
                <w:rFonts w:eastAsia="Times New Roman"/>
                <w:sz w:val="20"/>
                <w:szCs w:val="20"/>
              </w:rPr>
            </w:pPr>
          </w:p>
        </w:tc>
        <w:tc>
          <w:tcPr>
            <w:tcW w:w="50" w:type="pct"/>
            <w:shd w:val="clear" w:color="auto" w:fill="FFFFFF"/>
            <w:vAlign w:val="center"/>
            <w:hideMark/>
          </w:tcPr>
          <w:p w:rsidR="00000000" w:rsidRDefault="00477EE8">
            <w:pPr>
              <w:rPr>
                <w:rFonts w:eastAsia="Times New Roman"/>
                <w:sz w:val="20"/>
                <w:szCs w:val="20"/>
              </w:rPr>
            </w:pPr>
          </w:p>
        </w:tc>
        <w:tc>
          <w:tcPr>
            <w:tcW w:w="494" w:type="pct"/>
            <w:shd w:val="clear" w:color="auto" w:fill="FFFFFF"/>
            <w:vAlign w:val="center"/>
            <w:hideMark/>
          </w:tcPr>
          <w:p w:rsidR="00000000" w:rsidRDefault="00477EE8">
            <w:pPr>
              <w:rPr>
                <w:rFonts w:eastAsia="Times New Roman"/>
                <w:sz w:val="20"/>
                <w:szCs w:val="20"/>
              </w:rPr>
            </w:pPr>
          </w:p>
        </w:tc>
        <w:tc>
          <w:tcPr>
            <w:tcW w:w="50" w:type="pct"/>
            <w:shd w:val="clear" w:color="auto" w:fill="FFFFFF"/>
            <w:vAlign w:val="center"/>
            <w:hideMark/>
          </w:tcPr>
          <w:p w:rsidR="00000000" w:rsidRDefault="00477EE8">
            <w:pPr>
              <w:rPr>
                <w:rFonts w:eastAsia="Times New Roman"/>
                <w:sz w:val="20"/>
                <w:szCs w:val="20"/>
              </w:rPr>
            </w:pPr>
          </w:p>
        </w:tc>
        <w:tc>
          <w:tcPr>
            <w:tcW w:w="494" w:type="pct"/>
            <w:shd w:val="clear" w:color="auto" w:fill="FFFFFF"/>
            <w:vAlign w:val="center"/>
            <w:hideMark/>
          </w:tcPr>
          <w:p w:rsidR="00000000" w:rsidRDefault="00477EE8">
            <w:pPr>
              <w:rPr>
                <w:rFonts w:eastAsia="Times New Roman"/>
                <w:sz w:val="20"/>
                <w:szCs w:val="20"/>
              </w:rPr>
            </w:pPr>
          </w:p>
        </w:tc>
        <w:tc>
          <w:tcPr>
            <w:tcW w:w="50" w:type="pct"/>
            <w:shd w:val="clear" w:color="auto" w:fill="FFFFFF"/>
            <w:vAlign w:val="center"/>
            <w:hideMark/>
          </w:tcPr>
          <w:p w:rsidR="00000000" w:rsidRDefault="00477EE8">
            <w:pPr>
              <w:rPr>
                <w:rFonts w:eastAsia="Times New Roman"/>
                <w:sz w:val="20"/>
                <w:szCs w:val="20"/>
              </w:rPr>
            </w:pPr>
          </w:p>
        </w:tc>
        <w:tc>
          <w:tcPr>
            <w:tcW w:w="693" w:type="pct"/>
            <w:shd w:val="clear" w:color="auto" w:fill="FFFFFF"/>
            <w:vAlign w:val="center"/>
            <w:hideMark/>
          </w:tcPr>
          <w:p w:rsidR="00000000" w:rsidRDefault="00477EE8">
            <w:pPr>
              <w:rPr>
                <w:rFonts w:eastAsia="Times New Roman"/>
                <w:sz w:val="20"/>
                <w:szCs w:val="20"/>
              </w:rPr>
            </w:pPr>
          </w:p>
        </w:tc>
        <w:tc>
          <w:tcPr>
            <w:tcW w:w="50" w:type="pct"/>
            <w:shd w:val="clear" w:color="auto" w:fill="FFFFFF"/>
            <w:vAlign w:val="center"/>
            <w:hideMark/>
          </w:tcPr>
          <w:p w:rsidR="00000000" w:rsidRDefault="00477EE8">
            <w:pPr>
              <w:rPr>
                <w:rFonts w:eastAsia="Times New Roman"/>
                <w:sz w:val="20"/>
                <w:szCs w:val="20"/>
              </w:rPr>
            </w:pPr>
          </w:p>
        </w:tc>
        <w:tc>
          <w:tcPr>
            <w:tcW w:w="494" w:type="pct"/>
            <w:shd w:val="clear" w:color="auto" w:fill="FFFFFF"/>
            <w:vAlign w:val="center"/>
            <w:hideMark/>
          </w:tcPr>
          <w:p w:rsidR="00000000" w:rsidRDefault="00477EE8">
            <w:pPr>
              <w:rPr>
                <w:rFonts w:eastAsia="Times New Roman"/>
                <w:sz w:val="20"/>
                <w:szCs w:val="20"/>
              </w:rPr>
            </w:pPr>
          </w:p>
        </w:tc>
        <w:tc>
          <w:tcPr>
            <w:tcW w:w="50" w:type="pct"/>
            <w:shd w:val="clear" w:color="auto" w:fill="FFFFFF"/>
            <w:vAlign w:val="center"/>
            <w:hideMark/>
          </w:tcPr>
          <w:p w:rsidR="00000000" w:rsidRDefault="00477EE8">
            <w:pPr>
              <w:rPr>
                <w:rFonts w:eastAsia="Times New Roman"/>
                <w:sz w:val="20"/>
                <w:szCs w:val="20"/>
              </w:rPr>
            </w:pPr>
          </w:p>
        </w:tc>
        <w:tc>
          <w:tcPr>
            <w:tcW w:w="544" w:type="pct"/>
            <w:shd w:val="clear" w:color="auto" w:fill="FFFFFF"/>
            <w:vAlign w:val="center"/>
            <w:hideMark/>
          </w:tcPr>
          <w:p w:rsidR="00000000" w:rsidRDefault="00477EE8">
            <w:pPr>
              <w:rPr>
                <w:rFonts w:eastAsia="Times New Roman"/>
                <w:sz w:val="20"/>
                <w:szCs w:val="20"/>
              </w:rPr>
            </w:pP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jc w:val="center"/>
              <w:rPr>
                <w:sz w:val="16"/>
                <w:szCs w:val="16"/>
              </w:rPr>
            </w:pPr>
            <w:r>
              <w:rPr>
                <w:b/>
                <w:bCs/>
                <w:sz w:val="16"/>
                <w:szCs w:val="16"/>
              </w:rPr>
              <w:t>Exhibi</w:t>
            </w:r>
            <w:r>
              <w:rPr>
                <w:b/>
                <w:bCs/>
                <w:sz w:val="16"/>
                <w:szCs w:val="16"/>
              </w:rPr>
              <w:t>t</w:t>
            </w:r>
          </w:p>
          <w:p w:rsidR="00000000" w:rsidRDefault="00477EE8">
            <w:pPr>
              <w:pStyle w:val="a3"/>
              <w:spacing w:before="0" w:beforeAutospacing="0" w:after="0" w:afterAutospacing="0"/>
              <w:jc w:val="center"/>
              <w:rPr>
                <w:sz w:val="16"/>
                <w:szCs w:val="16"/>
              </w:rPr>
            </w:pPr>
            <w:r>
              <w:rPr>
                <w:b/>
                <w:bCs/>
                <w:sz w:val="16"/>
                <w:szCs w:val="16"/>
              </w:rPr>
              <w:t>Numbe</w:t>
            </w:r>
            <w:r>
              <w:rPr>
                <w:b/>
                <w:bCs/>
                <w:sz w:val="16"/>
                <w:szCs w:val="16"/>
              </w:rPr>
              <w:t>r</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b/>
                <w:bCs/>
                <w:sz w:val="16"/>
                <w:szCs w:val="16"/>
              </w:rPr>
              <w:t>Descriptio</w:t>
            </w:r>
            <w:r>
              <w:rPr>
                <w:b/>
                <w:bCs/>
                <w:sz w:val="16"/>
                <w:szCs w:val="16"/>
              </w:rPr>
              <w:t>n</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16"/>
                <w:szCs w:val="16"/>
              </w:rPr>
            </w:pPr>
            <w:r>
              <w:rPr>
                <w:b/>
                <w:bCs/>
                <w:sz w:val="16"/>
                <w:szCs w:val="16"/>
              </w:rPr>
              <w:t>For</w:t>
            </w:r>
            <w:r>
              <w:rPr>
                <w:b/>
                <w:bCs/>
                <w:sz w:val="16"/>
                <w:szCs w:val="16"/>
              </w:rPr>
              <w:t>m</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16"/>
                <w:szCs w:val="16"/>
              </w:rPr>
            </w:pPr>
            <w:r>
              <w:rPr>
                <w:b/>
                <w:bCs/>
                <w:sz w:val="16"/>
                <w:szCs w:val="16"/>
              </w:rPr>
              <w:t>File Numbe</w:t>
            </w:r>
            <w:r>
              <w:rPr>
                <w:b/>
                <w:bCs/>
                <w:sz w:val="16"/>
                <w:szCs w:val="16"/>
              </w:rPr>
              <w:t>r</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16"/>
                <w:szCs w:val="16"/>
              </w:rPr>
            </w:pPr>
            <w:r>
              <w:rPr>
                <w:b/>
                <w:bCs/>
                <w:sz w:val="16"/>
                <w:szCs w:val="16"/>
              </w:rPr>
              <w:t>Incorporated b</w:t>
            </w:r>
            <w:r>
              <w:rPr>
                <w:b/>
                <w:bCs/>
                <w:sz w:val="16"/>
                <w:szCs w:val="16"/>
              </w:rPr>
              <w:t>y</w:t>
            </w:r>
          </w:p>
          <w:p w:rsidR="00000000" w:rsidRDefault="00477EE8">
            <w:pPr>
              <w:pStyle w:val="a3"/>
              <w:spacing w:before="0" w:beforeAutospacing="0" w:after="0" w:afterAutospacing="0"/>
              <w:jc w:val="center"/>
              <w:rPr>
                <w:sz w:val="16"/>
                <w:szCs w:val="16"/>
              </w:rPr>
            </w:pPr>
            <w:r>
              <w:rPr>
                <w:b/>
                <w:bCs/>
                <w:sz w:val="16"/>
                <w:szCs w:val="16"/>
              </w:rPr>
              <w:t>Reference Exhibi</w:t>
            </w:r>
            <w:r>
              <w:rPr>
                <w:b/>
                <w:bCs/>
                <w:sz w:val="16"/>
                <w:szCs w:val="16"/>
              </w:rPr>
              <w:t>t</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16"/>
                <w:szCs w:val="16"/>
              </w:rPr>
            </w:pPr>
            <w:r>
              <w:rPr>
                <w:b/>
                <w:bCs/>
                <w:sz w:val="16"/>
                <w:szCs w:val="16"/>
              </w:rPr>
              <w:t>Filing Dat</w:t>
            </w:r>
            <w:r>
              <w:rPr>
                <w:b/>
                <w:bCs/>
                <w:sz w:val="16"/>
                <w:szCs w:val="16"/>
              </w:rPr>
              <w:t>e</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16"/>
                <w:szCs w:val="16"/>
              </w:rPr>
            </w:pPr>
            <w:r>
              <w:rPr>
                <w:b/>
                <w:bCs/>
                <w:sz w:val="16"/>
                <w:szCs w:val="16"/>
              </w:rPr>
              <w:t>File</w:t>
            </w:r>
            <w:r>
              <w:rPr>
                <w:b/>
                <w:bCs/>
                <w:sz w:val="16"/>
                <w:szCs w:val="16"/>
              </w:rPr>
              <w:t>d</w:t>
            </w:r>
          </w:p>
          <w:p w:rsidR="00000000" w:rsidRDefault="00477EE8">
            <w:pPr>
              <w:pStyle w:val="a3"/>
              <w:spacing w:before="0" w:beforeAutospacing="0" w:after="0" w:afterAutospacing="0"/>
              <w:jc w:val="center"/>
              <w:rPr>
                <w:sz w:val="16"/>
                <w:szCs w:val="16"/>
              </w:rPr>
            </w:pPr>
            <w:r>
              <w:rPr>
                <w:b/>
                <w:bCs/>
                <w:sz w:val="16"/>
                <w:szCs w:val="16"/>
              </w:rPr>
              <w:t>Herewit</w:t>
            </w:r>
            <w:r>
              <w:rPr>
                <w:b/>
                <w:bCs/>
                <w:sz w:val="16"/>
                <w:szCs w:val="16"/>
              </w:rPr>
              <w:t>h</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23.</w:t>
            </w:r>
            <w:r>
              <w:rPr>
                <w:sz w:val="20"/>
                <w:szCs w:val="20"/>
              </w:rPr>
              <w:t>1</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r:id="rId78" w:history="1">
              <w:r>
                <w:rPr>
                  <w:rStyle w:val="a4"/>
                  <w:sz w:val="20"/>
                  <w:szCs w:val="20"/>
                </w:rPr>
                <w:t xml:space="preserve">Consent of Deloitte &amp; </w:t>
              </w:r>
              <w:r>
                <w:rPr>
                  <w:rStyle w:val="a4"/>
                  <w:sz w:val="20"/>
                  <w:szCs w:val="20"/>
                </w:rPr>
                <w:t>Touche LLP, independent registered public accounting firm, relating to the financial statements of the registrant</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X</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24.</w:t>
            </w:r>
            <w:r>
              <w:rPr>
                <w:sz w:val="20"/>
                <w:szCs w:val="20"/>
              </w:rPr>
              <w:t>1</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hyperlink w:anchor="signatures" w:history="1">
              <w:r>
                <w:rPr>
                  <w:rStyle w:val="a4"/>
                  <w:sz w:val="20"/>
                  <w:szCs w:val="20"/>
                </w:rPr>
                <w:t>Power of Attorney (included on the signature page hereto</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X</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31.</w:t>
            </w:r>
            <w:r>
              <w:rPr>
                <w:sz w:val="20"/>
                <w:szCs w:val="20"/>
              </w:rPr>
              <w:t>1</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hyperlink r:id="rId79" w:history="1">
              <w:r>
                <w:rPr>
                  <w:rStyle w:val="a4"/>
                  <w:sz w:val="20"/>
                  <w:szCs w:val="20"/>
                </w:rPr>
                <w:t>Certification of Principal Executive Officer pursuant to Rules 13a-14(a) and 15d-14(a) under the Securities Exchange Act of 1934, as adopted pursuant to Section 302 of the Sarbanes-Oxley Act of 2002</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X</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31.</w:t>
            </w:r>
            <w:r>
              <w:rPr>
                <w:sz w:val="20"/>
                <w:szCs w:val="20"/>
              </w:rPr>
              <w:t>2</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hyperlink r:id="rId80" w:history="1">
              <w:r>
                <w:rPr>
                  <w:rStyle w:val="a4"/>
                  <w:sz w:val="20"/>
                  <w:szCs w:val="20"/>
                </w:rPr>
                <w:t>Certification of Principal Financial Officer pursuant to Rules 13a-14(a) and 15d-14(a) under the Securities Exchange Act of 1934, as adopted pursuant to Section 302 of the Sarbanes-Oxley Act of 2002</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X</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32.1</w:t>
            </w:r>
            <w:r>
              <w:rPr>
                <w:sz w:val="20"/>
                <w:szCs w:val="20"/>
              </w:rPr>
              <w:t>*</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hyperlink r:id="rId81" w:history="1">
              <w:r>
                <w:rPr>
                  <w:rStyle w:val="a4"/>
                  <w:sz w:val="20"/>
                  <w:szCs w:val="20"/>
                </w:rPr>
                <w:t>Certification of Principal Executive Officer and Principal Financial Officer pursuant to 18 U.S.C. Section 1350, as adopted pursuant to Section 906 of the Sarbanes-Oxley Act of 2002</w:t>
              </w:r>
              <w:r>
                <w:rPr>
                  <w:rStyle w:val="a4"/>
                  <w:sz w:val="20"/>
                  <w:szCs w:val="20"/>
                </w:rPr>
                <w:t>.</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X</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101.IN</w:t>
            </w:r>
            <w:r>
              <w:rPr>
                <w:sz w:val="20"/>
                <w:szCs w:val="20"/>
              </w:rPr>
              <w:t>S</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r>
              <w:rPr>
                <w:sz w:val="20"/>
                <w:szCs w:val="20"/>
              </w:rPr>
              <w:t>Inline XBRL Instance Document – the instance document does not appear i</w:t>
            </w:r>
            <w:r>
              <w:rPr>
                <w:sz w:val="20"/>
                <w:szCs w:val="20"/>
              </w:rPr>
              <w:t>n</w:t>
            </w:r>
          </w:p>
          <w:p w:rsidR="00000000" w:rsidRDefault="00477EE8">
            <w:pPr>
              <w:pStyle w:val="a3"/>
              <w:spacing w:before="0" w:beforeAutospacing="0" w:after="0" w:afterAutospacing="0"/>
              <w:rPr>
                <w:sz w:val="20"/>
                <w:szCs w:val="20"/>
              </w:rPr>
            </w:pPr>
            <w:r>
              <w:rPr>
                <w:sz w:val="20"/>
                <w:szCs w:val="20"/>
              </w:rPr>
              <w:t>the Interactive Data File because XBRL tags are embedded within the Inlin</w:t>
            </w:r>
            <w:r>
              <w:rPr>
                <w:sz w:val="20"/>
                <w:szCs w:val="20"/>
              </w:rPr>
              <w:t>e</w:t>
            </w:r>
          </w:p>
          <w:p w:rsidR="00000000" w:rsidRDefault="00477EE8">
            <w:pPr>
              <w:pStyle w:val="a3"/>
              <w:spacing w:before="0" w:beforeAutospacing="0" w:after="0" w:afterAutospacing="0"/>
              <w:rPr>
                <w:sz w:val="20"/>
                <w:szCs w:val="20"/>
              </w:rPr>
            </w:pPr>
            <w:r>
              <w:rPr>
                <w:sz w:val="20"/>
                <w:szCs w:val="20"/>
              </w:rPr>
              <w:t>XBRL document</w:t>
            </w:r>
            <w:r>
              <w:rPr>
                <w:sz w:val="20"/>
                <w:szCs w:val="20"/>
              </w:rPr>
              <w:t>.</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X</w:t>
            </w:r>
          </w:p>
        </w:tc>
      </w:tr>
      <w:tr w:rsidR="00000000">
        <w:trPr>
          <w:trHeight w:val="302"/>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101.SC</w:t>
            </w:r>
            <w:r>
              <w:rPr>
                <w:sz w:val="20"/>
                <w:szCs w:val="20"/>
              </w:rPr>
              <w:t>H</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r>
              <w:rPr>
                <w:sz w:val="20"/>
                <w:szCs w:val="20"/>
              </w:rPr>
              <w:t>Inline XBRL Taxonomy Extension Schema Documen</w:t>
            </w:r>
            <w:r>
              <w:rPr>
                <w:sz w:val="20"/>
                <w:szCs w:val="20"/>
              </w:rPr>
              <w:t>t</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X</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101.CA</w:t>
            </w:r>
            <w:r>
              <w:rPr>
                <w:sz w:val="20"/>
                <w:szCs w:val="20"/>
              </w:rPr>
              <w:t>L</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r>
              <w:rPr>
                <w:sz w:val="20"/>
                <w:szCs w:val="20"/>
              </w:rPr>
              <w:t>Inline XBRL Taxonomy Extension Calculation Linkbase Documen</w:t>
            </w:r>
            <w:r>
              <w:rPr>
                <w:sz w:val="20"/>
                <w:szCs w:val="20"/>
              </w:rPr>
              <w:t>t</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X</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101.DE</w:t>
            </w:r>
            <w:r>
              <w:rPr>
                <w:sz w:val="20"/>
                <w:szCs w:val="20"/>
              </w:rPr>
              <w:t>F</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r>
              <w:rPr>
                <w:sz w:val="20"/>
                <w:szCs w:val="20"/>
              </w:rPr>
              <w:t>Inline XBRL Taxonomy Extension Definition Linkbase Documen</w:t>
            </w:r>
            <w:r>
              <w:rPr>
                <w:sz w:val="20"/>
                <w:szCs w:val="20"/>
              </w:rPr>
              <w:t>t</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X</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101.LA</w:t>
            </w:r>
            <w:r>
              <w:rPr>
                <w:sz w:val="20"/>
                <w:szCs w:val="20"/>
              </w:rPr>
              <w:t>B</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r>
              <w:rPr>
                <w:sz w:val="20"/>
                <w:szCs w:val="20"/>
              </w:rPr>
              <w:t>Inline XBRL Taxonomy Extension Label Linkbase Documen</w:t>
            </w:r>
            <w:r>
              <w:rPr>
                <w:sz w:val="20"/>
                <w:szCs w:val="20"/>
              </w:rPr>
              <w:t>t</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X</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101.PR</w:t>
            </w:r>
            <w:r>
              <w:rPr>
                <w:sz w:val="20"/>
                <w:szCs w:val="20"/>
              </w:rPr>
              <w:t>E</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r>
              <w:rPr>
                <w:sz w:val="20"/>
                <w:szCs w:val="20"/>
              </w:rPr>
              <w:t>Inline XBRL Taxonomy Extension Presentation Linkbase Documen</w:t>
            </w:r>
            <w:r>
              <w:rPr>
                <w:sz w:val="20"/>
                <w:szCs w:val="20"/>
              </w:rPr>
              <w:t>t</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X</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10</w:t>
            </w:r>
            <w:r>
              <w:rPr>
                <w:sz w:val="20"/>
                <w:szCs w:val="20"/>
              </w:rPr>
              <w:t>4</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r>
              <w:rPr>
                <w:sz w:val="20"/>
                <w:szCs w:val="20"/>
              </w:rPr>
              <w:t>Cover Page Interactive Data File (embedded within the Inline XBR</w:t>
            </w:r>
            <w:r>
              <w:rPr>
                <w:sz w:val="20"/>
                <w:szCs w:val="20"/>
              </w:rPr>
              <w:t>L</w:t>
            </w:r>
          </w:p>
          <w:p w:rsidR="00000000" w:rsidRDefault="00477EE8">
            <w:pPr>
              <w:pStyle w:val="a3"/>
              <w:spacing w:before="0" w:beforeAutospacing="0" w:after="0" w:afterAutospacing="0"/>
              <w:rPr>
                <w:sz w:val="20"/>
                <w:szCs w:val="20"/>
              </w:rPr>
            </w:pPr>
            <w:r>
              <w:rPr>
                <w:sz w:val="20"/>
                <w:szCs w:val="20"/>
              </w:rPr>
              <w:t>document</w:t>
            </w:r>
            <w:r>
              <w:rPr>
                <w:sz w:val="20"/>
                <w:szCs w:val="20"/>
              </w:rPr>
              <w:t>)</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center"/>
              <w:rPr>
                <w:sz w:val="20"/>
                <w:szCs w:val="20"/>
              </w:rPr>
            </w:pPr>
            <w:r>
              <w:rPr>
                <w:sz w:val="20"/>
                <w:szCs w:val="20"/>
              </w:rPr>
              <w:t>X</w:t>
            </w:r>
          </w:p>
        </w:tc>
      </w:tr>
    </w:tbl>
    <w:p w:rsidR="00000000" w:rsidRDefault="00477EE8">
      <w:pPr>
        <w:pStyle w:val="a3"/>
        <w:spacing w:before="0" w:beforeAutospacing="0" w:after="0" w:afterAutospacing="0"/>
        <w:ind w:right="10239"/>
        <w:rPr>
          <w:sz w:val="20"/>
          <w:szCs w:val="20"/>
        </w:rPr>
      </w:pPr>
      <w:r>
        <w:rPr>
          <w:sz w:val="12"/>
          <w:szCs w:val="12"/>
        </w:rPr>
        <w:t> </w:t>
      </w:r>
    </w:p>
    <w:p w:rsidR="00000000" w:rsidRDefault="00477EE8">
      <w:pPr>
        <w:pStyle w:val="a3"/>
        <w:spacing w:before="40" w:beforeAutospacing="0" w:after="0" w:afterAutospacing="0"/>
        <w:rPr>
          <w:sz w:val="20"/>
          <w:szCs w:val="20"/>
        </w:rPr>
      </w:pPr>
      <w:r>
        <w:rPr>
          <w:sz w:val="20"/>
          <w:szCs w:val="20"/>
        </w:rPr>
        <w:t>* This certification is being furnished solely to accompany this report pursuant to 18 U.S.C. 1350, and are not being filed for purposes of Section 18 of the Securities Exchange Act of 1934, as amended, and is not to be incorporated by reference into any f</w:t>
      </w:r>
      <w:r>
        <w:rPr>
          <w:sz w:val="20"/>
          <w:szCs w:val="20"/>
        </w:rPr>
        <w:t>iling of the registrant, whether made before or after the date hereof, regardless of any general incorporation by reference language in such filing</w:t>
      </w:r>
      <w:r>
        <w:rPr>
          <w:sz w:val="20"/>
          <w:szCs w:val="20"/>
        </w:rPr>
        <w:t>.</w:t>
      </w:r>
    </w:p>
    <w:p w:rsidR="00000000" w:rsidRDefault="00477EE8">
      <w:pPr>
        <w:pStyle w:val="a3"/>
        <w:spacing w:before="40" w:beforeAutospacing="0" w:after="0" w:afterAutospacing="0"/>
        <w:rPr>
          <w:sz w:val="20"/>
          <w:szCs w:val="20"/>
        </w:rPr>
      </w:pPr>
      <w:r>
        <w:rPr>
          <w:sz w:val="20"/>
          <w:szCs w:val="20"/>
        </w:rPr>
        <w:t># Management contract or compensatory plan, contract or arrangement</w:t>
      </w:r>
      <w:r>
        <w:rPr>
          <w:sz w:val="20"/>
          <w:szCs w:val="20"/>
        </w:rPr>
        <w:t>.</w:t>
      </w:r>
    </w:p>
    <w:p w:rsidR="00000000" w:rsidRDefault="00477EE8">
      <w:pPr>
        <w:pStyle w:val="a3"/>
        <w:spacing w:before="40" w:beforeAutospacing="0" w:after="0" w:afterAutospacing="0"/>
        <w:rPr>
          <w:sz w:val="20"/>
          <w:szCs w:val="20"/>
        </w:rPr>
      </w:pPr>
      <w:r>
        <w:rPr>
          <w:sz w:val="20"/>
          <w:szCs w:val="20"/>
        </w:rPr>
        <w:t>§ Confidential treatment has been gran</w:t>
      </w:r>
      <w:r>
        <w:rPr>
          <w:sz w:val="20"/>
          <w:szCs w:val="20"/>
        </w:rPr>
        <w:t>ted with respect to portions of this exhibit pursuant to Rule 24b-2 under the Exchange Act, and these confidential portions have been redacted from the version of this agreement that is incorporated by reference in this report. A complete copy of this exhi</w:t>
      </w:r>
      <w:r>
        <w:rPr>
          <w:sz w:val="20"/>
          <w:szCs w:val="20"/>
        </w:rPr>
        <w:t>bit, including the redacted portions, has been separately furnished to the SEC</w:t>
      </w:r>
      <w:r>
        <w:rPr>
          <w:sz w:val="20"/>
          <w:szCs w:val="20"/>
        </w:rPr>
        <w:t>.</w:t>
      </w:r>
    </w:p>
    <w:p w:rsidR="00000000" w:rsidRDefault="00477EE8">
      <w:pPr>
        <w:pStyle w:val="a3"/>
        <w:spacing w:before="40" w:beforeAutospacing="0" w:after="0" w:afterAutospacing="0"/>
        <w:rPr>
          <w:sz w:val="20"/>
          <w:szCs w:val="20"/>
        </w:rPr>
      </w:pPr>
      <w:r>
        <w:rPr>
          <w:sz w:val="20"/>
          <w:szCs w:val="20"/>
        </w:rPr>
        <w:t>^ Certain exhibits and schedules have been omitted pursuant to Item 601(a)(5) of Regulation S-K. The Company hereby undertakes to furnish supplementally a copy of any omitted e</w:t>
      </w:r>
      <w:r>
        <w:rPr>
          <w:sz w:val="20"/>
          <w:szCs w:val="20"/>
        </w:rPr>
        <w:t>xhibit or schedule upon request by the SEC</w:t>
      </w:r>
      <w:r>
        <w:rPr>
          <w:sz w:val="20"/>
          <w:szCs w:val="20"/>
        </w:rPr>
        <w:t>.</w:t>
      </w:r>
    </w:p>
    <w:p w:rsidR="00000000" w:rsidRDefault="00477EE8">
      <w:pPr>
        <w:pStyle w:val="a3"/>
        <w:spacing w:before="240" w:beforeAutospacing="0" w:after="0" w:afterAutospacing="0"/>
        <w:jc w:val="center"/>
        <w:rPr>
          <w:sz w:val="20"/>
          <w:szCs w:val="20"/>
        </w:rPr>
      </w:pPr>
      <w:r>
        <w:rPr>
          <w:sz w:val="20"/>
          <w:szCs w:val="20"/>
        </w:rPr>
        <w:t>7</w:t>
      </w:r>
      <w:r>
        <w:rPr>
          <w:sz w:val="20"/>
          <w:szCs w:val="20"/>
        </w:rPr>
        <w:t>0</w:t>
      </w:r>
    </w:p>
    <w:p w:rsidR="00000000" w:rsidRDefault="00477EE8">
      <w:pPr>
        <w:rPr>
          <w:rFonts w:eastAsia="Times New Roman"/>
        </w:rPr>
      </w:pPr>
      <w:r>
        <w:rPr>
          <w:rFonts w:eastAsia="Times New Roman"/>
        </w:rPr>
        <w:pict>
          <v:rect id="_x0000_i1110" style="width:0;height:1.5pt" o:hralign="center" o:hrstd="t" o:hr="t" fillcolor="#a0a0a0" stroked="f"/>
        </w:pict>
      </w:r>
    </w:p>
    <w:p w:rsidR="00000000" w:rsidRDefault="00477EE8">
      <w:pPr>
        <w:pStyle w:val="a3"/>
        <w:spacing w:before="0" w:beforeAutospacing="0" w:after="0" w:afterAutospacing="0"/>
        <w:jc w:val="center"/>
        <w:rPr>
          <w:sz w:val="20"/>
          <w:szCs w:val="20"/>
        </w:rPr>
      </w:pPr>
      <w:r>
        <w:rPr>
          <w:b/>
          <w:bCs/>
          <w:sz w:val="20"/>
          <w:szCs w:val="20"/>
        </w:rPr>
        <w:t>SIGNA</w:t>
      </w:r>
      <w:r>
        <w:rPr>
          <w:b/>
          <w:bCs/>
          <w:sz w:val="20"/>
          <w:szCs w:val="20"/>
        </w:rPr>
        <w:t>T</w:t>
      </w:r>
      <w:r>
        <w:rPr>
          <w:b/>
          <w:bCs/>
          <w:sz w:val="20"/>
          <w:szCs w:val="20"/>
        </w:rPr>
        <w:t>URE</w:t>
      </w:r>
      <w:r>
        <w:rPr>
          <w:b/>
          <w:bCs/>
          <w:sz w:val="20"/>
          <w:szCs w:val="20"/>
        </w:rPr>
        <w:t>S</w:t>
      </w:r>
    </w:p>
    <w:p w:rsidR="00000000" w:rsidRDefault="00477EE8">
      <w:pPr>
        <w:pStyle w:val="a3"/>
        <w:spacing w:before="120" w:beforeAutospacing="0" w:after="0" w:afterAutospacing="0"/>
        <w:ind w:firstLine="555"/>
        <w:rPr>
          <w:sz w:val="20"/>
          <w:szCs w:val="20"/>
        </w:rPr>
      </w:pPr>
      <w:r>
        <w:rPr>
          <w:sz w:val="20"/>
          <w:szCs w:val="20"/>
        </w:rPr>
        <w:t>Pursuant to the requirements of Section 13 or 15(d) of the Securities Exchange Act of 1934, as amended, the registrant has duly caused this report to be signed o</w:t>
      </w:r>
      <w:r>
        <w:rPr>
          <w:sz w:val="20"/>
          <w:szCs w:val="20"/>
        </w:rPr>
        <w:t>n its behalf by the undersigned, thereunto duly authorized</w:t>
      </w:r>
      <w:r>
        <w:rPr>
          <w:sz w:val="20"/>
          <w:szCs w:val="20"/>
        </w:rPr>
        <w:t>.</w:t>
      </w:r>
    </w:p>
    <w:p w:rsidR="00000000" w:rsidRDefault="00477EE8">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32"/>
        <w:gridCol w:w="109"/>
        <w:gridCol w:w="348"/>
        <w:gridCol w:w="3017"/>
      </w:tblGrid>
      <w:tr w:rsidR="00000000">
        <w:trPr>
          <w:tblCellSpacing w:w="15" w:type="dxa"/>
        </w:trPr>
        <w:tc>
          <w:tcPr>
            <w:tcW w:w="2950"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150" w:type="pct"/>
            <w:vAlign w:val="center"/>
            <w:hideMark/>
          </w:tcPr>
          <w:p w:rsidR="00000000" w:rsidRDefault="00477EE8">
            <w:pPr>
              <w:rPr>
                <w:rFonts w:eastAsia="Times New Roman"/>
                <w:sz w:val="20"/>
                <w:szCs w:val="20"/>
              </w:rPr>
            </w:pPr>
          </w:p>
        </w:tc>
        <w:tc>
          <w:tcPr>
            <w:tcW w:w="1850" w:type="pct"/>
            <w:vAlign w:val="center"/>
            <w:hideMark/>
          </w:tcPr>
          <w:p w:rsidR="00000000" w:rsidRDefault="00477EE8">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b/>
                <w:bCs/>
                <w:sz w:val="20"/>
                <w:szCs w:val="20"/>
              </w:rPr>
              <w:t>FULGENT GENETICS, INC</w:t>
            </w:r>
            <w:r>
              <w:rPr>
                <w:b/>
                <w:bCs/>
                <w:sz w:val="20"/>
                <w:szCs w:val="20"/>
              </w:rPr>
              <w:t>.</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Date: February 28, 202</w:t>
            </w:r>
            <w:r>
              <w:rPr>
                <w:sz w:val="20"/>
                <w:szCs w:val="20"/>
              </w:rPr>
              <w:t>3</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r>
              <w:rPr>
                <w:sz w:val="20"/>
                <w:szCs w:val="20"/>
              </w:rPr>
              <w:t>By</w:t>
            </w:r>
            <w:r>
              <w:rPr>
                <w:sz w:val="20"/>
                <w:szCs w:val="20"/>
              </w:rPr>
              <w:t>:</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20"/>
                <w:szCs w:val="20"/>
              </w:rPr>
            </w:pPr>
            <w:r>
              <w:rPr>
                <w:sz w:val="20"/>
                <w:szCs w:val="20"/>
              </w:rPr>
              <w:t>/s/ Ming Hsie</w:t>
            </w:r>
            <w:r>
              <w:rPr>
                <w:sz w:val="20"/>
                <w:szCs w:val="20"/>
              </w:rPr>
              <w:t>h</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20"/>
                <w:szCs w:val="20"/>
              </w:rPr>
            </w:pPr>
            <w:r>
              <w:rPr>
                <w:sz w:val="20"/>
                <w:szCs w:val="20"/>
              </w:rPr>
              <w:t>Ming Hsie</w:t>
            </w:r>
            <w:r>
              <w:rPr>
                <w:sz w:val="20"/>
                <w:szCs w:val="20"/>
              </w:rPr>
              <w:t>h</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20"/>
                <w:szCs w:val="20"/>
              </w:rPr>
            </w:pPr>
            <w:r>
              <w:rPr>
                <w:sz w:val="20"/>
                <w:szCs w:val="20"/>
              </w:rPr>
              <w:t>Chief Executive Office</w:t>
            </w:r>
            <w:r>
              <w:rPr>
                <w:sz w:val="20"/>
                <w:szCs w:val="20"/>
              </w:rPr>
              <w:t>r</w:t>
            </w:r>
          </w:p>
        </w:tc>
      </w:tr>
    </w:tbl>
    <w:p w:rsidR="00000000" w:rsidRDefault="00477EE8">
      <w:pPr>
        <w:pStyle w:val="a3"/>
        <w:spacing w:before="0" w:beforeAutospacing="0" w:after="0" w:afterAutospacing="0"/>
        <w:rPr>
          <w:sz w:val="20"/>
          <w:szCs w:val="20"/>
        </w:rPr>
      </w:pPr>
      <w:r>
        <w:rPr>
          <w:sz w:val="20"/>
          <w:szCs w:val="20"/>
        </w:rPr>
        <w:t> </w:t>
      </w:r>
    </w:p>
    <w:p w:rsidR="00000000" w:rsidRDefault="00477EE8">
      <w:pPr>
        <w:pStyle w:val="a3"/>
        <w:spacing w:before="160" w:beforeAutospacing="0" w:after="0" w:afterAutospacing="0"/>
        <w:jc w:val="center"/>
        <w:rPr>
          <w:sz w:val="20"/>
          <w:szCs w:val="20"/>
        </w:rPr>
      </w:pPr>
      <w:r>
        <w:rPr>
          <w:b/>
          <w:bCs/>
          <w:sz w:val="20"/>
          <w:szCs w:val="20"/>
        </w:rPr>
        <w:t>POWER OF ATTORNE</w:t>
      </w:r>
      <w:r>
        <w:rPr>
          <w:b/>
          <w:bCs/>
          <w:sz w:val="20"/>
          <w:szCs w:val="20"/>
        </w:rPr>
        <w:t>Y</w:t>
      </w:r>
    </w:p>
    <w:p w:rsidR="00000000" w:rsidRDefault="00477EE8">
      <w:pPr>
        <w:pStyle w:val="a3"/>
        <w:spacing w:before="120" w:beforeAutospacing="0" w:after="0" w:afterAutospacing="0"/>
        <w:ind w:firstLine="555"/>
        <w:rPr>
          <w:sz w:val="20"/>
          <w:szCs w:val="20"/>
        </w:rPr>
      </w:pPr>
      <w:r>
        <w:rPr>
          <w:sz w:val="20"/>
          <w:szCs w:val="20"/>
        </w:rPr>
        <w:t>IN WITNESS WHEREOF, each person whose signature appears below constitutes and appoints Ming Hsieh and Paul Kim as his true and lawful agent, proxy and attorney-in-fact, each acting alone, with full power of substitution and resubstitution, for him and in h</w:t>
      </w:r>
      <w:r>
        <w:rPr>
          <w:sz w:val="20"/>
          <w:szCs w:val="20"/>
        </w:rPr>
        <w:t>is name, place and stead, in any and all capacities, to (i) act on and sign any amendments to this report, with exhibits thereto and other documents in connection therewith, (ii) act on and sign such certificates, instruments, agreements and other document</w:t>
      </w:r>
      <w:r>
        <w:rPr>
          <w:sz w:val="20"/>
          <w:szCs w:val="20"/>
        </w:rPr>
        <w:t>s as may be necessary or appropriate in connection therewith, and in each case file the same with the SEC, hereby approving, ratifying and confirming all that such agent, proxy and attorney-in-fact or any of his substitutes may lawfully do or cause to be d</w:t>
      </w:r>
      <w:r>
        <w:rPr>
          <w:sz w:val="20"/>
          <w:szCs w:val="20"/>
        </w:rPr>
        <w:t>one by virtue thereof</w:t>
      </w:r>
      <w:r>
        <w:rPr>
          <w:sz w:val="20"/>
          <w:szCs w:val="20"/>
        </w:rPr>
        <w:t>.</w:t>
      </w:r>
    </w:p>
    <w:p w:rsidR="00000000" w:rsidRDefault="00477EE8">
      <w:pPr>
        <w:pStyle w:val="a3"/>
        <w:spacing w:before="240" w:beforeAutospacing="0" w:after="0" w:afterAutospacing="0"/>
        <w:ind w:firstLine="555"/>
        <w:rPr>
          <w:sz w:val="20"/>
          <w:szCs w:val="20"/>
        </w:rPr>
      </w:pPr>
      <w:r>
        <w:rPr>
          <w:sz w:val="20"/>
          <w:szCs w:val="20"/>
        </w:rPr>
        <w:t>Pursuant to the requirements of the Securities Exchange Act of 1934, as amended, this report has been signed below by the following persons on behalf of the registrant in the capacities and on the dates indicated</w:t>
      </w:r>
      <w:r>
        <w:rPr>
          <w:sz w:val="20"/>
          <w:szCs w:val="20"/>
        </w:rPr>
        <w:t>.</w:t>
      </w:r>
    </w:p>
    <w:p w:rsidR="00000000" w:rsidRDefault="00477EE8">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25"/>
        <w:gridCol w:w="188"/>
        <w:gridCol w:w="4355"/>
        <w:gridCol w:w="201"/>
        <w:gridCol w:w="1337"/>
      </w:tblGrid>
      <w:tr w:rsidR="00000000">
        <w:trPr>
          <w:tblCellSpacing w:w="15" w:type="dxa"/>
        </w:trPr>
        <w:tc>
          <w:tcPr>
            <w:tcW w:w="1341" w:type="pct"/>
            <w:vAlign w:val="center"/>
            <w:hideMark/>
          </w:tcPr>
          <w:p w:rsidR="00000000" w:rsidRDefault="00477EE8">
            <w:pPr>
              <w:rPr>
                <w:sz w:val="20"/>
                <w:szCs w:val="20"/>
              </w:rPr>
            </w:pPr>
          </w:p>
        </w:tc>
        <w:tc>
          <w:tcPr>
            <w:tcW w:w="97" w:type="pct"/>
            <w:vAlign w:val="center"/>
            <w:hideMark/>
          </w:tcPr>
          <w:p w:rsidR="00000000" w:rsidRDefault="00477EE8">
            <w:pPr>
              <w:rPr>
                <w:rFonts w:eastAsia="Times New Roman"/>
                <w:sz w:val="20"/>
                <w:szCs w:val="20"/>
              </w:rPr>
            </w:pPr>
          </w:p>
        </w:tc>
        <w:tc>
          <w:tcPr>
            <w:tcW w:w="2660" w:type="pct"/>
            <w:vAlign w:val="center"/>
            <w:hideMark/>
          </w:tcPr>
          <w:p w:rsidR="00000000" w:rsidRDefault="00477EE8">
            <w:pPr>
              <w:rPr>
                <w:rFonts w:eastAsia="Times New Roman"/>
                <w:sz w:val="20"/>
                <w:szCs w:val="20"/>
              </w:rPr>
            </w:pPr>
          </w:p>
        </w:tc>
        <w:tc>
          <w:tcPr>
            <w:tcW w:w="105" w:type="pct"/>
            <w:vAlign w:val="center"/>
            <w:hideMark/>
          </w:tcPr>
          <w:p w:rsidR="00000000" w:rsidRDefault="00477EE8">
            <w:pPr>
              <w:rPr>
                <w:rFonts w:eastAsia="Times New Roman"/>
                <w:sz w:val="20"/>
                <w:szCs w:val="20"/>
              </w:rPr>
            </w:pPr>
          </w:p>
        </w:tc>
        <w:tc>
          <w:tcPr>
            <w:tcW w:w="795" w:type="pct"/>
            <w:vAlign w:val="center"/>
            <w:hideMark/>
          </w:tcPr>
          <w:p w:rsidR="00000000" w:rsidRDefault="00477EE8">
            <w:pPr>
              <w:rPr>
                <w:rFonts w:eastAsia="Times New Roman"/>
                <w:sz w:val="20"/>
                <w:szCs w:val="20"/>
              </w:rPr>
            </w:pP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jc w:val="center"/>
              <w:rPr>
                <w:sz w:val="16"/>
                <w:szCs w:val="16"/>
              </w:rPr>
            </w:pPr>
            <w:r>
              <w:rPr>
                <w:b/>
                <w:bCs/>
                <w:sz w:val="16"/>
                <w:szCs w:val="16"/>
              </w:rPr>
              <w:t>Name and Si</w:t>
            </w:r>
            <w:r>
              <w:rPr>
                <w:b/>
                <w:bCs/>
                <w:sz w:val="16"/>
                <w:szCs w:val="16"/>
              </w:rPr>
              <w:t>gnatur</w:t>
            </w:r>
            <w:r>
              <w:rPr>
                <w:b/>
                <w:bCs/>
                <w:sz w:val="16"/>
                <w:szCs w:val="16"/>
              </w:rPr>
              <w:t>e</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b/>
                <w:bCs/>
                <w:sz w:val="16"/>
                <w:szCs w:val="16"/>
              </w:rPr>
              <w:t>Titl</w:t>
            </w:r>
            <w:r>
              <w:rPr>
                <w:b/>
                <w:bCs/>
                <w:sz w:val="16"/>
                <w:szCs w:val="16"/>
              </w:rPr>
              <w:t>e</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b/>
                <w:bCs/>
                <w:sz w:val="16"/>
                <w:szCs w:val="16"/>
              </w:rPr>
              <w:t>Dat</w:t>
            </w:r>
            <w:r>
              <w:rPr>
                <w:b/>
                <w:bCs/>
                <w:sz w:val="16"/>
                <w:szCs w:val="16"/>
              </w:rPr>
              <w:t>e</w:t>
            </w:r>
          </w:p>
        </w:tc>
      </w:tr>
      <w:tr w:rsidR="00000000">
        <w:trPr>
          <w:trHeight w:val="120"/>
          <w:tblCellSpacing w:w="15" w:type="dxa"/>
        </w:trPr>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20"/>
                <w:szCs w:val="20"/>
              </w:rPr>
            </w:pPr>
            <w:r>
              <w:rPr>
                <w:sz w:val="20"/>
                <w:szCs w:val="20"/>
              </w:rPr>
              <w:t>/s/ Ming Hsie</w:t>
            </w:r>
            <w:r>
              <w:rPr>
                <w:sz w:val="20"/>
                <w:szCs w:val="20"/>
              </w:rPr>
              <w:t>h</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Chief Executive Officer and Chairman of the Boar</w:t>
            </w:r>
            <w:r>
              <w:rPr>
                <w:sz w:val="20"/>
                <w:szCs w:val="20"/>
              </w:rPr>
              <w:t>d</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February 28, 202</w:t>
            </w:r>
            <w:r>
              <w:rPr>
                <w:sz w:val="20"/>
                <w:szCs w:val="20"/>
              </w:rPr>
              <w:t>3</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20"/>
                <w:szCs w:val="20"/>
              </w:rPr>
            </w:pPr>
            <w:r>
              <w:rPr>
                <w:sz w:val="20"/>
                <w:szCs w:val="20"/>
              </w:rPr>
              <w:t>Ming Hsie</w:t>
            </w:r>
            <w:r>
              <w:rPr>
                <w:sz w:val="20"/>
                <w:szCs w:val="20"/>
              </w:rPr>
              <w:t>h</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6"/>
                <w:szCs w:val="16"/>
              </w:rPr>
            </w:pPr>
            <w:r>
              <w:rPr>
                <w:b/>
                <w:bCs/>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(principal executive officer</w:t>
            </w:r>
            <w:r>
              <w:rPr>
                <w:sz w:val="20"/>
                <w:szCs w:val="20"/>
              </w:rPr>
              <w:t>)</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6"/>
                <w:szCs w:val="16"/>
              </w:rPr>
            </w:pPr>
            <w:r>
              <w:rPr>
                <w:b/>
                <w:bCs/>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20"/>
          <w:tblCellSpacing w:w="15" w:type="dxa"/>
        </w:trPr>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20"/>
                <w:szCs w:val="20"/>
              </w:rPr>
            </w:pPr>
            <w:r>
              <w:rPr>
                <w:sz w:val="20"/>
                <w:szCs w:val="20"/>
              </w:rPr>
              <w:t>/s/ Paul Ki</w:t>
            </w:r>
            <w:r>
              <w:rPr>
                <w:sz w:val="20"/>
                <w:szCs w:val="20"/>
              </w:rPr>
              <w:t>m</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Chief Financial Office</w:t>
            </w:r>
            <w:r>
              <w:rPr>
                <w:sz w:val="20"/>
                <w:szCs w:val="20"/>
              </w:rPr>
              <w:t>r</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February 28, 202</w:t>
            </w:r>
            <w:r>
              <w:rPr>
                <w:sz w:val="20"/>
                <w:szCs w:val="20"/>
              </w:rPr>
              <w:t>3</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20"/>
                <w:szCs w:val="20"/>
              </w:rPr>
            </w:pPr>
            <w:r>
              <w:rPr>
                <w:sz w:val="20"/>
                <w:szCs w:val="20"/>
              </w:rPr>
              <w:t>Paul Ki</w:t>
            </w:r>
            <w:r>
              <w:rPr>
                <w:sz w:val="20"/>
                <w:szCs w:val="20"/>
              </w:rPr>
              <w:t>m</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6"/>
                <w:szCs w:val="16"/>
              </w:rPr>
            </w:pPr>
            <w:r>
              <w:rPr>
                <w:b/>
                <w:bCs/>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(principal financial and accounting officer</w:t>
            </w:r>
            <w:r>
              <w:rPr>
                <w:sz w:val="20"/>
                <w:szCs w:val="20"/>
              </w:rPr>
              <w:t>)</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6"/>
                <w:szCs w:val="16"/>
              </w:rPr>
            </w:pPr>
            <w:r>
              <w:rPr>
                <w:b/>
                <w:bCs/>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20"/>
          <w:tblCellSpacing w:w="15" w:type="dxa"/>
        </w:trPr>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20"/>
                <w:szCs w:val="20"/>
              </w:rPr>
            </w:pPr>
            <w:r>
              <w:rPr>
                <w:sz w:val="20"/>
                <w:szCs w:val="20"/>
              </w:rPr>
              <w:t>/s/ Michael Nohail</w:t>
            </w:r>
            <w:r>
              <w:rPr>
                <w:sz w:val="20"/>
                <w:szCs w:val="20"/>
              </w:rPr>
              <w:t>e</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Directo</w:t>
            </w:r>
            <w:r>
              <w:rPr>
                <w:sz w:val="20"/>
                <w:szCs w:val="20"/>
              </w:rPr>
              <w:t>r</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February 28, 202</w:t>
            </w:r>
            <w:r>
              <w:rPr>
                <w:sz w:val="20"/>
                <w:szCs w:val="20"/>
              </w:rPr>
              <w:t>3</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20"/>
                <w:szCs w:val="20"/>
              </w:rPr>
            </w:pPr>
            <w:r>
              <w:rPr>
                <w:sz w:val="20"/>
                <w:szCs w:val="20"/>
              </w:rPr>
              <w:t>Michael Nohail</w:t>
            </w:r>
            <w:r>
              <w:rPr>
                <w:sz w:val="20"/>
                <w:szCs w:val="20"/>
              </w:rPr>
              <w:t>e</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6"/>
                <w:szCs w:val="16"/>
              </w:rPr>
            </w:pPr>
            <w:r>
              <w:rPr>
                <w:b/>
                <w:bCs/>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6"/>
                <w:szCs w:val="16"/>
              </w:rPr>
            </w:pPr>
            <w:r>
              <w:rPr>
                <w:b/>
                <w:bCs/>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6"/>
                <w:szCs w:val="16"/>
              </w:rPr>
            </w:pPr>
            <w:r>
              <w:rPr>
                <w:b/>
                <w:bCs/>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20"/>
          <w:tblCellSpacing w:w="15" w:type="dxa"/>
        </w:trPr>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20"/>
                <w:szCs w:val="20"/>
              </w:rPr>
            </w:pPr>
            <w:r>
              <w:rPr>
                <w:sz w:val="20"/>
                <w:szCs w:val="20"/>
              </w:rPr>
              <w:t>/s/ Regina Grove</w:t>
            </w:r>
            <w:r>
              <w:rPr>
                <w:sz w:val="20"/>
                <w:szCs w:val="20"/>
              </w:rPr>
              <w:t>s</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Directo</w:t>
            </w:r>
            <w:r>
              <w:rPr>
                <w:sz w:val="20"/>
                <w:szCs w:val="20"/>
              </w:rPr>
              <w:t>r</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February 28, 202</w:t>
            </w:r>
            <w:r>
              <w:rPr>
                <w:sz w:val="20"/>
                <w:szCs w:val="20"/>
              </w:rPr>
              <w:t>3</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20"/>
                <w:szCs w:val="20"/>
              </w:rPr>
            </w:pPr>
            <w:r>
              <w:rPr>
                <w:sz w:val="20"/>
                <w:szCs w:val="20"/>
              </w:rPr>
              <w:t>Regina Grove</w:t>
            </w:r>
            <w:r>
              <w:rPr>
                <w:sz w:val="20"/>
                <w:szCs w:val="20"/>
              </w:rPr>
              <w:t>s</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6"/>
                <w:szCs w:val="16"/>
              </w:rPr>
            </w:pPr>
            <w:r>
              <w:rPr>
                <w:b/>
                <w:bCs/>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6"/>
                <w:szCs w:val="16"/>
              </w:rPr>
            </w:pPr>
            <w:r>
              <w:rPr>
                <w:b/>
                <w:bCs/>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6"/>
                <w:szCs w:val="16"/>
              </w:rPr>
            </w:pPr>
            <w:r>
              <w:rPr>
                <w:b/>
                <w:bCs/>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blCellSpacing w:w="15" w:type="dxa"/>
        </w:trPr>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20"/>
                <w:szCs w:val="20"/>
              </w:rPr>
            </w:pPr>
            <w:r>
              <w:rPr>
                <w:sz w:val="20"/>
                <w:szCs w:val="20"/>
              </w:rPr>
              <w:t>/s/ Linda Mars</w:t>
            </w:r>
            <w:r>
              <w:rPr>
                <w:sz w:val="20"/>
                <w:szCs w:val="20"/>
              </w:rPr>
              <w:t>h</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Directo</w:t>
            </w:r>
            <w:r>
              <w:rPr>
                <w:sz w:val="20"/>
                <w:szCs w:val="20"/>
              </w:rPr>
              <w:t>r</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20"/>
                <w:szCs w:val="20"/>
              </w:rPr>
            </w:pPr>
            <w:r>
              <w:rPr>
                <w:sz w:val="20"/>
                <w:szCs w:val="20"/>
              </w:rPr>
              <w:t>February 28, 202</w:t>
            </w:r>
            <w:r>
              <w:rPr>
                <w:sz w:val="20"/>
                <w:szCs w:val="20"/>
              </w:rPr>
              <w:t>3</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center"/>
              <w:rPr>
                <w:sz w:val="20"/>
                <w:szCs w:val="20"/>
              </w:rPr>
            </w:pPr>
            <w:r>
              <w:rPr>
                <w:sz w:val="20"/>
                <w:szCs w:val="20"/>
              </w:rPr>
              <w:t>Linda Mars</w:t>
            </w:r>
            <w:r>
              <w:rPr>
                <w:sz w:val="20"/>
                <w:szCs w:val="20"/>
              </w:rPr>
              <w:t>h</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rPr>
                <w:sz w:val="16"/>
                <w:szCs w:val="16"/>
              </w:rPr>
            </w:pPr>
            <w:r>
              <w:rPr>
                <w:sz w:val="16"/>
                <w:szCs w:val="16"/>
              </w:rPr>
              <w:t> </w:t>
            </w:r>
          </w:p>
        </w:tc>
      </w:tr>
    </w:tbl>
    <w:p w:rsidR="00000000" w:rsidRDefault="00477EE8">
      <w:pPr>
        <w:pStyle w:val="a3"/>
        <w:spacing w:before="0" w:beforeAutospacing="0" w:after="0" w:afterAutospacing="0"/>
        <w:rPr>
          <w:sz w:val="20"/>
          <w:szCs w:val="20"/>
        </w:rPr>
      </w:pPr>
      <w:r>
        <w:rPr>
          <w:sz w:val="20"/>
          <w:szCs w:val="20"/>
        </w:rPr>
        <w:t> </w:t>
      </w:r>
    </w:p>
    <w:p w:rsidR="00000000" w:rsidRDefault="00477EE8">
      <w:pPr>
        <w:pStyle w:val="a3"/>
        <w:spacing w:before="240" w:beforeAutospacing="0" w:after="0" w:afterAutospacing="0"/>
        <w:jc w:val="center"/>
        <w:rPr>
          <w:sz w:val="20"/>
          <w:szCs w:val="20"/>
        </w:rPr>
      </w:pPr>
      <w:r>
        <w:rPr>
          <w:sz w:val="20"/>
          <w:szCs w:val="20"/>
        </w:rPr>
        <w:t>7</w:t>
      </w:r>
      <w:r>
        <w:rPr>
          <w:sz w:val="20"/>
          <w:szCs w:val="20"/>
        </w:rPr>
        <w:t>1</w:t>
      </w:r>
    </w:p>
    <w:p w:rsidR="00000000" w:rsidRDefault="00477EE8">
      <w:pPr>
        <w:rPr>
          <w:rFonts w:eastAsia="Times New Roman"/>
        </w:rPr>
      </w:pPr>
      <w:r>
        <w:rPr>
          <w:rFonts w:eastAsia="Times New Roman"/>
        </w:rPr>
        <w:pict>
          <v:rect id="_x0000_i1111" style="width:0;height:1.5pt" o:hralign="center" o:hrstd="t" o:hr="t" fillcolor="#a0a0a0" stroked="f"/>
        </w:pict>
      </w:r>
    </w:p>
    <w:p w:rsidR="00000000" w:rsidRDefault="00477EE8">
      <w:pPr>
        <w:pStyle w:val="a3"/>
        <w:spacing w:before="0" w:beforeAutospacing="0" w:after="0" w:afterAutospacing="0"/>
        <w:jc w:val="center"/>
        <w:rPr>
          <w:sz w:val="20"/>
          <w:szCs w:val="20"/>
        </w:rPr>
      </w:pPr>
      <w:r>
        <w:rPr>
          <w:b/>
          <w:bCs/>
          <w:sz w:val="20"/>
          <w:szCs w:val="20"/>
        </w:rPr>
        <w:t>INDEX TO CONSOLIDATED FINANCIAL STATEMENT</w:t>
      </w:r>
      <w:r>
        <w:rPr>
          <w:b/>
          <w:bCs/>
          <w:sz w:val="20"/>
          <w:szCs w:val="20"/>
        </w:rPr>
        <w:t>S</w:t>
      </w:r>
    </w:p>
    <w:p w:rsidR="00000000" w:rsidRDefault="00477EE8">
      <w:pPr>
        <w:pStyle w:val="a3"/>
        <w:spacing w:before="0" w:beforeAutospacing="0" w:after="0" w:afterAutospacing="0"/>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740"/>
        <w:gridCol w:w="112"/>
        <w:gridCol w:w="454"/>
      </w:tblGrid>
      <w:tr w:rsidR="00000000">
        <w:trPr>
          <w:tblCellSpacing w:w="15" w:type="dxa"/>
        </w:trPr>
        <w:tc>
          <w:tcPr>
            <w:tcW w:w="4700"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250" w:type="pct"/>
            <w:vAlign w:val="center"/>
            <w:hideMark/>
          </w:tcPr>
          <w:p w:rsidR="00000000" w:rsidRDefault="00477EE8">
            <w:pPr>
              <w:rPr>
                <w:rFonts w:eastAsia="Times New Roman"/>
                <w:sz w:val="20"/>
                <w:szCs w:val="20"/>
              </w:rPr>
            </w:pPr>
          </w:p>
        </w:tc>
      </w:tr>
      <w:tr w:rsidR="00000000">
        <w:trPr>
          <w:trHeight w:val="200"/>
          <w:tblCellSpacing w:w="15" w:type="dxa"/>
        </w:trPr>
        <w:tc>
          <w:tcPr>
            <w:tcW w:w="0" w:type="auto"/>
            <w:vAlign w:val="center"/>
            <w:hideMark/>
          </w:tcPr>
          <w:p w:rsidR="00000000" w:rsidRDefault="00477EE8">
            <w:pPr>
              <w:pStyle w:val="a3"/>
              <w:spacing w:before="0" w:beforeAutospacing="0" w:after="0" w:afterAutospacing="0"/>
              <w:rPr>
                <w:sz w:val="20"/>
                <w:szCs w:val="20"/>
              </w:rPr>
            </w:pPr>
            <w:hyperlink w:anchor="report_independent_registered_public_ac" w:history="1">
              <w:r>
                <w:rPr>
                  <w:rStyle w:val="a4"/>
                  <w:sz w:val="20"/>
                  <w:szCs w:val="20"/>
                </w:rPr>
                <w:t>Report of Independent Registered Public Accounting Fir</w:t>
              </w:r>
              <w:r>
                <w:rPr>
                  <w:rStyle w:val="a4"/>
                  <w:sz w:val="20"/>
                  <w:szCs w:val="20"/>
                </w:rPr>
                <w:t>m</w:t>
              </w:r>
            </w:hyperlink>
            <w:r>
              <w:rPr>
                <w:sz w:val="20"/>
                <w:szCs w:val="20"/>
              </w:rPr>
              <w:t> (PCAOB ID: 34</w:t>
            </w:r>
            <w:r>
              <w:rPr>
                <w:sz w:val="20"/>
                <w:szCs w:val="20"/>
              </w:rPr>
              <w:t>)</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F</w:t>
            </w:r>
            <w:r>
              <w:rPr>
                <w:sz w:val="20"/>
                <w:szCs w:val="20"/>
              </w:rPr>
              <w:t>-</w:t>
            </w:r>
            <w:r>
              <w:rPr>
                <w:sz w:val="20"/>
                <w:szCs w:val="20"/>
              </w:rPr>
              <w:t>2</w:t>
            </w:r>
          </w:p>
        </w:tc>
      </w:tr>
      <w:tr w:rsidR="00000000">
        <w:trPr>
          <w:trHeight w:val="58"/>
          <w:tblCellSpacing w:w="15" w:type="dxa"/>
        </w:trPr>
        <w:tc>
          <w:tcPr>
            <w:tcW w:w="0" w:type="auto"/>
            <w:tcMar>
              <w:top w:w="14" w:type="dxa"/>
              <w:left w:w="15" w:type="dxa"/>
              <w:bottom w:w="15" w:type="dxa"/>
              <w:right w:w="14" w:type="dxa"/>
            </w:tcMar>
            <w:vAlign w:val="center"/>
            <w:hideMark/>
          </w:tcPr>
          <w:p w:rsidR="00000000" w:rsidRDefault="00477EE8">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right"/>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right"/>
              <w:rPr>
                <w:sz w:val="12"/>
                <w:szCs w:val="12"/>
              </w:rPr>
            </w:pPr>
            <w:r>
              <w:rPr>
                <w:sz w:val="12"/>
                <w:szCs w:val="12"/>
              </w:rPr>
              <w:t> </w:t>
            </w:r>
          </w:p>
        </w:tc>
      </w:tr>
      <w:tr w:rsidR="00000000">
        <w:trPr>
          <w:trHeight w:val="58"/>
          <w:tblCellSpacing w:w="15" w:type="dxa"/>
        </w:trPr>
        <w:tc>
          <w:tcPr>
            <w:tcW w:w="0" w:type="auto"/>
            <w:tcMar>
              <w:top w:w="14" w:type="dxa"/>
              <w:left w:w="15" w:type="dxa"/>
              <w:bottom w:w="15" w:type="dxa"/>
              <w:right w:w="14" w:type="dxa"/>
            </w:tcMar>
            <w:vAlign w:val="center"/>
            <w:hideMark/>
          </w:tcPr>
          <w:p w:rsidR="00000000" w:rsidRDefault="00477EE8">
            <w:pPr>
              <w:pStyle w:val="a3"/>
              <w:spacing w:before="0" w:beforeAutospacing="0" w:after="0" w:afterAutospacing="0"/>
              <w:rPr>
                <w:sz w:val="20"/>
                <w:szCs w:val="20"/>
              </w:rPr>
            </w:pPr>
            <w:hyperlink w:anchor="consolidated_balance_sheet" w:history="1">
              <w:r>
                <w:rPr>
                  <w:rStyle w:val="a4"/>
                  <w:sz w:val="20"/>
                  <w:szCs w:val="20"/>
                </w:rPr>
                <w:t>Consolidated Balance Sheets as of December 31, 2022 and 202</w:t>
              </w:r>
              <w:r>
                <w:rPr>
                  <w:rStyle w:val="a4"/>
                  <w:sz w:val="20"/>
                  <w:szCs w:val="20"/>
                </w:rPr>
                <w:t>1</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right"/>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right"/>
              <w:rPr>
                <w:sz w:val="20"/>
                <w:szCs w:val="20"/>
              </w:rPr>
            </w:pPr>
            <w:r>
              <w:rPr>
                <w:sz w:val="20"/>
                <w:szCs w:val="20"/>
              </w:rPr>
              <w:t>F</w:t>
            </w:r>
            <w:r>
              <w:rPr>
                <w:sz w:val="20"/>
                <w:szCs w:val="20"/>
              </w:rPr>
              <w:t>-</w:t>
            </w:r>
            <w:r>
              <w:rPr>
                <w:sz w:val="20"/>
                <w:szCs w:val="20"/>
              </w:rPr>
              <w:t>4</w:t>
            </w:r>
          </w:p>
        </w:tc>
      </w:tr>
      <w:tr w:rsidR="00000000">
        <w:trPr>
          <w:trHeight w:val="120"/>
          <w:tblCellSpacing w:w="15" w:type="dxa"/>
        </w:trPr>
        <w:tc>
          <w:tcPr>
            <w:tcW w:w="0" w:type="auto"/>
            <w:tcMar>
              <w:top w:w="14" w:type="dxa"/>
              <w:left w:w="15" w:type="dxa"/>
              <w:bottom w:w="15" w:type="dxa"/>
              <w:right w:w="14" w:type="dxa"/>
            </w:tcMar>
            <w:vAlign w:val="center"/>
            <w:hideMark/>
          </w:tcPr>
          <w:p w:rsidR="00000000" w:rsidRDefault="00477EE8">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right"/>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477EE8">
            <w:pPr>
              <w:pStyle w:val="a3"/>
              <w:spacing w:before="0" w:beforeAutospacing="0" w:after="0" w:afterAutospacing="0"/>
              <w:rPr>
                <w:sz w:val="20"/>
                <w:szCs w:val="20"/>
              </w:rPr>
            </w:pPr>
            <w:hyperlink w:anchor="consolidated_statements_operations" w:history="1">
              <w:r>
                <w:rPr>
                  <w:rStyle w:val="a4"/>
                  <w:sz w:val="20"/>
                  <w:szCs w:val="20"/>
                </w:rPr>
                <w:t>Consolidated Statements of Income for the Years Ended December 31, 2022, 2021 and 202</w:t>
              </w:r>
              <w:r>
                <w:rPr>
                  <w:rStyle w:val="a4"/>
                  <w:sz w:val="20"/>
                  <w:szCs w:val="20"/>
                </w:rPr>
                <w:t>0</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right"/>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right"/>
              <w:rPr>
                <w:sz w:val="20"/>
                <w:szCs w:val="20"/>
              </w:rPr>
            </w:pPr>
            <w:r>
              <w:rPr>
                <w:sz w:val="20"/>
                <w:szCs w:val="20"/>
              </w:rPr>
              <w:t>F</w:t>
            </w:r>
            <w:r>
              <w:rPr>
                <w:sz w:val="20"/>
                <w:szCs w:val="20"/>
              </w:rPr>
              <w:t>-</w:t>
            </w:r>
            <w:r>
              <w:rPr>
                <w:sz w:val="20"/>
                <w:szCs w:val="20"/>
              </w:rPr>
              <w:t>5</w:t>
            </w:r>
          </w:p>
        </w:tc>
      </w:tr>
      <w:tr w:rsidR="00000000">
        <w:trPr>
          <w:trHeight w:val="120"/>
          <w:tblCellSpacing w:w="15" w:type="dxa"/>
        </w:trPr>
        <w:tc>
          <w:tcPr>
            <w:tcW w:w="0" w:type="auto"/>
            <w:tcMar>
              <w:top w:w="14" w:type="dxa"/>
              <w:left w:w="15" w:type="dxa"/>
              <w:bottom w:w="15" w:type="dxa"/>
              <w:right w:w="14" w:type="dxa"/>
            </w:tcMar>
            <w:vAlign w:val="center"/>
            <w:hideMark/>
          </w:tcPr>
          <w:p w:rsidR="00000000" w:rsidRDefault="00477EE8">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right"/>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477EE8">
            <w:pPr>
              <w:pStyle w:val="a3"/>
              <w:spacing w:before="0" w:beforeAutospacing="0" w:after="0" w:afterAutospacing="0"/>
              <w:rPr>
                <w:sz w:val="20"/>
                <w:szCs w:val="20"/>
              </w:rPr>
            </w:pPr>
            <w:hyperlink w:anchor="consolidated_stmt_of_comp_lost" w:history="1">
              <w:r>
                <w:rPr>
                  <w:rStyle w:val="a4"/>
                  <w:sz w:val="20"/>
                  <w:szCs w:val="20"/>
                </w:rPr>
                <w:t>Consolidated Statements of Comprehensive Income for the Years Ended December 31, 2022, 2021 and 202</w:t>
              </w:r>
              <w:r>
                <w:rPr>
                  <w:rStyle w:val="a4"/>
                  <w:sz w:val="20"/>
                  <w:szCs w:val="20"/>
                </w:rPr>
                <w:t>0</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right"/>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right"/>
              <w:rPr>
                <w:sz w:val="20"/>
                <w:szCs w:val="20"/>
              </w:rPr>
            </w:pPr>
            <w:r>
              <w:rPr>
                <w:sz w:val="20"/>
                <w:szCs w:val="20"/>
              </w:rPr>
              <w:t>F</w:t>
            </w:r>
            <w:r>
              <w:rPr>
                <w:sz w:val="20"/>
                <w:szCs w:val="20"/>
              </w:rPr>
              <w:t>-</w:t>
            </w:r>
            <w:r>
              <w:rPr>
                <w:sz w:val="20"/>
                <w:szCs w:val="20"/>
              </w:rPr>
              <w:t>6</w:t>
            </w:r>
          </w:p>
        </w:tc>
      </w:tr>
      <w:tr w:rsidR="00000000">
        <w:trPr>
          <w:trHeight w:val="130"/>
          <w:tblCellSpacing w:w="15" w:type="dxa"/>
        </w:trPr>
        <w:tc>
          <w:tcPr>
            <w:tcW w:w="0" w:type="auto"/>
            <w:tcMar>
              <w:top w:w="14" w:type="dxa"/>
              <w:left w:w="15" w:type="dxa"/>
              <w:bottom w:w="15" w:type="dxa"/>
              <w:right w:w="14" w:type="dxa"/>
            </w:tcMar>
            <w:vAlign w:val="center"/>
            <w:hideMark/>
          </w:tcPr>
          <w:p w:rsidR="00000000" w:rsidRDefault="00477EE8">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right"/>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right"/>
              <w:rPr>
                <w:sz w:val="12"/>
                <w:szCs w:val="12"/>
              </w:rPr>
            </w:pPr>
            <w:r>
              <w:rPr>
                <w:sz w:val="12"/>
                <w:szCs w:val="12"/>
              </w:rPr>
              <w:t> </w:t>
            </w:r>
          </w:p>
        </w:tc>
      </w:tr>
      <w:tr w:rsidR="00000000">
        <w:trPr>
          <w:trHeight w:val="58"/>
          <w:tblCellSpacing w:w="15" w:type="dxa"/>
        </w:trPr>
        <w:tc>
          <w:tcPr>
            <w:tcW w:w="0" w:type="auto"/>
            <w:tcMar>
              <w:top w:w="14" w:type="dxa"/>
              <w:left w:w="15" w:type="dxa"/>
              <w:bottom w:w="15" w:type="dxa"/>
              <w:right w:w="14" w:type="dxa"/>
            </w:tcMar>
            <w:vAlign w:val="center"/>
            <w:hideMark/>
          </w:tcPr>
          <w:p w:rsidR="00000000" w:rsidRDefault="00477EE8">
            <w:pPr>
              <w:pStyle w:val="a3"/>
              <w:spacing w:before="0" w:beforeAutospacing="0" w:after="0" w:afterAutospacing="0"/>
              <w:rPr>
                <w:sz w:val="20"/>
                <w:szCs w:val="20"/>
              </w:rPr>
            </w:pPr>
            <w:hyperlink w:anchor="consolidated_stmt_of_stockholdres" w:history="1">
              <w:r>
                <w:rPr>
                  <w:rStyle w:val="a4"/>
                  <w:sz w:val="20"/>
                  <w:szCs w:val="20"/>
                </w:rPr>
                <w:t>Consolidated Statements of Stockholders’ Equity for the Years Ended December 31, 2022, 2021 and 202</w:t>
              </w:r>
              <w:r>
                <w:rPr>
                  <w:rStyle w:val="a4"/>
                  <w:sz w:val="20"/>
                  <w:szCs w:val="20"/>
                </w:rPr>
                <w:t>0</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right"/>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right"/>
              <w:rPr>
                <w:sz w:val="20"/>
                <w:szCs w:val="20"/>
              </w:rPr>
            </w:pPr>
            <w:r>
              <w:rPr>
                <w:sz w:val="20"/>
                <w:szCs w:val="20"/>
              </w:rPr>
              <w:t>F</w:t>
            </w:r>
            <w:r>
              <w:rPr>
                <w:sz w:val="20"/>
                <w:szCs w:val="20"/>
              </w:rPr>
              <w:t>-</w:t>
            </w:r>
            <w:r>
              <w:rPr>
                <w:sz w:val="20"/>
                <w:szCs w:val="20"/>
              </w:rPr>
              <w:t>7</w:t>
            </w:r>
          </w:p>
        </w:tc>
      </w:tr>
      <w:tr w:rsidR="00000000">
        <w:trPr>
          <w:trHeight w:val="120"/>
          <w:tblCellSpacing w:w="15" w:type="dxa"/>
        </w:trPr>
        <w:tc>
          <w:tcPr>
            <w:tcW w:w="0" w:type="auto"/>
            <w:tcMar>
              <w:top w:w="14" w:type="dxa"/>
              <w:left w:w="15" w:type="dxa"/>
              <w:bottom w:w="15" w:type="dxa"/>
              <w:right w:w="14" w:type="dxa"/>
            </w:tcMar>
            <w:vAlign w:val="center"/>
            <w:hideMark/>
          </w:tcPr>
          <w:p w:rsidR="00000000" w:rsidRDefault="00477EE8">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right"/>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477EE8">
            <w:pPr>
              <w:pStyle w:val="a3"/>
              <w:spacing w:before="0" w:beforeAutospacing="0" w:after="0" w:afterAutospacing="0"/>
              <w:rPr>
                <w:sz w:val="20"/>
                <w:szCs w:val="20"/>
              </w:rPr>
            </w:pPr>
            <w:hyperlink w:anchor="consolidated_statements_cash_flows" w:history="1">
              <w:r>
                <w:rPr>
                  <w:rStyle w:val="a4"/>
                  <w:sz w:val="20"/>
                  <w:szCs w:val="20"/>
                </w:rPr>
                <w:t>Consolidated Statements of Cash Flows for the Years Ended December 31, 2022, 2021 and 202</w:t>
              </w:r>
              <w:r>
                <w:rPr>
                  <w:rStyle w:val="a4"/>
                  <w:sz w:val="20"/>
                  <w:szCs w:val="20"/>
                </w:rPr>
                <w:t>0</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right"/>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right"/>
              <w:rPr>
                <w:sz w:val="20"/>
                <w:szCs w:val="20"/>
              </w:rPr>
            </w:pPr>
            <w:r>
              <w:rPr>
                <w:sz w:val="20"/>
                <w:szCs w:val="20"/>
              </w:rPr>
              <w:t>F</w:t>
            </w:r>
            <w:r>
              <w:rPr>
                <w:sz w:val="20"/>
                <w:szCs w:val="20"/>
              </w:rPr>
              <w:t>-</w:t>
            </w:r>
            <w:r>
              <w:rPr>
                <w:sz w:val="20"/>
                <w:szCs w:val="20"/>
              </w:rPr>
              <w:t>1</w:t>
            </w:r>
            <w:r>
              <w:rPr>
                <w:sz w:val="20"/>
                <w:szCs w:val="20"/>
              </w:rPr>
              <w:t>0</w:t>
            </w:r>
          </w:p>
        </w:tc>
      </w:tr>
      <w:tr w:rsidR="00000000">
        <w:trPr>
          <w:trHeight w:val="120"/>
          <w:tblCellSpacing w:w="15" w:type="dxa"/>
        </w:trPr>
        <w:tc>
          <w:tcPr>
            <w:tcW w:w="0" w:type="auto"/>
            <w:tcMar>
              <w:top w:w="14" w:type="dxa"/>
              <w:left w:w="15" w:type="dxa"/>
              <w:bottom w:w="15" w:type="dxa"/>
              <w:right w:w="14" w:type="dxa"/>
            </w:tcMar>
            <w:vAlign w:val="center"/>
            <w:hideMark/>
          </w:tcPr>
          <w:p w:rsidR="00000000" w:rsidRDefault="00477EE8">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right"/>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477EE8">
            <w:pPr>
              <w:pStyle w:val="a3"/>
              <w:spacing w:before="0" w:beforeAutospacing="0" w:after="0" w:afterAutospacing="0"/>
              <w:rPr>
                <w:sz w:val="20"/>
                <w:szCs w:val="20"/>
              </w:rPr>
            </w:pPr>
            <w:hyperlink w:anchor="notes_to_consolidated_financial_stateme" w:history="1">
              <w:r>
                <w:rPr>
                  <w:rStyle w:val="a4"/>
                  <w:sz w:val="20"/>
                  <w:szCs w:val="20"/>
                </w:rPr>
                <w:t>Notes to Consolidated Financial</w:t>
              </w:r>
              <w:r>
                <w:rPr>
                  <w:rStyle w:val="a4"/>
                  <w:sz w:val="20"/>
                  <w:szCs w:val="20"/>
                </w:rPr>
                <w:t xml:space="preserve"> Statement</w:t>
              </w:r>
              <w:r>
                <w:rPr>
                  <w:rStyle w:val="a4"/>
                  <w:sz w:val="20"/>
                  <w:szCs w:val="20"/>
                </w:rPr>
                <w:t>s</w:t>
              </w:r>
            </w:hyperlink>
          </w:p>
        </w:tc>
        <w:tc>
          <w:tcPr>
            <w:tcW w:w="0" w:type="auto"/>
            <w:tcMar>
              <w:top w:w="14" w:type="dxa"/>
              <w:left w:w="15" w:type="dxa"/>
              <w:bottom w:w="15" w:type="dxa"/>
              <w:right w:w="14" w:type="dxa"/>
            </w:tcMar>
            <w:hideMark/>
          </w:tcPr>
          <w:p w:rsidR="00000000" w:rsidRDefault="00477EE8">
            <w:pPr>
              <w:pStyle w:val="a3"/>
              <w:spacing w:before="0" w:beforeAutospacing="0" w:after="0" w:afterAutospacing="0"/>
              <w:jc w:val="right"/>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77EE8">
            <w:pPr>
              <w:pStyle w:val="a3"/>
              <w:spacing w:before="0" w:beforeAutospacing="0" w:after="0" w:afterAutospacing="0"/>
              <w:jc w:val="right"/>
              <w:rPr>
                <w:sz w:val="20"/>
                <w:szCs w:val="20"/>
              </w:rPr>
            </w:pPr>
            <w:r>
              <w:rPr>
                <w:sz w:val="20"/>
                <w:szCs w:val="20"/>
              </w:rPr>
              <w:t>F</w:t>
            </w:r>
            <w:r>
              <w:rPr>
                <w:sz w:val="20"/>
                <w:szCs w:val="20"/>
              </w:rPr>
              <w:t>-</w:t>
            </w:r>
            <w:r>
              <w:rPr>
                <w:sz w:val="20"/>
                <w:szCs w:val="20"/>
              </w:rPr>
              <w:t>1</w:t>
            </w:r>
            <w:r>
              <w:rPr>
                <w:sz w:val="20"/>
                <w:szCs w:val="20"/>
              </w:rPr>
              <w:t>1</w:t>
            </w:r>
          </w:p>
        </w:tc>
      </w:tr>
    </w:tbl>
    <w:p w:rsidR="00000000" w:rsidRDefault="00477EE8">
      <w:pPr>
        <w:pStyle w:val="a3"/>
        <w:spacing w:before="0" w:beforeAutospacing="0" w:after="0" w:afterAutospacing="0"/>
        <w:rPr>
          <w:sz w:val="20"/>
          <w:szCs w:val="20"/>
        </w:rPr>
      </w:pPr>
      <w:r>
        <w:rPr>
          <w:sz w:val="20"/>
          <w:szCs w:val="20"/>
        </w:rPr>
        <w:t> </w:t>
      </w:r>
    </w:p>
    <w:p w:rsidR="00000000" w:rsidRDefault="00477EE8">
      <w:pPr>
        <w:pStyle w:val="a3"/>
        <w:spacing w:before="240" w:beforeAutospacing="0" w:after="0" w:afterAutospacing="0"/>
        <w:jc w:val="center"/>
        <w:rPr>
          <w:sz w:val="20"/>
          <w:szCs w:val="20"/>
        </w:rPr>
      </w:pPr>
      <w:r>
        <w:rPr>
          <w:sz w:val="20"/>
          <w:szCs w:val="20"/>
        </w:rPr>
        <w:t>F</w:t>
      </w:r>
      <w:r>
        <w:rPr>
          <w:sz w:val="20"/>
          <w:szCs w:val="20"/>
        </w:rPr>
        <w:t>-</w:t>
      </w:r>
      <w:r>
        <w:rPr>
          <w:sz w:val="20"/>
          <w:szCs w:val="20"/>
        </w:rPr>
        <w:t>1</w:t>
      </w:r>
    </w:p>
    <w:p w:rsidR="00000000" w:rsidRDefault="00477EE8">
      <w:pPr>
        <w:rPr>
          <w:rFonts w:eastAsia="Times New Roman"/>
        </w:rPr>
      </w:pPr>
      <w:r>
        <w:rPr>
          <w:rFonts w:eastAsia="Times New Roman"/>
        </w:rPr>
        <w:pict>
          <v:rect id="_x0000_i1112" style="width:0;height:1.5pt" o:hralign="center" o:hrstd="t" o:hr="t" fillcolor="#a0a0a0" stroked="f"/>
        </w:pict>
      </w:r>
    </w:p>
    <w:p w:rsidR="00000000" w:rsidRDefault="00477EE8">
      <w:pPr>
        <w:pStyle w:val="a3"/>
        <w:spacing w:before="0" w:beforeAutospacing="0" w:after="0" w:afterAutospacing="0"/>
        <w:rPr>
          <w:sz w:val="20"/>
          <w:szCs w:val="20"/>
        </w:rPr>
      </w:pPr>
      <w:r>
        <w:rPr>
          <w:b/>
          <w:bCs/>
          <w:sz w:val="20"/>
          <w:szCs w:val="20"/>
        </w:rPr>
        <w:t>REPORT OF INDEPENDENT REGIS</w:t>
      </w:r>
      <w:r>
        <w:rPr>
          <w:b/>
          <w:bCs/>
          <w:sz w:val="20"/>
          <w:szCs w:val="20"/>
        </w:rPr>
        <w:t>T</w:t>
      </w:r>
      <w:r>
        <w:rPr>
          <w:b/>
          <w:bCs/>
          <w:sz w:val="20"/>
          <w:szCs w:val="20"/>
        </w:rPr>
        <w:t>ERED PUBLIC ACCOUNTING FIR</w:t>
      </w:r>
      <w:r>
        <w:rPr>
          <w:b/>
          <w:bCs/>
          <w:sz w:val="20"/>
          <w:szCs w:val="20"/>
        </w:rPr>
        <w:t>M</w:t>
      </w:r>
      <w:r>
        <w:rPr>
          <w:sz w:val="20"/>
          <w:szCs w:val="20"/>
        </w:rPr>
        <w:t xml:space="preserve"> </w:t>
      </w:r>
    </w:p>
    <w:p w:rsidR="00000000" w:rsidRDefault="00477EE8">
      <w:pPr>
        <w:pStyle w:val="a3"/>
        <w:spacing w:before="0" w:beforeAutospacing="0" w:after="0" w:afterAutospacing="0"/>
        <w:rPr>
          <w:sz w:val="20"/>
          <w:szCs w:val="20"/>
        </w:rPr>
      </w:pPr>
      <w:r>
        <w:rPr>
          <w:sz w:val="12"/>
          <w:szCs w:val="12"/>
        </w:rPr>
        <w:t> </w:t>
      </w:r>
    </w:p>
    <w:p w:rsidR="00000000" w:rsidRDefault="00477EE8">
      <w:pPr>
        <w:pStyle w:val="a3"/>
        <w:spacing w:before="120" w:beforeAutospacing="0" w:after="0" w:afterAutospacing="0"/>
        <w:rPr>
          <w:sz w:val="20"/>
          <w:szCs w:val="20"/>
        </w:rPr>
      </w:pPr>
      <w:r>
        <w:rPr>
          <w:sz w:val="20"/>
          <w:szCs w:val="20"/>
        </w:rPr>
        <w:t>To the stockholders and the Board of Directors of Fulgent Genetics, Inc</w:t>
      </w:r>
      <w:r>
        <w:rPr>
          <w:sz w:val="20"/>
          <w:szCs w:val="20"/>
        </w:rPr>
        <w:t>.</w:t>
      </w:r>
      <w:r>
        <w:rPr>
          <w:sz w:val="20"/>
          <w:szCs w:val="20"/>
        </w:rPr>
        <w:t xml:space="preserve"> </w:t>
      </w:r>
    </w:p>
    <w:p w:rsidR="00000000" w:rsidRDefault="00477EE8">
      <w:pPr>
        <w:pStyle w:val="a3"/>
        <w:spacing w:before="120" w:beforeAutospacing="0" w:after="0" w:afterAutospacing="0"/>
        <w:rPr>
          <w:sz w:val="20"/>
          <w:szCs w:val="20"/>
        </w:rPr>
      </w:pPr>
      <w:r>
        <w:rPr>
          <w:b/>
          <w:bCs/>
          <w:sz w:val="20"/>
          <w:szCs w:val="20"/>
        </w:rPr>
        <w:t>Opinion on the Financial Statement</w:t>
      </w:r>
      <w:r>
        <w:rPr>
          <w:b/>
          <w:bCs/>
          <w:sz w:val="20"/>
          <w:szCs w:val="20"/>
        </w:rPr>
        <w:t>s</w:t>
      </w:r>
    </w:p>
    <w:p w:rsidR="00000000" w:rsidRDefault="00477EE8">
      <w:pPr>
        <w:pStyle w:val="a3"/>
        <w:spacing w:before="120" w:beforeAutospacing="0" w:after="0" w:afterAutospacing="0"/>
        <w:rPr>
          <w:sz w:val="20"/>
          <w:szCs w:val="20"/>
        </w:rPr>
      </w:pPr>
      <w:r>
        <w:rPr>
          <w:sz w:val="20"/>
          <w:szCs w:val="20"/>
        </w:rPr>
        <w:t>We have audited the accompanying consolidated balan</w:t>
      </w:r>
      <w:r>
        <w:rPr>
          <w:sz w:val="20"/>
          <w:szCs w:val="20"/>
        </w:rPr>
        <w:t>ce sheets of Fulgent Genetics, Inc. and subsidiaries (the "Company") as of December 31, 2022, and 2021, the related consolidated statements of income, comprehensive income, stockholders' equity, and cash flows, for each of the three years in the period end</w:t>
      </w:r>
      <w:r>
        <w:rPr>
          <w:sz w:val="20"/>
          <w:szCs w:val="20"/>
        </w:rPr>
        <w:t>ed December 31, 2022, and the related notes (collectively referred to as the "financial statements"). In our opinion, the financial statements present fairly, in all material respects, the financial position of the Company as of December 31, 2022, and 2021</w:t>
      </w:r>
      <w:r>
        <w:rPr>
          <w:sz w:val="20"/>
          <w:szCs w:val="20"/>
        </w:rPr>
        <w:t>, and the results of its operations and its cash flows for each of the three years in the period ended December 31, 2022, in conformity with accounting principles generally accepted in the United States of America</w:t>
      </w:r>
      <w:r>
        <w:rPr>
          <w:sz w:val="20"/>
          <w:szCs w:val="20"/>
        </w:rPr>
        <w:t>.</w:t>
      </w:r>
    </w:p>
    <w:p w:rsidR="00000000" w:rsidRDefault="00477EE8">
      <w:pPr>
        <w:pStyle w:val="a3"/>
        <w:spacing w:before="240" w:beforeAutospacing="0" w:after="0" w:afterAutospacing="0"/>
        <w:rPr>
          <w:sz w:val="20"/>
          <w:szCs w:val="20"/>
        </w:rPr>
      </w:pPr>
      <w:r>
        <w:rPr>
          <w:sz w:val="20"/>
          <w:szCs w:val="20"/>
        </w:rPr>
        <w:t xml:space="preserve">We have also audited, in accordance with </w:t>
      </w:r>
      <w:r>
        <w:rPr>
          <w:sz w:val="20"/>
          <w:szCs w:val="20"/>
        </w:rPr>
        <w:t>the standards of the Public Company Accounting Oversight Board (United States) (PCAOB), the Company's internal control over financial reporting as of December 31, 2022, based on criteria established in</w:t>
      </w:r>
      <w:r>
        <w:rPr>
          <w:sz w:val="20"/>
          <w:szCs w:val="20"/>
        </w:rPr>
        <w:t xml:space="preserve"> </w:t>
      </w:r>
      <w:r>
        <w:rPr>
          <w:i/>
          <w:iCs/>
          <w:sz w:val="20"/>
          <w:szCs w:val="20"/>
        </w:rPr>
        <w:t>Internal Control — Integrated Framework (2013</w:t>
      </w:r>
      <w:r>
        <w:rPr>
          <w:i/>
          <w:iCs/>
          <w:sz w:val="20"/>
          <w:szCs w:val="20"/>
        </w:rPr>
        <w:t>)</w:t>
      </w:r>
      <w:r>
        <w:rPr>
          <w:sz w:val="20"/>
          <w:szCs w:val="20"/>
        </w:rPr>
        <w:t xml:space="preserve"> issued </w:t>
      </w:r>
      <w:r>
        <w:rPr>
          <w:sz w:val="20"/>
          <w:szCs w:val="20"/>
        </w:rPr>
        <w:t>by the Committee of Sponsoring Organizations of the Treadway Commission and our report dated February 28, 2023, expressed an unqualified opinion on the Company's internal control over financial reporting</w:t>
      </w:r>
      <w:r>
        <w:rPr>
          <w:sz w:val="20"/>
          <w:szCs w:val="20"/>
        </w:rPr>
        <w:t>.</w:t>
      </w:r>
      <w:r>
        <w:rPr>
          <w:sz w:val="20"/>
          <w:szCs w:val="20"/>
        </w:rPr>
        <w:t xml:space="preserve"> </w:t>
      </w:r>
    </w:p>
    <w:p w:rsidR="00000000" w:rsidRDefault="00477EE8">
      <w:pPr>
        <w:pStyle w:val="a3"/>
        <w:spacing w:before="240" w:beforeAutospacing="0" w:after="0" w:afterAutospacing="0"/>
        <w:rPr>
          <w:sz w:val="20"/>
          <w:szCs w:val="20"/>
        </w:rPr>
      </w:pPr>
      <w:r>
        <w:rPr>
          <w:b/>
          <w:bCs/>
          <w:sz w:val="20"/>
          <w:szCs w:val="20"/>
        </w:rPr>
        <w:t>Basis for Opinio</w:t>
      </w:r>
      <w:r>
        <w:rPr>
          <w:b/>
          <w:bCs/>
          <w:sz w:val="20"/>
          <w:szCs w:val="20"/>
        </w:rPr>
        <w:t>n</w:t>
      </w:r>
    </w:p>
    <w:p w:rsidR="00000000" w:rsidRDefault="00477EE8">
      <w:pPr>
        <w:pStyle w:val="a3"/>
        <w:spacing w:before="120" w:beforeAutospacing="0" w:after="0" w:afterAutospacing="0"/>
        <w:rPr>
          <w:sz w:val="20"/>
          <w:szCs w:val="20"/>
        </w:rPr>
      </w:pPr>
      <w:r>
        <w:rPr>
          <w:sz w:val="20"/>
          <w:szCs w:val="20"/>
        </w:rPr>
        <w:t>These financial statements are t</w:t>
      </w:r>
      <w:r>
        <w:rPr>
          <w:sz w:val="20"/>
          <w:szCs w:val="20"/>
        </w:rPr>
        <w:t xml:space="preserve">he responsibility of the Company's management. Our responsibility is to express an opinion on the Company's financial statements based on our audits. We are a public accounting firm registered with the PCAOB and are required to be independent with respect </w:t>
      </w:r>
      <w:r>
        <w:rPr>
          <w:sz w:val="20"/>
          <w:szCs w:val="20"/>
        </w:rPr>
        <w:t>to the Company in accordance with the U.S. federal securities laws and the applicable rules and regulations of the Securities and Exchange Commission and the PCAOB</w:t>
      </w:r>
      <w:r>
        <w:rPr>
          <w:sz w:val="20"/>
          <w:szCs w:val="20"/>
        </w:rPr>
        <w:t>.</w:t>
      </w:r>
    </w:p>
    <w:p w:rsidR="00000000" w:rsidRDefault="00477EE8">
      <w:pPr>
        <w:pStyle w:val="a3"/>
        <w:spacing w:before="240" w:beforeAutospacing="0" w:after="0" w:afterAutospacing="0"/>
        <w:rPr>
          <w:sz w:val="20"/>
          <w:szCs w:val="20"/>
        </w:rPr>
      </w:pPr>
      <w:r>
        <w:rPr>
          <w:sz w:val="20"/>
          <w:szCs w:val="20"/>
        </w:rPr>
        <w:t>We conducted our audits in accordance with the standards of the PCAOB. Those standards requ</w:t>
      </w:r>
      <w:r>
        <w:rPr>
          <w:sz w:val="20"/>
          <w:szCs w:val="20"/>
        </w:rPr>
        <w:t>ire that we plan and perform the audit to obtain reasonable assurance about whether the financial statements are free of material misstatement, whether due to error or fraud. Our audits included performing procedures to assess the risks of material misstat</w:t>
      </w:r>
      <w:r>
        <w:rPr>
          <w:sz w:val="20"/>
          <w:szCs w:val="20"/>
        </w:rPr>
        <w:t>ement of the financial statements, whether due to error or fraud, and performing procedures that respond to those risks. Such procedures included examining, on a test basis, evidence regarding the amounts and disclosures in the financial statements. Our au</w:t>
      </w:r>
      <w:r>
        <w:rPr>
          <w:sz w:val="20"/>
          <w:szCs w:val="20"/>
        </w:rPr>
        <w:t>dits also included evaluating the accounting principles used and significant estimates made by management, as well as evaluating the overall presentation of the financial statements. We believe that our audits provide a reasonable basis for our opinion</w:t>
      </w:r>
      <w:r>
        <w:rPr>
          <w:sz w:val="20"/>
          <w:szCs w:val="20"/>
        </w:rPr>
        <w:t>.</w:t>
      </w:r>
    </w:p>
    <w:p w:rsidR="00000000" w:rsidRDefault="00477EE8">
      <w:pPr>
        <w:pStyle w:val="a3"/>
        <w:spacing w:before="240" w:beforeAutospacing="0" w:after="0" w:afterAutospacing="0"/>
        <w:rPr>
          <w:sz w:val="20"/>
          <w:szCs w:val="20"/>
        </w:rPr>
      </w:pPr>
      <w:r>
        <w:rPr>
          <w:b/>
          <w:bCs/>
          <w:sz w:val="20"/>
          <w:szCs w:val="20"/>
        </w:rPr>
        <w:t>Cr</w:t>
      </w:r>
      <w:r>
        <w:rPr>
          <w:b/>
          <w:bCs/>
          <w:sz w:val="20"/>
          <w:szCs w:val="20"/>
        </w:rPr>
        <w:t>itical Audit Matter</w:t>
      </w:r>
      <w:r>
        <w:rPr>
          <w:b/>
          <w:bCs/>
          <w:sz w:val="20"/>
          <w:szCs w:val="20"/>
        </w:rPr>
        <w:t>s</w:t>
      </w:r>
    </w:p>
    <w:p w:rsidR="00000000" w:rsidRDefault="00477EE8">
      <w:pPr>
        <w:pStyle w:val="a3"/>
        <w:spacing w:before="120" w:beforeAutospacing="0" w:after="0" w:afterAutospacing="0"/>
        <w:rPr>
          <w:sz w:val="20"/>
          <w:szCs w:val="20"/>
        </w:rPr>
      </w:pPr>
      <w:r>
        <w:rPr>
          <w:sz w:val="20"/>
          <w:szCs w:val="20"/>
        </w:rPr>
        <w:t>The critical audit matters communicated below are matters arising from the current-period audit of the financial statements that were communicated or required to be communicated to the audit committee and that (1) relate to accounts or</w:t>
      </w:r>
      <w:r>
        <w:rPr>
          <w:sz w:val="20"/>
          <w:szCs w:val="20"/>
        </w:rPr>
        <w:t xml:space="preserve"> disclosures that are material to the financial statements and (2) involved our especially challenging, subjective, or complex judgments. The communication of critical audit matters does not alter in any way our opinion on the financial statements, taken a</w:t>
      </w:r>
      <w:r>
        <w:rPr>
          <w:sz w:val="20"/>
          <w:szCs w:val="20"/>
        </w:rPr>
        <w:t>s a whole, and we are not, by communicating the critical audit matters below, providing separate opinions on the critical audit matters or on the accounts or disclosures to which they relate</w:t>
      </w:r>
      <w:r>
        <w:rPr>
          <w:sz w:val="20"/>
          <w:szCs w:val="20"/>
        </w:rPr>
        <w:t>.</w:t>
      </w:r>
    </w:p>
    <w:p w:rsidR="00000000" w:rsidRDefault="00477EE8">
      <w:pPr>
        <w:pStyle w:val="a3"/>
        <w:spacing w:before="240" w:beforeAutospacing="0" w:after="0" w:afterAutospacing="0"/>
        <w:rPr>
          <w:sz w:val="20"/>
          <w:szCs w:val="20"/>
        </w:rPr>
      </w:pPr>
      <w:r>
        <w:rPr>
          <w:b/>
          <w:bCs/>
          <w:sz w:val="20"/>
          <w:szCs w:val="20"/>
        </w:rPr>
        <w:t xml:space="preserve">Business Combinations—Inform Diagnostics Acquisition — Refer to </w:t>
      </w:r>
      <w:r>
        <w:rPr>
          <w:b/>
          <w:bCs/>
          <w:sz w:val="20"/>
          <w:szCs w:val="20"/>
        </w:rPr>
        <w:t>Notes 2 and 15 to the financial statement</w:t>
      </w:r>
      <w:r>
        <w:rPr>
          <w:b/>
          <w:bCs/>
          <w:sz w:val="20"/>
          <w:szCs w:val="20"/>
        </w:rPr>
        <w:t>s</w:t>
      </w:r>
      <w:r>
        <w:rPr>
          <w:b/>
          <w:bCs/>
          <w:sz w:val="20"/>
          <w:szCs w:val="20"/>
        </w:rPr>
        <w:t xml:space="preserve"> </w:t>
      </w:r>
    </w:p>
    <w:p w:rsidR="00000000" w:rsidRDefault="00477EE8">
      <w:pPr>
        <w:pStyle w:val="a3"/>
        <w:spacing w:before="120" w:beforeAutospacing="0" w:after="0" w:afterAutospacing="0"/>
        <w:rPr>
          <w:sz w:val="20"/>
          <w:szCs w:val="20"/>
        </w:rPr>
      </w:pPr>
      <w:r>
        <w:rPr>
          <w:i/>
          <w:iCs/>
          <w:sz w:val="20"/>
          <w:szCs w:val="20"/>
        </w:rPr>
        <w:t>Critical Audit Matter Descriptio</w:t>
      </w:r>
      <w:r>
        <w:rPr>
          <w:i/>
          <w:iCs/>
          <w:sz w:val="20"/>
          <w:szCs w:val="20"/>
        </w:rPr>
        <w:t>n</w:t>
      </w:r>
    </w:p>
    <w:p w:rsidR="00000000" w:rsidRDefault="00477EE8">
      <w:pPr>
        <w:pStyle w:val="a3"/>
        <w:spacing w:before="120" w:beforeAutospacing="0" w:after="0" w:afterAutospacing="0"/>
        <w:rPr>
          <w:sz w:val="20"/>
          <w:szCs w:val="20"/>
        </w:rPr>
      </w:pPr>
      <w:r>
        <w:rPr>
          <w:sz w:val="20"/>
          <w:szCs w:val="20"/>
        </w:rPr>
        <w:t>The Company completed the acquisition of Symphony Buyer, Inc., or Inform Diagnostics on April 26, 2022, and accounted for the transaction under the acquisition method of accounti</w:t>
      </w:r>
      <w:r>
        <w:rPr>
          <w:sz w:val="20"/>
          <w:szCs w:val="20"/>
        </w:rPr>
        <w:t xml:space="preserve">ng for business combinations. The Company allocated the purchase price to tangible and identified intangible assets acquired and liabilities assumed based on their respective fair values, including a customer relationship intangible asset in the amount of </w:t>
      </w:r>
      <w:r>
        <w:rPr>
          <w:sz w:val="20"/>
          <w:szCs w:val="20"/>
        </w:rPr>
        <w:t>$54.0 million. Management estimated the fair value of the customer relationship intangible asset using the multi-period excess earnings method, which is a specific discounted cash flow method. The fair value determination of the customer relationship intan</w:t>
      </w:r>
      <w:r>
        <w:rPr>
          <w:sz w:val="20"/>
          <w:szCs w:val="20"/>
        </w:rPr>
        <w:t>gible asset required management to make significant estimates and assumptions related to future cash flows and the of the discount rate</w:t>
      </w:r>
      <w:r>
        <w:rPr>
          <w:sz w:val="20"/>
          <w:szCs w:val="20"/>
        </w:rPr>
        <w:t>.</w:t>
      </w:r>
    </w:p>
    <w:p w:rsidR="00000000" w:rsidRDefault="00477EE8">
      <w:pPr>
        <w:pStyle w:val="a3"/>
        <w:spacing w:before="240" w:beforeAutospacing="0" w:after="0" w:afterAutospacing="0"/>
        <w:rPr>
          <w:sz w:val="20"/>
          <w:szCs w:val="20"/>
        </w:rPr>
      </w:pPr>
      <w:r>
        <w:rPr>
          <w:sz w:val="20"/>
          <w:szCs w:val="20"/>
        </w:rPr>
        <w:t>We identified the customer relationship intangible asset for Inform Diagnostics as a critical audit matter because of t</w:t>
      </w:r>
      <w:r>
        <w:rPr>
          <w:sz w:val="20"/>
          <w:szCs w:val="20"/>
        </w:rPr>
        <w:t>he significant estimates and assumptions management makes to fair value this asset. This required a high degree of auditor judgment and an increased extent of effort, including the need to involve our fair value specialists, when performing audit procedure</w:t>
      </w:r>
      <w:r>
        <w:rPr>
          <w:sz w:val="20"/>
          <w:szCs w:val="20"/>
        </w:rPr>
        <w:t>s to evaluate the reasonableness of management’s forecasts of future cash flows and the selection of the discount rate for the customer relationship intangible asset</w:t>
      </w:r>
      <w:r>
        <w:rPr>
          <w:sz w:val="20"/>
          <w:szCs w:val="20"/>
        </w:rPr>
        <w:t>.</w:t>
      </w:r>
    </w:p>
    <w:p w:rsidR="00000000" w:rsidRDefault="00477EE8">
      <w:pPr>
        <w:pStyle w:val="a3"/>
        <w:spacing w:before="240" w:beforeAutospacing="0" w:after="0" w:afterAutospacing="0"/>
        <w:rPr>
          <w:sz w:val="20"/>
          <w:szCs w:val="20"/>
        </w:rPr>
      </w:pPr>
      <w:r>
        <w:rPr>
          <w:i/>
          <w:iCs/>
          <w:sz w:val="20"/>
          <w:szCs w:val="20"/>
        </w:rPr>
        <w:t>How the Critical Audit Matter Was Addressed in the Audi</w:t>
      </w:r>
      <w:r>
        <w:rPr>
          <w:i/>
          <w:iCs/>
          <w:sz w:val="20"/>
          <w:szCs w:val="20"/>
        </w:rPr>
        <w:t>t</w:t>
      </w:r>
    </w:p>
    <w:p w:rsidR="00000000" w:rsidRDefault="00477EE8">
      <w:pPr>
        <w:pStyle w:val="a3"/>
        <w:spacing w:before="240" w:beforeAutospacing="0" w:after="0" w:afterAutospacing="0"/>
        <w:jc w:val="center"/>
        <w:rPr>
          <w:sz w:val="20"/>
          <w:szCs w:val="20"/>
        </w:rPr>
      </w:pPr>
      <w:r>
        <w:rPr>
          <w:sz w:val="20"/>
          <w:szCs w:val="20"/>
        </w:rPr>
        <w:t>F</w:t>
      </w:r>
      <w:r>
        <w:rPr>
          <w:sz w:val="20"/>
          <w:szCs w:val="20"/>
        </w:rPr>
        <w:t>-</w:t>
      </w:r>
      <w:r>
        <w:rPr>
          <w:sz w:val="20"/>
          <w:szCs w:val="20"/>
        </w:rPr>
        <w:t>2</w:t>
      </w:r>
    </w:p>
    <w:p w:rsidR="00000000" w:rsidRDefault="00477EE8">
      <w:pPr>
        <w:rPr>
          <w:rFonts w:eastAsia="Times New Roman"/>
        </w:rPr>
      </w:pPr>
      <w:r>
        <w:rPr>
          <w:rFonts w:eastAsia="Times New Roman"/>
        </w:rPr>
        <w:pict>
          <v:rect id="_x0000_i1113" style="width:0;height:1.5pt" o:hralign="center" o:hrstd="t" o:hr="t" fillcolor="#a0a0a0" stroked="f"/>
        </w:pict>
      </w:r>
    </w:p>
    <w:p w:rsidR="00000000" w:rsidRDefault="00477EE8">
      <w:pPr>
        <w:pStyle w:val="a3"/>
        <w:spacing w:before="120" w:beforeAutospacing="0" w:after="0" w:afterAutospacing="0"/>
        <w:rPr>
          <w:sz w:val="20"/>
          <w:szCs w:val="20"/>
        </w:rPr>
      </w:pPr>
      <w:r>
        <w:rPr>
          <w:sz w:val="20"/>
          <w:szCs w:val="20"/>
        </w:rPr>
        <w:t>Our audit procedures related to forecasts of future cash flows and the selection of the discount rate for the customer relationship intangible asset included the following, among others</w:t>
      </w:r>
      <w:r>
        <w:rPr>
          <w:sz w:val="20"/>
          <w:szCs w:val="20"/>
        </w:rPr>
        <w:t>:</w:t>
      </w:r>
      <w:r>
        <w:rPr>
          <w:sz w:val="20"/>
          <w:szCs w:val="20"/>
        </w:rPr>
        <w:t xml:space="preserve"> </w:t>
      </w:r>
    </w:p>
    <w:p w:rsidR="00000000" w:rsidRDefault="00477EE8">
      <w:pPr>
        <w:divId w:val="1038820505"/>
        <w:rPr>
          <w:rFonts w:eastAsia="Times New Roman"/>
        </w:rPr>
      </w:pPr>
      <w:r>
        <w:rPr>
          <w:rFonts w:eastAsia="Times New Roman"/>
          <w:sz w:val="20"/>
          <w:szCs w:val="20"/>
        </w:rPr>
        <w:t>•</w:t>
      </w:r>
    </w:p>
    <w:p w:rsidR="00000000" w:rsidRDefault="00477EE8">
      <w:pPr>
        <w:divId w:val="190925647"/>
        <w:rPr>
          <w:rFonts w:eastAsia="Times New Roman"/>
        </w:rPr>
      </w:pPr>
      <w:r>
        <w:rPr>
          <w:rFonts w:eastAsia="Times New Roman"/>
          <w:sz w:val="20"/>
          <w:szCs w:val="20"/>
        </w:rPr>
        <w:t>We tested the effectiveness of controls over the valuation</w:t>
      </w:r>
      <w:r>
        <w:rPr>
          <w:rFonts w:eastAsia="Times New Roman"/>
          <w:sz w:val="20"/>
          <w:szCs w:val="20"/>
        </w:rPr>
        <w:t xml:space="preserve"> of the customer relationship intangible asset, including management’s controls over forecasts of future cash flows and selection of the discount rate.</w:t>
      </w:r>
      <w:r>
        <w:rPr>
          <w:rFonts w:eastAsia="Times New Roman"/>
          <w:sz w:val="20"/>
          <w:szCs w:val="20"/>
        </w:rPr>
        <w:t xml:space="preserve"> </w:t>
      </w:r>
    </w:p>
    <w:p w:rsidR="00000000" w:rsidRDefault="00477EE8">
      <w:pPr>
        <w:divId w:val="316346508"/>
        <w:rPr>
          <w:rFonts w:eastAsia="Times New Roman"/>
        </w:rPr>
      </w:pPr>
      <w:r>
        <w:rPr>
          <w:rFonts w:eastAsia="Times New Roman"/>
          <w:sz w:val="20"/>
          <w:szCs w:val="20"/>
        </w:rPr>
        <w:t>•</w:t>
      </w:r>
    </w:p>
    <w:p w:rsidR="00000000" w:rsidRDefault="00477EE8">
      <w:pPr>
        <w:divId w:val="113641560"/>
        <w:rPr>
          <w:rFonts w:eastAsia="Times New Roman"/>
        </w:rPr>
      </w:pPr>
      <w:r>
        <w:rPr>
          <w:rFonts w:eastAsia="Times New Roman"/>
          <w:sz w:val="20"/>
          <w:szCs w:val="20"/>
        </w:rPr>
        <w:t>We assessed the reasonableness of management’s forecasts of future cash flows by comparing the projec</w:t>
      </w:r>
      <w:r>
        <w:rPr>
          <w:rFonts w:eastAsia="Times New Roman"/>
          <w:sz w:val="20"/>
          <w:szCs w:val="20"/>
        </w:rPr>
        <w:t>tions to historical results and certain peer companies.</w:t>
      </w:r>
      <w:r>
        <w:rPr>
          <w:rFonts w:eastAsia="Times New Roman"/>
          <w:sz w:val="20"/>
          <w:szCs w:val="20"/>
        </w:rPr>
        <w:t xml:space="preserve"> </w:t>
      </w:r>
    </w:p>
    <w:p w:rsidR="00000000" w:rsidRDefault="00477EE8">
      <w:pPr>
        <w:divId w:val="315107165"/>
        <w:rPr>
          <w:rFonts w:eastAsia="Times New Roman"/>
        </w:rPr>
      </w:pPr>
      <w:r>
        <w:rPr>
          <w:rFonts w:eastAsia="Times New Roman"/>
          <w:sz w:val="20"/>
          <w:szCs w:val="20"/>
        </w:rPr>
        <w:t>•</w:t>
      </w:r>
    </w:p>
    <w:p w:rsidR="00000000" w:rsidRDefault="00477EE8">
      <w:pPr>
        <w:divId w:val="1575435032"/>
        <w:rPr>
          <w:rFonts w:eastAsia="Times New Roman"/>
        </w:rPr>
      </w:pPr>
      <w:r>
        <w:rPr>
          <w:rFonts w:eastAsia="Times New Roman"/>
          <w:sz w:val="20"/>
          <w:szCs w:val="20"/>
        </w:rPr>
        <w:t>With the assistance of our fair value specialists, we evaluated the reasonableness of the (1) valuation methodology and (2) discount rate by</w:t>
      </w:r>
      <w:r>
        <w:rPr>
          <w:rFonts w:eastAsia="Times New Roman"/>
          <w:sz w:val="20"/>
          <w:szCs w:val="20"/>
        </w:rPr>
        <w:t>:</w:t>
      </w:r>
    </w:p>
    <w:p w:rsidR="00000000" w:rsidRDefault="00477EE8">
      <w:pPr>
        <w:divId w:val="316736314"/>
        <w:rPr>
          <w:rFonts w:eastAsia="Times New Roman"/>
        </w:rPr>
      </w:pPr>
      <w:r>
        <w:rPr>
          <w:rFonts w:eastAsia="Times New Roman"/>
          <w:sz w:val="20"/>
          <w:szCs w:val="20"/>
        </w:rPr>
        <w:t>•</w:t>
      </w:r>
    </w:p>
    <w:p w:rsidR="00000000" w:rsidRDefault="00477EE8">
      <w:pPr>
        <w:divId w:val="695471542"/>
        <w:rPr>
          <w:rFonts w:eastAsia="Times New Roman"/>
        </w:rPr>
      </w:pPr>
      <w:r>
        <w:rPr>
          <w:rFonts w:eastAsia="Times New Roman"/>
          <w:sz w:val="20"/>
          <w:szCs w:val="20"/>
        </w:rPr>
        <w:t>We evaluated whether the estimated future cash flows were consistent with evidence obtained in other areas of th</w:t>
      </w:r>
      <w:r>
        <w:rPr>
          <w:rFonts w:eastAsia="Times New Roman"/>
          <w:sz w:val="20"/>
          <w:szCs w:val="20"/>
        </w:rPr>
        <w:t>e audit.</w:t>
      </w:r>
      <w:r>
        <w:rPr>
          <w:rFonts w:eastAsia="Times New Roman"/>
          <w:sz w:val="20"/>
          <w:szCs w:val="20"/>
        </w:rPr>
        <w:t xml:space="preserve"> </w:t>
      </w:r>
    </w:p>
    <w:p w:rsidR="00000000" w:rsidRDefault="00477EE8">
      <w:pPr>
        <w:pStyle w:val="a3"/>
        <w:spacing w:before="240" w:beforeAutospacing="0" w:after="0" w:afterAutospacing="0"/>
        <w:rPr>
          <w:sz w:val="20"/>
          <w:szCs w:val="20"/>
        </w:rPr>
      </w:pPr>
      <w:r>
        <w:rPr>
          <w:b/>
          <w:bCs/>
          <w:sz w:val="20"/>
          <w:szCs w:val="20"/>
        </w:rPr>
        <w:t>Business Combinations—Fulgent Pharma Holdings, Inc. — Refer to Notes 2 and 15 to the financial statement</w:t>
      </w:r>
      <w:r>
        <w:rPr>
          <w:b/>
          <w:bCs/>
          <w:sz w:val="20"/>
          <w:szCs w:val="20"/>
        </w:rPr>
        <w:t>s</w:t>
      </w:r>
      <w:r>
        <w:rPr>
          <w:b/>
          <w:bCs/>
          <w:sz w:val="20"/>
          <w:szCs w:val="20"/>
        </w:rPr>
        <w:t xml:space="preserve"> </w:t>
      </w:r>
    </w:p>
    <w:p w:rsidR="00000000" w:rsidRDefault="00477EE8">
      <w:pPr>
        <w:pStyle w:val="a3"/>
        <w:spacing w:before="120" w:beforeAutospacing="0" w:after="0" w:afterAutospacing="0"/>
        <w:rPr>
          <w:sz w:val="20"/>
          <w:szCs w:val="20"/>
        </w:rPr>
      </w:pPr>
      <w:r>
        <w:rPr>
          <w:sz w:val="20"/>
          <w:szCs w:val="20"/>
        </w:rPr>
        <w:t>The Company completed the acquisition of Fulgent Pharma Holdings, Inc. on November 7, 2022, and accounted for the transaction under the acq</w:t>
      </w:r>
      <w:r>
        <w:rPr>
          <w:sz w:val="20"/>
          <w:szCs w:val="20"/>
        </w:rPr>
        <w:t xml:space="preserve">uisition method of accounting for business combination. The Company allocated the purchase price to tangible and identified intangible assets acquired and liabilities assumed based on their respective fair values, which included an in-process research and </w:t>
      </w:r>
      <w:r>
        <w:rPr>
          <w:sz w:val="20"/>
          <w:szCs w:val="20"/>
        </w:rPr>
        <w:t>development (“IPR&amp;D”) intangible asset, in the amount of $64.6 million. Management estimated the fair value of the IPR&amp;D intangible asset using the multi-period excess earnings method, which is a specific discounted cash flow method. The fair value determi</w:t>
      </w:r>
      <w:r>
        <w:rPr>
          <w:sz w:val="20"/>
          <w:szCs w:val="20"/>
        </w:rPr>
        <w:t>nation of the IPR&amp;D intangible asset required management to make significant estimates and assumptions related to future cash flows and the selection of the discount rate</w:t>
      </w:r>
      <w:r>
        <w:rPr>
          <w:sz w:val="20"/>
          <w:szCs w:val="20"/>
        </w:rPr>
        <w:t>.</w:t>
      </w:r>
    </w:p>
    <w:p w:rsidR="00000000" w:rsidRDefault="00477EE8">
      <w:pPr>
        <w:pStyle w:val="a3"/>
        <w:spacing w:before="240" w:beforeAutospacing="0" w:after="0" w:afterAutospacing="0"/>
        <w:rPr>
          <w:sz w:val="20"/>
          <w:szCs w:val="20"/>
        </w:rPr>
      </w:pPr>
      <w:r>
        <w:rPr>
          <w:sz w:val="20"/>
          <w:szCs w:val="20"/>
        </w:rPr>
        <w:t>We identified the IPR&amp;D intangible asset for Fulgent Pharma Holdings, Inc. as a crit</w:t>
      </w:r>
      <w:r>
        <w:rPr>
          <w:sz w:val="20"/>
          <w:szCs w:val="20"/>
        </w:rPr>
        <w:t>ical audit matter because of the significant estimates and assumptions management makes to fair value this asset. This required a high degree of auditor judgment and an increased extent of effort, including the need to involve our fair value specialists, w</w:t>
      </w:r>
      <w:r>
        <w:rPr>
          <w:sz w:val="20"/>
          <w:szCs w:val="20"/>
        </w:rPr>
        <w:t>hen performing audit procedures to evaluate the reasonableness of management’s future cash flows and the selection of the discount rate for the IPR&amp;D intangible asset</w:t>
      </w:r>
      <w:r>
        <w:rPr>
          <w:sz w:val="20"/>
          <w:szCs w:val="20"/>
        </w:rPr>
        <w:t>.</w:t>
      </w:r>
    </w:p>
    <w:p w:rsidR="00000000" w:rsidRDefault="00477EE8">
      <w:pPr>
        <w:pStyle w:val="a3"/>
        <w:spacing w:before="240" w:beforeAutospacing="0" w:after="0" w:afterAutospacing="0"/>
        <w:rPr>
          <w:sz w:val="20"/>
          <w:szCs w:val="20"/>
        </w:rPr>
      </w:pPr>
      <w:r>
        <w:rPr>
          <w:i/>
          <w:iCs/>
          <w:sz w:val="20"/>
          <w:szCs w:val="20"/>
        </w:rPr>
        <w:t>How the Critical Audit Matter Was Addressed in the Audi</w:t>
      </w:r>
      <w:r>
        <w:rPr>
          <w:i/>
          <w:iCs/>
          <w:sz w:val="20"/>
          <w:szCs w:val="20"/>
        </w:rPr>
        <w:t>t</w:t>
      </w:r>
    </w:p>
    <w:p w:rsidR="00000000" w:rsidRDefault="00477EE8">
      <w:pPr>
        <w:pStyle w:val="a3"/>
        <w:spacing w:before="120" w:beforeAutospacing="0" w:after="0" w:afterAutospacing="0"/>
        <w:rPr>
          <w:sz w:val="20"/>
          <w:szCs w:val="20"/>
        </w:rPr>
      </w:pPr>
      <w:r>
        <w:rPr>
          <w:sz w:val="20"/>
          <w:szCs w:val="20"/>
        </w:rPr>
        <w:t>Our audit procedures related to</w:t>
      </w:r>
      <w:r>
        <w:rPr>
          <w:sz w:val="20"/>
          <w:szCs w:val="20"/>
        </w:rPr>
        <w:t xml:space="preserve"> forecasts of future cash flows and the selection of the discount rate for the IPR&amp;D intangible asset included the following, among others</w:t>
      </w:r>
      <w:r>
        <w:rPr>
          <w:sz w:val="20"/>
          <w:szCs w:val="20"/>
        </w:rPr>
        <w:t>:</w:t>
      </w:r>
      <w:r>
        <w:rPr>
          <w:sz w:val="20"/>
          <w:szCs w:val="20"/>
        </w:rPr>
        <w:t xml:space="preserve"> </w:t>
      </w:r>
    </w:p>
    <w:p w:rsidR="00000000" w:rsidRDefault="00477EE8">
      <w:pPr>
        <w:divId w:val="1049375408"/>
        <w:rPr>
          <w:rFonts w:eastAsia="Times New Roman"/>
        </w:rPr>
      </w:pPr>
      <w:r>
        <w:rPr>
          <w:rFonts w:eastAsia="Times New Roman"/>
          <w:sz w:val="20"/>
          <w:szCs w:val="20"/>
        </w:rPr>
        <w:t>•</w:t>
      </w:r>
    </w:p>
    <w:p w:rsidR="00000000" w:rsidRDefault="00477EE8">
      <w:pPr>
        <w:divId w:val="1077895069"/>
        <w:rPr>
          <w:rFonts w:eastAsia="Times New Roman"/>
        </w:rPr>
      </w:pPr>
      <w:r>
        <w:rPr>
          <w:rFonts w:eastAsia="Times New Roman"/>
          <w:sz w:val="20"/>
          <w:szCs w:val="20"/>
        </w:rPr>
        <w:t xml:space="preserve">We tested the effectiveness of controls over the valuation of the IPR&amp;D intangible asset, including management’s </w:t>
      </w:r>
      <w:r>
        <w:rPr>
          <w:rFonts w:eastAsia="Times New Roman"/>
          <w:sz w:val="20"/>
          <w:szCs w:val="20"/>
        </w:rPr>
        <w:t>controls over forecasts of future cash flows and selection of the discount rate.</w:t>
      </w:r>
      <w:r>
        <w:rPr>
          <w:rFonts w:eastAsia="Times New Roman"/>
          <w:sz w:val="20"/>
          <w:szCs w:val="20"/>
        </w:rPr>
        <w:t xml:space="preserve"> </w:t>
      </w:r>
    </w:p>
    <w:p w:rsidR="00000000" w:rsidRDefault="00477EE8">
      <w:pPr>
        <w:divId w:val="1403717393"/>
        <w:rPr>
          <w:rFonts w:eastAsia="Times New Roman"/>
        </w:rPr>
      </w:pPr>
      <w:r>
        <w:rPr>
          <w:rFonts w:eastAsia="Times New Roman"/>
          <w:sz w:val="20"/>
          <w:szCs w:val="20"/>
        </w:rPr>
        <w:t>•</w:t>
      </w:r>
    </w:p>
    <w:p w:rsidR="00000000" w:rsidRDefault="00477EE8">
      <w:pPr>
        <w:divId w:val="733548857"/>
        <w:rPr>
          <w:rFonts w:eastAsia="Times New Roman"/>
        </w:rPr>
      </w:pPr>
      <w:r>
        <w:rPr>
          <w:rFonts w:eastAsia="Times New Roman"/>
          <w:sz w:val="20"/>
          <w:szCs w:val="20"/>
        </w:rPr>
        <w:t>We assessed the reasonableness of management’s forecasts of future cash flows by comparing the projections to relevant peer companies and third-party industry reports.</w:t>
      </w:r>
      <w:r>
        <w:rPr>
          <w:rFonts w:eastAsia="Times New Roman"/>
          <w:sz w:val="20"/>
          <w:szCs w:val="20"/>
        </w:rPr>
        <w:t xml:space="preserve"> </w:t>
      </w:r>
    </w:p>
    <w:p w:rsidR="00000000" w:rsidRDefault="00477EE8">
      <w:pPr>
        <w:divId w:val="1452019184"/>
        <w:rPr>
          <w:rFonts w:eastAsia="Times New Roman"/>
        </w:rPr>
      </w:pPr>
      <w:r>
        <w:rPr>
          <w:rFonts w:eastAsia="Times New Roman"/>
          <w:sz w:val="20"/>
          <w:szCs w:val="20"/>
        </w:rPr>
        <w:t>•</w:t>
      </w:r>
    </w:p>
    <w:p w:rsidR="00000000" w:rsidRDefault="00477EE8">
      <w:pPr>
        <w:divId w:val="791826830"/>
        <w:rPr>
          <w:rFonts w:eastAsia="Times New Roman"/>
        </w:rPr>
      </w:pPr>
      <w:r>
        <w:rPr>
          <w:rFonts w:eastAsia="Times New Roman"/>
          <w:sz w:val="20"/>
          <w:szCs w:val="20"/>
        </w:rPr>
        <w:t>W</w:t>
      </w:r>
      <w:r>
        <w:rPr>
          <w:rFonts w:eastAsia="Times New Roman"/>
          <w:sz w:val="20"/>
          <w:szCs w:val="20"/>
        </w:rPr>
        <w:t>ith the assistance of our fair value specialists, we evaluated the reasonableness of the (1) valuation methodology and (2) discount rate by</w:t>
      </w:r>
      <w:r>
        <w:rPr>
          <w:rFonts w:eastAsia="Times New Roman"/>
          <w:sz w:val="20"/>
          <w:szCs w:val="20"/>
        </w:rPr>
        <w:t>:</w:t>
      </w:r>
    </w:p>
    <w:p w:rsidR="00000000" w:rsidRDefault="00477EE8">
      <w:pPr>
        <w:divId w:val="1173304068"/>
        <w:rPr>
          <w:rFonts w:eastAsia="Times New Roman"/>
        </w:rPr>
      </w:pPr>
      <w:r>
        <w:rPr>
          <w:rFonts w:eastAsia="Times New Roman"/>
          <w:sz w:val="20"/>
          <w:szCs w:val="20"/>
        </w:rPr>
        <w:t>•</w:t>
      </w:r>
    </w:p>
    <w:p w:rsidR="00000000" w:rsidRDefault="00477EE8">
      <w:pPr>
        <w:divId w:val="838500109"/>
        <w:rPr>
          <w:rFonts w:eastAsia="Times New Roman"/>
        </w:rPr>
      </w:pPr>
      <w:r>
        <w:rPr>
          <w:rFonts w:eastAsia="Times New Roman"/>
          <w:sz w:val="20"/>
          <w:szCs w:val="20"/>
        </w:rPr>
        <w:t>We evaluated whether the estimated future cash flows were consistent with evidence obtained in other areas of the</w:t>
      </w:r>
      <w:r>
        <w:rPr>
          <w:rFonts w:eastAsia="Times New Roman"/>
          <w:sz w:val="20"/>
          <w:szCs w:val="20"/>
        </w:rPr>
        <w:t xml:space="preserve"> audit.</w:t>
      </w:r>
      <w:r>
        <w:rPr>
          <w:rFonts w:eastAsia="Times New Roman"/>
          <w:sz w:val="20"/>
          <w:szCs w:val="20"/>
        </w:rPr>
        <w:t xml:space="preserve"> </w:t>
      </w:r>
    </w:p>
    <w:p w:rsidR="00000000" w:rsidRDefault="00477EE8">
      <w:pPr>
        <w:pStyle w:val="a3"/>
        <w:spacing w:before="0" w:beforeAutospacing="0" w:after="0" w:afterAutospacing="0"/>
        <w:ind w:left="1190"/>
        <w:rPr>
          <w:sz w:val="20"/>
          <w:szCs w:val="20"/>
        </w:rPr>
      </w:pPr>
      <w:r>
        <w:rPr>
          <w:sz w:val="20"/>
          <w:szCs w:val="20"/>
        </w:rPr>
        <w:t> </w:t>
      </w:r>
    </w:p>
    <w:p w:rsidR="00000000" w:rsidRDefault="00477EE8">
      <w:pPr>
        <w:pStyle w:val="a3"/>
        <w:spacing w:before="0" w:beforeAutospacing="0" w:after="0" w:afterAutospacing="0"/>
        <w:rPr>
          <w:sz w:val="20"/>
          <w:szCs w:val="20"/>
        </w:rPr>
      </w:pPr>
      <w:r>
        <w:rPr>
          <w:sz w:val="20"/>
          <w:szCs w:val="20"/>
        </w:rPr>
        <w:t>/s/</w:t>
      </w:r>
      <w:r>
        <w:rPr>
          <w:sz w:val="20"/>
          <w:szCs w:val="20"/>
        </w:rPr>
        <w:t xml:space="preserve"> </w:t>
      </w:r>
      <w:r>
        <w:rPr>
          <w:sz w:val="20"/>
          <w:szCs w:val="20"/>
        </w:rPr>
        <w:t>DELOITTE &amp; TOUCHE LL</w:t>
      </w:r>
      <w:r>
        <w:rPr>
          <w:sz w:val="20"/>
          <w:szCs w:val="20"/>
        </w:rPr>
        <w:t>P</w:t>
      </w:r>
    </w:p>
    <w:p w:rsidR="00000000" w:rsidRDefault="00477EE8">
      <w:pPr>
        <w:pStyle w:val="a3"/>
        <w:spacing w:before="0" w:beforeAutospacing="0" w:after="0" w:afterAutospacing="0"/>
        <w:rPr>
          <w:sz w:val="20"/>
          <w:szCs w:val="20"/>
        </w:rPr>
      </w:pPr>
      <w:r>
        <w:rPr>
          <w:sz w:val="20"/>
          <w:szCs w:val="20"/>
        </w:rPr>
        <w:t>Los Angeles, Californi</w:t>
      </w:r>
      <w:r>
        <w:rPr>
          <w:sz w:val="20"/>
          <w:szCs w:val="20"/>
        </w:rPr>
        <w:t>a</w:t>
      </w:r>
      <w:r>
        <w:rPr>
          <w:sz w:val="20"/>
          <w:szCs w:val="20"/>
        </w:rPr>
        <w:t xml:space="preserve"> </w:t>
      </w:r>
    </w:p>
    <w:p w:rsidR="00000000" w:rsidRDefault="00477EE8">
      <w:pPr>
        <w:pStyle w:val="a3"/>
        <w:spacing w:before="0" w:beforeAutospacing="0" w:after="0" w:afterAutospacing="0"/>
        <w:rPr>
          <w:sz w:val="20"/>
          <w:szCs w:val="20"/>
        </w:rPr>
      </w:pPr>
      <w:r>
        <w:rPr>
          <w:rFonts w:ascii="Arial" w:hAnsi="Arial" w:cs="Arial"/>
        </w:rPr>
        <w:t> </w:t>
      </w:r>
    </w:p>
    <w:p w:rsidR="00000000" w:rsidRDefault="00477EE8">
      <w:pPr>
        <w:pStyle w:val="a3"/>
        <w:spacing w:before="40" w:beforeAutospacing="0" w:after="0" w:afterAutospacing="0"/>
        <w:rPr>
          <w:sz w:val="20"/>
          <w:szCs w:val="20"/>
        </w:rPr>
      </w:pPr>
      <w:r>
        <w:rPr>
          <w:sz w:val="20"/>
          <w:szCs w:val="20"/>
        </w:rPr>
        <w:t>February 28, 202</w:t>
      </w:r>
      <w:r>
        <w:rPr>
          <w:sz w:val="20"/>
          <w:szCs w:val="20"/>
        </w:rPr>
        <w:t>3</w:t>
      </w:r>
    </w:p>
    <w:p w:rsidR="00000000" w:rsidRDefault="00477EE8">
      <w:pPr>
        <w:pStyle w:val="a3"/>
        <w:spacing w:before="0" w:beforeAutospacing="0" w:after="0" w:afterAutospacing="0"/>
        <w:rPr>
          <w:sz w:val="20"/>
          <w:szCs w:val="20"/>
        </w:rPr>
      </w:pPr>
      <w:r>
        <w:rPr>
          <w:rFonts w:ascii="Arial" w:hAnsi="Arial" w:cs="Arial"/>
        </w:rPr>
        <w:t> </w:t>
      </w:r>
    </w:p>
    <w:p w:rsidR="00000000" w:rsidRDefault="00477EE8">
      <w:pPr>
        <w:pStyle w:val="a3"/>
        <w:spacing w:before="40" w:beforeAutospacing="0" w:after="0" w:afterAutospacing="0"/>
        <w:rPr>
          <w:sz w:val="20"/>
          <w:szCs w:val="20"/>
        </w:rPr>
      </w:pPr>
      <w:r>
        <w:rPr>
          <w:sz w:val="20"/>
          <w:szCs w:val="20"/>
        </w:rPr>
        <w:t>We have served as the Company's auditor since 2016</w:t>
      </w:r>
      <w:r>
        <w:rPr>
          <w:sz w:val="20"/>
          <w:szCs w:val="20"/>
        </w:rPr>
        <w:t>.</w:t>
      </w:r>
    </w:p>
    <w:p w:rsidR="00000000" w:rsidRDefault="00477EE8">
      <w:pPr>
        <w:pStyle w:val="a3"/>
        <w:spacing w:before="240" w:beforeAutospacing="0" w:after="0" w:afterAutospacing="0"/>
        <w:jc w:val="center"/>
        <w:rPr>
          <w:sz w:val="20"/>
          <w:szCs w:val="20"/>
        </w:rPr>
      </w:pPr>
      <w:r>
        <w:rPr>
          <w:sz w:val="20"/>
          <w:szCs w:val="20"/>
        </w:rPr>
        <w:t>F</w:t>
      </w:r>
      <w:r>
        <w:rPr>
          <w:sz w:val="20"/>
          <w:szCs w:val="20"/>
        </w:rPr>
        <w:t>-</w:t>
      </w:r>
      <w:r>
        <w:rPr>
          <w:sz w:val="20"/>
          <w:szCs w:val="20"/>
        </w:rPr>
        <w:t>3</w:t>
      </w:r>
    </w:p>
    <w:p w:rsidR="00000000" w:rsidRDefault="00477EE8">
      <w:pPr>
        <w:rPr>
          <w:rFonts w:eastAsia="Times New Roman"/>
        </w:rPr>
      </w:pPr>
      <w:r>
        <w:rPr>
          <w:rFonts w:eastAsia="Times New Roman"/>
        </w:rPr>
        <w:pict>
          <v:rect id="_x0000_i1114" style="width:0;height:1.5pt" o:hralign="center" o:hrstd="t" o:hr="t" fillcolor="#a0a0a0" stroked="f"/>
        </w:pict>
      </w:r>
    </w:p>
    <w:p w:rsidR="00000000" w:rsidRDefault="00477EE8">
      <w:pPr>
        <w:pStyle w:val="a3"/>
        <w:spacing w:before="0" w:beforeAutospacing="0" w:after="0" w:afterAutospacing="0"/>
        <w:jc w:val="center"/>
        <w:rPr>
          <w:sz w:val="20"/>
          <w:szCs w:val="20"/>
        </w:rPr>
      </w:pPr>
      <w:r>
        <w:rPr>
          <w:b/>
          <w:bCs/>
          <w:sz w:val="20"/>
          <w:szCs w:val="20"/>
        </w:rPr>
        <w:t>CONSOLIDATED FINANCIAL STATEMENT</w:t>
      </w:r>
      <w:r>
        <w:rPr>
          <w:b/>
          <w:bCs/>
          <w:sz w:val="20"/>
          <w:szCs w:val="20"/>
        </w:rPr>
        <w:t>S</w:t>
      </w:r>
    </w:p>
    <w:p w:rsidR="00000000" w:rsidRDefault="00477EE8">
      <w:pPr>
        <w:pStyle w:val="a3"/>
        <w:spacing w:before="0" w:beforeAutospacing="0" w:after="0" w:afterAutospacing="0"/>
        <w:rPr>
          <w:sz w:val="20"/>
          <w:szCs w:val="20"/>
        </w:rPr>
      </w:pPr>
      <w:r>
        <w:rPr>
          <w:sz w:val="20"/>
          <w:szCs w:val="20"/>
        </w:rPr>
        <w:t> </w:t>
      </w:r>
    </w:p>
    <w:p w:rsidR="00000000" w:rsidRDefault="00477EE8">
      <w:pPr>
        <w:pStyle w:val="a3"/>
        <w:spacing w:before="0" w:beforeAutospacing="0" w:after="0" w:afterAutospacing="0"/>
        <w:jc w:val="center"/>
        <w:rPr>
          <w:sz w:val="20"/>
          <w:szCs w:val="20"/>
        </w:rPr>
      </w:pPr>
      <w:r>
        <w:rPr>
          <w:b/>
          <w:bCs/>
          <w:sz w:val="20"/>
          <w:szCs w:val="20"/>
        </w:rPr>
        <w:t>FULGENT GENETICS, INC</w:t>
      </w:r>
      <w:r>
        <w:rPr>
          <w:b/>
          <w:bCs/>
          <w:sz w:val="20"/>
          <w:szCs w:val="20"/>
        </w:rPr>
        <w:t>.</w:t>
      </w:r>
    </w:p>
    <w:p w:rsidR="00000000" w:rsidRDefault="00477EE8">
      <w:pPr>
        <w:pStyle w:val="a3"/>
        <w:spacing w:before="0" w:beforeAutospacing="0" w:after="0" w:afterAutospacing="0"/>
        <w:jc w:val="center"/>
        <w:rPr>
          <w:sz w:val="20"/>
          <w:szCs w:val="20"/>
        </w:rPr>
      </w:pPr>
      <w:r>
        <w:rPr>
          <w:b/>
          <w:bCs/>
          <w:sz w:val="20"/>
          <w:szCs w:val="20"/>
        </w:rPr>
        <w:t>Consolidated</w:t>
      </w:r>
      <w:r>
        <w:rPr>
          <w:b/>
          <w:bCs/>
          <w:sz w:val="20"/>
          <w:szCs w:val="20"/>
        </w:rPr>
        <w:t xml:space="preserve"> </w:t>
      </w:r>
      <w:r>
        <w:rPr>
          <w:b/>
          <w:bCs/>
          <w:sz w:val="20"/>
          <w:szCs w:val="20"/>
        </w:rPr>
        <w:t>Balance Sheet</w:t>
      </w:r>
      <w:r>
        <w:rPr>
          <w:b/>
          <w:bCs/>
          <w:sz w:val="20"/>
          <w:szCs w:val="20"/>
        </w:rPr>
        <w:t>s</w:t>
      </w:r>
    </w:p>
    <w:p w:rsidR="00000000" w:rsidRDefault="00477EE8">
      <w:pPr>
        <w:pStyle w:val="a3"/>
        <w:spacing w:before="0" w:beforeAutospacing="0" w:after="0" w:afterAutospacing="0"/>
        <w:jc w:val="center"/>
        <w:rPr>
          <w:sz w:val="20"/>
          <w:szCs w:val="20"/>
        </w:rPr>
      </w:pPr>
      <w:r>
        <w:rPr>
          <w:b/>
          <w:bCs/>
          <w:sz w:val="20"/>
          <w:szCs w:val="20"/>
        </w:rPr>
        <w:t>(in thousands, except par value data</w:t>
      </w:r>
      <w:r>
        <w:rPr>
          <w:b/>
          <w:bCs/>
          <w:sz w:val="20"/>
          <w:szCs w:val="20"/>
        </w:rPr>
        <w:t>)</w:t>
      </w:r>
    </w:p>
    <w:p w:rsidR="00000000" w:rsidRDefault="00477EE8">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81"/>
        <w:gridCol w:w="160"/>
        <w:gridCol w:w="1045"/>
        <w:gridCol w:w="127"/>
        <w:gridCol w:w="129"/>
        <w:gridCol w:w="160"/>
        <w:gridCol w:w="1062"/>
        <w:gridCol w:w="142"/>
      </w:tblGrid>
      <w:tr w:rsidR="00000000">
        <w:trPr>
          <w:tblCellSpacing w:w="15" w:type="dxa"/>
        </w:trPr>
        <w:tc>
          <w:tcPr>
            <w:tcW w:w="3402"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652"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82"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62"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trHeight w:val="16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477EE8">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b/>
                <w:bCs/>
                <w:sz w:val="20"/>
                <w:szCs w:val="20"/>
              </w:rPr>
              <w:t>Asset</w:t>
            </w:r>
            <w:r>
              <w:rPr>
                <w:b/>
                <w:bCs/>
                <w:sz w:val="20"/>
                <w:szCs w:val="20"/>
              </w:rPr>
              <w:t>s</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Current asset</w:t>
            </w:r>
            <w:r>
              <w:rPr>
                <w:sz w:val="20"/>
                <w:szCs w:val="20"/>
              </w:rPr>
              <w:t>s</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Cash and cash equivalent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79,50</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164,89</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Marketable securitie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446,72</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285,60</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 xml:space="preserve">Trade accounts receivable, net of allowance for credit losses of </w:t>
            </w:r>
            <w:r>
              <w:rPr>
                <w:sz w:val="20"/>
                <w:szCs w:val="20"/>
              </w:rPr>
              <w:t>$</w:t>
            </w:r>
            <w:r>
              <w:rPr>
                <w:sz w:val="20"/>
                <w:szCs w:val="20"/>
              </w:rPr>
              <w:t>41,20</w:t>
            </w:r>
            <w:r>
              <w:rPr>
                <w:sz w:val="20"/>
                <w:szCs w:val="20"/>
              </w:rPr>
              <w:t>5</w:t>
            </w:r>
            <w:r>
              <w:rPr>
                <w:sz w:val="20"/>
                <w:szCs w:val="20"/>
              </w:rPr>
              <w:t xml:space="preserve"> and </w:t>
            </w:r>
            <w:r>
              <w:rPr>
                <w:sz w:val="20"/>
                <w:szCs w:val="20"/>
              </w:rPr>
              <w:t>$</w:t>
            </w:r>
            <w:r>
              <w:rPr>
                <w:sz w:val="20"/>
                <w:szCs w:val="20"/>
              </w:rPr>
              <w:t>11,21</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52,74</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138,91</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Other current asset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48,88</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22,54</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300"/>
              <w:rPr>
                <w:sz w:val="20"/>
                <w:szCs w:val="20"/>
              </w:rPr>
            </w:pPr>
            <w:r>
              <w:rPr>
                <w:sz w:val="20"/>
                <w:szCs w:val="20"/>
              </w:rPr>
              <w:t>Total current asset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627,87</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611,96</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Marketable securities, long-ter</w:t>
            </w:r>
            <w:r>
              <w:rPr>
                <w:sz w:val="20"/>
                <w:szCs w:val="20"/>
              </w:rPr>
              <w:t>m</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326,64</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485,04</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Redeemable preferred stock investmen</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12,38</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21,96</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Fixed assets, ne</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81,35</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62,28</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Intangible assets, ne</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150,64</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35,91</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Goodwil</w:t>
            </w:r>
            <w:r>
              <w:rPr>
                <w:sz w:val="20"/>
                <w:szCs w:val="20"/>
              </w:rPr>
              <w:t>l</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143,02</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50,89</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Other long-term asset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44,12</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10,65</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Total asset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1,386,05</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1,278,72</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b/>
                <w:bCs/>
                <w:sz w:val="20"/>
                <w:szCs w:val="20"/>
              </w:rPr>
              <w:t>Liabilities and Stockholders’ Equit</w:t>
            </w:r>
            <w:r>
              <w:rPr>
                <w:b/>
                <w:bCs/>
                <w:sz w:val="20"/>
                <w:szCs w:val="20"/>
              </w:rPr>
              <w:t>y</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Current liabilitie</w:t>
            </w:r>
            <w:r>
              <w:rPr>
                <w:sz w:val="20"/>
                <w:szCs w:val="20"/>
              </w:rPr>
              <w:t>s</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Accounts payabl</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23,09</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20,49</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Accrued liabilitie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24,98</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17,68</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Income tax payabl</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78</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Contract liabilitie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3,19</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14,57</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Customer deposi</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10,89</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19,80</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Investment margin loa</w:t>
            </w:r>
            <w:r>
              <w:rPr>
                <w:sz w:val="20"/>
                <w:szCs w:val="20"/>
              </w:rPr>
              <w:t>n</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14,99</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15,13</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Contingent consideratio</w:t>
            </w:r>
            <w:r>
              <w:rPr>
                <w:sz w:val="20"/>
                <w:szCs w:val="20"/>
              </w:rPr>
              <w:t>n</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10,00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Notes payable, current portio</w:t>
            </w:r>
            <w:r>
              <w:rPr>
                <w:sz w:val="20"/>
                <w:szCs w:val="20"/>
              </w:rPr>
              <w:t>n</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5,63</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6,14</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Other current liabilitie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5,30</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68</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400"/>
              <w:rPr>
                <w:sz w:val="20"/>
                <w:szCs w:val="20"/>
              </w:rPr>
            </w:pPr>
            <w:r>
              <w:rPr>
                <w:sz w:val="20"/>
                <w:szCs w:val="20"/>
              </w:rPr>
              <w:t>Total current liabilitie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88,10</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105,31</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Unrecognized tax benefit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9,83</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72</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Other long-term liabilitie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18,23</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6,80</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Total liabilitie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116,17</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112,84</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Commitments and contingencies (Note 8</w:t>
            </w:r>
            <w:r>
              <w:rPr>
                <w:sz w:val="20"/>
                <w:szCs w:val="20"/>
              </w:rPr>
              <w:t>)</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Stockholders’ equit</w:t>
            </w:r>
            <w:r>
              <w:rPr>
                <w:sz w:val="20"/>
                <w:szCs w:val="20"/>
              </w:rPr>
              <w:t>y</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 xml:space="preserve">Common stock, </w:t>
            </w:r>
            <w:r>
              <w:rPr>
                <w:sz w:val="20"/>
                <w:szCs w:val="20"/>
              </w:rPr>
              <w:t>$</w:t>
            </w:r>
            <w:r>
              <w:rPr>
                <w:sz w:val="20"/>
                <w:szCs w:val="20"/>
              </w:rPr>
              <w:t>0.000</w:t>
            </w:r>
            <w:r>
              <w:rPr>
                <w:sz w:val="20"/>
                <w:szCs w:val="20"/>
              </w:rPr>
              <w:t>1</w:t>
            </w:r>
            <w:r>
              <w:rPr>
                <w:sz w:val="20"/>
                <w:szCs w:val="20"/>
              </w:rPr>
              <w:t> par value per share,</w:t>
            </w:r>
            <w:r>
              <w:rPr>
                <w:sz w:val="20"/>
                <w:szCs w:val="20"/>
              </w:rPr>
              <w:t xml:space="preserve"> </w:t>
            </w:r>
            <w:r>
              <w:rPr>
                <w:sz w:val="20"/>
                <w:szCs w:val="20"/>
              </w:rPr>
              <w:t>50,00</w:t>
            </w:r>
            <w:r>
              <w:rPr>
                <w:sz w:val="20"/>
                <w:szCs w:val="20"/>
              </w:rPr>
              <w:t>0</w:t>
            </w:r>
            <w:r>
              <w:rPr>
                <w:sz w:val="20"/>
                <w:szCs w:val="20"/>
              </w:rPr>
              <w:t> shares authorized,</w:t>
            </w:r>
            <w:r>
              <w:rPr>
                <w:sz w:val="20"/>
                <w:szCs w:val="20"/>
              </w:rPr>
              <w:t xml:space="preserve"> </w:t>
            </w:r>
            <w:r>
              <w:rPr>
                <w:sz w:val="20"/>
                <w:szCs w:val="20"/>
              </w:rPr>
              <w:t>31,24</w:t>
            </w:r>
            <w:r>
              <w:rPr>
                <w:sz w:val="20"/>
                <w:szCs w:val="20"/>
              </w:rPr>
              <w:t>8</w:t>
            </w:r>
            <w:r>
              <w:rPr>
                <w:sz w:val="20"/>
                <w:szCs w:val="20"/>
              </w:rPr>
              <w:t> shares issued and</w:t>
            </w:r>
            <w:r>
              <w:rPr>
                <w:sz w:val="20"/>
                <w:szCs w:val="20"/>
              </w:rPr>
              <w:t xml:space="preserve"> </w:t>
            </w:r>
            <w:r>
              <w:rPr>
                <w:sz w:val="20"/>
                <w:szCs w:val="20"/>
              </w:rPr>
              <w:t>29,43</w:t>
            </w:r>
            <w:r>
              <w:rPr>
                <w:sz w:val="20"/>
                <w:szCs w:val="20"/>
              </w:rPr>
              <w:t>8</w:t>
            </w:r>
            <w:r>
              <w:rPr>
                <w:sz w:val="20"/>
                <w:szCs w:val="20"/>
              </w:rPr>
              <w:t> </w:t>
            </w:r>
            <w:r>
              <w:rPr>
                <w:sz w:val="20"/>
                <w:szCs w:val="20"/>
              </w:rPr>
              <w:t>shares outstanding and</w:t>
            </w:r>
            <w:r>
              <w:rPr>
                <w:sz w:val="20"/>
                <w:szCs w:val="20"/>
              </w:rPr>
              <w:t xml:space="preserve"> </w:t>
            </w:r>
            <w:r>
              <w:rPr>
                <w:sz w:val="20"/>
                <w:szCs w:val="20"/>
              </w:rPr>
              <w:t>30,16</w:t>
            </w:r>
            <w:r>
              <w:rPr>
                <w:sz w:val="20"/>
                <w:szCs w:val="20"/>
              </w:rPr>
              <w:t>0</w:t>
            </w:r>
            <w:r>
              <w:rPr>
                <w:sz w:val="20"/>
                <w:szCs w:val="20"/>
              </w:rPr>
              <w:t> shares issued and outstandin</w:t>
            </w:r>
            <w:r>
              <w:rPr>
                <w:sz w:val="20"/>
                <w:szCs w:val="20"/>
              </w:rPr>
              <w:t>g</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 xml:space="preserve">Preferred stock, </w:t>
            </w:r>
            <w:r>
              <w:rPr>
                <w:sz w:val="20"/>
                <w:szCs w:val="20"/>
              </w:rPr>
              <w:t>$</w:t>
            </w:r>
            <w:r>
              <w:rPr>
                <w:sz w:val="20"/>
                <w:szCs w:val="20"/>
              </w:rPr>
              <w:t>0.000</w:t>
            </w:r>
            <w:r>
              <w:rPr>
                <w:sz w:val="20"/>
                <w:szCs w:val="20"/>
              </w:rPr>
              <w:t>1</w:t>
            </w:r>
            <w:r>
              <w:rPr>
                <w:sz w:val="20"/>
                <w:szCs w:val="20"/>
              </w:rPr>
              <w:t> par value per share,</w:t>
            </w:r>
            <w:r>
              <w:rPr>
                <w:sz w:val="20"/>
                <w:szCs w:val="20"/>
              </w:rPr>
              <w:t xml:space="preserve"> </w:t>
            </w:r>
            <w:r>
              <w:rPr>
                <w:sz w:val="20"/>
                <w:szCs w:val="20"/>
              </w:rPr>
              <w:t>1,00</w:t>
            </w:r>
            <w:r>
              <w:rPr>
                <w:sz w:val="20"/>
                <w:szCs w:val="20"/>
              </w:rPr>
              <w:t>0</w:t>
            </w:r>
            <w:r>
              <w:rPr>
                <w:sz w:val="20"/>
                <w:szCs w:val="20"/>
              </w:rPr>
              <w:t> shares authorized,</w:t>
            </w:r>
            <w:r>
              <w:rPr>
                <w:sz w:val="20"/>
                <w:szCs w:val="20"/>
              </w:rPr>
              <w:t xml:space="preserve"> </w:t>
            </w:r>
            <w:r>
              <w:rPr>
                <w:sz w:val="20"/>
                <w:szCs w:val="20"/>
              </w:rPr>
              <w:t>n</w:t>
            </w:r>
            <w:r>
              <w:rPr>
                <w:sz w:val="20"/>
                <w:szCs w:val="20"/>
              </w:rPr>
              <w:t>o</w:t>
            </w:r>
            <w:r>
              <w:rPr>
                <w:sz w:val="20"/>
                <w:szCs w:val="20"/>
              </w:rPr>
              <w:t> shares issued or outstandin</w:t>
            </w:r>
            <w:r>
              <w:rPr>
                <w:sz w:val="20"/>
                <w:szCs w:val="20"/>
              </w:rPr>
              <w:t>g</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Additional paid-in capita</w:t>
            </w:r>
            <w:r>
              <w:rPr>
                <w:sz w:val="20"/>
                <w:szCs w:val="20"/>
              </w:rPr>
              <w:t>l</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486,58</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501,90</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Accumulated other comprehensive los</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20,90</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75</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Retained earning</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801,00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657,59</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          Total Fulgent stockholders' equit</w:t>
            </w:r>
            <w:r>
              <w:rPr>
                <w:sz w:val="20"/>
                <w:szCs w:val="20"/>
              </w:rPr>
              <w:t>y</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1,266,68</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1,158,74</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Noncontrolling interes</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3,19</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7,13</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Total stockholders’ equit</w:t>
            </w:r>
            <w:r>
              <w:rPr>
                <w:sz w:val="20"/>
                <w:szCs w:val="20"/>
              </w:rPr>
              <w:t>y</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1,269,87</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1,165,88</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Total liabilities and stockholders’ equit</w:t>
            </w:r>
            <w:r>
              <w:rPr>
                <w:sz w:val="20"/>
                <w:szCs w:val="20"/>
              </w:rPr>
              <w:t>y</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1,386,05</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1,278,72</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0" w:beforeAutospacing="0" w:after="0" w:afterAutospacing="0"/>
        <w:rPr>
          <w:sz w:val="20"/>
          <w:szCs w:val="20"/>
        </w:rPr>
      </w:pPr>
      <w:r>
        <w:rPr>
          <w:sz w:val="20"/>
          <w:szCs w:val="20"/>
        </w:rPr>
        <w:t> </w:t>
      </w:r>
    </w:p>
    <w:p w:rsidR="00000000" w:rsidRDefault="00477EE8">
      <w:pPr>
        <w:pStyle w:val="a3"/>
        <w:spacing w:before="4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477EE8">
      <w:pPr>
        <w:pStyle w:val="a3"/>
        <w:spacing w:before="240" w:beforeAutospacing="0" w:after="0" w:afterAutospacing="0"/>
        <w:jc w:val="center"/>
        <w:rPr>
          <w:sz w:val="20"/>
          <w:szCs w:val="20"/>
        </w:rPr>
      </w:pPr>
      <w:r>
        <w:rPr>
          <w:sz w:val="20"/>
          <w:szCs w:val="20"/>
        </w:rPr>
        <w:t>F</w:t>
      </w:r>
      <w:r>
        <w:rPr>
          <w:sz w:val="20"/>
          <w:szCs w:val="20"/>
        </w:rPr>
        <w:t>-</w:t>
      </w:r>
      <w:r>
        <w:rPr>
          <w:sz w:val="20"/>
          <w:szCs w:val="20"/>
        </w:rPr>
        <w:t>4</w:t>
      </w:r>
    </w:p>
    <w:p w:rsidR="00000000" w:rsidRDefault="00477EE8">
      <w:pPr>
        <w:rPr>
          <w:rFonts w:eastAsia="Times New Roman"/>
        </w:rPr>
      </w:pPr>
      <w:r>
        <w:rPr>
          <w:rFonts w:eastAsia="Times New Roman"/>
        </w:rPr>
        <w:pict>
          <v:rect id="_x0000_i1115" style="width:0;height:1.5pt" o:hralign="center" o:hrstd="t" o:hr="t" fillcolor="#a0a0a0" stroked="f"/>
        </w:pict>
      </w:r>
    </w:p>
    <w:p w:rsidR="00000000" w:rsidRDefault="00477EE8">
      <w:pPr>
        <w:pStyle w:val="a3"/>
        <w:spacing w:before="0" w:beforeAutospacing="0" w:after="0" w:afterAutospacing="0"/>
        <w:jc w:val="center"/>
        <w:rPr>
          <w:sz w:val="20"/>
          <w:szCs w:val="20"/>
        </w:rPr>
      </w:pPr>
      <w:r>
        <w:rPr>
          <w:b/>
          <w:bCs/>
          <w:sz w:val="20"/>
          <w:szCs w:val="20"/>
        </w:rPr>
        <w:t>CONSOLIDATED FINANCIAL STATEMENT</w:t>
      </w:r>
      <w:r>
        <w:rPr>
          <w:b/>
          <w:bCs/>
          <w:sz w:val="20"/>
          <w:szCs w:val="20"/>
        </w:rPr>
        <w:t>S</w:t>
      </w:r>
    </w:p>
    <w:p w:rsidR="00000000" w:rsidRDefault="00477EE8">
      <w:pPr>
        <w:pStyle w:val="a3"/>
        <w:spacing w:before="0" w:beforeAutospacing="0" w:after="0" w:afterAutospacing="0"/>
        <w:rPr>
          <w:sz w:val="20"/>
          <w:szCs w:val="20"/>
        </w:rPr>
      </w:pPr>
      <w:r>
        <w:rPr>
          <w:sz w:val="20"/>
          <w:szCs w:val="20"/>
        </w:rPr>
        <w:t> </w:t>
      </w:r>
    </w:p>
    <w:p w:rsidR="00000000" w:rsidRDefault="00477EE8">
      <w:pPr>
        <w:pStyle w:val="a3"/>
        <w:spacing w:before="0" w:beforeAutospacing="0" w:after="0" w:afterAutospacing="0"/>
        <w:jc w:val="center"/>
        <w:rPr>
          <w:sz w:val="20"/>
          <w:szCs w:val="20"/>
        </w:rPr>
      </w:pPr>
      <w:r>
        <w:rPr>
          <w:b/>
          <w:bCs/>
          <w:sz w:val="20"/>
          <w:szCs w:val="20"/>
        </w:rPr>
        <w:t>FULGENT GENETICS, INC</w:t>
      </w:r>
      <w:r>
        <w:rPr>
          <w:b/>
          <w:bCs/>
          <w:sz w:val="20"/>
          <w:szCs w:val="20"/>
        </w:rPr>
        <w:t>.</w:t>
      </w:r>
    </w:p>
    <w:p w:rsidR="00000000" w:rsidRDefault="00477EE8">
      <w:pPr>
        <w:pStyle w:val="a3"/>
        <w:spacing w:before="0" w:beforeAutospacing="0" w:after="0" w:afterAutospacing="0"/>
        <w:jc w:val="center"/>
        <w:rPr>
          <w:sz w:val="20"/>
          <w:szCs w:val="20"/>
        </w:rPr>
      </w:pPr>
      <w:r>
        <w:rPr>
          <w:b/>
          <w:bCs/>
          <w:sz w:val="20"/>
          <w:szCs w:val="20"/>
        </w:rPr>
        <w:t>Consolidated State</w:t>
      </w:r>
      <w:r>
        <w:rPr>
          <w:b/>
          <w:bCs/>
          <w:sz w:val="20"/>
          <w:szCs w:val="20"/>
        </w:rPr>
        <w:t>m</w:t>
      </w:r>
      <w:r>
        <w:rPr>
          <w:b/>
          <w:bCs/>
          <w:sz w:val="20"/>
          <w:szCs w:val="20"/>
        </w:rPr>
        <w:t>ents of Incom</w:t>
      </w:r>
      <w:r>
        <w:rPr>
          <w:b/>
          <w:bCs/>
          <w:sz w:val="20"/>
          <w:szCs w:val="20"/>
        </w:rPr>
        <w:t>e</w:t>
      </w:r>
    </w:p>
    <w:p w:rsidR="00000000" w:rsidRDefault="00477EE8">
      <w:pPr>
        <w:pStyle w:val="a3"/>
        <w:spacing w:before="0" w:beforeAutospacing="0" w:after="0" w:afterAutospacing="0"/>
        <w:jc w:val="center"/>
        <w:rPr>
          <w:sz w:val="20"/>
          <w:szCs w:val="20"/>
        </w:rPr>
      </w:pPr>
      <w:r>
        <w:rPr>
          <w:b/>
          <w:bCs/>
          <w:sz w:val="20"/>
          <w:szCs w:val="20"/>
        </w:rPr>
        <w:t>(in thousands, except per share</w:t>
      </w:r>
      <w:r>
        <w:rPr>
          <w:b/>
          <w:bCs/>
          <w:sz w:val="20"/>
          <w:szCs w:val="20"/>
        </w:rPr>
        <w:t>)</w:t>
      </w:r>
    </w:p>
    <w:p w:rsidR="00000000" w:rsidRDefault="00477EE8">
      <w:pPr>
        <w:pStyle w:val="a3"/>
        <w:spacing w:before="4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91"/>
        <w:gridCol w:w="160"/>
        <w:gridCol w:w="1055"/>
        <w:gridCol w:w="110"/>
        <w:gridCol w:w="137"/>
        <w:gridCol w:w="160"/>
        <w:gridCol w:w="1056"/>
        <w:gridCol w:w="110"/>
        <w:gridCol w:w="137"/>
        <w:gridCol w:w="160"/>
        <w:gridCol w:w="1088"/>
        <w:gridCol w:w="142"/>
      </w:tblGrid>
      <w:tr w:rsidR="00000000">
        <w:trPr>
          <w:tblCellSpacing w:w="15" w:type="dxa"/>
        </w:trPr>
        <w:tc>
          <w:tcPr>
            <w:tcW w:w="2510"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666"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85"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66"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85"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86"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10"/>
            <w:vAlign w:val="bottom"/>
            <w:hideMark/>
          </w:tcPr>
          <w:p w:rsidR="00000000" w:rsidRDefault="00477EE8">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Revenu</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618,96</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992,58</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421,71</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Cost of revenu</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252,06</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215,53</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89,80</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Gross profi</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366,90</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777,05</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331,90</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Operating expenses</w:t>
            </w:r>
            <w:r>
              <w:rPr>
                <w:sz w:val="20"/>
                <w:szCs w:val="20"/>
              </w:rPr>
              <w:t>:</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Research and developmen</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28,91</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24,21</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11,58</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Selling and marketin</w:t>
            </w:r>
            <w:r>
              <w:rPr>
                <w:sz w:val="20"/>
                <w:szCs w:val="20"/>
              </w:rPr>
              <w:t>g</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38,91</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24,43</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14,95</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111,07</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50,73</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15,21</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Amortization of intangible asset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6,49</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1,70</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Restructuring cost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2,97</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Total operating expense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188,37</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101,09</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41,74</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Operating incom</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178,52</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675,95</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290,15</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Interest and other income, ne</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5,49</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1,34</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1,52</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Income before income taxes, equity loss in investee and gain (loss) on equity-method investment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184,02</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677,30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291,68</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Provision for income taxe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42,10</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174,79</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72,53</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Income before equity loss in investee and gain (loss) on equity-method investment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141,92</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502,50</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219,15</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Equity loss in investe</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48</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Gain (loss) on equity-method investment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3,73</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4,35</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Net income from consolidated operation</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141,92</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506,23</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214,31</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Net loss attributable to noncontrolling interest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1,48</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1,12</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Net income attributable to Fulgen</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143,40</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507,36</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214,31</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Net income per common share attributable to Fulgent</w:t>
            </w:r>
            <w:r>
              <w:rPr>
                <w:sz w:val="20"/>
                <w:szCs w:val="20"/>
              </w:rPr>
              <w:t>:</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Basi</w:t>
            </w:r>
            <w:r>
              <w:rPr>
                <w:sz w:val="20"/>
                <w:szCs w:val="20"/>
              </w:rPr>
              <w:t>c</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4.7</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17.2</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9.4</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Dilute</w:t>
            </w:r>
            <w:r>
              <w:rPr>
                <w:sz w:val="20"/>
                <w:szCs w:val="20"/>
              </w:rPr>
              <w:t>d</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4.6</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16.3</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8.9</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Weighted-average common shares</w:t>
            </w:r>
            <w:r>
              <w:rPr>
                <w:sz w:val="20"/>
                <w:szCs w:val="20"/>
              </w:rPr>
              <w:t>:</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Basi</w:t>
            </w:r>
            <w:r>
              <w:rPr>
                <w:sz w:val="20"/>
                <w:szCs w:val="20"/>
              </w:rPr>
              <w:t>c</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30,09</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29,40</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22,69</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Dilute</w:t>
            </w:r>
            <w:r>
              <w:rPr>
                <w:sz w:val="20"/>
                <w:szCs w:val="20"/>
              </w:rPr>
              <w:t>d</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30,96</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30,97</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24,05</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40" w:beforeAutospacing="0" w:after="0" w:afterAutospacing="0"/>
        <w:jc w:val="center"/>
        <w:rPr>
          <w:sz w:val="20"/>
          <w:szCs w:val="20"/>
        </w:rPr>
      </w:pPr>
      <w:r>
        <w:rPr>
          <w:sz w:val="20"/>
          <w:szCs w:val="20"/>
        </w:rPr>
        <w:t> </w:t>
      </w:r>
    </w:p>
    <w:p w:rsidR="00000000" w:rsidRDefault="00477EE8">
      <w:pPr>
        <w:pStyle w:val="a3"/>
        <w:spacing w:before="4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477EE8">
      <w:pPr>
        <w:pStyle w:val="a3"/>
        <w:spacing w:before="240" w:beforeAutospacing="0" w:after="0" w:afterAutospacing="0"/>
        <w:jc w:val="center"/>
        <w:rPr>
          <w:sz w:val="20"/>
          <w:szCs w:val="20"/>
        </w:rPr>
      </w:pPr>
      <w:r>
        <w:rPr>
          <w:sz w:val="20"/>
          <w:szCs w:val="20"/>
        </w:rPr>
        <w:t>F</w:t>
      </w:r>
      <w:r>
        <w:rPr>
          <w:sz w:val="20"/>
          <w:szCs w:val="20"/>
        </w:rPr>
        <w:t>-</w:t>
      </w:r>
      <w:r>
        <w:rPr>
          <w:sz w:val="20"/>
          <w:szCs w:val="20"/>
        </w:rPr>
        <w:t>5</w:t>
      </w:r>
    </w:p>
    <w:p w:rsidR="00000000" w:rsidRDefault="00477EE8">
      <w:pPr>
        <w:rPr>
          <w:rFonts w:eastAsia="Times New Roman"/>
        </w:rPr>
      </w:pPr>
      <w:r>
        <w:rPr>
          <w:rFonts w:eastAsia="Times New Roman"/>
        </w:rPr>
        <w:pict>
          <v:rect id="_x0000_i1116" style="width:0;height:1.5pt" o:hralign="center" o:hrstd="t" o:hr="t" fillcolor="#a0a0a0" stroked="f"/>
        </w:pict>
      </w:r>
    </w:p>
    <w:p w:rsidR="00000000" w:rsidRDefault="00477EE8">
      <w:pPr>
        <w:pStyle w:val="a3"/>
        <w:spacing w:before="0" w:beforeAutospacing="0" w:after="0" w:afterAutospacing="0"/>
        <w:jc w:val="center"/>
        <w:rPr>
          <w:sz w:val="20"/>
          <w:szCs w:val="20"/>
        </w:rPr>
      </w:pPr>
      <w:r>
        <w:rPr>
          <w:b/>
          <w:bCs/>
          <w:sz w:val="20"/>
          <w:szCs w:val="20"/>
        </w:rPr>
        <w:t>FULGENT GENETICS, INC</w:t>
      </w:r>
      <w:r>
        <w:rPr>
          <w:b/>
          <w:bCs/>
          <w:sz w:val="20"/>
          <w:szCs w:val="20"/>
        </w:rPr>
        <w:t>.</w:t>
      </w:r>
    </w:p>
    <w:p w:rsidR="00000000" w:rsidRDefault="00477EE8">
      <w:pPr>
        <w:pStyle w:val="a3"/>
        <w:spacing w:before="0" w:beforeAutospacing="0" w:after="0" w:afterAutospacing="0"/>
        <w:jc w:val="center"/>
        <w:rPr>
          <w:sz w:val="20"/>
          <w:szCs w:val="20"/>
        </w:rPr>
      </w:pPr>
      <w:r>
        <w:rPr>
          <w:b/>
          <w:bCs/>
          <w:sz w:val="20"/>
          <w:szCs w:val="20"/>
        </w:rPr>
        <w:t>Consolidated Statement</w:t>
      </w:r>
      <w:r>
        <w:rPr>
          <w:b/>
          <w:bCs/>
          <w:sz w:val="20"/>
          <w:szCs w:val="20"/>
        </w:rPr>
        <w:t>s</w:t>
      </w:r>
      <w:r>
        <w:rPr>
          <w:b/>
          <w:bCs/>
          <w:sz w:val="20"/>
          <w:szCs w:val="20"/>
        </w:rPr>
        <w:t xml:space="preserve"> of Comprehensive Incom</w:t>
      </w:r>
      <w:r>
        <w:rPr>
          <w:b/>
          <w:bCs/>
          <w:sz w:val="20"/>
          <w:szCs w:val="20"/>
        </w:rPr>
        <w:t>e</w:t>
      </w:r>
    </w:p>
    <w:p w:rsidR="00000000" w:rsidRDefault="00477EE8">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477EE8">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43"/>
        <w:gridCol w:w="160"/>
        <w:gridCol w:w="1030"/>
        <w:gridCol w:w="127"/>
        <w:gridCol w:w="116"/>
        <w:gridCol w:w="160"/>
        <w:gridCol w:w="1030"/>
        <w:gridCol w:w="127"/>
        <w:gridCol w:w="116"/>
        <w:gridCol w:w="160"/>
        <w:gridCol w:w="1212"/>
        <w:gridCol w:w="125"/>
      </w:tblGrid>
      <w:tr w:rsidR="00000000">
        <w:trPr>
          <w:tblCellSpacing w:w="15" w:type="dxa"/>
        </w:trPr>
        <w:tc>
          <w:tcPr>
            <w:tcW w:w="2481"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651"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74"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51"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74"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766"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10"/>
            <w:vAlign w:val="bottom"/>
            <w:hideMark/>
          </w:tcPr>
          <w:p w:rsidR="00000000" w:rsidRDefault="00477EE8">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b/>
                <w:bCs/>
                <w:sz w:val="20"/>
                <w:szCs w:val="20"/>
              </w:rPr>
              <w:t>Net income from consolidated operation</w:t>
            </w:r>
            <w:r>
              <w:rPr>
                <w:b/>
                <w:bCs/>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141,92</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506,23</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214,31</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b/>
                <w:bCs/>
                <w:sz w:val="20"/>
                <w:szCs w:val="20"/>
              </w:rPr>
              <w:t>Other comprehensive income (loss)</w:t>
            </w:r>
            <w:r>
              <w:rPr>
                <w:b/>
                <w:bCs/>
                <w:sz w:val="20"/>
                <w:szCs w:val="20"/>
              </w:rPr>
              <w:t>:</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Foreign currency translation (loss) gai</w:t>
            </w:r>
            <w:r>
              <w:rPr>
                <w:sz w:val="20"/>
                <w:szCs w:val="20"/>
              </w:rPr>
              <w:t>n</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2,66</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45</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Net (loss) gain on available-for-sale debt securities, net of ta</w:t>
            </w:r>
            <w:r>
              <w:rPr>
                <w:sz w:val="20"/>
                <w:szCs w:val="20"/>
              </w:rPr>
              <w:t>x</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19,94</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1,54</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27</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b/>
                <w:bCs/>
                <w:sz w:val="20"/>
                <w:szCs w:val="20"/>
              </w:rPr>
              <w:t>Comprehensive income from consolidated operation</w:t>
            </w:r>
            <w:r>
              <w:rPr>
                <w:b/>
                <w:bCs/>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119,31</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505,14</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214,60</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Net loss attributable to noncontrolling interes</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1,48</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1,12</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Foreign currency translation loss (gain) attributable to noncontrolling interes</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2,46</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10</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b/>
                <w:bCs/>
                <w:sz w:val="20"/>
                <w:szCs w:val="20"/>
              </w:rPr>
              <w:t>Comprehensive loss attributable to noncontrolling interes</w:t>
            </w:r>
            <w:r>
              <w:rPr>
                <w:b/>
                <w:bCs/>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3,94</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1,02</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77EE8">
            <w:pPr>
              <w:pStyle w:val="a3"/>
              <w:spacing w:before="0" w:beforeAutospacing="0" w:after="0" w:afterAutospacing="0"/>
              <w:rPr>
                <w:sz w:val="20"/>
                <w:szCs w:val="20"/>
              </w:rPr>
            </w:pPr>
            <w:r>
              <w:rPr>
                <w:b/>
                <w:bCs/>
                <w:sz w:val="20"/>
                <w:szCs w:val="20"/>
              </w:rPr>
              <w:t>Comprehensive income attributable to Fulgen</w:t>
            </w:r>
            <w:r>
              <w:rPr>
                <w:b/>
                <w:bCs/>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123,25</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506,16</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214,60</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0" w:beforeAutospacing="0" w:after="0" w:afterAutospacing="0"/>
        <w:rPr>
          <w:sz w:val="20"/>
          <w:szCs w:val="20"/>
        </w:rPr>
      </w:pPr>
      <w:r>
        <w:rPr>
          <w:sz w:val="20"/>
          <w:szCs w:val="20"/>
        </w:rPr>
        <w:t> </w:t>
      </w:r>
    </w:p>
    <w:p w:rsidR="00000000" w:rsidRDefault="00477EE8">
      <w:pPr>
        <w:pStyle w:val="a3"/>
        <w:spacing w:before="4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477EE8">
      <w:pPr>
        <w:pStyle w:val="a3"/>
        <w:spacing w:before="240" w:beforeAutospacing="0" w:after="0" w:afterAutospacing="0"/>
        <w:jc w:val="center"/>
        <w:rPr>
          <w:sz w:val="20"/>
          <w:szCs w:val="20"/>
        </w:rPr>
      </w:pPr>
      <w:r>
        <w:rPr>
          <w:sz w:val="20"/>
          <w:szCs w:val="20"/>
        </w:rPr>
        <w:t>F</w:t>
      </w:r>
      <w:r>
        <w:rPr>
          <w:sz w:val="20"/>
          <w:szCs w:val="20"/>
        </w:rPr>
        <w:t>-</w:t>
      </w:r>
      <w:r>
        <w:rPr>
          <w:sz w:val="20"/>
          <w:szCs w:val="20"/>
        </w:rPr>
        <w:t>6</w:t>
      </w:r>
    </w:p>
    <w:p w:rsidR="00000000" w:rsidRDefault="00477EE8">
      <w:pPr>
        <w:rPr>
          <w:rFonts w:eastAsia="Times New Roman"/>
        </w:rPr>
      </w:pPr>
      <w:r>
        <w:rPr>
          <w:rFonts w:eastAsia="Times New Roman"/>
        </w:rPr>
        <w:pict>
          <v:rect id="_x0000_i1117" style="width:0;height:1.5pt" o:hralign="center" o:hrstd="t" o:hr="t" fillcolor="#a0a0a0" stroked="f"/>
        </w:pict>
      </w:r>
    </w:p>
    <w:p w:rsidR="00000000" w:rsidRDefault="00477EE8">
      <w:pPr>
        <w:pStyle w:val="a3"/>
        <w:spacing w:before="0" w:beforeAutospacing="0" w:after="0" w:afterAutospacing="0"/>
        <w:jc w:val="center"/>
        <w:rPr>
          <w:sz w:val="20"/>
          <w:szCs w:val="20"/>
        </w:rPr>
      </w:pPr>
      <w:r>
        <w:rPr>
          <w:b/>
          <w:bCs/>
          <w:sz w:val="20"/>
          <w:szCs w:val="20"/>
        </w:rPr>
        <w:t>FULGENT GENETICS, INC</w:t>
      </w:r>
      <w:r>
        <w:rPr>
          <w:b/>
          <w:bCs/>
          <w:sz w:val="20"/>
          <w:szCs w:val="20"/>
        </w:rPr>
        <w:t>.</w:t>
      </w:r>
    </w:p>
    <w:p w:rsidR="00000000" w:rsidRDefault="00477EE8">
      <w:pPr>
        <w:pStyle w:val="a3"/>
        <w:spacing w:before="0" w:beforeAutospacing="0" w:after="0" w:afterAutospacing="0"/>
        <w:jc w:val="center"/>
        <w:rPr>
          <w:sz w:val="20"/>
          <w:szCs w:val="20"/>
        </w:rPr>
      </w:pPr>
      <w:r>
        <w:rPr>
          <w:b/>
          <w:bCs/>
          <w:sz w:val="20"/>
          <w:szCs w:val="20"/>
        </w:rPr>
        <w:t>Consolidated Statemen</w:t>
      </w:r>
      <w:r>
        <w:rPr>
          <w:b/>
          <w:bCs/>
          <w:sz w:val="20"/>
          <w:szCs w:val="20"/>
        </w:rPr>
        <w:t>t</w:t>
      </w:r>
      <w:r>
        <w:rPr>
          <w:b/>
          <w:bCs/>
          <w:sz w:val="20"/>
          <w:szCs w:val="20"/>
        </w:rPr>
        <w:t>s of Stockholders’ Equit</w:t>
      </w:r>
      <w:r>
        <w:rPr>
          <w:b/>
          <w:bCs/>
          <w:sz w:val="20"/>
          <w:szCs w:val="20"/>
        </w:rPr>
        <w:t>y</w:t>
      </w:r>
    </w:p>
    <w:p w:rsidR="00000000" w:rsidRDefault="00477EE8">
      <w:pPr>
        <w:pStyle w:val="a3"/>
        <w:spacing w:before="0" w:beforeAutospacing="0" w:after="0" w:afterAutospacing="0"/>
        <w:jc w:val="center"/>
        <w:rPr>
          <w:sz w:val="20"/>
          <w:szCs w:val="20"/>
        </w:rPr>
      </w:pPr>
      <w:r>
        <w:rPr>
          <w:b/>
          <w:bCs/>
          <w:sz w:val="20"/>
          <w:szCs w:val="20"/>
        </w:rPr>
        <w:t>(in thousands</w:t>
      </w:r>
      <w:r>
        <w:rPr>
          <w:b/>
          <w:bCs/>
          <w:sz w:val="20"/>
          <w:szCs w:val="20"/>
        </w:rPr>
        <w:t>)</w:t>
      </w:r>
      <w:r>
        <w:rPr>
          <w:sz w:val="20"/>
          <w:szCs w:val="20"/>
        </w:rPr>
        <w:t xml:space="preserve"> </w:t>
      </w:r>
    </w:p>
    <w:p w:rsidR="00000000" w:rsidRDefault="00477EE8">
      <w:pPr>
        <w:pStyle w:val="a3"/>
        <w:spacing w:before="0" w:beforeAutospacing="0" w:after="0" w:afterAutospacing="0"/>
        <w:jc w:val="center"/>
        <w:rPr>
          <w:sz w:val="20"/>
          <w:szCs w:val="20"/>
        </w:rPr>
      </w:pPr>
      <w:r>
        <w:rPr>
          <w:sz w:val="20"/>
          <w:szCs w:val="20"/>
        </w:rPr>
        <w:t> </w:t>
      </w:r>
    </w:p>
    <w:p w:rsidR="00000000" w:rsidRDefault="00477EE8">
      <w:pPr>
        <w:pStyle w:val="a3"/>
        <w:spacing w:before="240" w:beforeAutospacing="0" w:after="0" w:afterAutospacing="0"/>
        <w:jc w:val="center"/>
        <w:rPr>
          <w:sz w:val="20"/>
          <w:szCs w:val="20"/>
        </w:rPr>
      </w:pPr>
      <w:r>
        <w:rPr>
          <w:sz w:val="20"/>
          <w:szCs w:val="20"/>
        </w:rPr>
        <w:t>F</w:t>
      </w:r>
      <w:r>
        <w:rPr>
          <w:sz w:val="20"/>
          <w:szCs w:val="20"/>
        </w:rPr>
        <w:t>-</w:t>
      </w:r>
      <w:r>
        <w:rPr>
          <w:sz w:val="20"/>
          <w:szCs w:val="20"/>
        </w:rPr>
        <w:t>7</w:t>
      </w:r>
    </w:p>
    <w:p w:rsidR="00000000" w:rsidRDefault="00477EE8">
      <w:pPr>
        <w:rPr>
          <w:rFonts w:eastAsia="Times New Roman"/>
        </w:rPr>
      </w:pPr>
      <w:r>
        <w:rPr>
          <w:rFonts w:eastAsia="Times New Roman"/>
        </w:rPr>
        <w:pict>
          <v:rect id="_x0000_i111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53"/>
        <w:gridCol w:w="100"/>
        <w:gridCol w:w="500"/>
        <w:gridCol w:w="114"/>
        <w:gridCol w:w="100"/>
        <w:gridCol w:w="141"/>
        <w:gridCol w:w="511"/>
        <w:gridCol w:w="100"/>
        <w:gridCol w:w="100"/>
        <w:gridCol w:w="141"/>
        <w:gridCol w:w="683"/>
        <w:gridCol w:w="114"/>
        <w:gridCol w:w="100"/>
        <w:gridCol w:w="147"/>
        <w:gridCol w:w="980"/>
        <w:gridCol w:w="114"/>
        <w:gridCol w:w="100"/>
        <w:gridCol w:w="141"/>
        <w:gridCol w:w="889"/>
        <w:gridCol w:w="114"/>
        <w:gridCol w:w="100"/>
        <w:gridCol w:w="141"/>
        <w:gridCol w:w="882"/>
        <w:gridCol w:w="114"/>
        <w:gridCol w:w="100"/>
        <w:gridCol w:w="161"/>
        <w:gridCol w:w="937"/>
        <w:gridCol w:w="114"/>
        <w:gridCol w:w="100"/>
        <w:gridCol w:w="140"/>
        <w:gridCol w:w="580"/>
        <w:gridCol w:w="129"/>
      </w:tblGrid>
      <w:tr w:rsidR="00000000">
        <w:trPr>
          <w:tblCellSpacing w:w="15" w:type="dxa"/>
        </w:trPr>
        <w:tc>
          <w:tcPr>
            <w:tcW w:w="846" w:type="pct"/>
            <w:vAlign w:val="center"/>
            <w:hideMark/>
          </w:tcPr>
          <w:p w:rsidR="00000000" w:rsidRDefault="00477EE8">
            <w:pPr>
              <w:rPr>
                <w:rFonts w:eastAsia="Times New Roman"/>
              </w:rPr>
            </w:pPr>
          </w:p>
        </w:tc>
        <w:tc>
          <w:tcPr>
            <w:tcW w:w="50" w:type="pct"/>
            <w:vAlign w:val="center"/>
            <w:hideMark/>
          </w:tcPr>
          <w:p w:rsidR="00000000" w:rsidRDefault="00477EE8">
            <w:pPr>
              <w:rPr>
                <w:rFonts w:eastAsia="Times New Roman"/>
                <w:sz w:val="20"/>
                <w:szCs w:val="20"/>
              </w:rPr>
            </w:pPr>
          </w:p>
        </w:tc>
        <w:tc>
          <w:tcPr>
            <w:tcW w:w="336"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7"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302"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12"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427"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4"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407"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4"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427"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4"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21"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4"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365"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4"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21"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477EE8">
            <w:pPr>
              <w:pStyle w:val="a3"/>
              <w:spacing w:before="0" w:beforeAutospacing="0" w:after="0" w:afterAutospacing="0"/>
              <w:jc w:val="center"/>
              <w:rPr>
                <w:sz w:val="16"/>
                <w:szCs w:val="16"/>
              </w:rPr>
            </w:pPr>
            <w:r>
              <w:rPr>
                <w:b/>
                <w:bCs/>
                <w:sz w:val="16"/>
                <w:szCs w:val="16"/>
              </w:rPr>
              <w:t>Fulgent Stockholders' Equit</w:t>
            </w:r>
            <w:r>
              <w:rPr>
                <w:b/>
                <w:bCs/>
                <w:sz w:val="16"/>
                <w:szCs w:val="16"/>
              </w:rPr>
              <w:t>y</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Share</w:t>
            </w:r>
            <w:r>
              <w:rPr>
                <w:b/>
                <w:bCs/>
                <w:sz w:val="16"/>
                <w:szCs w:val="16"/>
              </w:rPr>
              <w:t>s</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Additional</w:t>
            </w:r>
            <w:r>
              <w:rPr>
                <w:b/>
                <w:bCs/>
                <w:sz w:val="16"/>
                <w:szCs w:val="16"/>
              </w:rPr>
              <w:br/>
              <w:t> Paid-In Capita</w:t>
            </w:r>
            <w:r>
              <w:rPr>
                <w:b/>
                <w:bCs/>
                <w:sz w:val="16"/>
                <w:szCs w:val="16"/>
              </w:rPr>
              <w:t>l</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 xml:space="preserve">Accumulated </w:t>
            </w:r>
            <w:r>
              <w:rPr>
                <w:b/>
                <w:bCs/>
                <w:sz w:val="16"/>
                <w:szCs w:val="16"/>
              </w:rPr>
              <w:br/>
              <w:t>Other Comprehensive</w:t>
            </w:r>
            <w:r>
              <w:rPr>
                <w:b/>
                <w:bCs/>
                <w:sz w:val="16"/>
                <w:szCs w:val="16"/>
              </w:rPr>
              <w:br/>
              <w:t>Income (Loss</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 xml:space="preserve">Retained Earnings (Accumulated </w:t>
            </w:r>
            <w:r>
              <w:rPr>
                <w:b/>
                <w:bCs/>
                <w:sz w:val="16"/>
                <w:szCs w:val="16"/>
              </w:rPr>
              <w:br/>
              <w:t>Deficit</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Fulgent Stockholders' Equit</w:t>
            </w:r>
            <w:r>
              <w:rPr>
                <w:b/>
                <w:bCs/>
                <w:sz w:val="16"/>
                <w:szCs w:val="16"/>
              </w:rPr>
              <w:t>y</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Noncontrolling Interes</w:t>
            </w:r>
            <w:r>
              <w:rPr>
                <w:b/>
                <w:bCs/>
                <w:sz w:val="16"/>
                <w:szCs w:val="16"/>
              </w:rPr>
              <w:t>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 xml:space="preserve">Total </w:t>
            </w:r>
            <w:r>
              <w:rPr>
                <w:b/>
                <w:bCs/>
                <w:sz w:val="16"/>
                <w:szCs w:val="16"/>
              </w:rPr>
              <w:br/>
              <w:t>Equit</w:t>
            </w:r>
            <w:r>
              <w:rPr>
                <w:b/>
                <w:bCs/>
                <w:sz w:val="16"/>
                <w:szCs w:val="16"/>
              </w:rPr>
              <w:t>y</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477EE8">
            <w:pPr>
              <w:pStyle w:val="a3"/>
              <w:spacing w:before="0" w:beforeAutospacing="0" w:after="0" w:afterAutospacing="0"/>
              <w:rPr>
                <w:sz w:val="16"/>
                <w:szCs w:val="16"/>
              </w:rPr>
            </w:pPr>
            <w:r>
              <w:rPr>
                <w:b/>
                <w:bCs/>
                <w:sz w:val="16"/>
                <w:szCs w:val="16"/>
              </w:rPr>
              <w:t>Balance at January 1, 202</w:t>
            </w:r>
            <w:r>
              <w:rPr>
                <w:b/>
                <w:bCs/>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21,48</w:t>
            </w:r>
            <w:r>
              <w:rPr>
                <w:sz w:val="16"/>
                <w:szCs w:val="16"/>
              </w:rPr>
              <w:t>3</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2</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146,05</w:t>
            </w:r>
            <w:r>
              <w:rPr>
                <w:sz w:val="16"/>
                <w:szCs w:val="16"/>
              </w:rPr>
              <w:t>8</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14</w:t>
            </w:r>
            <w:r>
              <w:rPr>
                <w:sz w:val="16"/>
                <w:szCs w:val="16"/>
              </w:rPr>
              <w:t>6</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63,42</w:t>
            </w:r>
            <w:r>
              <w:rPr>
                <w:sz w:val="16"/>
                <w:szCs w:val="16"/>
              </w:rPr>
              <w:t>9</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82,77</w:t>
            </w:r>
            <w:r>
              <w:rPr>
                <w:sz w:val="16"/>
                <w:szCs w:val="16"/>
              </w:rPr>
              <w:t>7</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82,77</w:t>
            </w:r>
            <w:r>
              <w:rPr>
                <w:sz w:val="16"/>
                <w:szCs w:val="16"/>
              </w:rPr>
              <w:t>7</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16"/>
                <w:szCs w:val="16"/>
              </w:rPr>
            </w:pPr>
            <w:r>
              <w:rPr>
                <w:sz w:val="16"/>
                <w:szCs w:val="16"/>
              </w:rPr>
              <w:t>Equity-based compensatio</w:t>
            </w:r>
            <w:r>
              <w:rPr>
                <w:sz w:val="16"/>
                <w:szCs w:val="16"/>
              </w:rPr>
              <w:t>n</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8,15</w:t>
            </w:r>
            <w:r>
              <w:rPr>
                <w:sz w:val="16"/>
                <w:szCs w:val="16"/>
              </w:rPr>
              <w:t>7</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8,15</w:t>
            </w:r>
            <w:r>
              <w:rPr>
                <w:sz w:val="16"/>
                <w:szCs w:val="16"/>
              </w:rPr>
              <w:t>7</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8,15</w:t>
            </w:r>
            <w:r>
              <w:rPr>
                <w:sz w:val="16"/>
                <w:szCs w:val="16"/>
              </w:rPr>
              <w:t>7</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16"/>
                <w:szCs w:val="16"/>
              </w:rPr>
            </w:pPr>
            <w:r>
              <w:rPr>
                <w:sz w:val="16"/>
                <w:szCs w:val="16"/>
              </w:rPr>
              <w:t>Exercise of common stock option</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5</w:t>
            </w:r>
            <w:r>
              <w:rPr>
                <w:sz w:val="16"/>
                <w:szCs w:val="16"/>
              </w:rPr>
              <w:t>6</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10</w:t>
            </w:r>
            <w:r>
              <w:rPr>
                <w:sz w:val="16"/>
                <w:szCs w:val="16"/>
              </w:rPr>
              <w:t>4</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10</w:t>
            </w:r>
            <w:r>
              <w:rPr>
                <w:sz w:val="16"/>
                <w:szCs w:val="16"/>
              </w:rPr>
              <w:t>4</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10</w:t>
            </w:r>
            <w:r>
              <w:rPr>
                <w:sz w:val="16"/>
                <w:szCs w:val="16"/>
              </w:rPr>
              <w:t>4</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16"/>
                <w:szCs w:val="16"/>
              </w:rPr>
            </w:pPr>
            <w:r>
              <w:rPr>
                <w:sz w:val="16"/>
                <w:szCs w:val="16"/>
              </w:rPr>
              <w:t>Restricted stock award</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65</w:t>
            </w:r>
            <w:r>
              <w:rPr>
                <w:sz w:val="16"/>
                <w:szCs w:val="16"/>
              </w:rPr>
              <w:t>5</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16"/>
                <w:szCs w:val="16"/>
              </w:rPr>
              <w:t xml:space="preserve">Issuance of common stock at an average of </w:t>
            </w:r>
            <w:r>
              <w:rPr>
                <w:sz w:val="16"/>
                <w:szCs w:val="16"/>
              </w:rPr>
              <w:t>$</w:t>
            </w:r>
            <w:r>
              <w:rPr>
                <w:sz w:val="16"/>
                <w:szCs w:val="16"/>
              </w:rPr>
              <w:t>38.5</w:t>
            </w:r>
            <w:r>
              <w:rPr>
                <w:sz w:val="16"/>
                <w:szCs w:val="16"/>
              </w:rPr>
              <w:t>0</w:t>
            </w:r>
            <w:r>
              <w:rPr>
                <w:sz w:val="16"/>
                <w:szCs w:val="16"/>
              </w:rPr>
              <w:t> per share, ne</w:t>
            </w:r>
            <w:r>
              <w:rPr>
                <w:sz w:val="16"/>
                <w:szCs w:val="16"/>
              </w:rPr>
              <w:t>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1,10</w:t>
            </w:r>
            <w:r>
              <w:rPr>
                <w:sz w:val="16"/>
                <w:szCs w:val="16"/>
              </w:rPr>
              <w:t>8</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42,65</w:t>
            </w:r>
            <w:r>
              <w:rPr>
                <w:sz w:val="16"/>
                <w:szCs w:val="16"/>
              </w:rPr>
              <w:t>5</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42,65</w:t>
            </w:r>
            <w:r>
              <w:rPr>
                <w:sz w:val="16"/>
                <w:szCs w:val="16"/>
              </w:rPr>
              <w:t>5</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42,65</w:t>
            </w:r>
            <w:r>
              <w:rPr>
                <w:sz w:val="16"/>
                <w:szCs w:val="16"/>
              </w:rPr>
              <w:t>5</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16"/>
                <w:szCs w:val="16"/>
              </w:rPr>
              <w:t xml:space="preserve">Issuance of common stock at an average of </w:t>
            </w:r>
            <w:r>
              <w:rPr>
                <w:sz w:val="16"/>
                <w:szCs w:val="16"/>
              </w:rPr>
              <w:t>$</w:t>
            </w:r>
            <w:r>
              <w:rPr>
                <w:sz w:val="16"/>
                <w:szCs w:val="16"/>
              </w:rPr>
              <w:t>42.9</w:t>
            </w:r>
            <w:r>
              <w:rPr>
                <w:sz w:val="16"/>
                <w:szCs w:val="16"/>
              </w:rPr>
              <w:t>0</w:t>
            </w:r>
            <w:r>
              <w:rPr>
                <w:sz w:val="16"/>
                <w:szCs w:val="16"/>
              </w:rPr>
              <w:t> per share, ne</w:t>
            </w:r>
            <w:r>
              <w:rPr>
                <w:sz w:val="16"/>
                <w:szCs w:val="16"/>
              </w:rPr>
              <w:t>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2,84</w:t>
            </w:r>
            <w:r>
              <w:rPr>
                <w:sz w:val="16"/>
                <w:szCs w:val="16"/>
              </w:rPr>
              <w:t>6</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122,10</w:t>
            </w:r>
            <w:r>
              <w:rPr>
                <w:sz w:val="16"/>
                <w:szCs w:val="16"/>
              </w:rPr>
              <w:t>2</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122,10</w:t>
            </w:r>
            <w:r>
              <w:rPr>
                <w:sz w:val="16"/>
                <w:szCs w:val="16"/>
              </w:rPr>
              <w:t>3</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122,10</w:t>
            </w:r>
            <w:r>
              <w:rPr>
                <w:sz w:val="16"/>
                <w:szCs w:val="16"/>
              </w:rPr>
              <w:t>3</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16"/>
                <w:szCs w:val="16"/>
              </w:rPr>
              <w:t xml:space="preserve">Issuance of common stock at an average of </w:t>
            </w:r>
            <w:r>
              <w:rPr>
                <w:sz w:val="16"/>
                <w:szCs w:val="16"/>
              </w:rPr>
              <w:t>$</w:t>
            </w:r>
            <w:r>
              <w:rPr>
                <w:sz w:val="16"/>
                <w:szCs w:val="16"/>
              </w:rPr>
              <w:t>48.7</w:t>
            </w:r>
            <w:r>
              <w:rPr>
                <w:sz w:val="16"/>
                <w:szCs w:val="16"/>
              </w:rPr>
              <w:t>0</w:t>
            </w:r>
            <w:r>
              <w:rPr>
                <w:sz w:val="16"/>
                <w:szCs w:val="16"/>
              </w:rPr>
              <w:t> per share, ne</w:t>
            </w:r>
            <w:r>
              <w:rPr>
                <w:sz w:val="16"/>
                <w:szCs w:val="16"/>
              </w:rPr>
              <w:t>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2,03</w:t>
            </w:r>
            <w:r>
              <w:rPr>
                <w:sz w:val="16"/>
                <w:szCs w:val="16"/>
              </w:rPr>
              <w:t>4</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99,05</w:t>
            </w:r>
            <w:r>
              <w:rPr>
                <w:sz w:val="16"/>
                <w:szCs w:val="16"/>
              </w:rPr>
              <w:t>1</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99,05</w:t>
            </w:r>
            <w:r>
              <w:rPr>
                <w:sz w:val="16"/>
                <w:szCs w:val="16"/>
              </w:rPr>
              <w:t>1</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99,05</w:t>
            </w:r>
            <w:r>
              <w:rPr>
                <w:sz w:val="16"/>
                <w:szCs w:val="16"/>
              </w:rPr>
              <w:t>1</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16"/>
                <w:szCs w:val="16"/>
              </w:rPr>
            </w:pPr>
            <w:r>
              <w:rPr>
                <w:sz w:val="16"/>
                <w:szCs w:val="16"/>
              </w:rPr>
              <w:t>Common stock withholding for employee tax obligation</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4</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6</w:t>
            </w:r>
            <w:r>
              <w:rPr>
                <w:sz w:val="16"/>
                <w:szCs w:val="16"/>
              </w:rPr>
              <w:t>2</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6</w:t>
            </w:r>
            <w:r>
              <w:rPr>
                <w:sz w:val="16"/>
                <w:szCs w:val="16"/>
              </w:rPr>
              <w:t>2</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6</w:t>
            </w:r>
            <w:r>
              <w:rPr>
                <w:sz w:val="16"/>
                <w:szCs w:val="16"/>
              </w:rPr>
              <w:t>2</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16"/>
                <w:szCs w:val="16"/>
              </w:rPr>
            </w:pPr>
            <w:r>
              <w:rPr>
                <w:sz w:val="16"/>
                <w:szCs w:val="16"/>
              </w:rPr>
              <w:t>Other comprehensive gain, ne</w:t>
            </w:r>
            <w:r>
              <w:rPr>
                <w:sz w:val="16"/>
                <w:szCs w:val="16"/>
              </w:rPr>
              <w:t>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29</w:t>
            </w:r>
            <w:r>
              <w:rPr>
                <w:sz w:val="16"/>
                <w:szCs w:val="16"/>
              </w:rPr>
              <w:t>2</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29</w:t>
            </w:r>
            <w:r>
              <w:rPr>
                <w:sz w:val="16"/>
                <w:szCs w:val="16"/>
              </w:rPr>
              <w:t>2</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29</w:t>
            </w:r>
            <w:r>
              <w:rPr>
                <w:sz w:val="16"/>
                <w:szCs w:val="16"/>
              </w:rPr>
              <w:t>2</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16"/>
                <w:szCs w:val="16"/>
              </w:rPr>
            </w:pPr>
            <w:r>
              <w:rPr>
                <w:sz w:val="16"/>
                <w:szCs w:val="16"/>
              </w:rPr>
              <w:t>Net incom</w:t>
            </w:r>
            <w:r>
              <w:rPr>
                <w:sz w:val="16"/>
                <w:szCs w:val="16"/>
              </w:rPr>
              <w:t>e</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214,31</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214,31</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214,31</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16"/>
                <w:szCs w:val="16"/>
              </w:rPr>
            </w:pPr>
            <w:r>
              <w:rPr>
                <w:b/>
                <w:bCs/>
                <w:sz w:val="16"/>
                <w:szCs w:val="16"/>
              </w:rPr>
              <w:t>Balance at December 31, 202</w:t>
            </w:r>
            <w:r>
              <w:rPr>
                <w:b/>
                <w:bCs/>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28,17</w:t>
            </w:r>
            <w:r>
              <w:rPr>
                <w:sz w:val="16"/>
                <w:szCs w:val="16"/>
              </w:rPr>
              <w:t>8</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3</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418,06</w:t>
            </w:r>
            <w:r>
              <w:rPr>
                <w:sz w:val="16"/>
                <w:szCs w:val="16"/>
              </w:rPr>
              <w:t>5</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43</w:t>
            </w:r>
            <w:r>
              <w:rPr>
                <w:sz w:val="16"/>
                <w:szCs w:val="16"/>
              </w:rPr>
              <w:t>8</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150,88</w:t>
            </w:r>
            <w:r>
              <w:rPr>
                <w:sz w:val="16"/>
                <w:szCs w:val="16"/>
              </w:rPr>
              <w:t>1</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569,38</w:t>
            </w:r>
            <w:r>
              <w:rPr>
                <w:sz w:val="16"/>
                <w:szCs w:val="16"/>
              </w:rPr>
              <w:t>7</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569,38</w:t>
            </w:r>
            <w:r>
              <w:rPr>
                <w:sz w:val="16"/>
                <w:szCs w:val="16"/>
              </w:rPr>
              <w:t>7</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16"/>
                <w:szCs w:val="16"/>
              </w:rPr>
            </w:pPr>
            <w:r>
              <w:rPr>
                <w:sz w:val="16"/>
                <w:szCs w:val="16"/>
              </w:rPr>
              <w:t>Equity-based compensatio</w:t>
            </w:r>
            <w:r>
              <w:rPr>
                <w:sz w:val="16"/>
                <w:szCs w:val="16"/>
              </w:rPr>
              <w:t>n</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15,88</w:t>
            </w:r>
            <w:r>
              <w:rPr>
                <w:sz w:val="16"/>
                <w:szCs w:val="16"/>
              </w:rPr>
              <w:t>2</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15,88</w:t>
            </w:r>
            <w:r>
              <w:rPr>
                <w:sz w:val="16"/>
                <w:szCs w:val="16"/>
              </w:rPr>
              <w:t>2</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15,88</w:t>
            </w:r>
            <w:r>
              <w:rPr>
                <w:sz w:val="16"/>
                <w:szCs w:val="16"/>
              </w:rPr>
              <w:t>2</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16"/>
                <w:szCs w:val="16"/>
              </w:rPr>
            </w:pPr>
            <w:r>
              <w:rPr>
                <w:sz w:val="16"/>
                <w:szCs w:val="16"/>
              </w:rPr>
              <w:t>Exercise of common stock option</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7</w:t>
            </w:r>
            <w:r>
              <w:rPr>
                <w:sz w:val="16"/>
                <w:szCs w:val="16"/>
              </w:rPr>
              <w:t>6</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8</w:t>
            </w:r>
            <w:r>
              <w:rPr>
                <w:sz w:val="16"/>
                <w:szCs w:val="16"/>
              </w:rPr>
              <w:t>6</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8</w:t>
            </w:r>
            <w:r>
              <w:rPr>
                <w:sz w:val="16"/>
                <w:szCs w:val="16"/>
              </w:rPr>
              <w:t>6</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8</w:t>
            </w:r>
            <w:r>
              <w:rPr>
                <w:sz w:val="16"/>
                <w:szCs w:val="16"/>
              </w:rPr>
              <w:t>6</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16"/>
                <w:szCs w:val="16"/>
              </w:rPr>
            </w:pPr>
            <w:r>
              <w:rPr>
                <w:sz w:val="16"/>
                <w:szCs w:val="16"/>
              </w:rPr>
              <w:t>Restricted stock award</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83</w:t>
            </w:r>
            <w:r>
              <w:rPr>
                <w:sz w:val="16"/>
                <w:szCs w:val="16"/>
              </w:rPr>
              <w:t>6</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16"/>
                <w:szCs w:val="16"/>
              </w:rPr>
              <w:t xml:space="preserve">Issuance of common stock at an average of </w:t>
            </w:r>
            <w:r>
              <w:rPr>
                <w:sz w:val="16"/>
                <w:szCs w:val="16"/>
              </w:rPr>
              <w:t>$</w:t>
            </w:r>
            <w:r>
              <w:rPr>
                <w:sz w:val="16"/>
                <w:szCs w:val="16"/>
              </w:rPr>
              <w:t>64.8</w:t>
            </w:r>
            <w:r>
              <w:rPr>
                <w:sz w:val="16"/>
                <w:szCs w:val="16"/>
              </w:rPr>
              <w:t>3</w:t>
            </w:r>
            <w:r>
              <w:rPr>
                <w:sz w:val="16"/>
                <w:szCs w:val="16"/>
              </w:rPr>
              <w:t> per share, ne</w:t>
            </w:r>
            <w:r>
              <w:rPr>
                <w:sz w:val="16"/>
                <w:szCs w:val="16"/>
              </w:rPr>
              <w:t>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1,11</w:t>
            </w:r>
            <w:r>
              <w:rPr>
                <w:sz w:val="16"/>
                <w:szCs w:val="16"/>
              </w:rPr>
              <w:t>1</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72,03</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72,03</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72,03</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16"/>
                <w:szCs w:val="16"/>
              </w:rPr>
            </w:pPr>
            <w:r>
              <w:rPr>
                <w:sz w:val="16"/>
                <w:szCs w:val="16"/>
              </w:rPr>
              <w:t>Common stock withholding for employee tax obligation</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4</w:t>
            </w:r>
            <w:r>
              <w:rPr>
                <w:sz w:val="16"/>
                <w:szCs w:val="16"/>
              </w:rPr>
              <w:t>1</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4,15</w:t>
            </w:r>
            <w:r>
              <w:rPr>
                <w:sz w:val="16"/>
                <w:szCs w:val="16"/>
              </w:rPr>
              <w:t>5</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4,15</w:t>
            </w:r>
            <w:r>
              <w:rPr>
                <w:sz w:val="16"/>
                <w:szCs w:val="16"/>
              </w:rPr>
              <w:t>5</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4,15</w:t>
            </w:r>
            <w:r>
              <w:rPr>
                <w:sz w:val="16"/>
                <w:szCs w:val="16"/>
              </w:rPr>
              <w:t>5</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477EE8">
            <w:pPr>
              <w:pStyle w:val="a3"/>
              <w:spacing w:before="0" w:beforeAutospacing="0" w:after="0" w:afterAutospacing="0"/>
              <w:rPr>
                <w:sz w:val="16"/>
                <w:szCs w:val="16"/>
              </w:rPr>
            </w:pPr>
            <w:r>
              <w:rPr>
                <w:sz w:val="16"/>
                <w:szCs w:val="16"/>
              </w:rPr>
              <w:t>Cumulative effect of accounting chang</w:t>
            </w:r>
            <w:r>
              <w:rPr>
                <w:sz w:val="16"/>
                <w:szCs w:val="16"/>
              </w:rPr>
              <w:t>e</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88</w:t>
            </w:r>
            <w:r>
              <w:rPr>
                <w:sz w:val="16"/>
                <w:szCs w:val="16"/>
              </w:rPr>
              <w:t>7</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88</w:t>
            </w:r>
            <w:r>
              <w:rPr>
                <w:sz w:val="16"/>
                <w:szCs w:val="16"/>
              </w:rPr>
              <w:t>7</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88</w:t>
            </w:r>
            <w:r>
              <w:rPr>
                <w:sz w:val="16"/>
                <w:szCs w:val="16"/>
              </w:rPr>
              <w:t>7</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16"/>
                <w:szCs w:val="16"/>
              </w:rPr>
            </w:pPr>
            <w:r>
              <w:rPr>
                <w:sz w:val="16"/>
                <w:szCs w:val="16"/>
              </w:rPr>
              <w:t>Cumulative tax effect of accounting chang</w:t>
            </w:r>
            <w:r>
              <w:rPr>
                <w:sz w:val="16"/>
                <w:szCs w:val="16"/>
              </w:rPr>
              <w:t>e</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23</w:t>
            </w:r>
            <w:r>
              <w:rPr>
                <w:sz w:val="16"/>
                <w:szCs w:val="16"/>
              </w:rPr>
              <w:t>9</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23</w:t>
            </w:r>
            <w:r>
              <w:rPr>
                <w:sz w:val="16"/>
                <w:szCs w:val="16"/>
              </w:rPr>
              <w:t>9</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23</w:t>
            </w:r>
            <w:r>
              <w:rPr>
                <w:sz w:val="16"/>
                <w:szCs w:val="16"/>
              </w:rPr>
              <w:t>9</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16"/>
                <w:szCs w:val="16"/>
              </w:rPr>
            </w:pPr>
            <w:r>
              <w:rPr>
                <w:sz w:val="16"/>
                <w:szCs w:val="16"/>
              </w:rPr>
              <w:t>Noncontrolling interest assumed related to acquisition</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8,15</w:t>
            </w:r>
            <w:r>
              <w:rPr>
                <w:sz w:val="16"/>
                <w:szCs w:val="16"/>
              </w:rPr>
              <w:t>1</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8,15</w:t>
            </w:r>
            <w:r>
              <w:rPr>
                <w:sz w:val="16"/>
                <w:szCs w:val="16"/>
              </w:rPr>
              <w:t>1</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16"/>
                <w:szCs w:val="16"/>
              </w:rPr>
            </w:pPr>
            <w:r>
              <w:rPr>
                <w:sz w:val="16"/>
                <w:szCs w:val="16"/>
              </w:rPr>
              <w:t>Other comprehensive loss, ne</w:t>
            </w:r>
            <w:r>
              <w:rPr>
                <w:sz w:val="16"/>
                <w:szCs w:val="16"/>
              </w:rPr>
              <w:t>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1,19</w:t>
            </w:r>
            <w:r>
              <w:rPr>
                <w:sz w:val="16"/>
                <w:szCs w:val="16"/>
              </w:rPr>
              <w:t>7</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1,19</w:t>
            </w:r>
            <w:r>
              <w:rPr>
                <w:sz w:val="16"/>
                <w:szCs w:val="16"/>
              </w:rPr>
              <w:t>7</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10</w:t>
            </w:r>
            <w:r>
              <w:rPr>
                <w:sz w:val="16"/>
                <w:szCs w:val="16"/>
              </w:rPr>
              <w:t>5</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1,09</w:t>
            </w:r>
            <w:r>
              <w:rPr>
                <w:sz w:val="16"/>
                <w:szCs w:val="16"/>
              </w:rPr>
              <w:t>2</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16"/>
                <w:szCs w:val="16"/>
              </w:rPr>
            </w:pPr>
            <w:r>
              <w:rPr>
                <w:sz w:val="16"/>
                <w:szCs w:val="16"/>
              </w:rPr>
              <w:t>Net income (loss</w:t>
            </w: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507,36</w:t>
            </w:r>
            <w:r>
              <w:rPr>
                <w:sz w:val="16"/>
                <w:szCs w:val="16"/>
              </w:rPr>
              <w:t>4</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507,36</w:t>
            </w:r>
            <w:r>
              <w:rPr>
                <w:sz w:val="16"/>
                <w:szCs w:val="16"/>
              </w:rPr>
              <w:t>4</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1,12</w:t>
            </w:r>
            <w:r>
              <w:rPr>
                <w:sz w:val="16"/>
                <w:szCs w:val="16"/>
              </w:rPr>
              <w:t>5</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506,23</w:t>
            </w:r>
            <w:r>
              <w:rPr>
                <w:sz w:val="16"/>
                <w:szCs w:val="16"/>
              </w:rPr>
              <w:t>9</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bl>
    <w:p w:rsidR="00000000" w:rsidRDefault="00477EE8">
      <w:pPr>
        <w:pStyle w:val="a3"/>
        <w:spacing w:before="240" w:beforeAutospacing="0" w:after="0" w:afterAutospacing="0"/>
        <w:jc w:val="center"/>
        <w:rPr>
          <w:sz w:val="20"/>
          <w:szCs w:val="20"/>
        </w:rPr>
      </w:pPr>
      <w:r>
        <w:rPr>
          <w:sz w:val="20"/>
          <w:szCs w:val="20"/>
        </w:rPr>
        <w:t>F</w:t>
      </w:r>
      <w:r>
        <w:rPr>
          <w:sz w:val="20"/>
          <w:szCs w:val="20"/>
        </w:rPr>
        <w:t>-</w:t>
      </w:r>
      <w:r>
        <w:rPr>
          <w:sz w:val="20"/>
          <w:szCs w:val="20"/>
        </w:rPr>
        <w:t>8</w:t>
      </w:r>
    </w:p>
    <w:p w:rsidR="00000000" w:rsidRDefault="00477EE8">
      <w:pPr>
        <w:rPr>
          <w:rFonts w:eastAsia="Times New Roman"/>
        </w:rPr>
      </w:pPr>
      <w:r>
        <w:rPr>
          <w:rFonts w:eastAsia="Times New Roman"/>
        </w:rPr>
        <w:pict>
          <v:rect id="_x0000_i111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96"/>
        <w:gridCol w:w="100"/>
        <w:gridCol w:w="500"/>
        <w:gridCol w:w="114"/>
        <w:gridCol w:w="100"/>
        <w:gridCol w:w="140"/>
        <w:gridCol w:w="325"/>
        <w:gridCol w:w="100"/>
        <w:gridCol w:w="100"/>
        <w:gridCol w:w="140"/>
        <w:gridCol w:w="580"/>
        <w:gridCol w:w="114"/>
        <w:gridCol w:w="100"/>
        <w:gridCol w:w="140"/>
        <w:gridCol w:w="554"/>
        <w:gridCol w:w="114"/>
        <w:gridCol w:w="100"/>
        <w:gridCol w:w="140"/>
        <w:gridCol w:w="580"/>
        <w:gridCol w:w="100"/>
        <w:gridCol w:w="100"/>
        <w:gridCol w:w="140"/>
        <w:gridCol w:w="700"/>
        <w:gridCol w:w="114"/>
        <w:gridCol w:w="100"/>
        <w:gridCol w:w="140"/>
        <w:gridCol w:w="474"/>
        <w:gridCol w:w="114"/>
        <w:gridCol w:w="100"/>
        <w:gridCol w:w="140"/>
        <w:gridCol w:w="718"/>
        <w:gridCol w:w="129"/>
      </w:tblGrid>
      <w:tr w:rsidR="00000000">
        <w:trPr>
          <w:tblCellSpacing w:w="15" w:type="dxa"/>
        </w:trPr>
        <w:tc>
          <w:tcPr>
            <w:tcW w:w="829" w:type="pct"/>
            <w:vAlign w:val="center"/>
            <w:hideMark/>
          </w:tcPr>
          <w:p w:rsidR="00000000" w:rsidRDefault="00477EE8">
            <w:pPr>
              <w:rPr>
                <w:rFonts w:eastAsia="Times New Roman"/>
              </w:rPr>
            </w:pPr>
          </w:p>
        </w:tc>
        <w:tc>
          <w:tcPr>
            <w:tcW w:w="50" w:type="pct"/>
            <w:vAlign w:val="center"/>
            <w:hideMark/>
          </w:tcPr>
          <w:p w:rsidR="00000000" w:rsidRDefault="00477EE8">
            <w:pPr>
              <w:rPr>
                <w:rFonts w:eastAsia="Times New Roman"/>
                <w:sz w:val="20"/>
                <w:szCs w:val="20"/>
              </w:rPr>
            </w:pPr>
          </w:p>
        </w:tc>
        <w:tc>
          <w:tcPr>
            <w:tcW w:w="328"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7"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322"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12"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429"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4"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409"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4"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429"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4"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20"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4"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368"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4"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20"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16"/>
                <w:szCs w:val="16"/>
              </w:rPr>
            </w:pPr>
            <w:r>
              <w:rPr>
                <w:b/>
                <w:bCs/>
                <w:sz w:val="16"/>
                <w:szCs w:val="16"/>
              </w:rPr>
              <w:t>Balance at December 31, 202</w:t>
            </w:r>
            <w:r>
              <w:rPr>
                <w:b/>
                <w:bCs/>
                <w:sz w:val="16"/>
                <w:szCs w:val="16"/>
              </w:rPr>
              <w:t>1</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30,16</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3</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501,90</w:t>
            </w:r>
            <w:r>
              <w:rPr>
                <w:sz w:val="16"/>
                <w:szCs w:val="16"/>
              </w:rPr>
              <w:t>8</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75</w:t>
            </w:r>
            <w:r>
              <w:rPr>
                <w:sz w:val="16"/>
                <w:szCs w:val="16"/>
              </w:rPr>
              <w:t>9</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657,59</w:t>
            </w:r>
            <w:r>
              <w:rPr>
                <w:sz w:val="16"/>
                <w:szCs w:val="16"/>
              </w:rPr>
              <w:t>7</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1,158,74</w:t>
            </w:r>
            <w:r>
              <w:rPr>
                <w:sz w:val="16"/>
                <w:szCs w:val="16"/>
              </w:rPr>
              <w:t>9</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7,13</w:t>
            </w:r>
            <w:r>
              <w:rPr>
                <w:sz w:val="16"/>
                <w:szCs w:val="16"/>
              </w:rPr>
              <w:t>1</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1,165,88</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16"/>
                <w:szCs w:val="16"/>
              </w:rPr>
            </w:pPr>
            <w:r>
              <w:rPr>
                <w:sz w:val="16"/>
                <w:szCs w:val="16"/>
              </w:rPr>
              <w:t>Equity-based compensatio</w:t>
            </w:r>
            <w:r>
              <w:rPr>
                <w:sz w:val="16"/>
                <w:szCs w:val="16"/>
              </w:rPr>
              <w:t>n</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32,64</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32,64</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32,64</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16"/>
                <w:szCs w:val="16"/>
              </w:rPr>
            </w:pPr>
            <w:r>
              <w:rPr>
                <w:sz w:val="16"/>
                <w:szCs w:val="16"/>
              </w:rPr>
              <w:t>Exercise of common stock option</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5</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3</w:t>
            </w:r>
            <w:r>
              <w:rPr>
                <w:sz w:val="16"/>
                <w:szCs w:val="16"/>
              </w:rPr>
              <w:t>1</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3</w:t>
            </w:r>
            <w:r>
              <w:rPr>
                <w:sz w:val="16"/>
                <w:szCs w:val="16"/>
              </w:rPr>
              <w:t>1</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3</w:t>
            </w:r>
            <w:r>
              <w:rPr>
                <w:sz w:val="16"/>
                <w:szCs w:val="16"/>
              </w:rPr>
              <w:t>1</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16"/>
                <w:szCs w:val="16"/>
              </w:rPr>
            </w:pPr>
            <w:r>
              <w:rPr>
                <w:sz w:val="16"/>
                <w:szCs w:val="16"/>
              </w:rPr>
              <w:t>Restricted stock award</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69</w:t>
            </w:r>
            <w:r>
              <w:rPr>
                <w:sz w:val="16"/>
                <w:szCs w:val="16"/>
              </w:rPr>
              <w:t>9</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16"/>
                <w:szCs w:val="16"/>
              </w:rPr>
            </w:pPr>
            <w:r>
              <w:rPr>
                <w:sz w:val="16"/>
                <w:szCs w:val="16"/>
              </w:rPr>
              <w:t>Common stock withholding for employee tax obligation</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3</w:t>
            </w:r>
            <w:r>
              <w:rPr>
                <w:sz w:val="16"/>
                <w:szCs w:val="16"/>
              </w:rPr>
              <w:t>2</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1,76</w:t>
            </w:r>
            <w:r>
              <w:rPr>
                <w:sz w:val="16"/>
                <w:szCs w:val="16"/>
              </w:rPr>
              <w:t>8</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1,76</w:t>
            </w:r>
            <w:r>
              <w:rPr>
                <w:sz w:val="16"/>
                <w:szCs w:val="16"/>
              </w:rPr>
              <w:t>8</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1,76</w:t>
            </w:r>
            <w:r>
              <w:rPr>
                <w:sz w:val="16"/>
                <w:szCs w:val="16"/>
              </w:rPr>
              <w:t>8</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477EE8">
            <w:pPr>
              <w:pStyle w:val="a3"/>
              <w:spacing w:before="0" w:beforeAutospacing="0" w:after="0" w:afterAutospacing="0"/>
              <w:rPr>
                <w:sz w:val="16"/>
                <w:szCs w:val="16"/>
              </w:rPr>
            </w:pPr>
            <w:r>
              <w:rPr>
                <w:sz w:val="16"/>
                <w:szCs w:val="16"/>
              </w:rPr>
              <w:t>Repurchase of common stoc</w:t>
            </w:r>
            <w:r>
              <w:rPr>
                <w:sz w:val="16"/>
                <w:szCs w:val="16"/>
              </w:rPr>
              <w:t>k</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1,81</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74,33</w:t>
            </w:r>
            <w:r>
              <w:rPr>
                <w:sz w:val="16"/>
                <w:szCs w:val="16"/>
              </w:rPr>
              <w:t>7</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74,33</w:t>
            </w:r>
            <w:r>
              <w:rPr>
                <w:sz w:val="16"/>
                <w:szCs w:val="16"/>
              </w:rPr>
              <w:t>7</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74,33</w:t>
            </w:r>
            <w:r>
              <w:rPr>
                <w:sz w:val="16"/>
                <w:szCs w:val="16"/>
              </w:rPr>
              <w:t>7</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16"/>
                <w:szCs w:val="16"/>
              </w:rPr>
            </w:pPr>
            <w:r>
              <w:rPr>
                <w:sz w:val="16"/>
                <w:szCs w:val="16"/>
              </w:rPr>
              <w:t>Common stock issued in a business combination (1</w:t>
            </w: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41</w:t>
            </w:r>
            <w:r>
              <w:rPr>
                <w:sz w:val="16"/>
                <w:szCs w:val="16"/>
              </w:rPr>
              <w:t>6</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28,11</w:t>
            </w:r>
            <w:r>
              <w:rPr>
                <w:sz w:val="16"/>
                <w:szCs w:val="16"/>
              </w:rPr>
              <w:t>1</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28,11</w:t>
            </w:r>
            <w:r>
              <w:rPr>
                <w:sz w:val="16"/>
                <w:szCs w:val="16"/>
              </w:rPr>
              <w:t>1</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28,11</w:t>
            </w:r>
            <w:r>
              <w:rPr>
                <w:sz w:val="16"/>
                <w:szCs w:val="16"/>
              </w:rPr>
              <w:t>1</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16"/>
                <w:szCs w:val="16"/>
              </w:rPr>
            </w:pPr>
            <w:r>
              <w:rPr>
                <w:sz w:val="16"/>
                <w:szCs w:val="16"/>
              </w:rPr>
              <w:t>Other comprehensive loss, ne</w:t>
            </w:r>
            <w:r>
              <w:rPr>
                <w:sz w:val="16"/>
                <w:szCs w:val="16"/>
              </w:rPr>
              <w:t>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20,14</w:t>
            </w:r>
            <w:r>
              <w:rPr>
                <w:sz w:val="16"/>
                <w:szCs w:val="16"/>
              </w:rPr>
              <w:t>4</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20,14</w:t>
            </w:r>
            <w:r>
              <w:rPr>
                <w:sz w:val="16"/>
                <w:szCs w:val="16"/>
              </w:rPr>
              <w:t>4</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2,46</w:t>
            </w:r>
            <w:r>
              <w:rPr>
                <w:sz w:val="16"/>
                <w:szCs w:val="16"/>
              </w:rPr>
              <w:t>1</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22,60</w:t>
            </w:r>
            <w:r>
              <w:rPr>
                <w:sz w:val="16"/>
                <w:szCs w:val="16"/>
              </w:rPr>
              <w:t>5</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16"/>
                <w:szCs w:val="16"/>
              </w:rPr>
            </w:pPr>
            <w:r>
              <w:rPr>
                <w:sz w:val="16"/>
                <w:szCs w:val="16"/>
              </w:rPr>
              <w:t>Net income (loss</w:t>
            </w: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143,40</w:t>
            </w:r>
            <w:r>
              <w:rPr>
                <w:sz w:val="16"/>
                <w:szCs w:val="16"/>
              </w:rPr>
              <w:t>3</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143,40</w:t>
            </w:r>
            <w:r>
              <w:rPr>
                <w:sz w:val="16"/>
                <w:szCs w:val="16"/>
              </w:rPr>
              <w:t>3</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1,48</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141,92</w:t>
            </w:r>
            <w:r>
              <w:rPr>
                <w:sz w:val="16"/>
                <w:szCs w:val="16"/>
              </w:rPr>
              <w:t>3</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rPr>
                <w:sz w:val="16"/>
                <w:szCs w:val="16"/>
              </w:rPr>
            </w:pPr>
            <w:r>
              <w:rPr>
                <w:b/>
                <w:bCs/>
                <w:sz w:val="16"/>
                <w:szCs w:val="16"/>
              </w:rPr>
              <w:t>Balance at December 31, 202</w:t>
            </w:r>
            <w:r>
              <w:rPr>
                <w:b/>
                <w:bCs/>
                <w:sz w:val="16"/>
                <w:szCs w:val="16"/>
              </w:rPr>
              <w:t>2</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29,43</w:t>
            </w:r>
            <w:r>
              <w:rPr>
                <w:sz w:val="16"/>
                <w:szCs w:val="16"/>
              </w:rPr>
              <w:t>8</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3</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486,58</w:t>
            </w:r>
            <w:r>
              <w:rPr>
                <w:sz w:val="16"/>
                <w:szCs w:val="16"/>
              </w:rPr>
              <w:t>5</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20,90</w:t>
            </w:r>
            <w:r>
              <w:rPr>
                <w:sz w:val="16"/>
                <w:szCs w:val="16"/>
              </w:rPr>
              <w:t>3</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801,00</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1,266,68</w:t>
            </w:r>
            <w:r>
              <w:rPr>
                <w:sz w:val="16"/>
                <w:szCs w:val="16"/>
              </w:rPr>
              <w:t>5</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3,19</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1,269,87</w:t>
            </w:r>
            <w:r>
              <w:rPr>
                <w:sz w:val="16"/>
                <w:szCs w:val="16"/>
              </w:rPr>
              <w:t>5</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bl>
    <w:p w:rsidR="00000000" w:rsidRDefault="00477EE8">
      <w:pPr>
        <w:pStyle w:val="a3"/>
        <w:spacing w:before="0" w:beforeAutospacing="0" w:after="0" w:afterAutospacing="0"/>
        <w:rPr>
          <w:sz w:val="20"/>
          <w:szCs w:val="20"/>
        </w:rPr>
      </w:pPr>
      <w:r>
        <w:rPr>
          <w:sz w:val="12"/>
          <w:szCs w:val="12"/>
        </w:rPr>
        <w:t> </w:t>
      </w:r>
    </w:p>
    <w:p w:rsidR="00000000" w:rsidRDefault="00477EE8">
      <w:pPr>
        <w:pStyle w:val="a3"/>
        <w:spacing w:before="0" w:beforeAutospacing="0" w:after="0" w:afterAutospacing="0"/>
        <w:rPr>
          <w:sz w:val="20"/>
          <w:szCs w:val="20"/>
        </w:rPr>
      </w:pPr>
      <w:r>
        <w:rPr>
          <w:sz w:val="16"/>
          <w:szCs w:val="16"/>
        </w:rPr>
        <w:t>(1) As of December 31, 2022,</w:t>
      </w:r>
      <w:r>
        <w:rPr>
          <w:sz w:val="16"/>
          <w:szCs w:val="16"/>
        </w:rPr>
        <w:t xml:space="preserve"> </w:t>
      </w:r>
      <w:r>
        <w:rPr>
          <w:sz w:val="16"/>
          <w:szCs w:val="16"/>
        </w:rPr>
        <w:t>371,00</w:t>
      </w:r>
      <w:r>
        <w:rPr>
          <w:sz w:val="16"/>
          <w:szCs w:val="16"/>
        </w:rPr>
        <w:t>6</w:t>
      </w:r>
      <w:r>
        <w:rPr>
          <w:sz w:val="16"/>
          <w:szCs w:val="16"/>
        </w:rPr>
        <w:t xml:space="preserve"> shares of the Company's common stock were not issued and heldback by the Company as partial security for the indemnification obligations in connection with the business combination of Fulgent Pharma</w:t>
      </w:r>
      <w:r>
        <w:rPr>
          <w:sz w:val="16"/>
          <w:szCs w:val="16"/>
        </w:rPr>
        <w:t>.</w:t>
      </w:r>
    </w:p>
    <w:p w:rsidR="00000000" w:rsidRDefault="00477EE8">
      <w:pPr>
        <w:pStyle w:val="a3"/>
        <w:spacing w:before="0" w:beforeAutospacing="0" w:after="0" w:afterAutospacing="0"/>
        <w:rPr>
          <w:sz w:val="20"/>
          <w:szCs w:val="20"/>
        </w:rPr>
      </w:pPr>
      <w:r>
        <w:rPr>
          <w:sz w:val="12"/>
          <w:szCs w:val="12"/>
        </w:rPr>
        <w:t> </w:t>
      </w:r>
    </w:p>
    <w:p w:rsidR="00000000" w:rsidRDefault="00477EE8">
      <w:pPr>
        <w:pStyle w:val="a3"/>
        <w:spacing w:before="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477EE8">
      <w:pPr>
        <w:pStyle w:val="a3"/>
        <w:spacing w:before="240" w:beforeAutospacing="0" w:after="0" w:afterAutospacing="0"/>
        <w:jc w:val="center"/>
        <w:rPr>
          <w:sz w:val="20"/>
          <w:szCs w:val="20"/>
        </w:rPr>
      </w:pPr>
      <w:r>
        <w:rPr>
          <w:sz w:val="20"/>
          <w:szCs w:val="20"/>
        </w:rPr>
        <w:t>F</w:t>
      </w:r>
      <w:r>
        <w:rPr>
          <w:sz w:val="20"/>
          <w:szCs w:val="20"/>
        </w:rPr>
        <w:t>-</w:t>
      </w:r>
      <w:r>
        <w:rPr>
          <w:sz w:val="20"/>
          <w:szCs w:val="20"/>
        </w:rPr>
        <w:t>9</w:t>
      </w:r>
    </w:p>
    <w:p w:rsidR="00000000" w:rsidRDefault="00477EE8">
      <w:pPr>
        <w:rPr>
          <w:rFonts w:eastAsia="Times New Roman"/>
        </w:rPr>
      </w:pPr>
      <w:r>
        <w:rPr>
          <w:rFonts w:eastAsia="Times New Roman"/>
        </w:rPr>
        <w:pict>
          <v:rect id="_x0000_i1120" style="width:0;height:1.5pt" o:hralign="center" o:hrstd="t" o:hr="t" fillcolor="#a0a0a0" stroked="f"/>
        </w:pict>
      </w:r>
    </w:p>
    <w:p w:rsidR="00000000" w:rsidRDefault="00477EE8">
      <w:pPr>
        <w:pStyle w:val="a3"/>
        <w:spacing w:before="0" w:beforeAutospacing="0" w:after="0" w:afterAutospacing="0"/>
        <w:jc w:val="center"/>
        <w:rPr>
          <w:sz w:val="20"/>
          <w:szCs w:val="20"/>
        </w:rPr>
      </w:pPr>
      <w:r>
        <w:rPr>
          <w:b/>
          <w:bCs/>
          <w:sz w:val="20"/>
          <w:szCs w:val="20"/>
        </w:rPr>
        <w:t>FULGENT GENETICS, INC</w:t>
      </w:r>
      <w:r>
        <w:rPr>
          <w:b/>
          <w:bCs/>
          <w:sz w:val="20"/>
          <w:szCs w:val="20"/>
        </w:rPr>
        <w:t>.</w:t>
      </w:r>
    </w:p>
    <w:p w:rsidR="00000000" w:rsidRDefault="00477EE8">
      <w:pPr>
        <w:pStyle w:val="a3"/>
        <w:spacing w:before="0" w:beforeAutospacing="0" w:after="0" w:afterAutospacing="0"/>
        <w:jc w:val="center"/>
        <w:rPr>
          <w:sz w:val="20"/>
          <w:szCs w:val="20"/>
        </w:rPr>
      </w:pPr>
      <w:r>
        <w:rPr>
          <w:b/>
          <w:bCs/>
          <w:sz w:val="20"/>
          <w:szCs w:val="20"/>
        </w:rPr>
        <w:t>Consolidated State</w:t>
      </w:r>
      <w:r>
        <w:rPr>
          <w:b/>
          <w:bCs/>
          <w:sz w:val="20"/>
          <w:szCs w:val="20"/>
        </w:rPr>
        <w:t>m</w:t>
      </w:r>
      <w:r>
        <w:rPr>
          <w:b/>
          <w:bCs/>
          <w:sz w:val="20"/>
          <w:szCs w:val="20"/>
        </w:rPr>
        <w:t>ents of Cash Flow</w:t>
      </w:r>
      <w:r>
        <w:rPr>
          <w:b/>
          <w:bCs/>
          <w:sz w:val="20"/>
          <w:szCs w:val="20"/>
        </w:rPr>
        <w:t>s</w:t>
      </w:r>
    </w:p>
    <w:p w:rsidR="00000000" w:rsidRDefault="00477EE8">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477EE8">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44"/>
        <w:gridCol w:w="140"/>
        <w:gridCol w:w="1037"/>
        <w:gridCol w:w="114"/>
        <w:gridCol w:w="120"/>
        <w:gridCol w:w="140"/>
        <w:gridCol w:w="1038"/>
        <w:gridCol w:w="114"/>
        <w:gridCol w:w="120"/>
        <w:gridCol w:w="140"/>
        <w:gridCol w:w="1070"/>
        <w:gridCol w:w="129"/>
      </w:tblGrid>
      <w:tr w:rsidR="00000000">
        <w:trPr>
          <w:tblCellSpacing w:w="15" w:type="dxa"/>
        </w:trPr>
        <w:tc>
          <w:tcPr>
            <w:tcW w:w="2599"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647"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8"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47"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8"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67"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477EE8">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rPr>
                <w:sz w:val="16"/>
                <w:szCs w:val="16"/>
              </w:rPr>
            </w:pPr>
            <w:r>
              <w:rPr>
                <w:b/>
                <w:bCs/>
                <w:sz w:val="16"/>
                <w:szCs w:val="16"/>
              </w:rPr>
              <w:t>Cash flow from operating activities</w:t>
            </w:r>
            <w:r>
              <w:rPr>
                <w:b/>
                <w:bCs/>
                <w:sz w:val="16"/>
                <w:szCs w:val="16"/>
              </w:rPr>
              <w:t>:</w:t>
            </w:r>
          </w:p>
        </w:tc>
        <w:tc>
          <w:tcPr>
            <w:tcW w:w="0" w:type="auto"/>
            <w:gridSpan w:val="2"/>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rPr>
                <w:sz w:val="16"/>
                <w:szCs w:val="16"/>
              </w:rPr>
            </w:pPr>
            <w:r>
              <w:rPr>
                <w:sz w:val="16"/>
                <w:szCs w:val="16"/>
              </w:rPr>
              <w:t>Net income from consolidated operation</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141,92</w:t>
            </w:r>
            <w:r>
              <w:rPr>
                <w:sz w:val="16"/>
                <w:szCs w:val="16"/>
              </w:rPr>
              <w:t>3</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506,23</w:t>
            </w:r>
            <w:r>
              <w:rPr>
                <w:sz w:val="16"/>
                <w:szCs w:val="16"/>
              </w:rPr>
              <w:t>9</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214,31</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Adjustments to reconcile net income to net cash provided by operating activities</w:t>
            </w:r>
            <w:r>
              <w:rPr>
                <w:sz w:val="16"/>
                <w:szCs w:val="16"/>
              </w:rPr>
              <w:t>:</w:t>
            </w:r>
          </w:p>
        </w:tc>
        <w:tc>
          <w:tcPr>
            <w:tcW w:w="0" w:type="auto"/>
            <w:gridSpan w:val="2"/>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Equity-based compensatio</w:t>
            </w:r>
            <w:r>
              <w:rPr>
                <w:sz w:val="16"/>
                <w:szCs w:val="16"/>
              </w:rPr>
              <w:t>n</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32,64</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15,88</w:t>
            </w:r>
            <w:r>
              <w:rPr>
                <w:sz w:val="16"/>
                <w:szCs w:val="16"/>
              </w:rPr>
              <w:t>2</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8,15</w:t>
            </w:r>
            <w:r>
              <w:rPr>
                <w:sz w:val="16"/>
                <w:szCs w:val="16"/>
              </w:rPr>
              <w:t>7</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Depreciation and amortizatio</w:t>
            </w:r>
            <w:r>
              <w:rPr>
                <w:sz w:val="16"/>
                <w:szCs w:val="16"/>
              </w:rPr>
              <w:t>n</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32,66</w:t>
            </w:r>
            <w:r>
              <w:rPr>
                <w:sz w:val="16"/>
                <w:szCs w:val="16"/>
              </w:rPr>
              <w:t>2</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11,00</w:t>
            </w:r>
            <w:r>
              <w:rPr>
                <w:sz w:val="16"/>
                <w:szCs w:val="16"/>
              </w:rPr>
              <w:t>4</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2,96</w:t>
            </w:r>
            <w:r>
              <w:rPr>
                <w:sz w:val="16"/>
                <w:szCs w:val="16"/>
              </w:rPr>
              <w:t>2</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Provision for credit losse</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32,59</w:t>
            </w:r>
            <w:r>
              <w:rPr>
                <w:sz w:val="16"/>
                <w:szCs w:val="16"/>
              </w:rPr>
              <w:t>6</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8,93</w:t>
            </w:r>
            <w:r>
              <w:rPr>
                <w:sz w:val="16"/>
                <w:szCs w:val="16"/>
              </w:rPr>
              <w:t>1</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1,17</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Noncash lease expens</w:t>
            </w:r>
            <w:r>
              <w:rPr>
                <w:sz w:val="16"/>
                <w:szCs w:val="16"/>
              </w:rPr>
              <w:t>e</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4,91</w:t>
            </w:r>
            <w:r>
              <w:rPr>
                <w:sz w:val="16"/>
                <w:szCs w:val="16"/>
              </w:rPr>
              <w:t>3</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1,15</w:t>
            </w:r>
            <w:r>
              <w:rPr>
                <w:sz w:val="16"/>
                <w:szCs w:val="16"/>
              </w:rPr>
              <w:t>4</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40</w:t>
            </w:r>
            <w:r>
              <w:rPr>
                <w:sz w:val="16"/>
                <w:szCs w:val="16"/>
              </w:rPr>
              <w:t>9</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Loss on disposal of fixed asse</w:t>
            </w:r>
            <w:r>
              <w:rPr>
                <w:sz w:val="16"/>
                <w:szCs w:val="16"/>
              </w:rPr>
              <w:t>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50</w:t>
            </w:r>
            <w:r>
              <w:rPr>
                <w:sz w:val="16"/>
                <w:szCs w:val="16"/>
              </w:rPr>
              <w:t>2</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85</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67</w:t>
            </w:r>
            <w:r>
              <w:rPr>
                <w:sz w:val="16"/>
                <w:szCs w:val="16"/>
              </w:rPr>
              <w:t>2</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Amortization of premium of marketable securitie</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4,76</w:t>
            </w:r>
            <w:r>
              <w:rPr>
                <w:sz w:val="16"/>
                <w:szCs w:val="16"/>
              </w:rPr>
              <w:t>7</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7,59</w:t>
            </w:r>
            <w:r>
              <w:rPr>
                <w:sz w:val="16"/>
                <w:szCs w:val="16"/>
              </w:rPr>
              <w:t>6</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85</w:t>
            </w:r>
            <w:r>
              <w:rPr>
                <w:sz w:val="16"/>
                <w:szCs w:val="16"/>
              </w:rPr>
              <w:t>7</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Deferred taxe</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8,28</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8,18</w:t>
            </w:r>
            <w:r>
              <w:rPr>
                <w:sz w:val="16"/>
                <w:szCs w:val="16"/>
              </w:rPr>
              <w:t>8</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1,77</w:t>
            </w:r>
            <w:r>
              <w:rPr>
                <w:sz w:val="16"/>
                <w:szCs w:val="16"/>
              </w:rPr>
              <w:t>5</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Unrecognized tax benefit</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9,11</w:t>
            </w:r>
            <w:r>
              <w:rPr>
                <w:sz w:val="16"/>
                <w:szCs w:val="16"/>
              </w:rPr>
              <w:t>1</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34</w:t>
            </w:r>
            <w:r>
              <w:rPr>
                <w:sz w:val="16"/>
                <w:szCs w:val="16"/>
              </w:rPr>
              <w:t>8</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37</w:t>
            </w:r>
            <w:r>
              <w:rPr>
                <w:sz w:val="16"/>
                <w:szCs w:val="16"/>
              </w:rPr>
              <w:t>7</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Net loss on marketable securitie</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69</w:t>
            </w:r>
            <w:r>
              <w:rPr>
                <w:sz w:val="16"/>
                <w:szCs w:val="16"/>
              </w:rPr>
              <w:t>2</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1,18</w:t>
            </w:r>
            <w:r>
              <w:rPr>
                <w:sz w:val="16"/>
                <w:szCs w:val="16"/>
              </w:rPr>
              <w:t>6</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9</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Equity loss in investe</w:t>
            </w:r>
            <w:r>
              <w:rPr>
                <w:sz w:val="16"/>
                <w:szCs w:val="16"/>
              </w:rPr>
              <w:t>e</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48</w:t>
            </w:r>
            <w:r>
              <w:rPr>
                <w:sz w:val="16"/>
                <w:szCs w:val="16"/>
              </w:rPr>
              <w:t>8</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(Gain) loss in equity-method investment</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3,73</w:t>
            </w:r>
            <w:r>
              <w:rPr>
                <w:sz w:val="16"/>
                <w:szCs w:val="16"/>
              </w:rPr>
              <w:t>4</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4,35</w:t>
            </w:r>
            <w:r>
              <w:rPr>
                <w:sz w:val="16"/>
                <w:szCs w:val="16"/>
              </w:rPr>
              <w:t>4</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Othe</w:t>
            </w:r>
            <w:r>
              <w:rPr>
                <w:sz w:val="16"/>
                <w:szCs w:val="16"/>
              </w:rPr>
              <w:t>r</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1</w:t>
            </w:r>
            <w:r>
              <w:rPr>
                <w:sz w:val="16"/>
                <w:szCs w:val="16"/>
              </w:rPr>
              <w:t>1</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1</w:t>
            </w:r>
            <w:r>
              <w:rPr>
                <w:sz w:val="16"/>
                <w:szCs w:val="16"/>
              </w:rPr>
              <w:t>5</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8</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Changes in operating assets and liabilities</w:t>
            </w:r>
            <w:r>
              <w:rPr>
                <w:sz w:val="16"/>
                <w:szCs w:val="16"/>
              </w:rPr>
              <w:t>:</w:t>
            </w:r>
          </w:p>
        </w:tc>
        <w:tc>
          <w:tcPr>
            <w:tcW w:w="0" w:type="auto"/>
            <w:gridSpan w:val="2"/>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400"/>
              <w:rPr>
                <w:sz w:val="16"/>
                <w:szCs w:val="16"/>
              </w:rPr>
            </w:pPr>
            <w:r>
              <w:rPr>
                <w:sz w:val="16"/>
                <w:szCs w:val="16"/>
              </w:rPr>
              <w:t>Trade accounts receivabl</w:t>
            </w:r>
            <w:r>
              <w:rPr>
                <w:sz w:val="16"/>
                <w:szCs w:val="16"/>
              </w:rPr>
              <w:t>e</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68,63</w:t>
            </w:r>
            <w:r>
              <w:rPr>
                <w:sz w:val="16"/>
                <w:szCs w:val="16"/>
              </w:rPr>
              <w:t>8</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42,30</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178,48</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477EE8">
            <w:pPr>
              <w:pStyle w:val="a3"/>
              <w:spacing w:before="0" w:beforeAutospacing="0" w:after="0" w:afterAutospacing="0"/>
              <w:ind w:left="400"/>
              <w:rPr>
                <w:sz w:val="16"/>
                <w:szCs w:val="16"/>
              </w:rPr>
            </w:pPr>
            <w:r>
              <w:rPr>
                <w:sz w:val="16"/>
                <w:szCs w:val="16"/>
              </w:rPr>
              <w:t>Other current and long-term asset</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4,33</w:t>
            </w:r>
            <w:r>
              <w:rPr>
                <w:sz w:val="16"/>
                <w:szCs w:val="16"/>
              </w:rPr>
              <w:t>7</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7,80</w:t>
            </w:r>
            <w:r>
              <w:rPr>
                <w:sz w:val="16"/>
                <w:szCs w:val="16"/>
              </w:rPr>
              <w:t>4</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21,14</w:t>
            </w:r>
            <w:r>
              <w:rPr>
                <w:sz w:val="16"/>
                <w:szCs w:val="16"/>
              </w:rPr>
              <w:t>9</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477EE8">
            <w:pPr>
              <w:pStyle w:val="a3"/>
              <w:spacing w:before="0" w:beforeAutospacing="0" w:after="0" w:afterAutospacing="0"/>
              <w:ind w:left="400"/>
              <w:rPr>
                <w:sz w:val="16"/>
                <w:szCs w:val="16"/>
              </w:rPr>
            </w:pPr>
            <w:r>
              <w:rPr>
                <w:sz w:val="16"/>
                <w:szCs w:val="16"/>
              </w:rPr>
              <w:t>Accounts payabl</w:t>
            </w:r>
            <w:r>
              <w:rPr>
                <w:sz w:val="16"/>
                <w:szCs w:val="16"/>
              </w:rPr>
              <w:t>e</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25,33</w:t>
            </w:r>
            <w:r>
              <w:rPr>
                <w:sz w:val="16"/>
                <w:szCs w:val="16"/>
              </w:rPr>
              <w:t>9</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12,20</w:t>
            </w:r>
            <w:r>
              <w:rPr>
                <w:sz w:val="16"/>
                <w:szCs w:val="16"/>
              </w:rPr>
              <w:t>6</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22,61</w:t>
            </w:r>
            <w:r>
              <w:rPr>
                <w:sz w:val="16"/>
                <w:szCs w:val="16"/>
              </w:rPr>
              <w:t>7</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400"/>
              <w:rPr>
                <w:sz w:val="16"/>
                <w:szCs w:val="16"/>
              </w:rPr>
            </w:pPr>
            <w:r>
              <w:rPr>
                <w:sz w:val="16"/>
                <w:szCs w:val="16"/>
              </w:rPr>
              <w:t>Accrued liabilities and other liabilitie</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31,29</w:t>
            </w:r>
            <w:r>
              <w:rPr>
                <w:sz w:val="16"/>
                <w:szCs w:val="16"/>
              </w:rPr>
              <w:t>9</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13,08</w:t>
            </w:r>
            <w:r>
              <w:rPr>
                <w:sz w:val="16"/>
                <w:szCs w:val="16"/>
              </w:rPr>
              <w:t>1</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32,65</w:t>
            </w:r>
            <w:r>
              <w:rPr>
                <w:sz w:val="16"/>
                <w:szCs w:val="16"/>
              </w:rPr>
              <w:t>5</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400"/>
              <w:rPr>
                <w:sz w:val="16"/>
                <w:szCs w:val="16"/>
              </w:rPr>
            </w:pPr>
            <w:r>
              <w:rPr>
                <w:sz w:val="16"/>
                <w:szCs w:val="16"/>
              </w:rPr>
              <w:t>Income tax payabl</w:t>
            </w:r>
            <w:r>
              <w:rPr>
                <w:sz w:val="16"/>
                <w:szCs w:val="16"/>
              </w:rPr>
              <w:t>e</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82</w:t>
            </w:r>
            <w:r>
              <w:rPr>
                <w:sz w:val="16"/>
                <w:szCs w:val="16"/>
              </w:rPr>
              <w:t>7</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52,53</w:t>
            </w:r>
            <w:r>
              <w:rPr>
                <w:sz w:val="16"/>
                <w:szCs w:val="16"/>
              </w:rPr>
              <w:t>2</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53,29</w:t>
            </w:r>
            <w:r>
              <w:rPr>
                <w:sz w:val="16"/>
                <w:szCs w:val="16"/>
              </w:rPr>
              <w:t>5</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400"/>
              <w:rPr>
                <w:sz w:val="16"/>
                <w:szCs w:val="16"/>
              </w:rPr>
            </w:pPr>
            <w:r>
              <w:rPr>
                <w:sz w:val="16"/>
                <w:szCs w:val="16"/>
              </w:rPr>
              <w:t>Operating and finance lease liabilitie</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4,83</w:t>
            </w:r>
            <w:r>
              <w:rPr>
                <w:sz w:val="16"/>
                <w:szCs w:val="16"/>
              </w:rPr>
              <w:t>1</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1,12</w:t>
            </w:r>
            <w:r>
              <w:rPr>
                <w:sz w:val="16"/>
                <w:szCs w:val="16"/>
              </w:rPr>
              <w:t>3</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38</w:t>
            </w:r>
            <w:r>
              <w:rPr>
                <w:sz w:val="16"/>
                <w:szCs w:val="16"/>
              </w:rPr>
              <w:t>9</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Net cash provided by operating activitie</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253,52</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538,57</w:t>
            </w:r>
            <w:r>
              <w:rPr>
                <w:sz w:val="16"/>
                <w:szCs w:val="16"/>
              </w:rPr>
              <w:t>7</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140,62</w:t>
            </w:r>
            <w:r>
              <w:rPr>
                <w:sz w:val="16"/>
                <w:szCs w:val="16"/>
              </w:rPr>
              <w:t>8</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rPr>
                <w:sz w:val="16"/>
                <w:szCs w:val="16"/>
              </w:rPr>
            </w:pPr>
            <w:r>
              <w:rPr>
                <w:b/>
                <w:bCs/>
                <w:sz w:val="16"/>
                <w:szCs w:val="16"/>
              </w:rPr>
              <w:t>Cash flow from investing activities</w:t>
            </w:r>
            <w:r>
              <w:rPr>
                <w:b/>
                <w:bCs/>
                <w:sz w:val="16"/>
                <w:szCs w:val="16"/>
              </w:rPr>
              <w:t>:</w:t>
            </w:r>
          </w:p>
        </w:tc>
        <w:tc>
          <w:tcPr>
            <w:tcW w:w="0" w:type="auto"/>
            <w:gridSpan w:val="2"/>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Purchases of fixed asset</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18,77</w:t>
            </w:r>
            <w:r>
              <w:rPr>
                <w:sz w:val="16"/>
                <w:szCs w:val="16"/>
              </w:rPr>
              <w:t>5</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23,81</w:t>
            </w:r>
            <w:r>
              <w:rPr>
                <w:sz w:val="16"/>
                <w:szCs w:val="16"/>
              </w:rPr>
              <w:t>2</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35,13</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Purchases of intangible asset</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3</w:t>
            </w:r>
            <w:r>
              <w:rPr>
                <w:sz w:val="16"/>
                <w:szCs w:val="16"/>
              </w:rPr>
              <w:t>2</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Proceeds from sale of fixed asset</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41</w:t>
            </w:r>
            <w:r>
              <w:rPr>
                <w:sz w:val="16"/>
                <w:szCs w:val="16"/>
              </w:rPr>
              <w:t>2</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6</w:t>
            </w:r>
            <w:r>
              <w:rPr>
                <w:sz w:val="16"/>
                <w:szCs w:val="16"/>
              </w:rPr>
              <w:t>3</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8</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Purchase of marketable securitie</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417,98</w:t>
            </w:r>
            <w:r>
              <w:rPr>
                <w:sz w:val="16"/>
                <w:szCs w:val="16"/>
              </w:rPr>
              <w:t>2</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710,49</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324,35</w:t>
            </w:r>
            <w:r>
              <w:rPr>
                <w:sz w:val="16"/>
                <w:szCs w:val="16"/>
              </w:rPr>
              <w:t>9</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Purchase of preferred stock of privately held compan</w:t>
            </w:r>
            <w:r>
              <w:rPr>
                <w:sz w:val="16"/>
                <w:szCs w:val="16"/>
              </w:rPr>
              <w:t>y</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15,00</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Contingent consideration payout related to a business acquisitio</w:t>
            </w:r>
            <w:r>
              <w:rPr>
                <w:sz w:val="16"/>
                <w:szCs w:val="16"/>
              </w:rPr>
              <w:t>n</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10,00</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Purchase of redeemable preferred stoc</w:t>
            </w:r>
            <w:r>
              <w:rPr>
                <w:sz w:val="16"/>
                <w:szCs w:val="16"/>
              </w:rPr>
              <w:t>k</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20,00</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Maturities of marketable securitie</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232,53</w:t>
            </w:r>
            <w:r>
              <w:rPr>
                <w:sz w:val="16"/>
                <w:szCs w:val="16"/>
              </w:rPr>
              <w:t>4</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83,84</w:t>
            </w:r>
            <w:r>
              <w:rPr>
                <w:sz w:val="16"/>
                <w:szCs w:val="16"/>
              </w:rPr>
              <w:t>2</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19,91</w:t>
            </w:r>
            <w:r>
              <w:rPr>
                <w:sz w:val="16"/>
                <w:szCs w:val="16"/>
              </w:rPr>
              <w:t>9</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Proceeds from sale of marketable securitie</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140,17</w:t>
            </w:r>
            <w:r>
              <w:rPr>
                <w:sz w:val="16"/>
                <w:szCs w:val="16"/>
              </w:rPr>
              <w:t>6</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185,74</w:t>
            </w:r>
            <w:r>
              <w:rPr>
                <w:sz w:val="16"/>
                <w:szCs w:val="16"/>
              </w:rPr>
              <w:t>9</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17,09</w:t>
            </w:r>
            <w:r>
              <w:rPr>
                <w:sz w:val="16"/>
                <w:szCs w:val="16"/>
              </w:rPr>
              <w:t>5</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Acquisition of businesses, net of cash acquire</w:t>
            </w:r>
            <w:r>
              <w:rPr>
                <w:sz w:val="16"/>
                <w:szCs w:val="16"/>
              </w:rPr>
              <w:t>d</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172,67</w:t>
            </w:r>
            <w:r>
              <w:rPr>
                <w:sz w:val="16"/>
                <w:szCs w:val="16"/>
              </w:rPr>
              <w:t>9</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61,86</w:t>
            </w:r>
            <w:r>
              <w:rPr>
                <w:sz w:val="16"/>
                <w:szCs w:val="16"/>
              </w:rPr>
              <w:t>8</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Investment in equity-method investee</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3,97</w:t>
            </w:r>
            <w:r>
              <w:rPr>
                <w:sz w:val="16"/>
                <w:szCs w:val="16"/>
              </w:rPr>
              <w:t>1</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Net cash used in investing activitie</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261,31</w:t>
            </w:r>
            <w:r>
              <w:rPr>
                <w:sz w:val="16"/>
                <w:szCs w:val="16"/>
              </w:rPr>
              <w:t>4</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546,54</w:t>
            </w:r>
            <w:r>
              <w:rPr>
                <w:sz w:val="16"/>
                <w:szCs w:val="16"/>
              </w:rPr>
              <w:t>8</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326,43</w:t>
            </w:r>
            <w:r>
              <w:rPr>
                <w:sz w:val="16"/>
                <w:szCs w:val="16"/>
              </w:rPr>
              <w:t>8</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477EE8">
            <w:pPr>
              <w:pStyle w:val="a3"/>
              <w:spacing w:before="0" w:beforeAutospacing="0" w:after="0" w:afterAutospacing="0"/>
              <w:rPr>
                <w:sz w:val="16"/>
                <w:szCs w:val="16"/>
              </w:rPr>
            </w:pPr>
            <w:r>
              <w:rPr>
                <w:b/>
                <w:bCs/>
                <w:sz w:val="16"/>
                <w:szCs w:val="16"/>
              </w:rPr>
              <w:t>Cash flow from financing activities</w:t>
            </w:r>
            <w:r>
              <w:rPr>
                <w:b/>
                <w:bCs/>
                <w:sz w:val="16"/>
                <w:szCs w:val="16"/>
              </w:rPr>
              <w:t>:</w:t>
            </w:r>
          </w:p>
        </w:tc>
        <w:tc>
          <w:tcPr>
            <w:tcW w:w="0" w:type="auto"/>
            <w:gridSpan w:val="2"/>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Repurchase of common stoc</w:t>
            </w:r>
            <w:r>
              <w:rPr>
                <w:sz w:val="16"/>
                <w:szCs w:val="16"/>
              </w:rPr>
              <w:t>k</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74,33</w:t>
            </w:r>
            <w:r>
              <w:rPr>
                <w:sz w:val="16"/>
                <w:szCs w:val="16"/>
              </w:rPr>
              <w:t>7</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Common stock withholding for employee tax obligation</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1,76</w:t>
            </w:r>
            <w:r>
              <w:rPr>
                <w:sz w:val="16"/>
                <w:szCs w:val="16"/>
              </w:rPr>
              <w:t>8</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4,15</w:t>
            </w:r>
            <w:r>
              <w:rPr>
                <w:sz w:val="16"/>
                <w:szCs w:val="16"/>
              </w:rPr>
              <w:t>5</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6</w:t>
            </w:r>
            <w:r>
              <w:rPr>
                <w:sz w:val="16"/>
                <w:szCs w:val="16"/>
              </w:rPr>
              <w:t>2</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Proceeds from public offerings of common stock, net of issuance cost</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89,47</w:t>
            </w:r>
            <w:r>
              <w:rPr>
                <w:sz w:val="16"/>
                <w:szCs w:val="16"/>
              </w:rPr>
              <w:t>5</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246,19</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Proceeds from noncontrolling interes</w:t>
            </w:r>
            <w:r>
              <w:rPr>
                <w:sz w:val="16"/>
                <w:szCs w:val="16"/>
              </w:rPr>
              <w:t>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Proceeds from exercise of stock option</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3</w:t>
            </w:r>
            <w:r>
              <w:rPr>
                <w:sz w:val="16"/>
                <w:szCs w:val="16"/>
              </w:rPr>
              <w:t>1</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8</w:t>
            </w:r>
            <w:r>
              <w:rPr>
                <w:sz w:val="16"/>
                <w:szCs w:val="16"/>
              </w:rPr>
              <w:t>6</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10</w:t>
            </w:r>
            <w:r>
              <w:rPr>
                <w:sz w:val="16"/>
                <w:szCs w:val="16"/>
              </w:rPr>
              <w:t>4</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Principal paid for finance lease</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70</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7</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Repayment of notes payabl</w:t>
            </w:r>
            <w:r>
              <w:rPr>
                <w:sz w:val="16"/>
                <w:szCs w:val="16"/>
              </w:rPr>
              <w:t>e</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36</w:t>
            </w:r>
            <w:r>
              <w:rPr>
                <w:sz w:val="16"/>
                <w:szCs w:val="16"/>
              </w:rPr>
              <w:t>7</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4</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Borrowing under margin accoun</w:t>
            </w:r>
            <w:r>
              <w:rPr>
                <w:sz w:val="16"/>
                <w:szCs w:val="16"/>
              </w:rPr>
              <w:t>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15,01</w:t>
            </w:r>
            <w:r>
              <w:rPr>
                <w:sz w:val="16"/>
                <w:szCs w:val="16"/>
              </w:rPr>
              <w:t>9</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Net cash (used in) provided by financing activitie</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77,14</w:t>
            </w:r>
            <w:r>
              <w:rPr>
                <w:sz w:val="16"/>
                <w:szCs w:val="16"/>
              </w:rPr>
              <w:t>1</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85,40</w:t>
            </w:r>
            <w:r>
              <w:rPr>
                <w:sz w:val="16"/>
                <w:szCs w:val="16"/>
              </w:rPr>
              <w:t>5</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261,25</w:t>
            </w:r>
            <w:r>
              <w:rPr>
                <w:sz w:val="16"/>
                <w:szCs w:val="16"/>
              </w:rPr>
              <w:t>1</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rPr>
                <w:sz w:val="16"/>
                <w:szCs w:val="16"/>
              </w:rPr>
            </w:pPr>
            <w:r>
              <w:rPr>
                <w:sz w:val="16"/>
                <w:szCs w:val="16"/>
              </w:rPr>
              <w:t>Effect of exchange rate changes on cash and cash equivalent</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45</w:t>
            </w:r>
            <w:r>
              <w:rPr>
                <w:sz w:val="16"/>
                <w:szCs w:val="16"/>
              </w:rPr>
              <w:t>3</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3</w:t>
            </w:r>
            <w:r>
              <w:rPr>
                <w:sz w:val="16"/>
                <w:szCs w:val="16"/>
              </w:rPr>
              <w:t>4</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2</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rPr>
                <w:sz w:val="16"/>
                <w:szCs w:val="16"/>
              </w:rPr>
            </w:pPr>
            <w:r>
              <w:rPr>
                <w:b/>
                <w:bCs/>
                <w:sz w:val="16"/>
                <w:szCs w:val="16"/>
              </w:rPr>
              <w:t>Net (decrease) increase in cash and cash equivalent</w:t>
            </w:r>
            <w:r>
              <w:rPr>
                <w:b/>
                <w:bCs/>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w:t>
            </w:r>
            <w:r>
              <w:rPr>
                <w:sz w:val="16"/>
                <w:szCs w:val="16"/>
              </w:rPr>
              <w:t>85,38</w:t>
            </w:r>
            <w:r>
              <w:rPr>
                <w:sz w:val="16"/>
                <w:szCs w:val="16"/>
              </w:rPr>
              <w:t>8</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77,46</w:t>
            </w:r>
            <w:r>
              <w:rPr>
                <w:sz w:val="16"/>
                <w:szCs w:val="16"/>
              </w:rPr>
              <w:t>8</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75,46</w:t>
            </w:r>
            <w:r>
              <w:rPr>
                <w:sz w:val="16"/>
                <w:szCs w:val="16"/>
              </w:rPr>
              <w:t>1</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rPr>
                <w:sz w:val="16"/>
                <w:szCs w:val="16"/>
              </w:rPr>
            </w:pPr>
            <w:r>
              <w:rPr>
                <w:b/>
                <w:bCs/>
                <w:sz w:val="16"/>
                <w:szCs w:val="16"/>
              </w:rPr>
              <w:t>Cash and cash equivalents at beginning of perio</w:t>
            </w:r>
            <w:r>
              <w:rPr>
                <w:b/>
                <w:bCs/>
                <w:sz w:val="16"/>
                <w:szCs w:val="16"/>
              </w:rPr>
              <w:t>d</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164,89</w:t>
            </w:r>
            <w:r>
              <w:rPr>
                <w:sz w:val="16"/>
                <w:szCs w:val="16"/>
              </w:rPr>
              <w:t>4</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87,42</w:t>
            </w:r>
            <w:r>
              <w:rPr>
                <w:sz w:val="16"/>
                <w:szCs w:val="16"/>
              </w:rPr>
              <w:t>6</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11,96</w:t>
            </w:r>
            <w:r>
              <w:rPr>
                <w:sz w:val="16"/>
                <w:szCs w:val="16"/>
              </w:rPr>
              <w:t>5</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rPr>
                <w:sz w:val="16"/>
                <w:szCs w:val="16"/>
              </w:rPr>
            </w:pPr>
            <w:r>
              <w:rPr>
                <w:b/>
                <w:bCs/>
                <w:sz w:val="16"/>
                <w:szCs w:val="16"/>
              </w:rPr>
              <w:t>Cash and cash equivalents at end of perio</w:t>
            </w:r>
            <w:r>
              <w:rPr>
                <w:b/>
                <w:bCs/>
                <w:sz w:val="16"/>
                <w:szCs w:val="16"/>
              </w:rPr>
              <w:t>d</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79,50</w:t>
            </w:r>
            <w:r>
              <w:rPr>
                <w:sz w:val="16"/>
                <w:szCs w:val="16"/>
              </w:rPr>
              <w:t>6</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164,89</w:t>
            </w:r>
            <w:r>
              <w:rPr>
                <w:sz w:val="16"/>
                <w:szCs w:val="16"/>
              </w:rPr>
              <w:t>4</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87,42</w:t>
            </w:r>
            <w:r>
              <w:rPr>
                <w:sz w:val="16"/>
                <w:szCs w:val="16"/>
              </w:rPr>
              <w:t>6</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rPr>
                <w:sz w:val="16"/>
                <w:szCs w:val="16"/>
              </w:rPr>
            </w:pPr>
            <w:r>
              <w:rPr>
                <w:b/>
                <w:bCs/>
                <w:sz w:val="16"/>
                <w:szCs w:val="16"/>
              </w:rPr>
              <w:t>Supplemental disclosures of cash flow information</w:t>
            </w:r>
            <w:r>
              <w:rPr>
                <w:b/>
                <w:bCs/>
                <w:sz w:val="16"/>
                <w:szCs w:val="16"/>
              </w:rPr>
              <w:t>:</w:t>
            </w:r>
          </w:p>
        </w:tc>
        <w:tc>
          <w:tcPr>
            <w:tcW w:w="0" w:type="auto"/>
            <w:gridSpan w:val="2"/>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Income taxes pai</w:t>
            </w:r>
            <w:r>
              <w:rPr>
                <w:sz w:val="16"/>
                <w:szCs w:val="16"/>
              </w:rPr>
              <w:t>d</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56,19</w:t>
            </w:r>
            <w:r>
              <w:rPr>
                <w:sz w:val="16"/>
                <w:szCs w:val="16"/>
              </w:rPr>
              <w:t>3</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237,06</w:t>
            </w:r>
            <w:r>
              <w:rPr>
                <w:sz w:val="16"/>
                <w:szCs w:val="16"/>
              </w:rPr>
              <w:t>9</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20,61</w:t>
            </w:r>
            <w:r>
              <w:rPr>
                <w:sz w:val="16"/>
                <w:szCs w:val="16"/>
              </w:rPr>
              <w:t>2</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rPr>
                <w:sz w:val="16"/>
                <w:szCs w:val="16"/>
              </w:rPr>
            </w:pPr>
            <w:r>
              <w:rPr>
                <w:b/>
                <w:bCs/>
                <w:sz w:val="16"/>
                <w:szCs w:val="16"/>
              </w:rPr>
              <w:t>Supplemental disclosures of non-cash investing and financing activities</w:t>
            </w:r>
            <w:r>
              <w:rPr>
                <w:b/>
                <w:bCs/>
                <w:sz w:val="16"/>
                <w:szCs w:val="16"/>
              </w:rPr>
              <w:t>:</w:t>
            </w:r>
          </w:p>
        </w:tc>
        <w:tc>
          <w:tcPr>
            <w:tcW w:w="0" w:type="auto"/>
            <w:gridSpan w:val="2"/>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Stock consideration in a business combinatio</w:t>
            </w:r>
            <w:r>
              <w:rPr>
                <w:sz w:val="16"/>
                <w:szCs w:val="16"/>
              </w:rPr>
              <w:t>n</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28,11</w:t>
            </w:r>
            <w:r>
              <w:rPr>
                <w:sz w:val="16"/>
                <w:szCs w:val="16"/>
              </w:rPr>
              <w:t>1</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Maturities of marketable securities in other current asset</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19,12</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Purchases of fixed assets in notes payabl</w:t>
            </w:r>
            <w:r>
              <w:rPr>
                <w:sz w:val="16"/>
                <w:szCs w:val="16"/>
              </w:rPr>
              <w:t>e</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3,83</w:t>
            </w:r>
            <w:r>
              <w:rPr>
                <w:sz w:val="16"/>
                <w:szCs w:val="16"/>
              </w:rPr>
              <w:t>3</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Purchases of fixed assets in accounts payabl</w:t>
            </w:r>
            <w:r>
              <w:rPr>
                <w:sz w:val="16"/>
                <w:szCs w:val="16"/>
              </w:rPr>
              <w:t>e</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2,98</w:t>
            </w:r>
            <w:r>
              <w:rPr>
                <w:sz w:val="16"/>
                <w:szCs w:val="16"/>
              </w:rPr>
              <w:t>9</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1,07</w:t>
            </w:r>
            <w:r>
              <w:rPr>
                <w:sz w:val="16"/>
                <w:szCs w:val="16"/>
              </w:rPr>
              <w:t>5</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3,40</w:t>
            </w:r>
            <w:r>
              <w:rPr>
                <w:sz w:val="16"/>
                <w:szCs w:val="16"/>
              </w:rPr>
              <w:t>2</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Finance lease right-of-use assets obtained in exchange for lease liabilitie</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57</w:t>
            </w:r>
            <w:r>
              <w:rPr>
                <w:sz w:val="16"/>
                <w:szCs w:val="16"/>
              </w:rPr>
              <w:t>3</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1,69</w:t>
            </w:r>
            <w:r>
              <w:rPr>
                <w:sz w:val="16"/>
                <w:szCs w:val="16"/>
              </w:rPr>
              <w:t>3</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Operating lease right-of-use assets reduced due to lease modification or terminatio</w:t>
            </w:r>
            <w:r>
              <w:rPr>
                <w:sz w:val="16"/>
                <w:szCs w:val="16"/>
              </w:rPr>
              <w:t>n</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6</w:t>
            </w:r>
            <w:r>
              <w:rPr>
                <w:sz w:val="16"/>
                <w:szCs w:val="16"/>
              </w:rPr>
              <w:t>6</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39</w:t>
            </w:r>
            <w:r>
              <w:rPr>
                <w:sz w:val="16"/>
                <w:szCs w:val="16"/>
              </w:rPr>
              <w:t>9</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1,85</w:t>
            </w:r>
            <w:r>
              <w:rPr>
                <w:sz w:val="16"/>
                <w:szCs w:val="16"/>
              </w:rPr>
              <w:t>3</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Operating lease right-of-use assets obtained in exchange for lease liabilitie</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5</w:t>
            </w:r>
            <w:r>
              <w:rPr>
                <w:sz w:val="16"/>
                <w:szCs w:val="16"/>
              </w:rPr>
              <w:t>2</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1,79</w:t>
            </w:r>
            <w:r>
              <w:rPr>
                <w:sz w:val="16"/>
                <w:szCs w:val="16"/>
              </w:rPr>
              <w:t>7</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40</w:t>
            </w:r>
            <w:r>
              <w:rPr>
                <w:sz w:val="16"/>
                <w:szCs w:val="16"/>
              </w:rPr>
              <w:t>2</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Contingent consideration for business acquisition included in current liabilitie</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10,00</w:t>
            </w:r>
            <w:r>
              <w:rPr>
                <w:sz w:val="16"/>
                <w:szCs w:val="16"/>
              </w:rPr>
              <w:t>0</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Public offerings proceeds in other receivable included in other current asset</w:t>
            </w:r>
            <w:r>
              <w:rPr>
                <w:sz w:val="16"/>
                <w:szCs w:val="16"/>
              </w:rPr>
              <w:t>s</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17,79</w:t>
            </w:r>
            <w:r>
              <w:rPr>
                <w:sz w:val="16"/>
                <w:szCs w:val="16"/>
              </w:rPr>
              <w:t>9</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77EE8">
            <w:pPr>
              <w:pStyle w:val="a3"/>
              <w:spacing w:before="0" w:beforeAutospacing="0" w:after="0" w:afterAutospacing="0"/>
              <w:ind w:left="200"/>
              <w:rPr>
                <w:sz w:val="16"/>
                <w:szCs w:val="16"/>
              </w:rPr>
            </w:pPr>
            <w:r>
              <w:rPr>
                <w:sz w:val="16"/>
                <w:szCs w:val="16"/>
              </w:rPr>
              <w:t>Public offerings costs included in accounts payabl</w:t>
            </w:r>
            <w:r>
              <w:rPr>
                <w:sz w:val="16"/>
                <w:szCs w:val="16"/>
              </w:rPr>
              <w:t>e</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5</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w:t>
            </w:r>
          </w:p>
        </w:tc>
        <w:tc>
          <w:tcPr>
            <w:tcW w:w="0" w:type="auto"/>
            <w:vAlign w:val="bottom"/>
            <w:hideMark/>
          </w:tcPr>
          <w:p w:rsidR="00000000" w:rsidRDefault="00477EE8">
            <w:pPr>
              <w:pStyle w:val="a3"/>
              <w:spacing w:before="0" w:beforeAutospacing="0" w:after="0" w:afterAutospacing="0"/>
              <w:jc w:val="right"/>
              <w:rPr>
                <w:sz w:val="20"/>
                <w:szCs w:val="20"/>
              </w:rPr>
            </w:pPr>
            <w:r>
              <w:rPr>
                <w:sz w:val="16"/>
                <w:szCs w:val="16"/>
              </w:rPr>
              <w:t>35</w:t>
            </w:r>
            <w:r>
              <w:rPr>
                <w:sz w:val="16"/>
                <w:szCs w:val="16"/>
              </w:rPr>
              <w:t>9</w:t>
            </w:r>
          </w:p>
        </w:tc>
        <w:tc>
          <w:tcPr>
            <w:tcW w:w="0" w:type="auto"/>
            <w:noWrap/>
            <w:vAlign w:val="bottom"/>
            <w:hideMark/>
          </w:tcPr>
          <w:p w:rsidR="00000000" w:rsidRDefault="00477EE8">
            <w:pPr>
              <w:pStyle w:val="a3"/>
              <w:spacing w:before="0" w:beforeAutospacing="0" w:after="0" w:afterAutospacing="0"/>
              <w:rPr>
                <w:sz w:val="16"/>
                <w:szCs w:val="16"/>
              </w:rPr>
            </w:pPr>
            <w:r>
              <w:rPr>
                <w:sz w:val="16"/>
                <w:szCs w:val="16"/>
              </w:rPr>
              <w:t> </w:t>
            </w:r>
          </w:p>
        </w:tc>
      </w:tr>
    </w:tbl>
    <w:p w:rsidR="00000000" w:rsidRDefault="00477EE8">
      <w:pPr>
        <w:pStyle w:val="a3"/>
        <w:spacing w:before="0" w:beforeAutospacing="0" w:after="0" w:afterAutospacing="0"/>
        <w:rPr>
          <w:sz w:val="20"/>
          <w:szCs w:val="20"/>
        </w:rPr>
      </w:pPr>
      <w:r>
        <w:rPr>
          <w:sz w:val="20"/>
          <w:szCs w:val="20"/>
        </w:rPr>
        <w:t> </w:t>
      </w:r>
    </w:p>
    <w:p w:rsidR="00000000" w:rsidRDefault="00477EE8">
      <w:pPr>
        <w:pStyle w:val="a3"/>
        <w:spacing w:before="4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477EE8">
      <w:pPr>
        <w:pStyle w:val="a3"/>
        <w:spacing w:before="240" w:beforeAutospacing="0" w:after="0" w:afterAutospacing="0"/>
        <w:jc w:val="center"/>
        <w:rPr>
          <w:sz w:val="20"/>
          <w:szCs w:val="20"/>
        </w:rPr>
      </w:pPr>
      <w:r>
        <w:rPr>
          <w:sz w:val="20"/>
          <w:szCs w:val="20"/>
        </w:rPr>
        <w:t>F</w:t>
      </w:r>
      <w:r>
        <w:rPr>
          <w:sz w:val="20"/>
          <w:szCs w:val="20"/>
        </w:rPr>
        <w:t>-</w:t>
      </w:r>
      <w:r>
        <w:rPr>
          <w:sz w:val="20"/>
          <w:szCs w:val="20"/>
        </w:rPr>
        <w:t>1</w:t>
      </w:r>
      <w:r>
        <w:rPr>
          <w:sz w:val="20"/>
          <w:szCs w:val="20"/>
        </w:rPr>
        <w:t>0</w:t>
      </w:r>
    </w:p>
    <w:p w:rsidR="00000000" w:rsidRDefault="00477EE8">
      <w:pPr>
        <w:rPr>
          <w:rFonts w:eastAsia="Times New Roman"/>
        </w:rPr>
      </w:pPr>
      <w:r>
        <w:rPr>
          <w:rFonts w:eastAsia="Times New Roman"/>
        </w:rPr>
        <w:pict>
          <v:rect id="_x0000_i1121" style="width:0;height:1.5pt" o:hralign="center" o:hrstd="t" o:hr="t" fillcolor="#a0a0a0" stroked="f"/>
        </w:pict>
      </w:r>
    </w:p>
    <w:p w:rsidR="00000000" w:rsidRDefault="00477EE8">
      <w:pPr>
        <w:pStyle w:val="a3"/>
        <w:spacing w:before="0" w:beforeAutospacing="0" w:after="0" w:afterAutospacing="0"/>
        <w:jc w:val="center"/>
        <w:rPr>
          <w:sz w:val="20"/>
          <w:szCs w:val="20"/>
        </w:rPr>
      </w:pPr>
      <w:r>
        <w:rPr>
          <w:b/>
          <w:bCs/>
          <w:sz w:val="20"/>
          <w:szCs w:val="20"/>
        </w:rPr>
        <w:t>FULGENT GENETICS, INC</w:t>
      </w:r>
      <w:r>
        <w:rPr>
          <w:b/>
          <w:bCs/>
          <w:sz w:val="20"/>
          <w:szCs w:val="20"/>
        </w:rPr>
        <w:t>.</w:t>
      </w:r>
    </w:p>
    <w:p w:rsidR="00000000" w:rsidRDefault="00477EE8">
      <w:pPr>
        <w:pStyle w:val="a3"/>
        <w:spacing w:before="0" w:beforeAutospacing="0" w:after="0" w:afterAutospacing="0"/>
        <w:jc w:val="center"/>
        <w:rPr>
          <w:sz w:val="20"/>
          <w:szCs w:val="20"/>
        </w:rPr>
      </w:pPr>
      <w:r>
        <w:rPr>
          <w:b/>
          <w:bCs/>
          <w:sz w:val="20"/>
          <w:szCs w:val="20"/>
        </w:rPr>
        <w:t>Notes to Consolidate</w:t>
      </w:r>
      <w:r>
        <w:rPr>
          <w:b/>
          <w:bCs/>
          <w:sz w:val="20"/>
          <w:szCs w:val="20"/>
        </w:rPr>
        <w:t>d</w:t>
      </w:r>
      <w:r>
        <w:rPr>
          <w:b/>
          <w:bCs/>
          <w:sz w:val="20"/>
          <w:szCs w:val="20"/>
        </w:rPr>
        <w:t xml:space="preserve"> Financial Statement</w:t>
      </w:r>
      <w:r>
        <w:rPr>
          <w:b/>
          <w:bCs/>
          <w:sz w:val="20"/>
          <w:szCs w:val="20"/>
        </w:rPr>
        <w:t>s</w:t>
      </w:r>
    </w:p>
    <w:p w:rsidR="00000000" w:rsidRDefault="00477EE8">
      <w:pPr>
        <w:pStyle w:val="a3"/>
        <w:spacing w:before="0" w:beforeAutospacing="0" w:after="0" w:afterAutospacing="0"/>
        <w:rPr>
          <w:sz w:val="20"/>
          <w:szCs w:val="20"/>
        </w:rPr>
      </w:pPr>
      <w:r>
        <w:t> </w:t>
      </w:r>
    </w:p>
    <w:p w:rsidR="00000000" w:rsidRDefault="00477EE8">
      <w:pPr>
        <w:pStyle w:val="a3"/>
        <w:spacing w:before="0" w:beforeAutospacing="0" w:after="0" w:afterAutospacing="0"/>
        <w:divId w:val="680741233"/>
        <w:rPr>
          <w:sz w:val="20"/>
          <w:szCs w:val="20"/>
        </w:rPr>
      </w:pPr>
      <w:r>
        <w:rPr>
          <w:b/>
          <w:bCs/>
          <w:sz w:val="20"/>
          <w:szCs w:val="20"/>
        </w:rPr>
        <w:t>Note 1. Overview and Basis of Presentatio</w:t>
      </w:r>
      <w:r>
        <w:rPr>
          <w:b/>
          <w:bCs/>
          <w:sz w:val="20"/>
          <w:szCs w:val="20"/>
        </w:rPr>
        <w:t>n</w:t>
      </w:r>
    </w:p>
    <w:p w:rsidR="00000000" w:rsidRDefault="00477EE8">
      <w:pPr>
        <w:pStyle w:val="a3"/>
        <w:spacing w:before="120" w:beforeAutospacing="0" w:after="0" w:afterAutospacing="0"/>
        <w:ind w:firstLine="555"/>
        <w:divId w:val="680741233"/>
        <w:rPr>
          <w:sz w:val="20"/>
          <w:szCs w:val="20"/>
        </w:rPr>
      </w:pPr>
      <w:r>
        <w:rPr>
          <w:sz w:val="20"/>
          <w:szCs w:val="20"/>
        </w:rPr>
        <w:t>The accompanyin</w:t>
      </w:r>
      <w:r>
        <w:rPr>
          <w:sz w:val="20"/>
          <w:szCs w:val="20"/>
        </w:rPr>
        <w:t>g consolidated financial statements have been prepared in accordance with accounting principles generally accepted in the United States of America, or U.S. GAAP. These financial statements include the assets, liabilities, revenues and expenses of all subsi</w:t>
      </w:r>
      <w:r>
        <w:rPr>
          <w:sz w:val="20"/>
          <w:szCs w:val="20"/>
        </w:rPr>
        <w:t>diaries and entities in which the Company has a controlling financial interest or is deemed to be the primary beneficiary. In determining whether the Company is the primary beneficiary of an entity, the Company applies a qualitative approach that determine</w:t>
      </w:r>
      <w:r>
        <w:rPr>
          <w:sz w:val="20"/>
          <w:szCs w:val="20"/>
        </w:rPr>
        <w:t>s whether it has both (i) the power to direct the economically significant activities of the entity and (ii) the obligation to absorb losses of, or the right to receive benefits from, the entity that could potentially be significant to that entity. The Com</w:t>
      </w:r>
      <w:r>
        <w:rPr>
          <w:sz w:val="20"/>
          <w:szCs w:val="20"/>
        </w:rPr>
        <w:t>pany uses the equity method to account for its investments in entities that it does not control, but in which it has the ability to exercise significant influence over operating and financial policies. All intercompany accounts and transactions are elimina</w:t>
      </w:r>
      <w:r>
        <w:rPr>
          <w:sz w:val="20"/>
          <w:szCs w:val="20"/>
        </w:rPr>
        <w:t>ted from the accompanying consolidated financial statements</w:t>
      </w:r>
      <w:r>
        <w:rPr>
          <w:sz w:val="20"/>
          <w:szCs w:val="20"/>
        </w:rPr>
        <w:t>.</w:t>
      </w:r>
    </w:p>
    <w:p w:rsidR="00000000" w:rsidRDefault="00477EE8">
      <w:pPr>
        <w:pStyle w:val="a3"/>
        <w:spacing w:before="360" w:beforeAutospacing="0" w:after="0" w:afterAutospacing="0"/>
        <w:divId w:val="680741233"/>
        <w:rPr>
          <w:sz w:val="20"/>
          <w:szCs w:val="20"/>
        </w:rPr>
      </w:pPr>
      <w:r>
        <w:rPr>
          <w:b/>
          <w:bCs/>
          <w:i/>
          <w:iCs/>
          <w:sz w:val="20"/>
          <w:szCs w:val="20"/>
        </w:rPr>
        <w:t>Nature of the Busines</w:t>
      </w:r>
      <w:r>
        <w:rPr>
          <w:b/>
          <w:bCs/>
          <w:i/>
          <w:iCs/>
          <w:sz w:val="20"/>
          <w:szCs w:val="20"/>
        </w:rPr>
        <w:t>s</w:t>
      </w:r>
    </w:p>
    <w:p w:rsidR="00000000" w:rsidRDefault="00477EE8">
      <w:pPr>
        <w:pStyle w:val="a3"/>
        <w:spacing w:before="120" w:beforeAutospacing="0" w:after="0" w:afterAutospacing="0"/>
        <w:ind w:firstLine="555"/>
        <w:divId w:val="680741233"/>
        <w:rPr>
          <w:sz w:val="20"/>
          <w:szCs w:val="20"/>
        </w:rPr>
      </w:pPr>
      <w:r>
        <w:rPr>
          <w:sz w:val="20"/>
          <w:szCs w:val="20"/>
        </w:rPr>
        <w:t>Fulgent Genetics, Inc., together with its subsidiaries and affiliated professional corporations, or PCs, collectively referred to as the Company, unless otherwise noted or the context otherwise requires, is a technology-based company with a well-establishe</w:t>
      </w:r>
      <w:r>
        <w:rPr>
          <w:sz w:val="20"/>
          <w:szCs w:val="20"/>
        </w:rPr>
        <w:t>d clinical diagnostic business and a therapeutic development business. Its clinical diagnostic business offers molecular diagnostic testing services, comprehensive genetic testing, and high-quality anatomic pathology laboratory services designed to provide</w:t>
      </w:r>
      <w:r>
        <w:rPr>
          <w:sz w:val="20"/>
          <w:szCs w:val="20"/>
        </w:rPr>
        <w:t xml:space="preserve"> physicians and patients with clinically actionable diagnostic information to improve the quality of patient care. Its therapeutic development business is focused on developing drug candidates for treating a broad range of cancers using a novel nanoencapsu</w:t>
      </w:r>
      <w:r>
        <w:rPr>
          <w:sz w:val="20"/>
          <w:szCs w:val="20"/>
        </w:rPr>
        <w:t>lation and targeted therapy platform designed to improve the therapeutic window and pharmacokinetic profile of new and existing cancer drugs. The Company aims to transform from a genomic diagnostic business into a fully integrated precision medicine compan</w:t>
      </w:r>
      <w:r>
        <w:rPr>
          <w:sz w:val="20"/>
          <w:szCs w:val="20"/>
        </w:rPr>
        <w:t>y</w:t>
      </w:r>
      <w:r>
        <w:rPr>
          <w:sz w:val="20"/>
          <w:szCs w:val="20"/>
        </w:rPr>
        <w:t>.</w:t>
      </w:r>
    </w:p>
    <w:p w:rsidR="00000000" w:rsidRDefault="00477EE8">
      <w:pPr>
        <w:pStyle w:val="a3"/>
        <w:spacing w:before="360" w:beforeAutospacing="0" w:after="0" w:afterAutospacing="0"/>
        <w:divId w:val="433210078"/>
        <w:rPr>
          <w:sz w:val="20"/>
          <w:szCs w:val="20"/>
        </w:rPr>
      </w:pPr>
      <w:r>
        <w:rPr>
          <w:b/>
          <w:bCs/>
          <w:sz w:val="20"/>
          <w:szCs w:val="20"/>
        </w:rPr>
        <w:t>Note 2. Summary of Significant Accounting Policie</w:t>
      </w:r>
      <w:r>
        <w:rPr>
          <w:b/>
          <w:bCs/>
          <w:sz w:val="20"/>
          <w:szCs w:val="20"/>
        </w:rPr>
        <w:t>s</w:t>
      </w:r>
    </w:p>
    <w:p w:rsidR="00000000" w:rsidRDefault="00477EE8">
      <w:pPr>
        <w:pStyle w:val="a3"/>
        <w:spacing w:before="120" w:beforeAutospacing="0" w:after="0" w:afterAutospacing="0"/>
        <w:divId w:val="417411141"/>
        <w:rPr>
          <w:sz w:val="20"/>
          <w:szCs w:val="20"/>
        </w:rPr>
      </w:pPr>
      <w:r>
        <w:rPr>
          <w:b/>
          <w:bCs/>
          <w:i/>
          <w:iCs/>
          <w:sz w:val="20"/>
          <w:szCs w:val="20"/>
        </w:rPr>
        <w:t>Use of Estimate</w:t>
      </w:r>
      <w:r>
        <w:rPr>
          <w:b/>
          <w:bCs/>
          <w:i/>
          <w:iCs/>
          <w:sz w:val="20"/>
          <w:szCs w:val="20"/>
        </w:rPr>
        <w:t>s</w:t>
      </w:r>
    </w:p>
    <w:p w:rsidR="00000000" w:rsidRDefault="00477EE8">
      <w:pPr>
        <w:pStyle w:val="a3"/>
        <w:spacing w:before="120" w:beforeAutospacing="0" w:after="0" w:afterAutospacing="0"/>
        <w:ind w:firstLine="555"/>
        <w:divId w:val="417411141"/>
        <w:rPr>
          <w:sz w:val="20"/>
          <w:szCs w:val="20"/>
        </w:rPr>
      </w:pPr>
      <w:r>
        <w:rPr>
          <w:sz w:val="20"/>
          <w:szCs w:val="20"/>
        </w:rPr>
        <w:t>The preparation of consolidated financial statements in conformity with U.S. GAAP requires management to make certain estimates, judgments and assumptions that affect the reported amounts of assets and liabilities at the date of the financial statements, a</w:t>
      </w:r>
      <w:r>
        <w:rPr>
          <w:sz w:val="20"/>
          <w:szCs w:val="20"/>
        </w:rPr>
        <w:t>s well as the reported amounts of revenue and expenses during the reporting periods. These estimates, judgments and assumptions are based on historical data and experience available at the date of the accompanying consolidated financial statements, as well</w:t>
      </w:r>
      <w:r>
        <w:rPr>
          <w:sz w:val="20"/>
          <w:szCs w:val="20"/>
        </w:rPr>
        <w:t xml:space="preserve"> as various other factors management believes to be reasonable under the circumstances, including but not limited to the potential impacts arising from the recent global pandemic related to COVID-19. The Company’s estimates and assumptions may evolve as co</w:t>
      </w:r>
      <w:r>
        <w:rPr>
          <w:sz w:val="20"/>
          <w:szCs w:val="20"/>
        </w:rPr>
        <w:t>nditions change. Actual results could differ significantly from these estimates</w:t>
      </w:r>
      <w:r>
        <w:rPr>
          <w:sz w:val="20"/>
          <w:szCs w:val="20"/>
        </w:rPr>
        <w:t>.</w:t>
      </w:r>
    </w:p>
    <w:p w:rsidR="00000000" w:rsidRDefault="00477EE8">
      <w:pPr>
        <w:pStyle w:val="a3"/>
        <w:spacing w:before="240" w:beforeAutospacing="0" w:after="0" w:afterAutospacing="0"/>
        <w:ind w:firstLine="555"/>
        <w:divId w:val="417411141"/>
        <w:rPr>
          <w:sz w:val="20"/>
          <w:szCs w:val="20"/>
        </w:rPr>
      </w:pPr>
      <w:r>
        <w:rPr>
          <w:sz w:val="20"/>
          <w:szCs w:val="20"/>
        </w:rPr>
        <w:t>On an on-going basis, management evaluates its estimates, primarily those related to: (i) revenue recognition criteria, (ii) accounts receivable and allowances for credit loss</w:t>
      </w:r>
      <w:r>
        <w:rPr>
          <w:sz w:val="20"/>
          <w:szCs w:val="20"/>
        </w:rPr>
        <w:t>es, (iii) the useful lives of fixed assets and intangible assets, (iv) estimates of tax liabilities, (v) valuation of intangible assets and goodwill at time of acquisition and on a recurring basis, and (vi) valuation of investments</w:t>
      </w:r>
      <w:r>
        <w:rPr>
          <w:sz w:val="20"/>
          <w:szCs w:val="20"/>
        </w:rPr>
        <w:t>.</w:t>
      </w:r>
    </w:p>
    <w:p w:rsidR="00000000" w:rsidRDefault="00477EE8">
      <w:pPr>
        <w:pStyle w:val="a3"/>
        <w:spacing w:before="360" w:beforeAutospacing="0" w:after="0" w:afterAutospacing="0"/>
        <w:divId w:val="1652714380"/>
        <w:rPr>
          <w:sz w:val="20"/>
          <w:szCs w:val="20"/>
        </w:rPr>
      </w:pPr>
      <w:r>
        <w:rPr>
          <w:b/>
          <w:bCs/>
          <w:i/>
          <w:iCs/>
          <w:sz w:val="20"/>
          <w:szCs w:val="20"/>
        </w:rPr>
        <w:t>Principles of Consolida</w:t>
      </w:r>
      <w:r>
        <w:rPr>
          <w:b/>
          <w:bCs/>
          <w:i/>
          <w:iCs/>
          <w:sz w:val="20"/>
          <w:szCs w:val="20"/>
        </w:rPr>
        <w:t>tio</w:t>
      </w:r>
      <w:r>
        <w:rPr>
          <w:b/>
          <w:bCs/>
          <w:i/>
          <w:iCs/>
          <w:sz w:val="20"/>
          <w:szCs w:val="20"/>
        </w:rPr>
        <w:t>n</w:t>
      </w:r>
    </w:p>
    <w:p w:rsidR="00000000" w:rsidRDefault="00477EE8">
      <w:pPr>
        <w:pStyle w:val="a3"/>
        <w:spacing w:before="120" w:beforeAutospacing="0" w:after="0" w:afterAutospacing="0"/>
        <w:ind w:firstLine="555"/>
        <w:divId w:val="1652714380"/>
        <w:rPr>
          <w:sz w:val="20"/>
          <w:szCs w:val="20"/>
        </w:rPr>
      </w:pPr>
      <w:r>
        <w:rPr>
          <w:sz w:val="20"/>
          <w:szCs w:val="20"/>
        </w:rPr>
        <w:t>The accompanying consolidated financial statements include the accounts of the Company and its subsidiaries and PC. All intercompany transactions and balances have been eliminated in consolidation</w:t>
      </w:r>
      <w:r>
        <w:rPr>
          <w:sz w:val="20"/>
          <w:szCs w:val="20"/>
        </w:rPr>
        <w:t>.</w:t>
      </w:r>
    </w:p>
    <w:p w:rsidR="00000000" w:rsidRDefault="00477EE8">
      <w:pPr>
        <w:pStyle w:val="a3"/>
        <w:spacing w:before="360" w:beforeAutospacing="0" w:after="0" w:afterAutospacing="0"/>
        <w:divId w:val="37122300"/>
        <w:rPr>
          <w:sz w:val="20"/>
          <w:szCs w:val="20"/>
        </w:rPr>
      </w:pPr>
      <w:r>
        <w:rPr>
          <w:b/>
          <w:bCs/>
          <w:i/>
          <w:iCs/>
          <w:sz w:val="20"/>
          <w:szCs w:val="20"/>
        </w:rPr>
        <w:t>Cash and Cash Equivalent</w:t>
      </w:r>
      <w:r>
        <w:rPr>
          <w:b/>
          <w:bCs/>
          <w:i/>
          <w:iCs/>
          <w:sz w:val="20"/>
          <w:szCs w:val="20"/>
        </w:rPr>
        <w:t>s</w:t>
      </w:r>
    </w:p>
    <w:p w:rsidR="00000000" w:rsidRDefault="00477EE8">
      <w:pPr>
        <w:pStyle w:val="a3"/>
        <w:spacing w:before="120" w:beforeAutospacing="0" w:after="0" w:afterAutospacing="0"/>
        <w:ind w:firstLine="555"/>
        <w:divId w:val="37122300"/>
        <w:rPr>
          <w:sz w:val="20"/>
          <w:szCs w:val="20"/>
        </w:rPr>
      </w:pPr>
      <w:r>
        <w:rPr>
          <w:sz w:val="20"/>
          <w:szCs w:val="20"/>
        </w:rPr>
        <w:t>The Company considers all h</w:t>
      </w:r>
      <w:r>
        <w:rPr>
          <w:sz w:val="20"/>
          <w:szCs w:val="20"/>
        </w:rPr>
        <w:t>ighly liquid investments with original maturities of three months or less at the date of purchase to be cash equivalents. Cash and cash equivalents include cash held in banks and money market accounts. Cash equivalents are stated at fair value. Cash and ca</w:t>
      </w:r>
      <w:r>
        <w:rPr>
          <w:sz w:val="20"/>
          <w:szCs w:val="20"/>
        </w:rPr>
        <w:t xml:space="preserve">sh equivalent as of December 31, 2022 includes </w:t>
      </w:r>
      <w:r>
        <w:rPr>
          <w:sz w:val="20"/>
          <w:szCs w:val="20"/>
        </w:rPr>
        <w:t>$</w:t>
      </w:r>
      <w:r>
        <w:rPr>
          <w:sz w:val="20"/>
          <w:szCs w:val="20"/>
        </w:rPr>
        <w:t>5.</w:t>
      </w:r>
      <w:r>
        <w:rPr>
          <w:sz w:val="20"/>
          <w:szCs w:val="20"/>
        </w:rPr>
        <w:t>0</w:t>
      </w:r>
      <w:r>
        <w:rPr>
          <w:sz w:val="20"/>
          <w:szCs w:val="20"/>
        </w:rPr>
        <w:t xml:space="preserve"> million restricted cash related to a share transfer agreement entered by Fulgent Pharma Holdings, Inc., or Fulgent Pharma, pre-acquisition, see Note 15,</w:t>
      </w:r>
      <w:r>
        <w:rPr>
          <w:sz w:val="20"/>
          <w:szCs w:val="20"/>
        </w:rPr>
        <w:t xml:space="preserve"> </w:t>
      </w:r>
      <w:r>
        <w:rPr>
          <w:i/>
          <w:iCs/>
          <w:sz w:val="20"/>
          <w:szCs w:val="20"/>
        </w:rPr>
        <w:t>Business Combination</w:t>
      </w:r>
      <w:r>
        <w:rPr>
          <w:i/>
          <w:iCs/>
          <w:sz w:val="20"/>
          <w:szCs w:val="20"/>
        </w:rPr>
        <w:t>s</w:t>
      </w:r>
      <w:r>
        <w:rPr>
          <w:sz w:val="20"/>
          <w:szCs w:val="20"/>
        </w:rPr>
        <w:t>.</w:t>
      </w:r>
    </w:p>
    <w:p w:rsidR="00000000" w:rsidRDefault="00477EE8">
      <w:pPr>
        <w:pStyle w:val="a3"/>
        <w:spacing w:before="360" w:beforeAutospacing="0" w:after="0" w:afterAutospacing="0"/>
        <w:divId w:val="344595304"/>
        <w:rPr>
          <w:sz w:val="20"/>
          <w:szCs w:val="20"/>
        </w:rPr>
      </w:pPr>
      <w:r>
        <w:rPr>
          <w:b/>
          <w:bCs/>
          <w:i/>
          <w:iCs/>
          <w:sz w:val="20"/>
          <w:szCs w:val="20"/>
        </w:rPr>
        <w:t>Marketable Securitie</w:t>
      </w:r>
      <w:r>
        <w:rPr>
          <w:b/>
          <w:bCs/>
          <w:i/>
          <w:iCs/>
          <w:sz w:val="20"/>
          <w:szCs w:val="20"/>
        </w:rPr>
        <w:t>s</w:t>
      </w:r>
    </w:p>
    <w:p w:rsidR="00000000" w:rsidRDefault="00477EE8">
      <w:pPr>
        <w:pStyle w:val="a3"/>
        <w:spacing w:before="120" w:beforeAutospacing="0" w:after="0" w:afterAutospacing="0"/>
        <w:ind w:firstLine="555"/>
        <w:divId w:val="344595304"/>
        <w:rPr>
          <w:sz w:val="20"/>
          <w:szCs w:val="20"/>
        </w:rPr>
      </w:pPr>
      <w:r>
        <w:rPr>
          <w:sz w:val="20"/>
          <w:szCs w:val="20"/>
        </w:rPr>
        <w:t>All ma</w:t>
      </w:r>
      <w:r>
        <w:rPr>
          <w:sz w:val="20"/>
          <w:szCs w:val="20"/>
        </w:rPr>
        <w:t>rketable debt securities, which consist of corporate debt securities, municipal bonds, U.S. government and agency debt securities, U.S. treasury bills, and Yankee debt securities issued by foreign governments or entities and denominated in U.S. dollars hav</w:t>
      </w:r>
      <w:r>
        <w:rPr>
          <w:sz w:val="20"/>
          <w:szCs w:val="20"/>
        </w:rPr>
        <w:t>e been classified as “available-for-sale,” and are carried at fair value. Net unrealized gains and losses, net of any related tax effects</w:t>
      </w:r>
      <w:r>
        <w:rPr>
          <w:sz w:val="20"/>
          <w:szCs w:val="20"/>
        </w:rPr>
        <w:t>,</w:t>
      </w:r>
      <w:r>
        <w:rPr>
          <w:sz w:val="20"/>
          <w:szCs w:val="20"/>
        </w:rPr>
        <w:t xml:space="preserve"> </w:t>
      </w:r>
    </w:p>
    <w:p w:rsidR="00000000" w:rsidRDefault="00477EE8">
      <w:pPr>
        <w:pStyle w:val="a3"/>
        <w:spacing w:before="240" w:beforeAutospacing="0" w:after="0" w:afterAutospacing="0"/>
        <w:jc w:val="center"/>
        <w:divId w:val="344595304"/>
        <w:rPr>
          <w:sz w:val="20"/>
          <w:szCs w:val="20"/>
        </w:rPr>
      </w:pPr>
      <w:r>
        <w:rPr>
          <w:sz w:val="20"/>
          <w:szCs w:val="20"/>
        </w:rPr>
        <w:t>F</w:t>
      </w:r>
      <w:r>
        <w:rPr>
          <w:sz w:val="20"/>
          <w:szCs w:val="20"/>
        </w:rPr>
        <w:t>-</w:t>
      </w:r>
      <w:r>
        <w:rPr>
          <w:sz w:val="20"/>
          <w:szCs w:val="20"/>
        </w:rPr>
        <w:t>1</w:t>
      </w:r>
      <w:r>
        <w:rPr>
          <w:sz w:val="20"/>
          <w:szCs w:val="20"/>
        </w:rPr>
        <w:t>1</w:t>
      </w:r>
    </w:p>
    <w:p w:rsidR="00000000" w:rsidRDefault="00477EE8">
      <w:pPr>
        <w:divId w:val="344595304"/>
        <w:rPr>
          <w:rFonts w:eastAsia="Times New Roman"/>
          <w:sz w:val="20"/>
          <w:szCs w:val="20"/>
        </w:rPr>
      </w:pPr>
      <w:r>
        <w:rPr>
          <w:rFonts w:eastAsia="Times New Roman"/>
          <w:sz w:val="20"/>
          <w:szCs w:val="20"/>
        </w:rPr>
        <w:pict>
          <v:rect id="_x0000_i1122" style="width:0;height:1.5pt" o:hralign="center" o:hrstd="t" o:hr="t" fillcolor="#a0a0a0" stroked="f"/>
        </w:pict>
      </w:r>
    </w:p>
    <w:p w:rsidR="00000000" w:rsidRDefault="00477EE8">
      <w:pPr>
        <w:pStyle w:val="a3"/>
        <w:spacing w:before="120" w:beforeAutospacing="0" w:after="0" w:afterAutospacing="0"/>
        <w:divId w:val="344595304"/>
        <w:rPr>
          <w:sz w:val="20"/>
          <w:szCs w:val="20"/>
        </w:rPr>
      </w:pPr>
      <w:r>
        <w:rPr>
          <w:sz w:val="20"/>
          <w:szCs w:val="20"/>
        </w:rPr>
        <w:t xml:space="preserve">are excluded from earnings and are included in other comprehensive income </w:t>
      </w:r>
      <w:r>
        <w:rPr>
          <w:sz w:val="20"/>
          <w:szCs w:val="20"/>
        </w:rPr>
        <w:t>(loss) and reported as a separate component of stockholders’ equity until realized. Realized gains and losses on marketable debt securities are included in interest and other income, net, in the accompanying Consolidated Statements of Income. The cost of a</w:t>
      </w:r>
      <w:r>
        <w:rPr>
          <w:sz w:val="20"/>
          <w:szCs w:val="20"/>
        </w:rPr>
        <w:t>ny marketable debt securities sold is based on the specific-identification method. The amortized cost of marketable debt securities is adjusted for amortization of premiums and accretion of discounts to maturity. Interest on marketable debt securities is i</w:t>
      </w:r>
      <w:r>
        <w:rPr>
          <w:sz w:val="20"/>
          <w:szCs w:val="20"/>
        </w:rPr>
        <w:t>ncluded in interest and other income, net. In accordance with the Company’s investment policy, management invests to diversify credit risk and only invests in securities with high credit quality, including U.S. government securities</w:t>
      </w:r>
      <w:r>
        <w:rPr>
          <w:sz w:val="20"/>
          <w:szCs w:val="20"/>
        </w:rPr>
        <w:t>.</w:t>
      </w:r>
    </w:p>
    <w:p w:rsidR="00000000" w:rsidRDefault="00477EE8">
      <w:pPr>
        <w:pStyle w:val="a3"/>
        <w:spacing w:before="240" w:beforeAutospacing="0" w:after="0" w:afterAutospacing="0"/>
        <w:ind w:firstLine="555"/>
        <w:divId w:val="344595304"/>
        <w:rPr>
          <w:sz w:val="20"/>
          <w:szCs w:val="20"/>
        </w:rPr>
      </w:pPr>
      <w:r>
        <w:rPr>
          <w:sz w:val="20"/>
          <w:szCs w:val="20"/>
        </w:rPr>
        <w:t>The Company’s investme</w:t>
      </w:r>
      <w:r>
        <w:rPr>
          <w:sz w:val="20"/>
          <w:szCs w:val="20"/>
        </w:rPr>
        <w:t>nts in marketable equity securities are measured at fair value with the related gains and losses, realized and unrealized, recognized in interest and other income, net, in the accompanying Consolidated Statements of Income. The cost of any marketable equit</w:t>
      </w:r>
      <w:r>
        <w:rPr>
          <w:sz w:val="20"/>
          <w:szCs w:val="20"/>
        </w:rPr>
        <w:t>y securities sold is based on the specific-identification method</w:t>
      </w:r>
      <w:r>
        <w:rPr>
          <w:sz w:val="20"/>
          <w:szCs w:val="20"/>
        </w:rPr>
        <w:t>.</w:t>
      </w:r>
    </w:p>
    <w:p w:rsidR="00000000" w:rsidRDefault="00477EE8">
      <w:pPr>
        <w:pStyle w:val="a3"/>
        <w:spacing w:before="240" w:beforeAutospacing="0" w:after="0" w:afterAutospacing="0"/>
        <w:ind w:firstLine="555"/>
        <w:divId w:val="344595304"/>
        <w:rPr>
          <w:sz w:val="20"/>
          <w:szCs w:val="20"/>
        </w:rPr>
      </w:pPr>
      <w:r>
        <w:rPr>
          <w:sz w:val="20"/>
          <w:szCs w:val="20"/>
        </w:rPr>
        <w:t>For available-for-sale debt securities, in an unrealized loss, the Company determines whether a credit loss exists. The credit loss is estimated by considering available information relevant</w:t>
      </w:r>
      <w:r>
        <w:rPr>
          <w:sz w:val="20"/>
          <w:szCs w:val="20"/>
        </w:rPr>
        <w:t xml:space="preserve"> to the collectability of the security and information about past events, current conditions, and reasonable and supportable forecasts. The Company compares the present value of cash flows expected to be collected from the security with the amortized cost </w:t>
      </w:r>
      <w:r>
        <w:rPr>
          <w:sz w:val="20"/>
          <w:szCs w:val="20"/>
        </w:rPr>
        <w:t xml:space="preserve">basis of the security. If the present value of cash flows to be collected is less than the amortized basis of the security, a credit loss exists, and an allowance for credit losses is recorded for the credit loss, limited by the amount of unrealized loss. </w:t>
      </w:r>
      <w:r>
        <w:rPr>
          <w:sz w:val="20"/>
          <w:szCs w:val="20"/>
        </w:rPr>
        <w:t>Changes in the allowance are recorded in the period of changes as credit loss expense. If the Company has an intent to sell, or if it is more likely than not that the Company will be required to sell a debt security in an unrealized loss position before re</w:t>
      </w:r>
      <w:r>
        <w:rPr>
          <w:sz w:val="20"/>
          <w:szCs w:val="20"/>
        </w:rPr>
        <w:t>covery of its amortized cost basis, the Company will write down the security to its fair value and record the corresponding charge as a component of interest and other income, net</w:t>
      </w:r>
      <w:r>
        <w:rPr>
          <w:sz w:val="20"/>
          <w:szCs w:val="20"/>
        </w:rPr>
        <w:t>.</w:t>
      </w:r>
      <w:r>
        <w:rPr>
          <w:sz w:val="20"/>
          <w:szCs w:val="20"/>
        </w:rPr>
        <w:t xml:space="preserve"> </w:t>
      </w:r>
    </w:p>
    <w:p w:rsidR="00000000" w:rsidRDefault="00477EE8">
      <w:pPr>
        <w:pStyle w:val="a3"/>
        <w:spacing w:before="360" w:beforeAutospacing="0" w:after="0" w:afterAutospacing="0"/>
        <w:divId w:val="1183279186"/>
        <w:rPr>
          <w:sz w:val="20"/>
          <w:szCs w:val="20"/>
        </w:rPr>
      </w:pPr>
      <w:r>
        <w:rPr>
          <w:b/>
          <w:bCs/>
          <w:i/>
          <w:iCs/>
          <w:sz w:val="20"/>
          <w:szCs w:val="20"/>
        </w:rPr>
        <w:t>Trade Accounts Receivable and Allowance for Credit Losse</w:t>
      </w:r>
      <w:r>
        <w:rPr>
          <w:b/>
          <w:bCs/>
          <w:i/>
          <w:iCs/>
          <w:sz w:val="20"/>
          <w:szCs w:val="20"/>
        </w:rPr>
        <w:t>s</w:t>
      </w:r>
      <w:r>
        <w:rPr>
          <w:b/>
          <w:bCs/>
          <w:i/>
          <w:iCs/>
          <w:sz w:val="20"/>
          <w:szCs w:val="20"/>
        </w:rPr>
        <w:t xml:space="preserve"> </w:t>
      </w:r>
    </w:p>
    <w:p w:rsidR="00000000" w:rsidRDefault="00477EE8">
      <w:pPr>
        <w:pStyle w:val="a3"/>
        <w:spacing w:before="120" w:beforeAutospacing="0" w:after="0" w:afterAutospacing="0"/>
        <w:ind w:firstLine="555"/>
        <w:divId w:val="1183279186"/>
        <w:rPr>
          <w:sz w:val="20"/>
          <w:szCs w:val="20"/>
        </w:rPr>
      </w:pPr>
      <w:r>
        <w:rPr>
          <w:sz w:val="20"/>
          <w:szCs w:val="20"/>
        </w:rPr>
        <w:t xml:space="preserve">Trade accounts </w:t>
      </w:r>
      <w:r>
        <w:rPr>
          <w:sz w:val="20"/>
          <w:szCs w:val="20"/>
        </w:rPr>
        <w:t>receivable are stated at the amount the Company expects to collect. The Company maintains an allowance for credit losses for expected uncollectible trade accounts receivable, which is recorded as an offset to trade accounts receivable, and changes in allow</w:t>
      </w:r>
      <w:r>
        <w:rPr>
          <w:sz w:val="20"/>
          <w:szCs w:val="20"/>
        </w:rPr>
        <w:t>ance for credit losses are classified as a general and administrative expense in the accompanying Consolidated Statements of Income. The Company assesses collectability by reviewing trade accounts receivable on a collective basis where similar risk charact</w:t>
      </w:r>
      <w:r>
        <w:rPr>
          <w:sz w:val="20"/>
          <w:szCs w:val="20"/>
        </w:rPr>
        <w:t>eristics exist and on an individual basis when it identifies specific customers that have deterioration in credit quality such that they may no longer share similar risk characteristics with the other receivables. In determining the amount of the allowance</w:t>
      </w:r>
      <w:r>
        <w:rPr>
          <w:sz w:val="20"/>
          <w:szCs w:val="20"/>
        </w:rPr>
        <w:t xml:space="preserve"> for credit losses, the Company uses a probability-of-default and loss given default model, which allows the ability to define a point of default and measure credit losses for receivables that have reached the point of default for purposes of calculating t</w:t>
      </w:r>
      <w:r>
        <w:rPr>
          <w:sz w:val="20"/>
          <w:szCs w:val="20"/>
        </w:rPr>
        <w:t>he allowance for credit losses. Loss given default represents the likelihood that a receivable that has reached the point of default will not be collected in full. The Company updates its probability-of-default and loss given default factors annually to in</w:t>
      </w:r>
      <w:r>
        <w:rPr>
          <w:sz w:val="20"/>
          <w:szCs w:val="20"/>
        </w:rPr>
        <w:t>corporate the most recent historical data and adjusts the quantitative portion of the reserve through its qualitative reserve overlay. The Company looks at qualitative factors such as general economic conditions in determining expected credit losses</w:t>
      </w:r>
      <w:r>
        <w:rPr>
          <w:sz w:val="20"/>
          <w:szCs w:val="20"/>
        </w:rPr>
        <w:t>.</w:t>
      </w:r>
      <w:r>
        <w:rPr>
          <w:sz w:val="20"/>
          <w:szCs w:val="20"/>
        </w:rPr>
        <w:t xml:space="preserve"> </w:t>
      </w:r>
    </w:p>
    <w:p w:rsidR="00000000" w:rsidRDefault="00477EE8">
      <w:pPr>
        <w:pStyle w:val="a3"/>
        <w:spacing w:before="240" w:beforeAutospacing="0" w:after="0" w:afterAutospacing="0"/>
        <w:ind w:firstLine="555"/>
        <w:divId w:val="1999844334"/>
        <w:rPr>
          <w:sz w:val="20"/>
          <w:szCs w:val="20"/>
        </w:rPr>
      </w:pPr>
      <w:r>
        <w:rPr>
          <w:sz w:val="20"/>
          <w:szCs w:val="20"/>
        </w:rPr>
        <w:t>A ro</w:t>
      </w:r>
      <w:r>
        <w:rPr>
          <w:sz w:val="20"/>
          <w:szCs w:val="20"/>
        </w:rPr>
        <w:t>ll-forward of the activity in the Company’s allowance for credit losses is as follows</w:t>
      </w:r>
      <w:r>
        <w:rPr>
          <w:sz w:val="20"/>
          <w:szCs w:val="20"/>
        </w:rPr>
        <w:t>:</w:t>
      </w:r>
    </w:p>
    <w:p w:rsidR="00000000" w:rsidRDefault="00477EE8">
      <w:pPr>
        <w:pStyle w:val="a3"/>
        <w:spacing w:before="0" w:beforeAutospacing="0" w:after="0" w:afterAutospacing="0"/>
        <w:divId w:val="1999844334"/>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98"/>
        <w:gridCol w:w="160"/>
        <w:gridCol w:w="1068"/>
        <w:gridCol w:w="127"/>
        <w:gridCol w:w="110"/>
        <w:gridCol w:w="160"/>
        <w:gridCol w:w="1063"/>
        <w:gridCol w:w="127"/>
        <w:gridCol w:w="110"/>
        <w:gridCol w:w="160"/>
        <w:gridCol w:w="1081"/>
        <w:gridCol w:w="142"/>
      </w:tblGrid>
      <w:tr w:rsidR="00000000">
        <w:trPr>
          <w:divId w:val="1999844334"/>
          <w:tblCellSpacing w:w="15" w:type="dxa"/>
        </w:trPr>
        <w:tc>
          <w:tcPr>
            <w:tcW w:w="2517"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677"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70"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76"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70"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86"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divId w:val="1999844334"/>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10"/>
            <w:vAlign w:val="bottom"/>
            <w:hideMark/>
          </w:tcPr>
          <w:p w:rsidR="00000000" w:rsidRDefault="00477EE8">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999844334"/>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999844334"/>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10"/>
            <w:vAlign w:val="bottom"/>
            <w:hideMark/>
          </w:tcPr>
          <w:p w:rsidR="00000000" w:rsidRDefault="00477EE8">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999844334"/>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Allowance for credit losses at beginning of yea</w:t>
            </w:r>
            <w:r>
              <w:rPr>
                <w:sz w:val="20"/>
                <w:szCs w:val="20"/>
              </w:rPr>
              <w:t>r</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11,21</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1,89</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75</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999844334"/>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Impact of ASU 2016-13 adoptio</w:t>
            </w:r>
            <w:r>
              <w:rPr>
                <w:sz w:val="20"/>
                <w:szCs w:val="20"/>
              </w:rPr>
              <w:t>n</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88</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999844334"/>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Current period provisio</w:t>
            </w:r>
            <w:r>
              <w:rPr>
                <w:sz w:val="20"/>
                <w:szCs w:val="20"/>
              </w:rPr>
              <w:t>n</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32,59</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8,93</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1,17</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999844334"/>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Write-down</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2,60</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49</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2</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1999844334"/>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Allowance for credit losses at end of yea</w:t>
            </w:r>
            <w:r>
              <w:rPr>
                <w:sz w:val="20"/>
                <w:szCs w:val="20"/>
              </w:rPr>
              <w:t>r</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41,20</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11,21</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1,89</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360" w:beforeAutospacing="0" w:after="0" w:afterAutospacing="0"/>
        <w:divId w:val="885992080"/>
        <w:rPr>
          <w:sz w:val="20"/>
          <w:szCs w:val="20"/>
        </w:rPr>
      </w:pPr>
      <w:r>
        <w:rPr>
          <w:b/>
          <w:bCs/>
          <w:i/>
          <w:iCs/>
          <w:sz w:val="20"/>
          <w:szCs w:val="20"/>
        </w:rPr>
        <w:t>Redeemable Preferred Stock Investmen</w:t>
      </w:r>
      <w:r>
        <w:rPr>
          <w:b/>
          <w:bCs/>
          <w:i/>
          <w:iCs/>
          <w:sz w:val="20"/>
          <w:szCs w:val="20"/>
        </w:rPr>
        <w:t>t</w:t>
      </w:r>
    </w:p>
    <w:p w:rsidR="00000000" w:rsidRDefault="00477EE8">
      <w:pPr>
        <w:pStyle w:val="a3"/>
        <w:spacing w:before="120" w:beforeAutospacing="0" w:after="0" w:afterAutospacing="0"/>
        <w:ind w:firstLine="555"/>
        <w:divId w:val="885992080"/>
        <w:rPr>
          <w:sz w:val="20"/>
          <w:szCs w:val="20"/>
        </w:rPr>
      </w:pPr>
      <w:r>
        <w:rPr>
          <w:sz w:val="20"/>
          <w:szCs w:val="20"/>
        </w:rPr>
        <w:t>The redeemable preferred stock investment of</w:t>
      </w:r>
      <w:r>
        <w:rPr>
          <w:sz w:val="20"/>
          <w:szCs w:val="20"/>
        </w:rPr>
        <w:t xml:space="preserve"> </w:t>
      </w:r>
      <w:r>
        <w:rPr>
          <w:sz w:val="20"/>
          <w:szCs w:val="20"/>
        </w:rPr>
        <w:t>$</w:t>
      </w:r>
      <w:r>
        <w:rPr>
          <w:sz w:val="20"/>
          <w:szCs w:val="20"/>
        </w:rPr>
        <w:t>12.</w:t>
      </w:r>
      <w:r>
        <w:rPr>
          <w:sz w:val="20"/>
          <w:szCs w:val="20"/>
        </w:rPr>
        <w:t>4</w:t>
      </w:r>
      <w:r>
        <w:rPr>
          <w:sz w:val="20"/>
          <w:szCs w:val="20"/>
        </w:rPr>
        <w:t xml:space="preserve"> millio</w:t>
      </w:r>
      <w:r>
        <w:rPr>
          <w:sz w:val="20"/>
          <w:szCs w:val="20"/>
        </w:rPr>
        <w:t>n</w:t>
      </w:r>
      <w:r>
        <w:rPr>
          <w:sz w:val="20"/>
          <w:szCs w:val="20"/>
        </w:rPr>
        <w:t xml:space="preserve"> </w:t>
      </w:r>
      <w:r>
        <w:rPr>
          <w:sz w:val="20"/>
          <w:szCs w:val="20"/>
        </w:rPr>
        <w:t>of December 31, 2022 represents the fair value of redeemable preferred stock of a private company that the Company purchased in July 2021. The investment is classified as available-for-sale debt securities. The fair value of available-for-sale debt securit</w:t>
      </w:r>
      <w:r>
        <w:rPr>
          <w:sz w:val="20"/>
          <w:szCs w:val="20"/>
        </w:rPr>
        <w:t>y is included in the Consolidated Statement of Balance Sheets. Unrealized losses of</w:t>
      </w:r>
      <w:r>
        <w:rPr>
          <w:sz w:val="20"/>
          <w:szCs w:val="20"/>
        </w:rPr>
        <w:t xml:space="preserve"> </w:t>
      </w:r>
      <w:r>
        <w:rPr>
          <w:sz w:val="20"/>
          <w:szCs w:val="20"/>
        </w:rPr>
        <w:t>$</w:t>
      </w:r>
      <w:r>
        <w:rPr>
          <w:sz w:val="20"/>
          <w:szCs w:val="20"/>
        </w:rPr>
        <w:t>9.</w:t>
      </w:r>
      <w:r>
        <w:rPr>
          <w:sz w:val="20"/>
          <w:szCs w:val="20"/>
        </w:rPr>
        <w:t>6</w:t>
      </w:r>
      <w:r>
        <w:rPr>
          <w:sz w:val="20"/>
          <w:szCs w:val="20"/>
        </w:rPr>
        <w:t xml:space="preserve"> millio</w:t>
      </w:r>
      <w:r>
        <w:rPr>
          <w:sz w:val="20"/>
          <w:szCs w:val="20"/>
        </w:rPr>
        <w:t>n</w:t>
      </w:r>
      <w:r>
        <w:rPr>
          <w:sz w:val="20"/>
          <w:szCs w:val="20"/>
        </w:rPr>
        <w:t xml:space="preserve"> were excluded from earnings and reported in other comprehensive income (loss) for the year ended December 31, 2022. Unrealized gains of </w:t>
      </w:r>
      <w:r>
        <w:rPr>
          <w:sz w:val="20"/>
          <w:szCs w:val="20"/>
        </w:rPr>
        <w:t>$</w:t>
      </w:r>
      <w:r>
        <w:rPr>
          <w:sz w:val="20"/>
          <w:szCs w:val="20"/>
        </w:rPr>
        <w:t>2.</w:t>
      </w:r>
      <w:r>
        <w:rPr>
          <w:sz w:val="20"/>
          <w:szCs w:val="20"/>
        </w:rPr>
        <w:t>0</w:t>
      </w:r>
      <w:r>
        <w:rPr>
          <w:sz w:val="20"/>
          <w:szCs w:val="20"/>
        </w:rPr>
        <w:t xml:space="preserve"> million are exclud</w:t>
      </w:r>
      <w:r>
        <w:rPr>
          <w:sz w:val="20"/>
          <w:szCs w:val="20"/>
        </w:rPr>
        <w:t>ed from earnings and reported in other comprehensive income (loss) for the year ended December 31, 2021. Since the Company intends on holding the preferred stock, and the preferred stock is not redeemable until</w:t>
      </w:r>
      <w:r>
        <w:rPr>
          <w:sz w:val="20"/>
          <w:szCs w:val="20"/>
        </w:rPr>
        <w:t xml:space="preserve"> </w:t>
      </w:r>
      <w:r>
        <w:rPr>
          <w:sz w:val="20"/>
          <w:szCs w:val="20"/>
        </w:rPr>
        <w:t>July 202</w:t>
      </w:r>
      <w:r>
        <w:rPr>
          <w:sz w:val="20"/>
          <w:szCs w:val="20"/>
        </w:rPr>
        <w:t>7</w:t>
      </w:r>
      <w:r>
        <w:rPr>
          <w:sz w:val="20"/>
          <w:szCs w:val="20"/>
        </w:rPr>
        <w:t>, the investment is recorded as a lo</w:t>
      </w:r>
      <w:r>
        <w:rPr>
          <w:sz w:val="20"/>
          <w:szCs w:val="20"/>
        </w:rPr>
        <w:t>ng-term investment</w:t>
      </w:r>
      <w:r>
        <w:rPr>
          <w:sz w:val="20"/>
          <w:szCs w:val="20"/>
        </w:rPr>
        <w:t>.</w:t>
      </w:r>
    </w:p>
    <w:p w:rsidR="00000000" w:rsidRDefault="00477EE8">
      <w:pPr>
        <w:pStyle w:val="a3"/>
        <w:spacing w:before="240" w:beforeAutospacing="0" w:after="0" w:afterAutospacing="0"/>
        <w:jc w:val="center"/>
        <w:divId w:val="433210078"/>
        <w:rPr>
          <w:sz w:val="20"/>
          <w:szCs w:val="20"/>
        </w:rPr>
      </w:pPr>
      <w:r>
        <w:rPr>
          <w:sz w:val="20"/>
          <w:szCs w:val="20"/>
        </w:rPr>
        <w:t>F</w:t>
      </w:r>
      <w:r>
        <w:rPr>
          <w:sz w:val="20"/>
          <w:szCs w:val="20"/>
        </w:rPr>
        <w:t>-</w:t>
      </w:r>
      <w:r>
        <w:rPr>
          <w:sz w:val="20"/>
          <w:szCs w:val="20"/>
        </w:rPr>
        <w:t>1</w:t>
      </w:r>
      <w:r>
        <w:rPr>
          <w:sz w:val="20"/>
          <w:szCs w:val="20"/>
        </w:rPr>
        <w:t>2</w:t>
      </w:r>
    </w:p>
    <w:p w:rsidR="00000000" w:rsidRDefault="00477EE8">
      <w:pPr>
        <w:divId w:val="433210078"/>
        <w:rPr>
          <w:rFonts w:eastAsia="Times New Roman"/>
        </w:rPr>
      </w:pPr>
      <w:r>
        <w:rPr>
          <w:rFonts w:eastAsia="Times New Roman"/>
        </w:rPr>
        <w:pict>
          <v:rect id="_x0000_i1123" style="width:0;height:1.5pt" o:hralign="center" o:hrstd="t" o:hr="t" fillcolor="#a0a0a0" stroked="f"/>
        </w:pict>
      </w:r>
    </w:p>
    <w:p w:rsidR="00000000" w:rsidRDefault="00477EE8">
      <w:pPr>
        <w:pStyle w:val="a3"/>
        <w:spacing w:before="360" w:beforeAutospacing="0" w:after="0" w:afterAutospacing="0"/>
        <w:divId w:val="1650088956"/>
        <w:rPr>
          <w:sz w:val="20"/>
          <w:szCs w:val="20"/>
        </w:rPr>
      </w:pPr>
      <w:r>
        <w:rPr>
          <w:b/>
          <w:bCs/>
          <w:i/>
          <w:iCs/>
          <w:sz w:val="20"/>
          <w:szCs w:val="20"/>
        </w:rPr>
        <w:t>Fixed Asset</w:t>
      </w:r>
      <w:r>
        <w:rPr>
          <w:b/>
          <w:bCs/>
          <w:i/>
          <w:iCs/>
          <w:sz w:val="20"/>
          <w:szCs w:val="20"/>
        </w:rPr>
        <w:t>s</w:t>
      </w:r>
    </w:p>
    <w:p w:rsidR="00000000" w:rsidRDefault="00477EE8">
      <w:pPr>
        <w:pStyle w:val="a3"/>
        <w:spacing w:before="120" w:beforeAutospacing="0" w:after="0" w:afterAutospacing="0"/>
        <w:ind w:firstLine="555"/>
        <w:divId w:val="1650088956"/>
        <w:rPr>
          <w:sz w:val="20"/>
          <w:szCs w:val="20"/>
        </w:rPr>
      </w:pPr>
      <w:r>
        <w:rPr>
          <w:sz w:val="20"/>
          <w:szCs w:val="20"/>
        </w:rPr>
        <w:t>Fixed assets are recorded at cost, net of accumulated depreciation and amortization. Depreciation is recorded using the straight-line method over the estimated useful lives of the a</w:t>
      </w:r>
      <w:r>
        <w:rPr>
          <w:sz w:val="20"/>
          <w:szCs w:val="20"/>
        </w:rPr>
        <w:t>ssets. Leasehold improvements are capitalized and amortized over the shorter of their expected lives or the applicable lease term, including renewal options, if available. Major replacements and improvements are capitalized, while general repairs and maint</w:t>
      </w:r>
      <w:r>
        <w:rPr>
          <w:sz w:val="20"/>
          <w:szCs w:val="20"/>
        </w:rPr>
        <w:t>enance are expensed as incurred. See Note 5,</w:t>
      </w:r>
      <w:r>
        <w:rPr>
          <w:sz w:val="20"/>
          <w:szCs w:val="20"/>
        </w:rPr>
        <w:t xml:space="preserve"> </w:t>
      </w:r>
      <w:r>
        <w:rPr>
          <w:i/>
          <w:iCs/>
          <w:sz w:val="20"/>
          <w:szCs w:val="20"/>
        </w:rPr>
        <w:t>Fixed Asset</w:t>
      </w:r>
      <w:r>
        <w:rPr>
          <w:i/>
          <w:iCs/>
          <w:sz w:val="20"/>
          <w:szCs w:val="20"/>
        </w:rPr>
        <w:t>s</w:t>
      </w:r>
      <w:r>
        <w:rPr>
          <w:sz w:val="20"/>
          <w:szCs w:val="20"/>
        </w:rPr>
        <w:t>, for useful lives for each major class of fixed assets</w:t>
      </w:r>
      <w:r>
        <w:rPr>
          <w:sz w:val="20"/>
          <w:szCs w:val="20"/>
        </w:rPr>
        <w:t>.</w:t>
      </w:r>
    </w:p>
    <w:p w:rsidR="00000000" w:rsidRDefault="00477EE8">
      <w:pPr>
        <w:pStyle w:val="a3"/>
        <w:spacing w:before="360" w:beforeAutospacing="0" w:after="0" w:afterAutospacing="0"/>
        <w:divId w:val="1975478489"/>
        <w:rPr>
          <w:sz w:val="20"/>
          <w:szCs w:val="20"/>
        </w:rPr>
      </w:pPr>
      <w:r>
        <w:rPr>
          <w:b/>
          <w:bCs/>
          <w:i/>
          <w:iCs/>
          <w:sz w:val="20"/>
          <w:szCs w:val="20"/>
        </w:rPr>
        <w:t>Intangible asset</w:t>
      </w:r>
      <w:r>
        <w:rPr>
          <w:b/>
          <w:bCs/>
          <w:i/>
          <w:iCs/>
          <w:sz w:val="20"/>
          <w:szCs w:val="20"/>
        </w:rPr>
        <w:t>s</w:t>
      </w:r>
    </w:p>
    <w:p w:rsidR="00000000" w:rsidRDefault="00477EE8">
      <w:pPr>
        <w:pStyle w:val="a3"/>
        <w:spacing w:before="120" w:beforeAutospacing="0" w:after="0" w:afterAutospacing="0"/>
        <w:ind w:firstLine="555"/>
        <w:divId w:val="1975478489"/>
        <w:rPr>
          <w:sz w:val="20"/>
          <w:szCs w:val="20"/>
        </w:rPr>
      </w:pPr>
      <w:r>
        <w:rPr>
          <w:sz w:val="20"/>
          <w:szCs w:val="20"/>
        </w:rPr>
        <w:t>Intangible assets, unless determined to be indefinite-lived,</w:t>
      </w:r>
      <w:r>
        <w:rPr>
          <w:sz w:val="20"/>
          <w:szCs w:val="20"/>
        </w:rPr>
        <w:t xml:space="preserve"> </w:t>
      </w:r>
      <w:r>
        <w:rPr>
          <w:sz w:val="20"/>
          <w:szCs w:val="20"/>
        </w:rPr>
        <w:t>are amortized over their estimated useful lives. The Company am</w:t>
      </w:r>
      <w:r>
        <w:rPr>
          <w:sz w:val="20"/>
          <w:szCs w:val="20"/>
        </w:rPr>
        <w:t>ortizes intangible assets on a straight-line basis with definite lives generally over periods ranging from</w:t>
      </w:r>
      <w:r>
        <w:rPr>
          <w:sz w:val="20"/>
          <w:szCs w:val="20"/>
        </w:rPr>
        <w:t xml:space="preserve"> </w:t>
      </w:r>
      <w:r>
        <w:rPr>
          <w:sz w:val="20"/>
          <w:szCs w:val="20"/>
        </w:rPr>
        <w:t>fiv</w:t>
      </w:r>
      <w:r>
        <w:rPr>
          <w:sz w:val="20"/>
          <w:szCs w:val="20"/>
        </w:rPr>
        <w:t>e</w:t>
      </w:r>
      <w:r>
        <w:rPr>
          <w:sz w:val="20"/>
          <w:szCs w:val="20"/>
        </w:rPr>
        <w:t xml:space="preserve"> to</w:t>
      </w:r>
      <w:r>
        <w:rPr>
          <w:sz w:val="20"/>
          <w:szCs w:val="20"/>
        </w:rPr>
        <w:t xml:space="preserve"> </w:t>
      </w:r>
      <w:r>
        <w:rPr>
          <w:sz w:val="20"/>
          <w:szCs w:val="20"/>
        </w:rPr>
        <w:t>fourteen year</w:t>
      </w:r>
      <w:r>
        <w:rPr>
          <w:sz w:val="20"/>
          <w:szCs w:val="20"/>
        </w:rPr>
        <w:t>s</w:t>
      </w:r>
      <w:r>
        <w:rPr>
          <w:sz w:val="20"/>
          <w:szCs w:val="20"/>
        </w:rPr>
        <w:t>. In-process research and development costs, or IPR&amp;D, are considered to be indefinite-lived until the completion or abandonmen</w:t>
      </w:r>
      <w:r>
        <w:rPr>
          <w:sz w:val="20"/>
          <w:szCs w:val="20"/>
        </w:rPr>
        <w:t>t of the associated research and development efforts. If and when development is complete, the associated assets would be deemed finite-lived and would then be amortized based on their respective estimated useful lives at that point in time. During this pe</w:t>
      </w:r>
      <w:r>
        <w:rPr>
          <w:sz w:val="20"/>
          <w:szCs w:val="20"/>
        </w:rPr>
        <w:t>riod, the assets will not be amortized but will be tested for impairment on an annual basis and between annual tests if we become aware of any events occurring or changes in circumstances that would indicate a reduction in the fair value of the IPR&amp;D proje</w:t>
      </w:r>
      <w:r>
        <w:rPr>
          <w:sz w:val="20"/>
          <w:szCs w:val="20"/>
        </w:rPr>
        <w:t>cts below their respective carrying amounts. See Note 17,</w:t>
      </w:r>
      <w:r>
        <w:rPr>
          <w:sz w:val="20"/>
          <w:szCs w:val="20"/>
        </w:rPr>
        <w:t xml:space="preserve"> </w:t>
      </w:r>
      <w:r>
        <w:rPr>
          <w:i/>
          <w:iCs/>
          <w:sz w:val="20"/>
          <w:szCs w:val="20"/>
        </w:rPr>
        <w:t>Goodwill and Intangible Asset</w:t>
      </w:r>
      <w:r>
        <w:rPr>
          <w:i/>
          <w:iCs/>
          <w:sz w:val="20"/>
          <w:szCs w:val="20"/>
        </w:rPr>
        <w:t>s</w:t>
      </w:r>
      <w:r>
        <w:rPr>
          <w:sz w:val="20"/>
          <w:szCs w:val="20"/>
        </w:rPr>
        <w:t>, for details of intangible assets</w:t>
      </w:r>
      <w:r>
        <w:rPr>
          <w:sz w:val="20"/>
          <w:szCs w:val="20"/>
        </w:rPr>
        <w:t>.</w:t>
      </w:r>
      <w:r>
        <w:rPr>
          <w:sz w:val="20"/>
          <w:szCs w:val="20"/>
        </w:rPr>
        <w:t xml:space="preserve"> </w:t>
      </w:r>
    </w:p>
    <w:p w:rsidR="00000000" w:rsidRDefault="00477EE8">
      <w:pPr>
        <w:pStyle w:val="a3"/>
        <w:spacing w:before="360" w:beforeAutospacing="0" w:after="0" w:afterAutospacing="0"/>
        <w:divId w:val="1996102291"/>
        <w:rPr>
          <w:sz w:val="20"/>
          <w:szCs w:val="20"/>
        </w:rPr>
      </w:pPr>
      <w:r>
        <w:rPr>
          <w:b/>
          <w:bCs/>
          <w:i/>
          <w:iCs/>
          <w:sz w:val="20"/>
          <w:szCs w:val="20"/>
        </w:rPr>
        <w:t>Business Combination</w:t>
      </w:r>
      <w:r>
        <w:rPr>
          <w:b/>
          <w:bCs/>
          <w:i/>
          <w:iCs/>
          <w:sz w:val="20"/>
          <w:szCs w:val="20"/>
        </w:rPr>
        <w:t>s</w:t>
      </w:r>
    </w:p>
    <w:p w:rsidR="00000000" w:rsidRDefault="00477EE8">
      <w:pPr>
        <w:pStyle w:val="a3"/>
        <w:spacing w:before="120" w:beforeAutospacing="0" w:after="0" w:afterAutospacing="0"/>
        <w:ind w:firstLine="578"/>
        <w:divId w:val="1996102291"/>
        <w:rPr>
          <w:sz w:val="20"/>
          <w:szCs w:val="20"/>
        </w:rPr>
      </w:pPr>
      <w:r>
        <w:rPr>
          <w:sz w:val="20"/>
          <w:szCs w:val="20"/>
        </w:rPr>
        <w:t xml:space="preserve">The Company uses the acquisition method of accounting and allocates the fair value of purchase consideration </w:t>
      </w:r>
      <w:r>
        <w:rPr>
          <w:sz w:val="20"/>
          <w:szCs w:val="20"/>
        </w:rPr>
        <w:t>to the assets acquired and liabilities assumed from an acquiree based on their respective fair values as of the acquisition date. The excess of the fair value of purchase consideration over the fair value of these assets acquired and liabilities assumed is</w:t>
      </w:r>
      <w:r>
        <w:rPr>
          <w:sz w:val="20"/>
          <w:szCs w:val="20"/>
        </w:rPr>
        <w:t xml:space="preserve"> recorded as goodwill. When determining the fair values of assets acquired and liabilities assumed, management makes significant estimates and assumptions, especially with respect to intangible assets. Critical estimates in valuing intangible assets includ</w:t>
      </w:r>
      <w:r>
        <w:rPr>
          <w:sz w:val="20"/>
          <w:szCs w:val="20"/>
        </w:rPr>
        <w:t xml:space="preserve">e, but are not limited to, expected future cash flows, which includes consideration of future growth and margins, future changes in technology, expected cost and time to develop in-process research and development, brand awareness and discount rates. Fair </w:t>
      </w:r>
      <w:r>
        <w:rPr>
          <w:sz w:val="20"/>
          <w:szCs w:val="20"/>
        </w:rPr>
        <w:t>value estimates are based on the assumptions that management believes a market participant would use in pricing the asset or liability</w:t>
      </w:r>
      <w:r>
        <w:rPr>
          <w:sz w:val="20"/>
          <w:szCs w:val="20"/>
        </w:rPr>
        <w:t>.</w:t>
      </w:r>
    </w:p>
    <w:p w:rsidR="00000000" w:rsidRDefault="00477EE8">
      <w:pPr>
        <w:pStyle w:val="a3"/>
        <w:spacing w:before="360" w:beforeAutospacing="0" w:after="0" w:afterAutospacing="0"/>
        <w:divId w:val="2133863786"/>
        <w:rPr>
          <w:sz w:val="20"/>
          <w:szCs w:val="20"/>
        </w:rPr>
      </w:pPr>
      <w:r>
        <w:rPr>
          <w:b/>
          <w:bCs/>
          <w:i/>
          <w:iCs/>
          <w:sz w:val="20"/>
          <w:szCs w:val="20"/>
        </w:rPr>
        <w:t>Goodwil</w:t>
      </w:r>
      <w:r>
        <w:rPr>
          <w:b/>
          <w:bCs/>
          <w:i/>
          <w:iCs/>
          <w:sz w:val="20"/>
          <w:szCs w:val="20"/>
        </w:rPr>
        <w:t>l</w:t>
      </w:r>
    </w:p>
    <w:p w:rsidR="00000000" w:rsidRDefault="00477EE8">
      <w:pPr>
        <w:pStyle w:val="a3"/>
        <w:spacing w:before="120" w:beforeAutospacing="0" w:after="0" w:afterAutospacing="0"/>
        <w:ind w:firstLine="555"/>
        <w:divId w:val="2133863786"/>
        <w:rPr>
          <w:sz w:val="20"/>
          <w:szCs w:val="20"/>
        </w:rPr>
      </w:pPr>
      <w:r>
        <w:rPr>
          <w:sz w:val="20"/>
          <w:szCs w:val="20"/>
        </w:rPr>
        <w:t>Goodwill is not amortized but is subject to impairment tests on an annual basis or more frequently if indicator</w:t>
      </w:r>
      <w:r>
        <w:rPr>
          <w:sz w:val="20"/>
          <w:szCs w:val="20"/>
        </w:rPr>
        <w:t>s of potential impairment exist, and compares the fair value of the reporting unit in which the goodwill resides to its carrying value. Goodwill is written down when it is determined to be impaired</w:t>
      </w:r>
      <w:r>
        <w:rPr>
          <w:sz w:val="20"/>
          <w:szCs w:val="20"/>
        </w:rPr>
        <w:t>.</w:t>
      </w:r>
      <w:r>
        <w:rPr>
          <w:sz w:val="20"/>
          <w:szCs w:val="20"/>
        </w:rPr>
        <w:t xml:space="preserve"> </w:t>
      </w:r>
    </w:p>
    <w:p w:rsidR="00000000" w:rsidRDefault="00477EE8">
      <w:pPr>
        <w:pStyle w:val="a3"/>
        <w:spacing w:before="360" w:beforeAutospacing="0" w:after="0" w:afterAutospacing="0"/>
        <w:divId w:val="1223907667"/>
        <w:rPr>
          <w:sz w:val="20"/>
          <w:szCs w:val="20"/>
        </w:rPr>
      </w:pPr>
      <w:r>
        <w:rPr>
          <w:b/>
          <w:bCs/>
          <w:i/>
          <w:iCs/>
          <w:sz w:val="20"/>
          <w:szCs w:val="20"/>
        </w:rPr>
        <w:t>Impairment of Long-Lived Asset</w:t>
      </w:r>
      <w:r>
        <w:rPr>
          <w:b/>
          <w:bCs/>
          <w:i/>
          <w:iCs/>
          <w:sz w:val="20"/>
          <w:szCs w:val="20"/>
        </w:rPr>
        <w:t>s</w:t>
      </w:r>
    </w:p>
    <w:p w:rsidR="00000000" w:rsidRDefault="00477EE8">
      <w:pPr>
        <w:pStyle w:val="a3"/>
        <w:spacing w:before="120" w:beforeAutospacing="0" w:after="0" w:afterAutospacing="0"/>
        <w:ind w:firstLine="555"/>
        <w:divId w:val="1223907667"/>
        <w:rPr>
          <w:sz w:val="20"/>
          <w:szCs w:val="20"/>
        </w:rPr>
      </w:pPr>
      <w:r>
        <w:rPr>
          <w:sz w:val="20"/>
          <w:szCs w:val="20"/>
        </w:rPr>
        <w:t xml:space="preserve">The Company evaluates the carrying amount of its long-lived assets whenever events or changes in circumstances indicate that the assets may not be recoverable. An impairment loss would be recognized when estimated future cash flows expected to result from </w:t>
      </w:r>
      <w:r>
        <w:rPr>
          <w:sz w:val="20"/>
          <w:szCs w:val="20"/>
        </w:rPr>
        <w:t>the use of an asset and its eventual disposition is less than the carrying amount of the asset</w:t>
      </w:r>
      <w:r>
        <w:rPr>
          <w:sz w:val="20"/>
          <w:szCs w:val="20"/>
        </w:rPr>
        <w:t>.</w:t>
      </w:r>
    </w:p>
    <w:p w:rsidR="00000000" w:rsidRDefault="00477EE8">
      <w:pPr>
        <w:pStyle w:val="a3"/>
        <w:spacing w:before="360" w:beforeAutospacing="0" w:after="0" w:afterAutospacing="0"/>
        <w:divId w:val="1614707043"/>
        <w:rPr>
          <w:sz w:val="20"/>
          <w:szCs w:val="20"/>
        </w:rPr>
      </w:pPr>
      <w:r>
        <w:rPr>
          <w:b/>
          <w:bCs/>
          <w:i/>
          <w:iCs/>
          <w:sz w:val="20"/>
          <w:szCs w:val="20"/>
        </w:rPr>
        <w:t>Reagents and Supplie</w:t>
      </w:r>
      <w:r>
        <w:rPr>
          <w:b/>
          <w:bCs/>
          <w:i/>
          <w:iCs/>
          <w:sz w:val="20"/>
          <w:szCs w:val="20"/>
        </w:rPr>
        <w:t>s</w:t>
      </w:r>
    </w:p>
    <w:p w:rsidR="00000000" w:rsidRDefault="00477EE8">
      <w:pPr>
        <w:pStyle w:val="a3"/>
        <w:spacing w:before="120" w:beforeAutospacing="0" w:after="0" w:afterAutospacing="0"/>
        <w:ind w:firstLine="555"/>
        <w:divId w:val="1614707043"/>
        <w:rPr>
          <w:sz w:val="20"/>
          <w:szCs w:val="20"/>
        </w:rPr>
      </w:pPr>
      <w:r>
        <w:rPr>
          <w:sz w:val="20"/>
          <w:szCs w:val="20"/>
        </w:rPr>
        <w:t>The Company maintains reagents and other consumables primarily used in testing which are valued at the lower of cost or net realizable val</w:t>
      </w:r>
      <w:r>
        <w:rPr>
          <w:sz w:val="20"/>
          <w:szCs w:val="20"/>
        </w:rPr>
        <w:t>ue. Cost is determined using actual costs on a first-in, first-out basis. The reagents and other consumables were included in other current assets in the accompanying Consolidated Balance Sheets</w:t>
      </w:r>
      <w:r>
        <w:rPr>
          <w:sz w:val="20"/>
          <w:szCs w:val="20"/>
        </w:rPr>
        <w:t>.</w:t>
      </w:r>
    </w:p>
    <w:p w:rsidR="00000000" w:rsidRDefault="00477EE8">
      <w:pPr>
        <w:pStyle w:val="a3"/>
        <w:spacing w:before="360" w:beforeAutospacing="0" w:after="0" w:afterAutospacing="0"/>
        <w:divId w:val="60753891"/>
        <w:rPr>
          <w:sz w:val="20"/>
          <w:szCs w:val="20"/>
        </w:rPr>
      </w:pPr>
      <w:r>
        <w:rPr>
          <w:b/>
          <w:bCs/>
          <w:i/>
          <w:iCs/>
          <w:sz w:val="20"/>
          <w:szCs w:val="20"/>
        </w:rPr>
        <w:t>Fair Value of Financial Instrument</w:t>
      </w:r>
      <w:r>
        <w:rPr>
          <w:b/>
          <w:bCs/>
          <w:i/>
          <w:iCs/>
          <w:sz w:val="20"/>
          <w:szCs w:val="20"/>
        </w:rPr>
        <w:t>s</w:t>
      </w:r>
      <w:r>
        <w:rPr>
          <w:b/>
          <w:bCs/>
          <w:i/>
          <w:iCs/>
          <w:sz w:val="20"/>
          <w:szCs w:val="20"/>
        </w:rPr>
        <w:t xml:space="preserve"> </w:t>
      </w:r>
    </w:p>
    <w:p w:rsidR="00000000" w:rsidRDefault="00477EE8">
      <w:pPr>
        <w:pStyle w:val="a3"/>
        <w:spacing w:before="120" w:beforeAutospacing="0" w:after="0" w:afterAutospacing="0"/>
        <w:ind w:firstLine="555"/>
        <w:divId w:val="60753891"/>
        <w:rPr>
          <w:sz w:val="20"/>
          <w:szCs w:val="20"/>
        </w:rPr>
      </w:pPr>
      <w:r>
        <w:rPr>
          <w:sz w:val="20"/>
          <w:szCs w:val="20"/>
        </w:rPr>
        <w:t>The Company's financial</w:t>
      </w:r>
      <w:r>
        <w:rPr>
          <w:sz w:val="20"/>
          <w:szCs w:val="20"/>
        </w:rPr>
        <w:t xml:space="preserve"> instruments consist principally of cash and cash equivalents, marketable securities, trade accounts receivable, redeemable preferred stock investment, accounts payable, accrued liabilities, investment margin loan, and contingent consideration. The carryin</w:t>
      </w:r>
      <w:r>
        <w:rPr>
          <w:sz w:val="20"/>
          <w:szCs w:val="20"/>
        </w:rPr>
        <w:t>g amounts of certain of these financial instruments, including cash and cash equivalents, accounts receivable, accounts payable, accrued liabilities, investment margin loan, and contingent consideration approximate fair value due to their short maturities.</w:t>
      </w:r>
      <w:r>
        <w:rPr>
          <w:sz w:val="20"/>
          <w:szCs w:val="20"/>
        </w:rPr>
        <w:t xml:space="preserve"> Fair value of marketable securities and redeemable preferred stock investment is disclosed in Note 4, Fair Value Measurements, to the accompanying consolidated financial statements</w:t>
      </w:r>
      <w:r>
        <w:rPr>
          <w:sz w:val="20"/>
          <w:szCs w:val="20"/>
        </w:rPr>
        <w:t>.</w:t>
      </w:r>
    </w:p>
    <w:p w:rsidR="00000000" w:rsidRDefault="00477EE8">
      <w:pPr>
        <w:pStyle w:val="a3"/>
        <w:spacing w:before="240" w:beforeAutospacing="0" w:after="0" w:afterAutospacing="0"/>
        <w:jc w:val="center"/>
        <w:divId w:val="433210078"/>
        <w:rPr>
          <w:sz w:val="20"/>
          <w:szCs w:val="20"/>
        </w:rPr>
      </w:pPr>
      <w:r>
        <w:rPr>
          <w:sz w:val="20"/>
          <w:szCs w:val="20"/>
        </w:rPr>
        <w:t>F</w:t>
      </w:r>
      <w:r>
        <w:rPr>
          <w:sz w:val="20"/>
          <w:szCs w:val="20"/>
        </w:rPr>
        <w:t>-</w:t>
      </w:r>
      <w:r>
        <w:rPr>
          <w:sz w:val="20"/>
          <w:szCs w:val="20"/>
        </w:rPr>
        <w:t>1</w:t>
      </w:r>
      <w:r>
        <w:rPr>
          <w:sz w:val="20"/>
          <w:szCs w:val="20"/>
        </w:rPr>
        <w:t>3</w:t>
      </w:r>
    </w:p>
    <w:p w:rsidR="00000000" w:rsidRDefault="00477EE8">
      <w:pPr>
        <w:divId w:val="433210078"/>
        <w:rPr>
          <w:rFonts w:eastAsia="Times New Roman"/>
        </w:rPr>
      </w:pPr>
      <w:r>
        <w:rPr>
          <w:rFonts w:eastAsia="Times New Roman"/>
        </w:rPr>
        <w:pict>
          <v:rect id="_x0000_i1124" style="width:0;height:1.5pt" o:hralign="center" o:hrstd="t" o:hr="t" fillcolor="#a0a0a0" stroked="f"/>
        </w:pict>
      </w:r>
    </w:p>
    <w:p w:rsidR="00000000" w:rsidRDefault="00477EE8">
      <w:pPr>
        <w:pStyle w:val="a3"/>
        <w:spacing w:before="360" w:beforeAutospacing="0" w:after="0" w:afterAutospacing="0"/>
        <w:divId w:val="521090424"/>
        <w:rPr>
          <w:sz w:val="20"/>
          <w:szCs w:val="20"/>
        </w:rPr>
      </w:pPr>
      <w:r>
        <w:rPr>
          <w:b/>
          <w:bCs/>
          <w:i/>
          <w:iCs/>
          <w:sz w:val="20"/>
          <w:szCs w:val="20"/>
        </w:rPr>
        <w:t>Concentrations of Credit Risk, C</w:t>
      </w:r>
      <w:r>
        <w:rPr>
          <w:b/>
          <w:bCs/>
          <w:i/>
          <w:iCs/>
          <w:sz w:val="20"/>
          <w:szCs w:val="20"/>
        </w:rPr>
        <w:t>ustomers and Supplier</w:t>
      </w:r>
      <w:r>
        <w:rPr>
          <w:b/>
          <w:bCs/>
          <w:i/>
          <w:iCs/>
          <w:sz w:val="20"/>
          <w:szCs w:val="20"/>
        </w:rPr>
        <w:t>s</w:t>
      </w:r>
    </w:p>
    <w:p w:rsidR="00000000" w:rsidRDefault="00477EE8">
      <w:pPr>
        <w:pStyle w:val="a3"/>
        <w:spacing w:before="120" w:beforeAutospacing="0" w:after="0" w:afterAutospacing="0"/>
        <w:ind w:firstLine="555"/>
        <w:divId w:val="521090424"/>
        <w:rPr>
          <w:sz w:val="20"/>
          <w:szCs w:val="20"/>
        </w:rPr>
      </w:pPr>
      <w:r>
        <w:rPr>
          <w:sz w:val="20"/>
          <w:szCs w:val="20"/>
        </w:rPr>
        <w:t>Financial instruments that potentially subject the Company to significant concentrations of credit risk consist primarily of cash and cash equivalents, trade accounts receivable and marketable securities, which consist of debt securi</w:t>
      </w:r>
      <w:r>
        <w:rPr>
          <w:sz w:val="20"/>
          <w:szCs w:val="20"/>
        </w:rPr>
        <w:t>ties and equity securities. As of December 31, 2022, substantially all of the Company’s cash and cash equivalents were deposited in accounts at financial institutions, and amounts may exceed federally insured limits. Management believes that the Company is</w:t>
      </w:r>
      <w:r>
        <w:rPr>
          <w:sz w:val="20"/>
          <w:szCs w:val="20"/>
        </w:rPr>
        <w:t xml:space="preserve"> not exposed to significant credit risk due to the financial strength of the depository institutions in which its cash and cash equivalents are held</w:t>
      </w:r>
      <w:r>
        <w:rPr>
          <w:sz w:val="20"/>
          <w:szCs w:val="20"/>
        </w:rPr>
        <w:t>.</w:t>
      </w:r>
    </w:p>
    <w:p w:rsidR="00000000" w:rsidRDefault="00477EE8">
      <w:pPr>
        <w:pStyle w:val="a3"/>
        <w:spacing w:before="240" w:beforeAutospacing="0" w:after="0" w:afterAutospacing="0"/>
        <w:ind w:firstLine="555"/>
        <w:divId w:val="521090424"/>
        <w:rPr>
          <w:sz w:val="20"/>
          <w:szCs w:val="20"/>
        </w:rPr>
      </w:pPr>
      <w:r>
        <w:rPr>
          <w:sz w:val="20"/>
          <w:szCs w:val="20"/>
        </w:rPr>
        <w:t>In certain periods, a small number of customers has accounted for a significant portion of the Company’s r</w:t>
      </w:r>
      <w:r>
        <w:rPr>
          <w:sz w:val="20"/>
          <w:szCs w:val="20"/>
        </w:rPr>
        <w:t>evenue. Aggregating customers under common control,</w:t>
      </w:r>
      <w:r>
        <w:rPr>
          <w:sz w:val="20"/>
          <w:szCs w:val="20"/>
        </w:rPr>
        <w:t xml:space="preserve"> </w:t>
      </w:r>
      <w:r>
        <w:rPr>
          <w:sz w:val="20"/>
          <w:szCs w:val="20"/>
        </w:rPr>
        <w:t>on</w:t>
      </w:r>
      <w:r>
        <w:rPr>
          <w:sz w:val="20"/>
          <w:szCs w:val="20"/>
        </w:rPr>
        <w:t>e</w:t>
      </w:r>
      <w:r>
        <w:rPr>
          <w:sz w:val="20"/>
          <w:szCs w:val="20"/>
        </w:rPr>
        <w:t xml:space="preserve"> customer comprised</w:t>
      </w:r>
      <w:r>
        <w:rPr>
          <w:sz w:val="20"/>
          <w:szCs w:val="20"/>
        </w:rPr>
        <w:t xml:space="preserve"> </w:t>
      </w:r>
      <w:r>
        <w:rPr>
          <w:sz w:val="20"/>
          <w:szCs w:val="20"/>
        </w:rPr>
        <w:t>1</w:t>
      </w:r>
      <w:r>
        <w:rPr>
          <w:sz w:val="20"/>
          <w:szCs w:val="20"/>
        </w:rPr>
        <w:t>9</w:t>
      </w:r>
      <w:r>
        <w:rPr>
          <w:sz w:val="20"/>
          <w:szCs w:val="20"/>
        </w:rPr>
        <w:t>%</w:t>
      </w:r>
      <w:r>
        <w:rPr>
          <w:sz w:val="20"/>
          <w:szCs w:val="20"/>
        </w:rPr>
        <w:t xml:space="preserve"> and</w:t>
      </w:r>
      <w:r>
        <w:rPr>
          <w:sz w:val="20"/>
          <w:szCs w:val="20"/>
        </w:rPr>
        <w:t xml:space="preserve"> </w:t>
      </w:r>
      <w:r>
        <w:rPr>
          <w:sz w:val="20"/>
          <w:szCs w:val="20"/>
        </w:rPr>
        <w:t>2</w:t>
      </w:r>
      <w:r>
        <w:rPr>
          <w:sz w:val="20"/>
          <w:szCs w:val="20"/>
        </w:rPr>
        <w:t>6</w:t>
      </w:r>
      <w:r>
        <w:rPr>
          <w:sz w:val="20"/>
          <w:szCs w:val="20"/>
        </w:rPr>
        <w:t>% of total revenue in the years ended December 31, 2022 and 2021, respectively, and</w:t>
      </w:r>
      <w:r>
        <w:rPr>
          <w:sz w:val="20"/>
          <w:szCs w:val="20"/>
        </w:rPr>
        <w:t xml:space="preserve"> </w:t>
      </w:r>
      <w:r>
        <w:rPr>
          <w:sz w:val="20"/>
          <w:szCs w:val="20"/>
        </w:rPr>
        <w:t>tw</w:t>
      </w:r>
      <w:r>
        <w:rPr>
          <w:sz w:val="20"/>
          <w:szCs w:val="20"/>
        </w:rPr>
        <w:t>o</w:t>
      </w:r>
      <w:r>
        <w:rPr>
          <w:sz w:val="20"/>
          <w:szCs w:val="20"/>
        </w:rPr>
        <w:t xml:space="preserve"> customers comprised</w:t>
      </w:r>
      <w:r>
        <w:rPr>
          <w:sz w:val="20"/>
          <w:szCs w:val="20"/>
        </w:rPr>
        <w:t xml:space="preserve"> </w:t>
      </w:r>
      <w:r>
        <w:rPr>
          <w:sz w:val="20"/>
          <w:szCs w:val="20"/>
        </w:rPr>
        <w:t>2</w:t>
      </w:r>
      <w:r>
        <w:rPr>
          <w:sz w:val="20"/>
          <w:szCs w:val="20"/>
        </w:rPr>
        <w:t>8</w:t>
      </w:r>
      <w:r>
        <w:rPr>
          <w:sz w:val="20"/>
          <w:szCs w:val="20"/>
        </w:rPr>
        <w:t>% and</w:t>
      </w:r>
      <w:r>
        <w:rPr>
          <w:sz w:val="20"/>
          <w:szCs w:val="20"/>
        </w:rPr>
        <w:t xml:space="preserve"> </w:t>
      </w:r>
      <w:r>
        <w:rPr>
          <w:sz w:val="20"/>
          <w:szCs w:val="20"/>
        </w:rPr>
        <w:t>1</w:t>
      </w:r>
      <w:r>
        <w:rPr>
          <w:sz w:val="20"/>
          <w:szCs w:val="20"/>
        </w:rPr>
        <w:t>0</w:t>
      </w:r>
      <w:r>
        <w:rPr>
          <w:sz w:val="20"/>
          <w:szCs w:val="20"/>
        </w:rPr>
        <w:t>% of total revenue in the year ended December 31, 202</w:t>
      </w:r>
      <w:r>
        <w:rPr>
          <w:sz w:val="20"/>
          <w:szCs w:val="20"/>
        </w:rPr>
        <w:t>0.</w:t>
      </w:r>
      <w:r>
        <w:rPr>
          <w:sz w:val="20"/>
          <w:szCs w:val="20"/>
        </w:rPr>
        <w:t xml:space="preserve"> </w:t>
      </w:r>
      <w:r>
        <w:rPr>
          <w:sz w:val="20"/>
          <w:szCs w:val="20"/>
        </w:rPr>
        <w:t>On</w:t>
      </w:r>
      <w:r>
        <w:rPr>
          <w:sz w:val="20"/>
          <w:szCs w:val="20"/>
        </w:rPr>
        <w:t>e</w:t>
      </w:r>
      <w:r>
        <w:rPr>
          <w:sz w:val="20"/>
          <w:szCs w:val="20"/>
        </w:rPr>
        <w:t xml:space="preserve"> customer comprised</w:t>
      </w:r>
      <w:r>
        <w:rPr>
          <w:sz w:val="20"/>
          <w:szCs w:val="20"/>
        </w:rPr>
        <w:t xml:space="preserve"> </w:t>
      </w:r>
      <w:r>
        <w:rPr>
          <w:sz w:val="20"/>
          <w:szCs w:val="20"/>
        </w:rPr>
        <w:t>1</w:t>
      </w:r>
      <w:r>
        <w:rPr>
          <w:sz w:val="20"/>
          <w:szCs w:val="20"/>
        </w:rPr>
        <w:t>7</w:t>
      </w:r>
      <w:r>
        <w:rPr>
          <w:sz w:val="20"/>
          <w:szCs w:val="20"/>
        </w:rPr>
        <w:t>%</w:t>
      </w:r>
      <w:r>
        <w:rPr>
          <w:sz w:val="20"/>
          <w:szCs w:val="20"/>
        </w:rPr>
        <w:t xml:space="preserve"> of total accounts receivable, net, as of December 31, 2022, and</w:t>
      </w:r>
      <w:r>
        <w:rPr>
          <w:sz w:val="20"/>
          <w:szCs w:val="20"/>
        </w:rPr>
        <w:t xml:space="preserve"> </w:t>
      </w:r>
      <w:r>
        <w:rPr>
          <w:sz w:val="20"/>
          <w:szCs w:val="20"/>
        </w:rPr>
        <w:t>n</w:t>
      </w:r>
      <w:r>
        <w:rPr>
          <w:sz w:val="20"/>
          <w:szCs w:val="20"/>
        </w:rPr>
        <w:t>o</w:t>
      </w:r>
      <w:r>
        <w:rPr>
          <w:sz w:val="20"/>
          <w:szCs w:val="20"/>
        </w:rPr>
        <w:t xml:space="preserve"> customer comprised at least</w:t>
      </w:r>
      <w:r>
        <w:rPr>
          <w:sz w:val="20"/>
          <w:szCs w:val="20"/>
        </w:rPr>
        <w:t xml:space="preserve"> </w:t>
      </w:r>
      <w:r>
        <w:rPr>
          <w:sz w:val="20"/>
          <w:szCs w:val="20"/>
        </w:rPr>
        <w:t>1</w:t>
      </w:r>
      <w:r>
        <w:rPr>
          <w:sz w:val="20"/>
          <w:szCs w:val="20"/>
        </w:rPr>
        <w:t>0</w:t>
      </w:r>
      <w:r>
        <w:rPr>
          <w:sz w:val="20"/>
          <w:szCs w:val="20"/>
        </w:rPr>
        <w:t>% of total accounts receivable, net, as of December 31, 2021</w:t>
      </w:r>
      <w:r>
        <w:rPr>
          <w:sz w:val="20"/>
          <w:szCs w:val="20"/>
        </w:rPr>
        <w:t>.</w:t>
      </w:r>
    </w:p>
    <w:p w:rsidR="00000000" w:rsidRDefault="00477EE8">
      <w:pPr>
        <w:pStyle w:val="a3"/>
        <w:spacing w:before="240" w:beforeAutospacing="0" w:after="0" w:afterAutospacing="0"/>
        <w:ind w:firstLine="555"/>
        <w:divId w:val="521090424"/>
        <w:rPr>
          <w:sz w:val="20"/>
          <w:szCs w:val="20"/>
        </w:rPr>
      </w:pPr>
      <w:r>
        <w:rPr>
          <w:sz w:val="20"/>
          <w:szCs w:val="20"/>
        </w:rPr>
        <w:t>The Company relies on a limited number of suppliers for its test collection kits and certain laboratory substances used in the chemical reactions incorporated into its processes, referred to as reagents, as well as for the sequencers and various other equi</w:t>
      </w:r>
      <w:r>
        <w:rPr>
          <w:sz w:val="20"/>
          <w:szCs w:val="20"/>
        </w:rPr>
        <w:t>pment and materials it uses in its laboratory operations. In particular, the Company relies on a sole supplier for the next generation sequencers and associated reagents it uses to perform its genetic tests and as the sole provider of maintenance and repai</w:t>
      </w:r>
      <w:r>
        <w:rPr>
          <w:sz w:val="20"/>
          <w:szCs w:val="20"/>
        </w:rPr>
        <w:t>r services for these sequencers. The Company’s laboratory operations would be interrupted if it encountered delays or difficulties securing these test collection kits, reagents, sequencers, other equipment or materials or maintenance and repair services, w</w:t>
      </w:r>
      <w:r>
        <w:rPr>
          <w:sz w:val="20"/>
          <w:szCs w:val="20"/>
        </w:rPr>
        <w:t>hich could occur for a variety of reasons, including if the Company needs a replacement or temporary substitute for any of its limited or sole suppliers and is not able to locate and make arrangements with an acceptable replacement or temporary substitute.</w:t>
      </w:r>
      <w:r>
        <w:rPr>
          <w:sz w:val="20"/>
          <w:szCs w:val="20"/>
        </w:rPr>
        <w:t xml:space="preserve"> The Company believes there are currently only a few other manufacturers that are capable of supplying and servicing some of the equipment and other materials necessary for its laboratory operations, including collection kits, sequencers and various associ</w:t>
      </w:r>
      <w:r>
        <w:rPr>
          <w:sz w:val="20"/>
          <w:szCs w:val="20"/>
        </w:rPr>
        <w:t>ated reagents</w:t>
      </w:r>
      <w:r>
        <w:rPr>
          <w:sz w:val="20"/>
          <w:szCs w:val="20"/>
        </w:rPr>
        <w:t>.</w:t>
      </w:r>
      <w:r>
        <w:rPr>
          <w:sz w:val="20"/>
          <w:szCs w:val="20"/>
        </w:rPr>
        <w:t xml:space="preserve"> </w:t>
      </w:r>
    </w:p>
    <w:p w:rsidR="00000000" w:rsidRDefault="00477EE8">
      <w:pPr>
        <w:pStyle w:val="a3"/>
        <w:spacing w:before="360" w:beforeAutospacing="0" w:after="0" w:afterAutospacing="0"/>
        <w:divId w:val="1151026013"/>
        <w:rPr>
          <w:sz w:val="20"/>
          <w:szCs w:val="20"/>
        </w:rPr>
      </w:pPr>
      <w:r>
        <w:rPr>
          <w:b/>
          <w:bCs/>
          <w:i/>
          <w:iCs/>
          <w:sz w:val="20"/>
          <w:szCs w:val="20"/>
        </w:rPr>
        <w:t>Equity Method Investment</w:t>
      </w:r>
      <w:r>
        <w:rPr>
          <w:b/>
          <w:bCs/>
          <w:i/>
          <w:iCs/>
          <w:sz w:val="20"/>
          <w:szCs w:val="20"/>
        </w:rPr>
        <w:t>s</w:t>
      </w:r>
    </w:p>
    <w:p w:rsidR="00000000" w:rsidRDefault="00477EE8">
      <w:pPr>
        <w:pStyle w:val="a3"/>
        <w:spacing w:before="120" w:beforeAutospacing="0" w:after="0" w:afterAutospacing="0"/>
        <w:ind w:firstLine="555"/>
        <w:divId w:val="1151026013"/>
        <w:rPr>
          <w:sz w:val="20"/>
          <w:szCs w:val="20"/>
        </w:rPr>
      </w:pPr>
      <w:r>
        <w:rPr>
          <w:sz w:val="20"/>
          <w:szCs w:val="20"/>
        </w:rPr>
        <w:t>The Company uses the equity method to account for investments in entities that it does not control, but in which it has the ability to exercise significant influence over operating and financial policies. The Compa</w:t>
      </w:r>
      <w:r>
        <w:rPr>
          <w:sz w:val="20"/>
          <w:szCs w:val="20"/>
        </w:rPr>
        <w:t>ny’s</w:t>
      </w:r>
      <w:r>
        <w:rPr>
          <w:sz w:val="20"/>
          <w:szCs w:val="20"/>
        </w:rPr>
        <w:t xml:space="preserve"> </w:t>
      </w:r>
      <w:r>
        <w:rPr>
          <w:sz w:val="20"/>
          <w:szCs w:val="20"/>
        </w:rPr>
        <w:t>2</w:t>
      </w:r>
      <w:r>
        <w:rPr>
          <w:sz w:val="20"/>
          <w:szCs w:val="20"/>
        </w:rPr>
        <w:t>5</w:t>
      </w:r>
      <w:r>
        <w:rPr>
          <w:sz w:val="20"/>
          <w:szCs w:val="20"/>
        </w:rPr>
        <w:t>% interest in BostonMolecules was accounted for using the equity method, and the carrying value was</w:t>
      </w:r>
      <w:r>
        <w:rPr>
          <w:sz w:val="20"/>
          <w:szCs w:val="20"/>
        </w:rPr>
        <w:t xml:space="preserve"> </w:t>
      </w:r>
      <w:r>
        <w:rPr>
          <w:sz w:val="20"/>
          <w:szCs w:val="20"/>
        </w:rPr>
        <w:t>zer</w:t>
      </w:r>
      <w:r>
        <w:rPr>
          <w:sz w:val="20"/>
          <w:szCs w:val="20"/>
        </w:rPr>
        <w:t>o</w:t>
      </w:r>
      <w:r>
        <w:rPr>
          <w:sz w:val="20"/>
          <w:szCs w:val="20"/>
        </w:rPr>
        <w:t xml:space="preserve"> as of December 31, 2022 and 2021 due to the impairment loss recorded in 2020</w:t>
      </w:r>
      <w:r>
        <w:rPr>
          <w:sz w:val="20"/>
          <w:szCs w:val="20"/>
        </w:rPr>
        <w:t>.</w:t>
      </w:r>
    </w:p>
    <w:p w:rsidR="00000000" w:rsidRDefault="00477EE8">
      <w:pPr>
        <w:pStyle w:val="a3"/>
        <w:spacing w:before="240" w:beforeAutospacing="0" w:after="0" w:afterAutospacing="0"/>
        <w:ind w:firstLine="555"/>
        <w:divId w:val="1151026013"/>
        <w:rPr>
          <w:sz w:val="20"/>
          <w:szCs w:val="20"/>
        </w:rPr>
      </w:pPr>
      <w:r>
        <w:rPr>
          <w:sz w:val="20"/>
          <w:szCs w:val="20"/>
        </w:rPr>
        <w:t>The Company's proportionate share of the net income or loss of the</w:t>
      </w:r>
      <w:r>
        <w:rPr>
          <w:sz w:val="20"/>
          <w:szCs w:val="20"/>
        </w:rPr>
        <w:t>se companies were included in consolidated net earnings. Judgments regarding the level of influence over each equity method investment include consideration of key factors such as the Company's ownership interest, representation on the board of directors o</w:t>
      </w:r>
      <w:r>
        <w:rPr>
          <w:sz w:val="20"/>
          <w:szCs w:val="20"/>
        </w:rPr>
        <w:t>r other management body and participation in policy-making decisions</w:t>
      </w:r>
      <w:r>
        <w:rPr>
          <w:sz w:val="20"/>
          <w:szCs w:val="20"/>
        </w:rPr>
        <w:t>.</w:t>
      </w:r>
      <w:r>
        <w:rPr>
          <w:sz w:val="20"/>
          <w:szCs w:val="20"/>
        </w:rPr>
        <w:t xml:space="preserve"> </w:t>
      </w:r>
    </w:p>
    <w:p w:rsidR="00000000" w:rsidRDefault="00477EE8">
      <w:pPr>
        <w:pStyle w:val="a3"/>
        <w:spacing w:before="240" w:beforeAutospacing="0" w:after="0" w:afterAutospacing="0"/>
        <w:ind w:firstLine="555"/>
        <w:divId w:val="1151026013"/>
        <w:rPr>
          <w:sz w:val="20"/>
          <w:szCs w:val="20"/>
        </w:rPr>
      </w:pPr>
      <w:r>
        <w:rPr>
          <w:sz w:val="20"/>
          <w:szCs w:val="20"/>
        </w:rPr>
        <w:t>The Company evaluates any equity method investments for impairment whenever events or changes in circumstances would indicate that a decline in value has occurred that is other than tem</w:t>
      </w:r>
      <w:r>
        <w:rPr>
          <w:sz w:val="20"/>
          <w:szCs w:val="20"/>
        </w:rPr>
        <w:t>porary. Evidence considered in this evaluation would include, but would not necessarily be limited to, the financial condition and near-term prospects of the investee, recent operating trends and forecasted performance of the investee, market conditions in</w:t>
      </w:r>
      <w:r>
        <w:rPr>
          <w:sz w:val="20"/>
          <w:szCs w:val="20"/>
        </w:rPr>
        <w:t xml:space="preserve"> the geographic area or industry in which the investee operates and the Company’s strategic plans for holding the investment in relation to the period of time expected for an anticipated recovery of its carrying value. If the investments were determined to</w:t>
      </w:r>
      <w:r>
        <w:rPr>
          <w:sz w:val="20"/>
          <w:szCs w:val="20"/>
        </w:rPr>
        <w:t xml:space="preserve"> have a decline in value deemed to be other than temporary it is written down to estimated fair value</w:t>
      </w:r>
      <w:r>
        <w:rPr>
          <w:sz w:val="20"/>
          <w:szCs w:val="20"/>
        </w:rPr>
        <w:t>.</w:t>
      </w:r>
    </w:p>
    <w:p w:rsidR="00000000" w:rsidRDefault="00477EE8">
      <w:pPr>
        <w:pStyle w:val="a3"/>
        <w:spacing w:before="360" w:beforeAutospacing="0" w:after="0" w:afterAutospacing="0"/>
        <w:divId w:val="1563786317"/>
        <w:rPr>
          <w:sz w:val="20"/>
          <w:szCs w:val="20"/>
        </w:rPr>
      </w:pPr>
      <w:r>
        <w:rPr>
          <w:b/>
          <w:bCs/>
          <w:i/>
          <w:iCs/>
          <w:sz w:val="20"/>
          <w:szCs w:val="20"/>
        </w:rPr>
        <w:t>Lease</w:t>
      </w:r>
      <w:r>
        <w:rPr>
          <w:b/>
          <w:bCs/>
          <w:i/>
          <w:iCs/>
          <w:sz w:val="20"/>
          <w:szCs w:val="20"/>
        </w:rPr>
        <w:t>s</w:t>
      </w:r>
    </w:p>
    <w:p w:rsidR="00000000" w:rsidRDefault="00477EE8">
      <w:pPr>
        <w:pStyle w:val="a3"/>
        <w:spacing w:before="120" w:beforeAutospacing="0" w:after="0" w:afterAutospacing="0"/>
        <w:ind w:firstLine="555"/>
        <w:divId w:val="1563786317"/>
        <w:rPr>
          <w:sz w:val="20"/>
          <w:szCs w:val="20"/>
        </w:rPr>
      </w:pPr>
      <w:r>
        <w:rPr>
          <w:sz w:val="20"/>
          <w:szCs w:val="20"/>
        </w:rPr>
        <w:t>The Company determines if an arrangement is a lease at inception by evaluating whether the arrangement conveys the right to use an identified asse</w:t>
      </w:r>
      <w:r>
        <w:rPr>
          <w:sz w:val="20"/>
          <w:szCs w:val="20"/>
        </w:rPr>
        <w:t>t and whether the Company obtains substantially all of the economic benefits from and has the ability to direct the use of the asset. Operating and finance lease right-of-use assets, or ROU assets, short-term lease liabilities, and long-term lease liabilit</w:t>
      </w:r>
      <w:r>
        <w:rPr>
          <w:sz w:val="20"/>
          <w:szCs w:val="20"/>
        </w:rPr>
        <w:t>ies are included in other long-term assets, accrued liabilities, and other long-term liabilities, respectively, in the accompanying Consolidated Balance Sheets</w:t>
      </w:r>
      <w:r>
        <w:rPr>
          <w:sz w:val="20"/>
          <w:szCs w:val="20"/>
        </w:rPr>
        <w:t>.</w:t>
      </w:r>
    </w:p>
    <w:p w:rsidR="00000000" w:rsidRDefault="00477EE8">
      <w:pPr>
        <w:pStyle w:val="a3"/>
        <w:spacing w:before="240" w:beforeAutospacing="0" w:after="0" w:afterAutospacing="0"/>
        <w:ind w:firstLine="555"/>
        <w:divId w:val="1563786317"/>
        <w:rPr>
          <w:sz w:val="20"/>
          <w:szCs w:val="20"/>
        </w:rPr>
      </w:pPr>
      <w:r>
        <w:rPr>
          <w:sz w:val="20"/>
          <w:szCs w:val="20"/>
        </w:rPr>
        <w:t>Lease ROU assets represent the Company’s right to use an underlying asset for the lease term. L</w:t>
      </w:r>
      <w:r>
        <w:rPr>
          <w:sz w:val="20"/>
          <w:szCs w:val="20"/>
        </w:rPr>
        <w:t xml:space="preserve">ease liabilities represent the Company’s obligation to make lease payments arising from the lease. Lease ROU assets and liabilities are recognized at the commencement date based on the present value of lease payments over the lease term, including options </w:t>
      </w:r>
      <w:r>
        <w:rPr>
          <w:sz w:val="20"/>
          <w:szCs w:val="20"/>
        </w:rPr>
        <w:t>to extend the lease when it is reasonably certain that the Company will exercise that option. The Company uses its incremental borrowing rate based on the information available at the commencement date, including inquiries with its bank, in determining the</w:t>
      </w:r>
      <w:r>
        <w:rPr>
          <w:sz w:val="20"/>
          <w:szCs w:val="20"/>
        </w:rPr>
        <w:t xml:space="preserve"> present value of lease payments when its leases do not provide an implicit or explicit rate. Lease ROU assets consist of initial measurement of lease liabilities, any lease payments made to lessor on or before the lease commencement date, minus any lease </w:t>
      </w:r>
      <w:r>
        <w:rPr>
          <w:sz w:val="20"/>
          <w:szCs w:val="20"/>
        </w:rPr>
        <w:t>incentive received, and any initial direc</w:t>
      </w:r>
      <w:r>
        <w:rPr>
          <w:sz w:val="20"/>
          <w:szCs w:val="20"/>
        </w:rPr>
        <w:t>t</w:t>
      </w:r>
      <w:r>
        <w:rPr>
          <w:sz w:val="20"/>
          <w:szCs w:val="20"/>
        </w:rPr>
        <w:t xml:space="preserve"> </w:t>
      </w:r>
    </w:p>
    <w:p w:rsidR="00000000" w:rsidRDefault="00477EE8">
      <w:pPr>
        <w:pStyle w:val="a3"/>
        <w:spacing w:before="240" w:beforeAutospacing="0" w:after="0" w:afterAutospacing="0"/>
        <w:jc w:val="center"/>
        <w:divId w:val="1563786317"/>
        <w:rPr>
          <w:sz w:val="20"/>
          <w:szCs w:val="20"/>
        </w:rPr>
      </w:pPr>
      <w:r>
        <w:rPr>
          <w:sz w:val="20"/>
          <w:szCs w:val="20"/>
        </w:rPr>
        <w:t>F</w:t>
      </w:r>
      <w:r>
        <w:rPr>
          <w:sz w:val="20"/>
          <w:szCs w:val="20"/>
        </w:rPr>
        <w:t>-</w:t>
      </w:r>
      <w:r>
        <w:rPr>
          <w:sz w:val="20"/>
          <w:szCs w:val="20"/>
        </w:rPr>
        <w:t>1</w:t>
      </w:r>
      <w:r>
        <w:rPr>
          <w:sz w:val="20"/>
          <w:szCs w:val="20"/>
        </w:rPr>
        <w:t>4</w:t>
      </w:r>
    </w:p>
    <w:p w:rsidR="00000000" w:rsidRDefault="00477EE8">
      <w:pPr>
        <w:divId w:val="1563786317"/>
        <w:rPr>
          <w:rFonts w:eastAsia="Times New Roman"/>
          <w:sz w:val="20"/>
          <w:szCs w:val="20"/>
        </w:rPr>
      </w:pPr>
      <w:r>
        <w:rPr>
          <w:rFonts w:eastAsia="Times New Roman"/>
          <w:sz w:val="20"/>
          <w:szCs w:val="20"/>
        </w:rPr>
        <w:pict>
          <v:rect id="_x0000_i1125" style="width:0;height:1.5pt" o:hralign="center" o:hrstd="t" o:hr="t" fillcolor="#a0a0a0" stroked="f"/>
        </w:pict>
      </w:r>
    </w:p>
    <w:p w:rsidR="00000000" w:rsidRDefault="00477EE8">
      <w:pPr>
        <w:pStyle w:val="a3"/>
        <w:spacing w:before="240" w:beforeAutospacing="0" w:after="0" w:afterAutospacing="0"/>
        <w:divId w:val="1563786317"/>
        <w:rPr>
          <w:sz w:val="20"/>
          <w:szCs w:val="20"/>
        </w:rPr>
      </w:pPr>
      <w:r>
        <w:rPr>
          <w:sz w:val="20"/>
          <w:szCs w:val="20"/>
        </w:rPr>
        <w:t>costs incurred by the Company. Operating lease expense for lease payments is recognized on a straight-line basis over the lease term. For finance lease, ROU assets are am</w:t>
      </w:r>
      <w:r>
        <w:rPr>
          <w:sz w:val="20"/>
          <w:szCs w:val="20"/>
        </w:rPr>
        <w:t>ortized on a straight-line basis from the commencement date to the earlier of the end of useful life of the ROU assets or the end of the lease term. Amortization of ROU assets and interest on the lease liability for finance leases are included as charges t</w:t>
      </w:r>
      <w:r>
        <w:rPr>
          <w:sz w:val="20"/>
          <w:szCs w:val="20"/>
        </w:rPr>
        <w:t>o the accompanying Consolidated Statements of Income</w:t>
      </w:r>
      <w:r>
        <w:rPr>
          <w:sz w:val="20"/>
          <w:szCs w:val="20"/>
        </w:rPr>
        <w:t>.</w:t>
      </w:r>
    </w:p>
    <w:p w:rsidR="00000000" w:rsidRDefault="00477EE8">
      <w:pPr>
        <w:pStyle w:val="a3"/>
        <w:spacing w:before="240" w:beforeAutospacing="0" w:after="0" w:afterAutospacing="0"/>
        <w:ind w:firstLine="555"/>
        <w:divId w:val="1563786317"/>
        <w:rPr>
          <w:sz w:val="20"/>
          <w:szCs w:val="20"/>
        </w:rPr>
      </w:pPr>
      <w:r>
        <w:rPr>
          <w:sz w:val="20"/>
          <w:szCs w:val="20"/>
        </w:rPr>
        <w:t>Lease ROU assets and liabilities arising from business combinations are recognized and measured at the acquisition dates as if an acquired lease were a new lease at the date of acquisition using the Com</w:t>
      </w:r>
      <w:r>
        <w:rPr>
          <w:sz w:val="20"/>
          <w:szCs w:val="20"/>
        </w:rPr>
        <w:t>pany’s incremental borrowing rate unless the discount rate is implicit in the lease. The Company elects to not to recognize assets or liabilities as of the acquisition dates for leases that, on the acquisition dates, have a remaining lease term of 12 month</w:t>
      </w:r>
      <w:r>
        <w:rPr>
          <w:sz w:val="20"/>
          <w:szCs w:val="20"/>
        </w:rPr>
        <w:t>s or less. The Company also retains the acquirees’ classification of the leases if there are no modifications as part of the business combinations</w:t>
      </w:r>
      <w:r>
        <w:rPr>
          <w:sz w:val="20"/>
          <w:szCs w:val="20"/>
        </w:rPr>
        <w:t>.</w:t>
      </w:r>
    </w:p>
    <w:p w:rsidR="00000000" w:rsidRDefault="00477EE8">
      <w:pPr>
        <w:pStyle w:val="a3"/>
        <w:spacing w:before="240" w:beforeAutospacing="0" w:after="0" w:afterAutospacing="0"/>
        <w:ind w:firstLine="555"/>
        <w:divId w:val="1563786317"/>
        <w:rPr>
          <w:sz w:val="20"/>
          <w:szCs w:val="20"/>
        </w:rPr>
      </w:pPr>
      <w:r>
        <w:rPr>
          <w:sz w:val="20"/>
          <w:szCs w:val="20"/>
        </w:rPr>
        <w:t>The Company leases out space in buildings it owns to third-party tenants or subtenants under noncancelable o</w:t>
      </w:r>
      <w:r>
        <w:rPr>
          <w:sz w:val="20"/>
          <w:szCs w:val="20"/>
        </w:rPr>
        <w:t>perating leases. The Company recognizes lease payments as income over the lease terms on a straight-line basis and recognizes variable lease payments as income in the period in which the changes in facts and circumstances on which the variable lease paymen</w:t>
      </w:r>
      <w:r>
        <w:rPr>
          <w:sz w:val="20"/>
          <w:szCs w:val="20"/>
        </w:rPr>
        <w:t>ts are based occur. The net rental income is included in the interest and other income, net, in the accompanying Consolidated Statements of Income</w:t>
      </w:r>
      <w:r>
        <w:rPr>
          <w:sz w:val="20"/>
          <w:szCs w:val="20"/>
        </w:rPr>
        <w:t>.</w:t>
      </w:r>
    </w:p>
    <w:p w:rsidR="00000000" w:rsidRDefault="00477EE8">
      <w:pPr>
        <w:pStyle w:val="a3"/>
        <w:spacing w:before="360" w:beforeAutospacing="0" w:after="0" w:afterAutospacing="0"/>
        <w:divId w:val="1007708626"/>
        <w:rPr>
          <w:sz w:val="20"/>
          <w:szCs w:val="20"/>
        </w:rPr>
      </w:pPr>
      <w:r>
        <w:rPr>
          <w:b/>
          <w:bCs/>
          <w:i/>
          <w:iCs/>
          <w:sz w:val="20"/>
          <w:szCs w:val="20"/>
        </w:rPr>
        <w:t>Software for Internal Us</w:t>
      </w:r>
      <w:r>
        <w:rPr>
          <w:b/>
          <w:bCs/>
          <w:i/>
          <w:iCs/>
          <w:sz w:val="20"/>
          <w:szCs w:val="20"/>
        </w:rPr>
        <w:t>e</w:t>
      </w:r>
      <w:r>
        <w:rPr>
          <w:b/>
          <w:bCs/>
          <w:i/>
          <w:iCs/>
          <w:sz w:val="20"/>
          <w:szCs w:val="20"/>
        </w:rPr>
        <w:t xml:space="preserve"> </w:t>
      </w:r>
    </w:p>
    <w:p w:rsidR="00000000" w:rsidRDefault="00477EE8">
      <w:pPr>
        <w:pStyle w:val="a3"/>
        <w:spacing w:before="120" w:beforeAutospacing="0" w:after="0" w:afterAutospacing="0"/>
        <w:ind w:firstLine="555"/>
        <w:divId w:val="1007708626"/>
        <w:rPr>
          <w:sz w:val="20"/>
          <w:szCs w:val="20"/>
        </w:rPr>
      </w:pPr>
      <w:r>
        <w:rPr>
          <w:sz w:val="20"/>
          <w:szCs w:val="20"/>
        </w:rPr>
        <w:t xml:space="preserve">The Company capitalizes certain costs incurred to purchase computer software for </w:t>
      </w:r>
      <w:r>
        <w:rPr>
          <w:sz w:val="20"/>
          <w:szCs w:val="20"/>
        </w:rPr>
        <w:t>internal use. These costs include purchased software packages for Company use. Capitalized computer software costs are amortized over the estimated useful life of the computer software, which is generally one to</w:t>
      </w:r>
      <w:r>
        <w:rPr>
          <w:sz w:val="20"/>
          <w:szCs w:val="20"/>
        </w:rPr>
        <w:t xml:space="preserve"> </w:t>
      </w:r>
      <w:r>
        <w:rPr>
          <w:sz w:val="20"/>
          <w:szCs w:val="20"/>
        </w:rPr>
        <w:t>five year</w:t>
      </w:r>
      <w:r>
        <w:rPr>
          <w:sz w:val="20"/>
          <w:szCs w:val="20"/>
        </w:rPr>
        <w:t>s</w:t>
      </w:r>
      <w:r>
        <w:rPr>
          <w:sz w:val="20"/>
          <w:szCs w:val="20"/>
        </w:rPr>
        <w:t>. Internally developed software co</w:t>
      </w:r>
      <w:r>
        <w:rPr>
          <w:sz w:val="20"/>
          <w:szCs w:val="20"/>
        </w:rPr>
        <w:t>sts are capitalized after management has committed to funding the project, it is probable that the project will be completed and the software will be used for its intended function. Costs that do not meet that criteria and costs incurred on projects in the</w:t>
      </w:r>
      <w:r>
        <w:rPr>
          <w:sz w:val="20"/>
          <w:szCs w:val="20"/>
        </w:rPr>
        <w:t xml:space="preserve"> preliminary and post-implementation phases are expensed as incurred</w:t>
      </w:r>
      <w:r>
        <w:rPr>
          <w:sz w:val="20"/>
          <w:szCs w:val="20"/>
        </w:rPr>
        <w:t>.</w:t>
      </w:r>
      <w:r>
        <w:rPr>
          <w:sz w:val="20"/>
          <w:szCs w:val="20"/>
        </w:rPr>
        <w:t xml:space="preserve"> </w:t>
      </w:r>
    </w:p>
    <w:p w:rsidR="00000000" w:rsidRDefault="00477EE8">
      <w:pPr>
        <w:pStyle w:val="a3"/>
        <w:spacing w:before="360" w:beforeAutospacing="0" w:after="0" w:afterAutospacing="0"/>
        <w:divId w:val="1281300072"/>
        <w:rPr>
          <w:sz w:val="20"/>
          <w:szCs w:val="20"/>
        </w:rPr>
      </w:pPr>
      <w:r>
        <w:rPr>
          <w:b/>
          <w:bCs/>
          <w:i/>
          <w:iCs/>
          <w:sz w:val="20"/>
          <w:szCs w:val="20"/>
        </w:rPr>
        <w:t>Reporting Segment and Geographic Informatio</w:t>
      </w:r>
      <w:r>
        <w:rPr>
          <w:b/>
          <w:bCs/>
          <w:i/>
          <w:iCs/>
          <w:sz w:val="20"/>
          <w:szCs w:val="20"/>
        </w:rPr>
        <w:t>n</w:t>
      </w:r>
    </w:p>
    <w:p w:rsidR="00000000" w:rsidRDefault="00477EE8">
      <w:pPr>
        <w:pStyle w:val="a3"/>
        <w:spacing w:before="120" w:beforeAutospacing="0" w:after="0" w:afterAutospacing="0"/>
        <w:ind w:firstLine="555"/>
        <w:divId w:val="1281300072"/>
        <w:rPr>
          <w:sz w:val="20"/>
          <w:szCs w:val="20"/>
        </w:rPr>
      </w:pPr>
      <w:r>
        <w:rPr>
          <w:sz w:val="20"/>
          <w:szCs w:val="20"/>
        </w:rPr>
        <w:t>Reporting segments are identified as components of an enterprise about which separate discrete financial information is available for evalua</w:t>
      </w:r>
      <w:r>
        <w:rPr>
          <w:sz w:val="20"/>
          <w:szCs w:val="20"/>
        </w:rPr>
        <w:t>tion by the chief operating decision-maker in making decisions regarding resource allocation and assessing performance. The Company’s chief operating decision maker is its Chief Executive Officer. The Company views its operations and manages its business i</w:t>
      </w:r>
      <w:r>
        <w:rPr>
          <w:sz w:val="20"/>
          <w:szCs w:val="20"/>
        </w:rPr>
        <w:t>n</w:t>
      </w:r>
      <w:r>
        <w:rPr>
          <w:sz w:val="20"/>
          <w:szCs w:val="20"/>
        </w:rPr>
        <w:t xml:space="preserve"> </w:t>
      </w:r>
      <w:r>
        <w:rPr>
          <w:sz w:val="20"/>
          <w:szCs w:val="20"/>
        </w:rPr>
        <w:t>on</w:t>
      </w:r>
      <w:r>
        <w:rPr>
          <w:sz w:val="20"/>
          <w:szCs w:val="20"/>
        </w:rPr>
        <w:t>e</w:t>
      </w:r>
      <w:r>
        <w:rPr>
          <w:sz w:val="20"/>
          <w:szCs w:val="20"/>
        </w:rPr>
        <w:t xml:space="preserve"> reporting segment</w:t>
      </w:r>
      <w:r>
        <w:rPr>
          <w:sz w:val="20"/>
          <w:szCs w:val="20"/>
        </w:rPr>
        <w:t>.</w:t>
      </w:r>
    </w:p>
    <w:p w:rsidR="00000000" w:rsidRDefault="00477EE8">
      <w:pPr>
        <w:pStyle w:val="a3"/>
        <w:spacing w:before="360" w:beforeAutospacing="0" w:after="0" w:afterAutospacing="0"/>
        <w:divId w:val="635260007"/>
        <w:rPr>
          <w:sz w:val="20"/>
          <w:szCs w:val="20"/>
        </w:rPr>
      </w:pPr>
      <w:r>
        <w:rPr>
          <w:b/>
          <w:bCs/>
          <w:i/>
          <w:iCs/>
          <w:sz w:val="20"/>
          <w:szCs w:val="20"/>
        </w:rPr>
        <w:t>Revenue Recognitio</w:t>
      </w:r>
      <w:r>
        <w:rPr>
          <w:b/>
          <w:bCs/>
          <w:i/>
          <w:iCs/>
          <w:sz w:val="20"/>
          <w:szCs w:val="20"/>
        </w:rPr>
        <w:t>n</w:t>
      </w:r>
      <w:r>
        <w:rPr>
          <w:b/>
          <w:bCs/>
          <w:i/>
          <w:iCs/>
          <w:sz w:val="20"/>
          <w:szCs w:val="20"/>
        </w:rPr>
        <w:t xml:space="preserve"> </w:t>
      </w:r>
    </w:p>
    <w:p w:rsidR="00000000" w:rsidRDefault="00477EE8">
      <w:pPr>
        <w:pStyle w:val="a3"/>
        <w:spacing w:before="120" w:beforeAutospacing="0" w:after="0" w:afterAutospacing="0"/>
        <w:ind w:firstLine="555"/>
        <w:divId w:val="635260007"/>
        <w:rPr>
          <w:sz w:val="20"/>
          <w:szCs w:val="20"/>
        </w:rPr>
      </w:pPr>
      <w:r>
        <w:rPr>
          <w:sz w:val="20"/>
          <w:szCs w:val="20"/>
        </w:rPr>
        <w:t>The Company generates revenue from sales of its testing services. The Company currently receives payments from primarily</w:t>
      </w:r>
      <w:r>
        <w:rPr>
          <w:sz w:val="20"/>
          <w:szCs w:val="20"/>
        </w:rPr>
        <w:t xml:space="preserve"> </w:t>
      </w:r>
      <w:r>
        <w:rPr>
          <w:sz w:val="20"/>
          <w:szCs w:val="20"/>
        </w:rPr>
        <w:t>thre</w:t>
      </w:r>
      <w:r>
        <w:rPr>
          <w:sz w:val="20"/>
          <w:szCs w:val="20"/>
        </w:rPr>
        <w:t>e</w:t>
      </w:r>
      <w:r>
        <w:rPr>
          <w:sz w:val="20"/>
          <w:szCs w:val="20"/>
        </w:rPr>
        <w:t xml:space="preserve"> different customer types: insurance, institutional customers, including hospitals, </w:t>
      </w:r>
      <w:r>
        <w:rPr>
          <w:sz w:val="20"/>
          <w:szCs w:val="20"/>
        </w:rPr>
        <w:t>medical institutions, other laboratories, governmental bodies, municipalities and large corporations, and patients who pay directly</w:t>
      </w:r>
      <w:r>
        <w:rPr>
          <w:sz w:val="20"/>
          <w:szCs w:val="20"/>
        </w:rPr>
        <w:t>.</w:t>
      </w:r>
      <w:r>
        <w:rPr>
          <w:sz w:val="20"/>
          <w:szCs w:val="20"/>
        </w:rPr>
        <w:t xml:space="preserve"> </w:t>
      </w:r>
    </w:p>
    <w:p w:rsidR="00000000" w:rsidRDefault="00477EE8">
      <w:pPr>
        <w:pStyle w:val="a3"/>
        <w:spacing w:before="240" w:beforeAutospacing="0" w:after="0" w:afterAutospacing="0"/>
        <w:ind w:firstLine="555"/>
        <w:divId w:val="635260007"/>
        <w:rPr>
          <w:sz w:val="20"/>
          <w:szCs w:val="20"/>
        </w:rPr>
      </w:pPr>
      <w:r>
        <w:rPr>
          <w:sz w:val="20"/>
          <w:szCs w:val="20"/>
        </w:rPr>
        <w:t>The Company recognizes revenue in an amount that reflects the consideration to which it expects to be entitled in exchange</w:t>
      </w:r>
      <w:r>
        <w:rPr>
          <w:sz w:val="20"/>
          <w:szCs w:val="20"/>
        </w:rPr>
        <w:t xml:space="preserve"> for the transfer of promised goods or services to its customers. To determine revenue recognition for contracts with customers, the Company performs the following steps described in the Accounting Standards Codification, or ASC 606,</w:t>
      </w:r>
      <w:r>
        <w:rPr>
          <w:sz w:val="20"/>
          <w:szCs w:val="20"/>
        </w:rPr>
        <w:t xml:space="preserve"> </w:t>
      </w:r>
      <w:r>
        <w:rPr>
          <w:i/>
          <w:iCs/>
          <w:sz w:val="20"/>
          <w:szCs w:val="20"/>
        </w:rPr>
        <w:t>Revenue from Contracts</w:t>
      </w:r>
      <w:r>
        <w:rPr>
          <w:i/>
          <w:iCs/>
          <w:sz w:val="20"/>
          <w:szCs w:val="20"/>
        </w:rPr>
        <w:t xml:space="preserve"> with Customer</w:t>
      </w:r>
      <w:r>
        <w:rPr>
          <w:i/>
          <w:iCs/>
          <w:sz w:val="20"/>
          <w:szCs w:val="20"/>
        </w:rPr>
        <w:t>s</w:t>
      </w:r>
      <w:r>
        <w:rPr>
          <w:sz w:val="20"/>
          <w:szCs w:val="20"/>
        </w:rPr>
        <w:t>: (1) identifies the contract with the customer, or Step 1, (2) identifies the performance obligations in the contract, or Step 2, (3) determines the transaction price, or Step 3, (4) allocates the transaction price to the performance obliga</w:t>
      </w:r>
      <w:r>
        <w:rPr>
          <w:sz w:val="20"/>
          <w:szCs w:val="20"/>
        </w:rPr>
        <w:t>tions in the contract, or Step 4, and (5) recognizes revenue when (or as) the entity satisfies a performance obligation, or Step 5</w:t>
      </w:r>
      <w:r>
        <w:rPr>
          <w:sz w:val="20"/>
          <w:szCs w:val="20"/>
        </w:rPr>
        <w:t>.</w:t>
      </w:r>
      <w:r>
        <w:rPr>
          <w:sz w:val="20"/>
          <w:szCs w:val="20"/>
        </w:rPr>
        <w:t xml:space="preserve"> </w:t>
      </w:r>
    </w:p>
    <w:p w:rsidR="00000000" w:rsidRDefault="00477EE8">
      <w:pPr>
        <w:pStyle w:val="a3"/>
        <w:spacing w:before="240" w:beforeAutospacing="0" w:after="0" w:afterAutospacing="0"/>
        <w:ind w:firstLine="555"/>
        <w:divId w:val="635260007"/>
        <w:rPr>
          <w:sz w:val="20"/>
          <w:szCs w:val="20"/>
        </w:rPr>
      </w:pPr>
      <w:r>
        <w:rPr>
          <w:sz w:val="20"/>
          <w:szCs w:val="20"/>
        </w:rPr>
        <w:t>The Company’s test results are primarily delivered electronically. The Company bills certain customers for shipping and han</w:t>
      </w:r>
      <w:r>
        <w:rPr>
          <w:sz w:val="20"/>
          <w:szCs w:val="20"/>
        </w:rPr>
        <w:t>dling fees incurred by the Company, and shipping and handling fees billed to customers are included in revenue, and shipping and handling fees incurred are included in cost of revenue in the accompanying Consolidated Statements of Income</w:t>
      </w:r>
      <w:r>
        <w:rPr>
          <w:sz w:val="20"/>
          <w:szCs w:val="20"/>
        </w:rPr>
        <w:t>.</w:t>
      </w:r>
    </w:p>
    <w:p w:rsidR="00000000" w:rsidRDefault="00477EE8">
      <w:pPr>
        <w:pStyle w:val="a3"/>
        <w:spacing w:before="360" w:beforeAutospacing="0" w:after="0" w:afterAutospacing="0"/>
        <w:divId w:val="635260007"/>
        <w:rPr>
          <w:sz w:val="20"/>
          <w:szCs w:val="20"/>
        </w:rPr>
      </w:pPr>
      <w:r>
        <w:rPr>
          <w:b/>
          <w:bCs/>
          <w:i/>
          <w:iCs/>
          <w:sz w:val="20"/>
          <w:szCs w:val="20"/>
        </w:rPr>
        <w:t>Performance Oblig</w:t>
      </w:r>
      <w:r>
        <w:rPr>
          <w:b/>
          <w:bCs/>
          <w:i/>
          <w:iCs/>
          <w:sz w:val="20"/>
          <w:szCs w:val="20"/>
        </w:rPr>
        <w:t>ation</w:t>
      </w:r>
      <w:r>
        <w:rPr>
          <w:b/>
          <w:bCs/>
          <w:i/>
          <w:iCs/>
          <w:sz w:val="20"/>
          <w:szCs w:val="20"/>
        </w:rPr>
        <w:t>s</w:t>
      </w:r>
    </w:p>
    <w:p w:rsidR="00000000" w:rsidRDefault="00477EE8">
      <w:pPr>
        <w:pStyle w:val="a3"/>
        <w:spacing w:before="120" w:beforeAutospacing="0" w:after="0" w:afterAutospacing="0"/>
        <w:divId w:val="635260007"/>
        <w:rPr>
          <w:sz w:val="20"/>
          <w:szCs w:val="20"/>
        </w:rPr>
      </w:pPr>
      <w:r>
        <w:rPr>
          <w:i/>
          <w:iCs/>
          <w:sz w:val="20"/>
          <w:szCs w:val="20"/>
        </w:rPr>
        <w:t>Institutional and Patient Direct Pa</w:t>
      </w:r>
      <w:r>
        <w:rPr>
          <w:i/>
          <w:iCs/>
          <w:sz w:val="20"/>
          <w:szCs w:val="20"/>
        </w:rPr>
        <w:t>y</w:t>
      </w:r>
    </w:p>
    <w:p w:rsidR="00000000" w:rsidRDefault="00477EE8">
      <w:pPr>
        <w:pStyle w:val="a3"/>
        <w:spacing w:before="120" w:beforeAutospacing="0" w:after="0" w:afterAutospacing="0"/>
        <w:ind w:firstLine="555"/>
        <w:divId w:val="635260007"/>
        <w:rPr>
          <w:sz w:val="20"/>
          <w:szCs w:val="20"/>
        </w:rPr>
      </w:pPr>
      <w:r>
        <w:rPr>
          <w:sz w:val="20"/>
          <w:szCs w:val="20"/>
        </w:rPr>
        <w:t>The Company’</w:t>
      </w:r>
      <w:r>
        <w:rPr>
          <w:sz w:val="20"/>
          <w:szCs w:val="20"/>
        </w:rPr>
        <w:t xml:space="preserve">s institutional contracts for its testing services typically have a single performance obligation to deliver testing services to the ordering facility or patient. Some arrangements involve the delivery of genetic testing services to research institutions, </w:t>
      </w:r>
      <w:r>
        <w:rPr>
          <w:sz w:val="20"/>
          <w:szCs w:val="20"/>
        </w:rPr>
        <w:t>which the Company refers to as “sequencing as a service.” In arrangements with institutions, including hospitals, medical institutions, other laboratories, governmental bodies, municipalities and large corporations, and patients who pay directly, the trans</w:t>
      </w:r>
      <w:r>
        <w:rPr>
          <w:sz w:val="20"/>
          <w:szCs w:val="20"/>
        </w:rPr>
        <w:t>action price is stated within the contract and is therefore fixed consideration. For most of the Company’s testing volume, the Company identified the institutions, including hospitals, medical institutions, other laboratories, governmental bodies, municipa</w:t>
      </w:r>
      <w:r>
        <w:rPr>
          <w:sz w:val="20"/>
          <w:szCs w:val="20"/>
        </w:rPr>
        <w:t>lities and large corporations, and patients as the customer in Step 1 and have determined a contract exists with those customers in Step 1. As these contract</w:t>
      </w:r>
      <w:r>
        <w:rPr>
          <w:sz w:val="20"/>
          <w:szCs w:val="20"/>
        </w:rPr>
        <w:t>s</w:t>
      </w:r>
      <w:r>
        <w:rPr>
          <w:sz w:val="20"/>
          <w:szCs w:val="20"/>
        </w:rPr>
        <w:t xml:space="preserve"> </w:t>
      </w:r>
    </w:p>
    <w:p w:rsidR="00000000" w:rsidRDefault="00477EE8">
      <w:pPr>
        <w:pStyle w:val="a3"/>
        <w:spacing w:before="240" w:beforeAutospacing="0" w:after="0" w:afterAutospacing="0"/>
        <w:jc w:val="center"/>
        <w:divId w:val="635260007"/>
        <w:rPr>
          <w:sz w:val="20"/>
          <w:szCs w:val="20"/>
        </w:rPr>
      </w:pPr>
      <w:r>
        <w:rPr>
          <w:sz w:val="20"/>
          <w:szCs w:val="20"/>
        </w:rPr>
        <w:t>F</w:t>
      </w:r>
      <w:r>
        <w:rPr>
          <w:sz w:val="20"/>
          <w:szCs w:val="20"/>
        </w:rPr>
        <w:t>-</w:t>
      </w:r>
      <w:r>
        <w:rPr>
          <w:sz w:val="20"/>
          <w:szCs w:val="20"/>
        </w:rPr>
        <w:t>1</w:t>
      </w:r>
      <w:r>
        <w:rPr>
          <w:sz w:val="20"/>
          <w:szCs w:val="20"/>
        </w:rPr>
        <w:t>5</w:t>
      </w:r>
    </w:p>
    <w:p w:rsidR="00000000" w:rsidRDefault="00477EE8">
      <w:pPr>
        <w:divId w:val="635260007"/>
        <w:rPr>
          <w:rFonts w:eastAsia="Times New Roman"/>
          <w:sz w:val="20"/>
          <w:szCs w:val="20"/>
        </w:rPr>
      </w:pPr>
      <w:r>
        <w:rPr>
          <w:rFonts w:eastAsia="Times New Roman"/>
          <w:sz w:val="20"/>
          <w:szCs w:val="20"/>
        </w:rPr>
        <w:pict>
          <v:rect id="_x0000_i1126" style="width:0;height:1.5pt" o:hralign="center" o:hrstd="t" o:hr="t" fillcolor="#a0a0a0" stroked="f"/>
        </w:pict>
      </w:r>
    </w:p>
    <w:p w:rsidR="00000000" w:rsidRDefault="00477EE8">
      <w:pPr>
        <w:pStyle w:val="a3"/>
        <w:spacing w:before="120" w:beforeAutospacing="0" w:after="0" w:afterAutospacing="0"/>
        <w:divId w:val="635260007"/>
        <w:rPr>
          <w:sz w:val="20"/>
          <w:szCs w:val="20"/>
        </w:rPr>
      </w:pPr>
      <w:r>
        <w:rPr>
          <w:sz w:val="20"/>
          <w:szCs w:val="20"/>
        </w:rPr>
        <w:t>typically have a single performance obligation, no all</w:t>
      </w:r>
      <w:r>
        <w:rPr>
          <w:sz w:val="20"/>
          <w:szCs w:val="20"/>
        </w:rPr>
        <w:t>ocation of the transaction price is required in Step 4. Control over testing services is transferred to the Company’s ordering facility at a point in time. Specifically, the Company determined the customer obtains control of the promised service upon deliv</w:t>
      </w:r>
      <w:r>
        <w:rPr>
          <w:sz w:val="20"/>
          <w:szCs w:val="20"/>
        </w:rPr>
        <w:t>ery of test results</w:t>
      </w:r>
      <w:r>
        <w:rPr>
          <w:sz w:val="20"/>
          <w:szCs w:val="20"/>
        </w:rPr>
        <w:t>.</w:t>
      </w:r>
    </w:p>
    <w:p w:rsidR="00000000" w:rsidRDefault="00477EE8">
      <w:pPr>
        <w:pStyle w:val="a3"/>
        <w:spacing w:before="360" w:beforeAutospacing="0" w:after="0" w:afterAutospacing="0"/>
        <w:divId w:val="635260007"/>
        <w:rPr>
          <w:sz w:val="20"/>
          <w:szCs w:val="20"/>
        </w:rPr>
      </w:pPr>
      <w:r>
        <w:rPr>
          <w:i/>
          <w:iCs/>
          <w:sz w:val="20"/>
          <w:szCs w:val="20"/>
        </w:rPr>
        <w:t>Insuranc</w:t>
      </w:r>
      <w:r>
        <w:rPr>
          <w:i/>
          <w:iCs/>
          <w:sz w:val="20"/>
          <w:szCs w:val="20"/>
        </w:rPr>
        <w:t>e</w:t>
      </w:r>
    </w:p>
    <w:p w:rsidR="00000000" w:rsidRDefault="00477EE8">
      <w:pPr>
        <w:pStyle w:val="a3"/>
        <w:spacing w:before="120" w:beforeAutospacing="0" w:after="0" w:afterAutospacing="0"/>
        <w:ind w:firstLine="555"/>
        <w:divId w:val="635260007"/>
        <w:rPr>
          <w:sz w:val="20"/>
          <w:szCs w:val="20"/>
        </w:rPr>
      </w:pPr>
      <w:r>
        <w:rPr>
          <w:sz w:val="20"/>
          <w:szCs w:val="20"/>
        </w:rPr>
        <w:t>The Company’s insurance contracts for testing services typically have a single performance obligation to deliver testing services to the ordering facility or patient. For most of the Company’s insurance volume, the Company id</w:t>
      </w:r>
      <w:r>
        <w:rPr>
          <w:sz w:val="20"/>
          <w:szCs w:val="20"/>
        </w:rPr>
        <w:t>entified the patient as the customer in Step 1 and determined a contract exists with the patient in Step 1. In arrangements with insurance patients, the transaction price is typically stated within the contract, however, the Company may accept payments fro</w:t>
      </w:r>
      <w:r>
        <w:rPr>
          <w:sz w:val="20"/>
          <w:szCs w:val="20"/>
        </w:rPr>
        <w:t>m third-party payors that are less than the contractually stated price and is therefore variable consideration. In developing the estimate of variable consideration, the Company utilizes the expected value method under a portfolio approach. The Company’s e</w:t>
      </w:r>
      <w:r>
        <w:rPr>
          <w:sz w:val="20"/>
          <w:szCs w:val="20"/>
        </w:rPr>
        <w:t xml:space="preserve">stimate requires significant judgment and is developed using known reimbursement rates and historical reimbursement data from payors and patients. As these contracts typically have a single performance obligation, no allocation of the transaction price is </w:t>
      </w:r>
      <w:r>
        <w:rPr>
          <w:sz w:val="20"/>
          <w:szCs w:val="20"/>
        </w:rPr>
        <w:t>required in Step 4. Control over testing services is transferred to the Company’s ordering parties at a point in time. Specifically, the Company determined the customer obtains control of the promised service upon delivery of the test results</w:t>
      </w:r>
      <w:r>
        <w:rPr>
          <w:sz w:val="20"/>
          <w:szCs w:val="20"/>
        </w:rPr>
        <w:t>.</w:t>
      </w:r>
    </w:p>
    <w:p w:rsidR="00000000" w:rsidRDefault="00477EE8">
      <w:pPr>
        <w:pStyle w:val="a3"/>
        <w:spacing w:before="240" w:beforeAutospacing="0" w:after="0" w:afterAutospacing="0"/>
        <w:ind w:firstLine="555"/>
        <w:divId w:val="635260007"/>
        <w:rPr>
          <w:sz w:val="20"/>
          <w:szCs w:val="20"/>
        </w:rPr>
      </w:pPr>
      <w:r>
        <w:rPr>
          <w:sz w:val="20"/>
          <w:szCs w:val="20"/>
        </w:rPr>
        <w:t>Certain incr</w:t>
      </w:r>
      <w:r>
        <w:rPr>
          <w:sz w:val="20"/>
          <w:szCs w:val="20"/>
        </w:rPr>
        <w:t>emental costs pertaining to both insurance and institutional, such as commissions, are incurred in obtaining contracts. Contract costs are capitalized if the Company expects to recover them, and amortization of contract costs is classified in the general a</w:t>
      </w:r>
      <w:r>
        <w:rPr>
          <w:sz w:val="20"/>
          <w:szCs w:val="20"/>
        </w:rPr>
        <w:t>nd administrative expense in the Consolidated Statements of Income. Historically contract costs have not been significant to the financial statements</w:t>
      </w:r>
      <w:r>
        <w:rPr>
          <w:sz w:val="20"/>
          <w:szCs w:val="20"/>
        </w:rPr>
        <w:t>.</w:t>
      </w:r>
      <w:r>
        <w:rPr>
          <w:sz w:val="20"/>
          <w:szCs w:val="20"/>
        </w:rPr>
        <w:t xml:space="preserve"> </w:t>
      </w:r>
    </w:p>
    <w:p w:rsidR="00000000" w:rsidRDefault="00477EE8">
      <w:pPr>
        <w:pStyle w:val="a3"/>
        <w:spacing w:before="360" w:beforeAutospacing="0" w:after="0" w:afterAutospacing="0"/>
        <w:divId w:val="635260007"/>
        <w:rPr>
          <w:sz w:val="20"/>
          <w:szCs w:val="20"/>
        </w:rPr>
      </w:pPr>
      <w:r>
        <w:rPr>
          <w:b/>
          <w:bCs/>
          <w:i/>
          <w:iCs/>
          <w:sz w:val="20"/>
          <w:szCs w:val="20"/>
        </w:rPr>
        <w:t>Significant Judgments and Contract Estimate</w:t>
      </w:r>
      <w:r>
        <w:rPr>
          <w:b/>
          <w:bCs/>
          <w:i/>
          <w:iCs/>
          <w:sz w:val="20"/>
          <w:szCs w:val="20"/>
        </w:rPr>
        <w:t>s</w:t>
      </w:r>
    </w:p>
    <w:p w:rsidR="00000000" w:rsidRDefault="00477EE8">
      <w:pPr>
        <w:pStyle w:val="a3"/>
        <w:spacing w:before="120" w:beforeAutospacing="0" w:after="0" w:afterAutospacing="0"/>
        <w:ind w:firstLine="555"/>
        <w:divId w:val="635260007"/>
        <w:rPr>
          <w:sz w:val="20"/>
          <w:szCs w:val="20"/>
        </w:rPr>
      </w:pPr>
      <w:r>
        <w:rPr>
          <w:sz w:val="20"/>
          <w:szCs w:val="20"/>
        </w:rPr>
        <w:t>Accounting for insurance contracts includes estimation of t</w:t>
      </w:r>
      <w:r>
        <w:rPr>
          <w:sz w:val="20"/>
          <w:szCs w:val="20"/>
        </w:rPr>
        <w:t>he transaction price, defined as the amount the Company expects to be entitled to receive in exchange for providing the services under the contract. Due to the Company’s out-of-network status with the majority of insurance payors for COVID-19 tests, estima</w:t>
      </w:r>
      <w:r>
        <w:rPr>
          <w:sz w:val="20"/>
          <w:szCs w:val="20"/>
        </w:rPr>
        <w:t>tion of the transaction price represents variable consideration</w:t>
      </w:r>
      <w:r>
        <w:rPr>
          <w:sz w:val="20"/>
          <w:szCs w:val="20"/>
        </w:rPr>
        <w:t>.</w:t>
      </w:r>
    </w:p>
    <w:p w:rsidR="00000000" w:rsidRDefault="00477EE8">
      <w:pPr>
        <w:pStyle w:val="a3"/>
        <w:spacing w:before="360" w:beforeAutospacing="0" w:after="0" w:afterAutospacing="0"/>
        <w:divId w:val="864444852"/>
        <w:rPr>
          <w:sz w:val="20"/>
          <w:szCs w:val="20"/>
        </w:rPr>
      </w:pPr>
      <w:r>
        <w:rPr>
          <w:b/>
          <w:bCs/>
          <w:i/>
          <w:iCs/>
          <w:sz w:val="20"/>
          <w:szCs w:val="20"/>
        </w:rPr>
        <w:t>Contract Liabilitie</w:t>
      </w:r>
      <w:r>
        <w:rPr>
          <w:b/>
          <w:bCs/>
          <w:i/>
          <w:iCs/>
          <w:sz w:val="20"/>
          <w:szCs w:val="20"/>
        </w:rPr>
        <w:t>s</w:t>
      </w:r>
    </w:p>
    <w:p w:rsidR="00000000" w:rsidRDefault="00477EE8">
      <w:pPr>
        <w:pStyle w:val="a3"/>
        <w:spacing w:before="120" w:beforeAutospacing="0" w:after="0" w:afterAutospacing="0"/>
        <w:ind w:firstLine="555"/>
        <w:divId w:val="864444852"/>
        <w:rPr>
          <w:sz w:val="20"/>
          <w:szCs w:val="20"/>
        </w:rPr>
      </w:pPr>
      <w:r>
        <w:rPr>
          <w:sz w:val="20"/>
          <w:szCs w:val="20"/>
        </w:rPr>
        <w:t>Contract liabilities are recorded when the Company receives payment or bills prior to completing its obligation to transfer goods or services to a customer, and the Compa</w:t>
      </w:r>
      <w:r>
        <w:rPr>
          <w:sz w:val="20"/>
          <w:szCs w:val="20"/>
        </w:rPr>
        <w:t>ny subsequently recognizes contract liabilities as revenue in the period in which the applicable revenue recognition criteria, as described above, are met</w:t>
      </w:r>
      <w:r>
        <w:rPr>
          <w:sz w:val="20"/>
          <w:szCs w:val="20"/>
        </w:rPr>
        <w:t>.</w:t>
      </w:r>
    </w:p>
    <w:p w:rsidR="00000000" w:rsidRDefault="00477EE8">
      <w:pPr>
        <w:pStyle w:val="a3"/>
        <w:spacing w:before="360" w:beforeAutospacing="0" w:after="0" w:afterAutospacing="0"/>
        <w:divId w:val="1706174900"/>
        <w:rPr>
          <w:sz w:val="20"/>
          <w:szCs w:val="20"/>
        </w:rPr>
      </w:pPr>
      <w:r>
        <w:rPr>
          <w:b/>
          <w:bCs/>
          <w:i/>
          <w:iCs/>
          <w:sz w:val="20"/>
          <w:szCs w:val="20"/>
        </w:rPr>
        <w:t>Customer Deposi</w:t>
      </w:r>
      <w:r>
        <w:rPr>
          <w:b/>
          <w:bCs/>
          <w:i/>
          <w:iCs/>
          <w:sz w:val="20"/>
          <w:szCs w:val="20"/>
        </w:rPr>
        <w:t>t</w:t>
      </w:r>
    </w:p>
    <w:p w:rsidR="00000000" w:rsidRDefault="00477EE8">
      <w:pPr>
        <w:pStyle w:val="a3"/>
        <w:spacing w:before="120" w:beforeAutospacing="0" w:after="0" w:afterAutospacing="0"/>
        <w:ind w:firstLine="555"/>
        <w:divId w:val="1706174900"/>
        <w:rPr>
          <w:sz w:val="20"/>
          <w:szCs w:val="20"/>
        </w:rPr>
      </w:pPr>
      <w:r>
        <w:rPr>
          <w:sz w:val="20"/>
          <w:szCs w:val="20"/>
        </w:rPr>
        <w:t>Customer deposit</w:t>
      </w:r>
      <w:r>
        <w:rPr>
          <w:sz w:val="20"/>
          <w:szCs w:val="20"/>
        </w:rPr>
        <w:t xml:space="preserve"> </w:t>
      </w:r>
      <w:r>
        <w:rPr>
          <w:sz w:val="20"/>
          <w:szCs w:val="20"/>
        </w:rPr>
        <w:t>in the accompanying Consolidated Balance Sheets consists of paymen</w:t>
      </w:r>
      <w:r>
        <w:rPr>
          <w:sz w:val="20"/>
          <w:szCs w:val="20"/>
        </w:rPr>
        <w:t>ts received from customers in excess of their outstanding trade accounts receivable balances. These deposits will be offset against future testing receivables or refunded to the customers</w:t>
      </w:r>
      <w:r>
        <w:rPr>
          <w:sz w:val="20"/>
          <w:szCs w:val="20"/>
        </w:rPr>
        <w:t>.</w:t>
      </w:r>
    </w:p>
    <w:p w:rsidR="00000000" w:rsidRDefault="00477EE8">
      <w:pPr>
        <w:pStyle w:val="a3"/>
        <w:spacing w:before="360" w:beforeAutospacing="0" w:after="0" w:afterAutospacing="0"/>
        <w:divId w:val="2036156688"/>
        <w:rPr>
          <w:sz w:val="20"/>
          <w:szCs w:val="20"/>
        </w:rPr>
      </w:pPr>
      <w:r>
        <w:rPr>
          <w:b/>
          <w:bCs/>
          <w:i/>
          <w:iCs/>
          <w:sz w:val="20"/>
          <w:szCs w:val="20"/>
        </w:rPr>
        <w:t>Overhead Expense</w:t>
      </w:r>
      <w:r>
        <w:rPr>
          <w:b/>
          <w:bCs/>
          <w:i/>
          <w:iCs/>
          <w:sz w:val="20"/>
          <w:szCs w:val="20"/>
        </w:rPr>
        <w:t>s</w:t>
      </w:r>
      <w:r>
        <w:rPr>
          <w:b/>
          <w:bCs/>
          <w:i/>
          <w:iCs/>
          <w:sz w:val="20"/>
          <w:szCs w:val="20"/>
        </w:rPr>
        <w:t xml:space="preserve"> </w:t>
      </w:r>
    </w:p>
    <w:p w:rsidR="00000000" w:rsidRDefault="00477EE8">
      <w:pPr>
        <w:pStyle w:val="a3"/>
        <w:spacing w:before="120" w:beforeAutospacing="0" w:after="0" w:afterAutospacing="0"/>
        <w:ind w:firstLine="555"/>
        <w:divId w:val="2036156688"/>
        <w:rPr>
          <w:sz w:val="20"/>
          <w:szCs w:val="20"/>
        </w:rPr>
      </w:pPr>
      <w:r>
        <w:rPr>
          <w:sz w:val="20"/>
          <w:szCs w:val="20"/>
        </w:rPr>
        <w:t>The Company allocates overhead expenses, such as</w:t>
      </w:r>
      <w:r>
        <w:rPr>
          <w:sz w:val="20"/>
          <w:szCs w:val="20"/>
        </w:rPr>
        <w:t xml:space="preserve"> rent and utilities, to cost of revenue and operating expense categories based on headcount. As a result, an overhead expense allocation is reflected in cost of revenue and each operating expense category</w:t>
      </w:r>
      <w:r>
        <w:rPr>
          <w:sz w:val="20"/>
          <w:szCs w:val="20"/>
        </w:rPr>
        <w:t>.</w:t>
      </w:r>
      <w:r>
        <w:rPr>
          <w:sz w:val="20"/>
          <w:szCs w:val="20"/>
        </w:rPr>
        <w:t xml:space="preserve"> </w:t>
      </w:r>
    </w:p>
    <w:p w:rsidR="00000000" w:rsidRDefault="00477EE8">
      <w:pPr>
        <w:pStyle w:val="a3"/>
        <w:spacing w:before="360" w:beforeAutospacing="0" w:after="0" w:afterAutospacing="0"/>
        <w:divId w:val="396443400"/>
        <w:rPr>
          <w:sz w:val="20"/>
          <w:szCs w:val="20"/>
        </w:rPr>
      </w:pPr>
      <w:r>
        <w:rPr>
          <w:b/>
          <w:bCs/>
          <w:i/>
          <w:iCs/>
          <w:sz w:val="20"/>
          <w:szCs w:val="20"/>
        </w:rPr>
        <w:t>Cost of Revenu</w:t>
      </w:r>
      <w:r>
        <w:rPr>
          <w:b/>
          <w:bCs/>
          <w:i/>
          <w:iCs/>
          <w:sz w:val="20"/>
          <w:szCs w:val="20"/>
        </w:rPr>
        <w:t>e</w:t>
      </w:r>
      <w:r>
        <w:rPr>
          <w:b/>
          <w:bCs/>
          <w:i/>
          <w:iCs/>
          <w:sz w:val="20"/>
          <w:szCs w:val="20"/>
        </w:rPr>
        <w:t xml:space="preserve"> </w:t>
      </w:r>
    </w:p>
    <w:p w:rsidR="00000000" w:rsidRDefault="00477EE8">
      <w:pPr>
        <w:pStyle w:val="a3"/>
        <w:spacing w:before="120" w:beforeAutospacing="0" w:after="0" w:afterAutospacing="0"/>
        <w:ind w:firstLine="555"/>
        <w:divId w:val="396443400"/>
        <w:rPr>
          <w:sz w:val="20"/>
          <w:szCs w:val="20"/>
        </w:rPr>
      </w:pPr>
      <w:r>
        <w:rPr>
          <w:sz w:val="20"/>
          <w:szCs w:val="20"/>
        </w:rPr>
        <w:t>Cost of revenue reflects the agg</w:t>
      </w:r>
      <w:r>
        <w:rPr>
          <w:sz w:val="20"/>
          <w:szCs w:val="20"/>
        </w:rPr>
        <w:t xml:space="preserve">regate costs incurred in delivering test results and consists of: personnel costs, including salaries, employee benefit costs, bonuses and equity-based compensation expenses; costs of laboratory supplies; depreciation of laboratory equipment; amortization </w:t>
      </w:r>
      <w:r>
        <w:rPr>
          <w:sz w:val="20"/>
          <w:szCs w:val="20"/>
        </w:rPr>
        <w:t>of leasehold and building improvements and allocated overhead. Costs associated with performing tests are recorded as tests are processed</w:t>
      </w:r>
      <w:r>
        <w:rPr>
          <w:sz w:val="20"/>
          <w:szCs w:val="20"/>
        </w:rPr>
        <w:t>.</w:t>
      </w:r>
    </w:p>
    <w:p w:rsidR="00000000" w:rsidRDefault="00477EE8">
      <w:pPr>
        <w:pStyle w:val="a3"/>
        <w:spacing w:before="360" w:beforeAutospacing="0" w:after="0" w:afterAutospacing="0"/>
        <w:divId w:val="959333899"/>
        <w:rPr>
          <w:sz w:val="20"/>
          <w:szCs w:val="20"/>
        </w:rPr>
      </w:pPr>
      <w:r>
        <w:rPr>
          <w:b/>
          <w:bCs/>
          <w:i/>
          <w:iCs/>
          <w:sz w:val="20"/>
          <w:szCs w:val="20"/>
        </w:rPr>
        <w:t>Research and Development Expense</w:t>
      </w:r>
      <w:r>
        <w:rPr>
          <w:b/>
          <w:bCs/>
          <w:i/>
          <w:iCs/>
          <w:sz w:val="20"/>
          <w:szCs w:val="20"/>
        </w:rPr>
        <w:t>s</w:t>
      </w:r>
      <w:r>
        <w:rPr>
          <w:b/>
          <w:bCs/>
          <w:i/>
          <w:iCs/>
          <w:sz w:val="20"/>
          <w:szCs w:val="20"/>
        </w:rPr>
        <w:t xml:space="preserve"> </w:t>
      </w:r>
    </w:p>
    <w:p w:rsidR="00000000" w:rsidRDefault="00477EE8">
      <w:pPr>
        <w:pStyle w:val="a3"/>
        <w:spacing w:before="120" w:beforeAutospacing="0" w:after="0" w:afterAutospacing="0"/>
        <w:ind w:firstLine="555"/>
        <w:divId w:val="959333899"/>
        <w:rPr>
          <w:sz w:val="20"/>
          <w:szCs w:val="20"/>
        </w:rPr>
      </w:pPr>
      <w:r>
        <w:rPr>
          <w:sz w:val="20"/>
          <w:szCs w:val="20"/>
        </w:rPr>
        <w:t>Research and development expenses represent costs incurred to develop the Company’</w:t>
      </w:r>
      <w:r>
        <w:rPr>
          <w:sz w:val="20"/>
          <w:szCs w:val="20"/>
        </w:rPr>
        <w:t>s technology and future tests. These costs consist of: personnel costs, including salaries, employee benefit costs, bonuses and equity-based compensation expenses; laboratory supplies; consulting costs and allocated overhead. The Company expenses all resea</w:t>
      </w:r>
      <w:r>
        <w:rPr>
          <w:sz w:val="20"/>
          <w:szCs w:val="20"/>
        </w:rPr>
        <w:t>rch and development costs in the periods in which they are incurred</w:t>
      </w:r>
      <w:r>
        <w:rPr>
          <w:sz w:val="20"/>
          <w:szCs w:val="20"/>
        </w:rPr>
        <w:t>.</w:t>
      </w:r>
    </w:p>
    <w:p w:rsidR="00000000" w:rsidRDefault="00477EE8">
      <w:pPr>
        <w:pStyle w:val="a3"/>
        <w:spacing w:before="240" w:beforeAutospacing="0" w:after="0" w:afterAutospacing="0"/>
        <w:jc w:val="center"/>
        <w:divId w:val="433210078"/>
        <w:rPr>
          <w:sz w:val="20"/>
          <w:szCs w:val="20"/>
        </w:rPr>
      </w:pPr>
      <w:r>
        <w:rPr>
          <w:sz w:val="20"/>
          <w:szCs w:val="20"/>
        </w:rPr>
        <w:t>F</w:t>
      </w:r>
      <w:r>
        <w:rPr>
          <w:sz w:val="20"/>
          <w:szCs w:val="20"/>
        </w:rPr>
        <w:t>-</w:t>
      </w:r>
      <w:r>
        <w:rPr>
          <w:sz w:val="20"/>
          <w:szCs w:val="20"/>
        </w:rPr>
        <w:t>1</w:t>
      </w:r>
      <w:r>
        <w:rPr>
          <w:sz w:val="20"/>
          <w:szCs w:val="20"/>
        </w:rPr>
        <w:t>6</w:t>
      </w:r>
    </w:p>
    <w:p w:rsidR="00000000" w:rsidRDefault="00477EE8">
      <w:pPr>
        <w:divId w:val="433210078"/>
        <w:rPr>
          <w:rFonts w:eastAsia="Times New Roman"/>
        </w:rPr>
      </w:pPr>
      <w:r>
        <w:rPr>
          <w:rFonts w:eastAsia="Times New Roman"/>
        </w:rPr>
        <w:pict>
          <v:rect id="_x0000_i1127" style="width:0;height:1.5pt" o:hralign="center" o:hrstd="t" o:hr="t" fillcolor="#a0a0a0" stroked="f"/>
        </w:pict>
      </w:r>
    </w:p>
    <w:p w:rsidR="00000000" w:rsidRDefault="00477EE8">
      <w:pPr>
        <w:pStyle w:val="a3"/>
        <w:spacing w:before="360" w:beforeAutospacing="0" w:after="0" w:afterAutospacing="0"/>
        <w:divId w:val="541676983"/>
        <w:rPr>
          <w:sz w:val="20"/>
          <w:szCs w:val="20"/>
        </w:rPr>
      </w:pPr>
      <w:r>
        <w:rPr>
          <w:b/>
          <w:bCs/>
          <w:i/>
          <w:iCs/>
          <w:sz w:val="20"/>
          <w:szCs w:val="20"/>
        </w:rPr>
        <w:t>Selling and Marketing Expense</w:t>
      </w:r>
      <w:r>
        <w:rPr>
          <w:b/>
          <w:bCs/>
          <w:i/>
          <w:iCs/>
          <w:sz w:val="20"/>
          <w:szCs w:val="20"/>
        </w:rPr>
        <w:t>s</w:t>
      </w:r>
      <w:r>
        <w:rPr>
          <w:sz w:val="20"/>
          <w:szCs w:val="20"/>
        </w:rPr>
        <w:t xml:space="preserve"> </w:t>
      </w:r>
    </w:p>
    <w:p w:rsidR="00000000" w:rsidRDefault="00477EE8">
      <w:pPr>
        <w:pStyle w:val="a3"/>
        <w:spacing w:before="120" w:beforeAutospacing="0" w:after="0" w:afterAutospacing="0"/>
        <w:ind w:firstLine="555"/>
        <w:divId w:val="541676983"/>
        <w:rPr>
          <w:sz w:val="20"/>
          <w:szCs w:val="20"/>
        </w:rPr>
      </w:pPr>
      <w:r>
        <w:rPr>
          <w:sz w:val="20"/>
          <w:szCs w:val="20"/>
        </w:rPr>
        <w:t>Selling and marketing expenses consist of: personnel costs, including salaries, employee benefit costs, bonuses and equity-based compensation expenses; customer service expenses; direct marketing expenses; educational and promotional expenses; market resea</w:t>
      </w:r>
      <w:r>
        <w:rPr>
          <w:sz w:val="20"/>
          <w:szCs w:val="20"/>
        </w:rPr>
        <w:t>rch and analysis and allocated overhead. The Company expenses all selling and marketing costs as incurred</w:t>
      </w:r>
      <w:r>
        <w:rPr>
          <w:sz w:val="20"/>
          <w:szCs w:val="20"/>
        </w:rPr>
        <w:t>.</w:t>
      </w:r>
      <w:r>
        <w:rPr>
          <w:sz w:val="20"/>
          <w:szCs w:val="20"/>
        </w:rPr>
        <w:t xml:space="preserve"> </w:t>
      </w:r>
    </w:p>
    <w:p w:rsidR="00000000" w:rsidRDefault="00477EE8">
      <w:pPr>
        <w:pStyle w:val="a3"/>
        <w:spacing w:before="360" w:beforeAutospacing="0" w:after="0" w:afterAutospacing="0"/>
        <w:divId w:val="1755663299"/>
        <w:rPr>
          <w:sz w:val="20"/>
          <w:szCs w:val="20"/>
        </w:rPr>
      </w:pPr>
      <w:r>
        <w:rPr>
          <w:b/>
          <w:bCs/>
          <w:i/>
          <w:iCs/>
          <w:sz w:val="20"/>
          <w:szCs w:val="20"/>
        </w:rPr>
        <w:t>General and Administrative Expense</w:t>
      </w:r>
      <w:r>
        <w:rPr>
          <w:b/>
          <w:bCs/>
          <w:i/>
          <w:iCs/>
          <w:sz w:val="20"/>
          <w:szCs w:val="20"/>
        </w:rPr>
        <w:t>s</w:t>
      </w:r>
      <w:r>
        <w:rPr>
          <w:b/>
          <w:bCs/>
          <w:i/>
          <w:iCs/>
          <w:sz w:val="20"/>
          <w:szCs w:val="20"/>
        </w:rPr>
        <w:t xml:space="preserve"> </w:t>
      </w:r>
    </w:p>
    <w:p w:rsidR="00000000" w:rsidRDefault="00477EE8">
      <w:pPr>
        <w:pStyle w:val="a3"/>
        <w:spacing w:before="120" w:beforeAutospacing="0" w:after="0" w:afterAutospacing="0"/>
        <w:ind w:firstLine="555"/>
        <w:divId w:val="1755663299"/>
        <w:rPr>
          <w:sz w:val="20"/>
          <w:szCs w:val="20"/>
        </w:rPr>
      </w:pPr>
      <w:r>
        <w:rPr>
          <w:sz w:val="20"/>
          <w:szCs w:val="20"/>
        </w:rPr>
        <w:t>General and administrative expenses include executive, finance and accounting, legal and human resources functi</w:t>
      </w:r>
      <w:r>
        <w:rPr>
          <w:sz w:val="20"/>
          <w:szCs w:val="20"/>
        </w:rPr>
        <w:t>ons. These expenses consist of: personnel costs, including salaries, employee benefit costs, bonuses and equity-based compensation expenses; audit and legal expenses; consulting costs and allocated overhead. The Company expenses all general and administrat</w:t>
      </w:r>
      <w:r>
        <w:rPr>
          <w:sz w:val="20"/>
          <w:szCs w:val="20"/>
        </w:rPr>
        <w:t>ive expenses as incurred</w:t>
      </w:r>
      <w:r>
        <w:rPr>
          <w:sz w:val="20"/>
          <w:szCs w:val="20"/>
        </w:rPr>
        <w:t>.</w:t>
      </w:r>
    </w:p>
    <w:p w:rsidR="00000000" w:rsidRDefault="00477EE8">
      <w:pPr>
        <w:pStyle w:val="a3"/>
        <w:spacing w:before="360" w:beforeAutospacing="0" w:after="0" w:afterAutospacing="0"/>
        <w:divId w:val="287856835"/>
        <w:rPr>
          <w:sz w:val="20"/>
          <w:szCs w:val="20"/>
        </w:rPr>
      </w:pPr>
      <w:r>
        <w:rPr>
          <w:b/>
          <w:bCs/>
          <w:i/>
          <w:iCs/>
          <w:sz w:val="20"/>
          <w:szCs w:val="20"/>
        </w:rPr>
        <w:t>Restructuring Cost</w:t>
      </w:r>
      <w:r>
        <w:rPr>
          <w:b/>
          <w:bCs/>
          <w:i/>
          <w:iCs/>
          <w:sz w:val="20"/>
          <w:szCs w:val="20"/>
        </w:rPr>
        <w:t>s</w:t>
      </w:r>
    </w:p>
    <w:p w:rsidR="00000000" w:rsidRDefault="00477EE8">
      <w:pPr>
        <w:pStyle w:val="a3"/>
        <w:spacing w:before="120" w:beforeAutospacing="0" w:after="0" w:afterAutospacing="0"/>
        <w:ind w:firstLine="555"/>
        <w:divId w:val="287856835"/>
        <w:rPr>
          <w:sz w:val="20"/>
          <w:szCs w:val="20"/>
        </w:rPr>
      </w:pPr>
      <w:r>
        <w:rPr>
          <w:sz w:val="20"/>
          <w:szCs w:val="20"/>
        </w:rPr>
        <w:t>Restructuring costs represent one-time employee termination benefits provided to employees associated with a newly acquired entity that were involuntarily terminated. A plan of termination was approved and auth</w:t>
      </w:r>
      <w:r>
        <w:rPr>
          <w:sz w:val="20"/>
          <w:szCs w:val="20"/>
        </w:rPr>
        <w:t>orized by management in the second quarter of 2022. The plan identified specific employees to be terminated and established terms of benefits those employees would receive upon termination.</w:t>
      </w:r>
      <w:r>
        <w:rPr>
          <w:sz w:val="20"/>
          <w:szCs w:val="20"/>
        </w:rPr>
        <w:t xml:space="preserve"> </w:t>
      </w:r>
      <w:r>
        <w:rPr>
          <w:sz w:val="20"/>
          <w:szCs w:val="20"/>
        </w:rPr>
        <w:t>N</w:t>
      </w:r>
      <w:r>
        <w:rPr>
          <w:sz w:val="20"/>
          <w:szCs w:val="20"/>
        </w:rPr>
        <w:t>o</w:t>
      </w:r>
      <w:r>
        <w:rPr>
          <w:sz w:val="20"/>
          <w:szCs w:val="20"/>
        </w:rPr>
        <w:t xml:space="preserve"> additional costs are expected to be incurred under the plan of </w:t>
      </w:r>
      <w:r>
        <w:rPr>
          <w:sz w:val="20"/>
          <w:szCs w:val="20"/>
        </w:rPr>
        <w:t>termination post 2022, and the payable balance is expected to be paid off by</w:t>
      </w:r>
      <w:r>
        <w:rPr>
          <w:sz w:val="20"/>
          <w:szCs w:val="20"/>
        </w:rPr>
        <w:t xml:space="preserve"> </w:t>
      </w:r>
      <w:r>
        <w:rPr>
          <w:sz w:val="20"/>
          <w:szCs w:val="20"/>
        </w:rPr>
        <w:t>August 202</w:t>
      </w:r>
      <w:r>
        <w:rPr>
          <w:sz w:val="20"/>
          <w:szCs w:val="20"/>
        </w:rPr>
        <w:t>3</w:t>
      </w:r>
      <w:r>
        <w:rPr>
          <w:sz w:val="20"/>
          <w:szCs w:val="20"/>
        </w:rPr>
        <w:t>.</w:t>
      </w:r>
    </w:p>
    <w:p w:rsidR="00000000" w:rsidRDefault="00477EE8">
      <w:pPr>
        <w:pStyle w:val="a3"/>
        <w:spacing w:before="360" w:beforeAutospacing="0" w:after="0" w:afterAutospacing="0"/>
        <w:divId w:val="1522160753"/>
        <w:rPr>
          <w:sz w:val="20"/>
          <w:szCs w:val="20"/>
        </w:rPr>
      </w:pPr>
      <w:r>
        <w:rPr>
          <w:b/>
          <w:bCs/>
          <w:i/>
          <w:iCs/>
          <w:sz w:val="20"/>
          <w:szCs w:val="20"/>
        </w:rPr>
        <w:t>Income Taxe</w:t>
      </w:r>
      <w:r>
        <w:rPr>
          <w:b/>
          <w:bCs/>
          <w:i/>
          <w:iCs/>
          <w:sz w:val="20"/>
          <w:szCs w:val="20"/>
        </w:rPr>
        <w:t>s</w:t>
      </w:r>
    </w:p>
    <w:p w:rsidR="00000000" w:rsidRDefault="00477EE8">
      <w:pPr>
        <w:pStyle w:val="a3"/>
        <w:spacing w:before="120" w:beforeAutospacing="0" w:after="0" w:afterAutospacing="0"/>
        <w:ind w:firstLine="555"/>
        <w:divId w:val="1522160753"/>
        <w:rPr>
          <w:sz w:val="20"/>
          <w:szCs w:val="20"/>
        </w:rPr>
      </w:pPr>
      <w:r>
        <w:rPr>
          <w:sz w:val="20"/>
          <w:szCs w:val="20"/>
        </w:rPr>
        <w:t xml:space="preserve">Income taxes are accounted for under the asset and liability method. The Company provides for federal, state and foreign income taxes currently payable, </w:t>
      </w:r>
      <w:r>
        <w:rPr>
          <w:sz w:val="20"/>
          <w:szCs w:val="20"/>
        </w:rPr>
        <w:t>as well as for taxes deferred due to timing differences between reporting income and expenses for financial statement purposes versus tax purposes. Deferred tax assets and liabilities are recognized for the future tax consequences attributable to temporary</w:t>
      </w:r>
      <w:r>
        <w:rPr>
          <w:sz w:val="20"/>
          <w:szCs w:val="20"/>
        </w:rPr>
        <w:t xml:space="preserve"> differences between the financial statement carrying amounts of existing assets and liabilities and their respective tax bases. Deferred tax assets and liabilities are measured using enacted income tax rates expected to apply to taxable income in the year</w:t>
      </w:r>
      <w:r>
        <w:rPr>
          <w:sz w:val="20"/>
          <w:szCs w:val="20"/>
        </w:rPr>
        <w:t>s in which those temporary differences are expected to be recovered or settled. The effect of a change in income tax rates is recognized as income or expense in the period that includes the enactment date</w:t>
      </w:r>
      <w:r>
        <w:rPr>
          <w:sz w:val="20"/>
          <w:szCs w:val="20"/>
        </w:rPr>
        <w:t>.</w:t>
      </w:r>
    </w:p>
    <w:p w:rsidR="00000000" w:rsidRDefault="00477EE8">
      <w:pPr>
        <w:pStyle w:val="a3"/>
        <w:spacing w:before="240" w:beforeAutospacing="0" w:after="0" w:afterAutospacing="0"/>
        <w:ind w:firstLine="555"/>
        <w:divId w:val="1522160753"/>
        <w:rPr>
          <w:sz w:val="20"/>
          <w:szCs w:val="20"/>
        </w:rPr>
      </w:pPr>
      <w:r>
        <w:rPr>
          <w:sz w:val="20"/>
          <w:szCs w:val="20"/>
        </w:rPr>
        <w:t>The Company recognizes the effect of income tax po</w:t>
      </w:r>
      <w:r>
        <w:rPr>
          <w:sz w:val="20"/>
          <w:szCs w:val="20"/>
        </w:rPr>
        <w:t>sitions only if those positions are more likely than not to be sustained. Recognized income tax positions are measured at the largest amount with a greater than 50% likelihood of being realized. Changes in recognition or measurement are reflected in the pe</w:t>
      </w:r>
      <w:r>
        <w:rPr>
          <w:sz w:val="20"/>
          <w:szCs w:val="20"/>
        </w:rPr>
        <w:t>riod in which the change in judgment occurs. For income tax positions where it is not more likely than not that a tax benefit will be sustained, the Company does not recognize a tax benefit in its consolidated financial statements. The Company records inte</w:t>
      </w:r>
      <w:r>
        <w:rPr>
          <w:sz w:val="20"/>
          <w:szCs w:val="20"/>
        </w:rPr>
        <w:t>rest and penalties related to uncertain tax positions, if applicable, as a component of income tax expense</w:t>
      </w:r>
      <w:r>
        <w:rPr>
          <w:sz w:val="20"/>
          <w:szCs w:val="20"/>
        </w:rPr>
        <w:t>.</w:t>
      </w:r>
    </w:p>
    <w:p w:rsidR="00000000" w:rsidRDefault="00477EE8">
      <w:pPr>
        <w:pStyle w:val="a3"/>
        <w:spacing w:before="360" w:beforeAutospacing="0" w:after="0" w:afterAutospacing="0"/>
        <w:divId w:val="552618248"/>
        <w:rPr>
          <w:sz w:val="20"/>
          <w:szCs w:val="20"/>
        </w:rPr>
      </w:pPr>
      <w:r>
        <w:rPr>
          <w:b/>
          <w:bCs/>
          <w:i/>
          <w:iCs/>
          <w:sz w:val="20"/>
          <w:szCs w:val="20"/>
        </w:rPr>
        <w:t>Equity-Based Compensatio</w:t>
      </w:r>
      <w:r>
        <w:rPr>
          <w:b/>
          <w:bCs/>
          <w:i/>
          <w:iCs/>
          <w:sz w:val="20"/>
          <w:szCs w:val="20"/>
        </w:rPr>
        <w:t>n</w:t>
      </w:r>
    </w:p>
    <w:p w:rsidR="00000000" w:rsidRDefault="00477EE8">
      <w:pPr>
        <w:pStyle w:val="a3"/>
        <w:spacing w:before="120" w:beforeAutospacing="0" w:after="0" w:afterAutospacing="0"/>
        <w:ind w:firstLine="555"/>
        <w:divId w:val="552618248"/>
        <w:rPr>
          <w:sz w:val="20"/>
          <w:szCs w:val="20"/>
        </w:rPr>
      </w:pPr>
      <w:r>
        <w:rPr>
          <w:sz w:val="20"/>
          <w:szCs w:val="20"/>
        </w:rPr>
        <w:t>The Company grants various types of equity-based awards to its employees, consultants and non-employee directors. Equity-b</w:t>
      </w:r>
      <w:r>
        <w:rPr>
          <w:sz w:val="20"/>
          <w:szCs w:val="20"/>
        </w:rPr>
        <w:t>ased compensation costs are reflected in the accompanying Consolidated Statements of Income based upon each award recipient’s role with the Company. The Company primarily grants to its employees restricted stock unit awards, or RSU awards, that generally v</w:t>
      </w:r>
      <w:r>
        <w:rPr>
          <w:sz w:val="20"/>
          <w:szCs w:val="20"/>
        </w:rPr>
        <w:t xml:space="preserve">est over a specified period of time upon the satisfaction of service-based conditions. The Company measures compensation expense for equity-based awards granted to employees based on the fair value of the award on the grant date of the award. Compensation </w:t>
      </w:r>
      <w:r>
        <w:rPr>
          <w:sz w:val="20"/>
          <w:szCs w:val="20"/>
        </w:rPr>
        <w:t>expense for employee RSU awards with a service-based vesting condition is recognized ratably over the vesting period of the award</w:t>
      </w:r>
      <w:r>
        <w:rPr>
          <w:sz w:val="20"/>
          <w:szCs w:val="20"/>
        </w:rPr>
        <w:t>.</w:t>
      </w:r>
    </w:p>
    <w:p w:rsidR="00000000" w:rsidRDefault="00477EE8">
      <w:pPr>
        <w:pStyle w:val="a3"/>
        <w:spacing w:before="360" w:beforeAutospacing="0" w:after="0" w:afterAutospacing="0"/>
        <w:divId w:val="1126587909"/>
        <w:rPr>
          <w:sz w:val="20"/>
          <w:szCs w:val="20"/>
        </w:rPr>
      </w:pPr>
      <w:r>
        <w:rPr>
          <w:b/>
          <w:bCs/>
          <w:i/>
          <w:iCs/>
          <w:sz w:val="20"/>
          <w:szCs w:val="20"/>
        </w:rPr>
        <w:t>Foreign Currency Translation and Foreign Currency Transaction</w:t>
      </w:r>
      <w:r>
        <w:rPr>
          <w:b/>
          <w:bCs/>
          <w:i/>
          <w:iCs/>
          <w:sz w:val="20"/>
          <w:szCs w:val="20"/>
        </w:rPr>
        <w:t>s</w:t>
      </w:r>
    </w:p>
    <w:p w:rsidR="00000000" w:rsidRDefault="00477EE8">
      <w:pPr>
        <w:pStyle w:val="a3"/>
        <w:spacing w:before="120" w:beforeAutospacing="0" w:after="0" w:afterAutospacing="0"/>
        <w:ind w:firstLine="555"/>
        <w:divId w:val="1126587909"/>
        <w:rPr>
          <w:sz w:val="20"/>
          <w:szCs w:val="20"/>
        </w:rPr>
      </w:pPr>
      <w:r>
        <w:rPr>
          <w:sz w:val="20"/>
          <w:szCs w:val="20"/>
        </w:rPr>
        <w:t>The Company translates the assets and liabilities of its non-U</w:t>
      </w:r>
      <w:r>
        <w:rPr>
          <w:sz w:val="20"/>
          <w:szCs w:val="20"/>
        </w:rPr>
        <w:t>.S. dollar functional currency subsidiaries into U.S. dollars using exchange rates in effect at the end of each period. Expenses for these subsidiaries are translated using rates that approximate those in effect during the period. Gains and losses from the</w:t>
      </w:r>
      <w:r>
        <w:rPr>
          <w:sz w:val="20"/>
          <w:szCs w:val="20"/>
        </w:rPr>
        <w:t>se translations are recognized in foreign currency translation gain (loss) included in the accompanying Consolidated Statements of Comprehensive Income. The Company and its subsidiaries that use the U.S. dollar as their functional currency remeasure moneta</w:t>
      </w:r>
      <w:r>
        <w:rPr>
          <w:sz w:val="20"/>
          <w:szCs w:val="20"/>
        </w:rPr>
        <w:t xml:space="preserve">ry assets and liabilities at exchange rates in effect at the end of each period, and inventories, property and nonmonetary assets and liabilities at historical rates. Gains and losses from these measurements are included in interest and other income, net, </w:t>
      </w:r>
      <w:r>
        <w:rPr>
          <w:sz w:val="20"/>
          <w:szCs w:val="20"/>
        </w:rPr>
        <w:t>in the accompanying Consolidated Statements of Income. Losses from foreign currency exchange were not significant in 2022, 2021 and 2020</w:t>
      </w:r>
      <w:r>
        <w:rPr>
          <w:sz w:val="20"/>
          <w:szCs w:val="20"/>
        </w:rPr>
        <w:t>.</w:t>
      </w:r>
    </w:p>
    <w:p w:rsidR="00000000" w:rsidRDefault="00477EE8">
      <w:pPr>
        <w:pStyle w:val="a3"/>
        <w:spacing w:before="360" w:beforeAutospacing="0" w:after="0" w:afterAutospacing="0"/>
        <w:divId w:val="400059605"/>
        <w:rPr>
          <w:sz w:val="20"/>
          <w:szCs w:val="20"/>
        </w:rPr>
      </w:pPr>
      <w:r>
        <w:rPr>
          <w:b/>
          <w:bCs/>
          <w:i/>
          <w:iCs/>
          <w:sz w:val="20"/>
          <w:szCs w:val="20"/>
        </w:rPr>
        <w:t>Comprehensive Income (Loss</w:t>
      </w:r>
      <w:r>
        <w:rPr>
          <w:b/>
          <w:bCs/>
          <w:i/>
          <w:iCs/>
          <w:sz w:val="20"/>
          <w:szCs w:val="20"/>
        </w:rPr>
        <w:t>)</w:t>
      </w:r>
    </w:p>
    <w:p w:rsidR="00000000" w:rsidRDefault="00477EE8">
      <w:pPr>
        <w:pStyle w:val="a3"/>
        <w:spacing w:before="240" w:beforeAutospacing="0" w:after="0" w:afterAutospacing="0"/>
        <w:jc w:val="center"/>
        <w:divId w:val="400059605"/>
        <w:rPr>
          <w:sz w:val="20"/>
          <w:szCs w:val="20"/>
        </w:rPr>
      </w:pPr>
      <w:r>
        <w:rPr>
          <w:sz w:val="20"/>
          <w:szCs w:val="20"/>
        </w:rPr>
        <w:t>F</w:t>
      </w:r>
      <w:r>
        <w:rPr>
          <w:sz w:val="20"/>
          <w:szCs w:val="20"/>
        </w:rPr>
        <w:t>-</w:t>
      </w:r>
      <w:r>
        <w:rPr>
          <w:sz w:val="20"/>
          <w:szCs w:val="20"/>
        </w:rPr>
        <w:t>1</w:t>
      </w:r>
      <w:r>
        <w:rPr>
          <w:sz w:val="20"/>
          <w:szCs w:val="20"/>
        </w:rPr>
        <w:t>7</w:t>
      </w:r>
    </w:p>
    <w:p w:rsidR="00000000" w:rsidRDefault="00477EE8">
      <w:pPr>
        <w:divId w:val="400059605"/>
        <w:rPr>
          <w:rFonts w:eastAsia="Times New Roman"/>
          <w:sz w:val="20"/>
          <w:szCs w:val="20"/>
        </w:rPr>
      </w:pPr>
      <w:r>
        <w:rPr>
          <w:rFonts w:eastAsia="Times New Roman"/>
          <w:sz w:val="20"/>
          <w:szCs w:val="20"/>
        </w:rPr>
        <w:pict>
          <v:rect id="_x0000_i1128" style="width:0;height:1.5pt" o:hralign="center" o:hrstd="t" o:hr="t" fillcolor="#a0a0a0" stroked="f"/>
        </w:pict>
      </w:r>
    </w:p>
    <w:p w:rsidR="00000000" w:rsidRDefault="00477EE8">
      <w:pPr>
        <w:pStyle w:val="a3"/>
        <w:spacing w:before="120" w:beforeAutospacing="0" w:after="0" w:afterAutospacing="0"/>
        <w:ind w:firstLine="555"/>
        <w:divId w:val="400059605"/>
        <w:rPr>
          <w:sz w:val="20"/>
          <w:szCs w:val="20"/>
        </w:rPr>
      </w:pPr>
      <w:r>
        <w:rPr>
          <w:sz w:val="20"/>
          <w:szCs w:val="20"/>
        </w:rPr>
        <w:t xml:space="preserve">Comprehensive income (loss) is comprised of net </w:t>
      </w:r>
      <w:r>
        <w:rPr>
          <w:sz w:val="20"/>
          <w:szCs w:val="20"/>
        </w:rPr>
        <w:t>income (loss) and other comprehensive income (loss). Other comprehensive income (loss) consists of net unrealized gain or loss on available-for-sale debt securities, net of tax, and foreign currency translation adjustments from its subsidiaries not using t</w:t>
      </w:r>
      <w:r>
        <w:rPr>
          <w:sz w:val="20"/>
          <w:szCs w:val="20"/>
        </w:rPr>
        <w:t>he U.S. dollar as their functional currency. Reclassifications from other comprehensive income (loss) to net earnings were not significant in 2022 or 2021. The Company did not have reclassifications from other comprehensive income (loss) to net loss in 202</w:t>
      </w:r>
      <w:r>
        <w:rPr>
          <w:sz w:val="20"/>
          <w:szCs w:val="20"/>
        </w:rPr>
        <w:t>0. The tax effects related to net unrealized loss on available-for-sale debt securities were</w:t>
      </w:r>
      <w:r>
        <w:rPr>
          <w:sz w:val="20"/>
          <w:szCs w:val="20"/>
        </w:rPr>
        <w:t xml:space="preserve"> </w:t>
      </w:r>
      <w:r>
        <w:rPr>
          <w:sz w:val="20"/>
          <w:szCs w:val="20"/>
        </w:rPr>
        <w:t>$</w:t>
      </w:r>
      <w:r>
        <w:rPr>
          <w:sz w:val="20"/>
          <w:szCs w:val="20"/>
        </w:rPr>
        <w:t>7.</w:t>
      </w:r>
      <w:r>
        <w:rPr>
          <w:sz w:val="20"/>
          <w:szCs w:val="20"/>
        </w:rPr>
        <w:t>2</w:t>
      </w:r>
      <w:r>
        <w:rPr>
          <w:sz w:val="20"/>
          <w:szCs w:val="20"/>
        </w:rPr>
        <w:t xml:space="preserve"> millio</w:t>
      </w:r>
      <w:r>
        <w:rPr>
          <w:sz w:val="20"/>
          <w:szCs w:val="20"/>
        </w:rPr>
        <w:t>n</w:t>
      </w:r>
      <w:r>
        <w:rPr>
          <w:sz w:val="20"/>
          <w:szCs w:val="20"/>
        </w:rPr>
        <w:t xml:space="preserve"> and </w:t>
      </w:r>
      <w:r>
        <w:rPr>
          <w:sz w:val="20"/>
          <w:szCs w:val="20"/>
        </w:rPr>
        <w:t>$</w:t>
      </w:r>
      <w:r>
        <w:rPr>
          <w:sz w:val="20"/>
          <w:szCs w:val="20"/>
        </w:rPr>
        <w:t>437,00</w:t>
      </w:r>
      <w:r>
        <w:rPr>
          <w:sz w:val="20"/>
          <w:szCs w:val="20"/>
        </w:rPr>
        <w:t>0</w:t>
      </w:r>
      <w:r>
        <w:rPr>
          <w:sz w:val="20"/>
          <w:szCs w:val="20"/>
        </w:rPr>
        <w:t xml:space="preserve"> in 2022 and 2021, respectively. The tax effects related to net unrealized gain on the available-for-sale debt securities were </w:t>
      </w:r>
      <w:r>
        <w:rPr>
          <w:sz w:val="20"/>
          <w:szCs w:val="20"/>
        </w:rPr>
        <w:t>$</w:t>
      </w:r>
      <w:r>
        <w:rPr>
          <w:sz w:val="20"/>
          <w:szCs w:val="20"/>
        </w:rPr>
        <w:t>147,00</w:t>
      </w:r>
      <w:r>
        <w:rPr>
          <w:sz w:val="20"/>
          <w:szCs w:val="20"/>
        </w:rPr>
        <w:t>0</w:t>
      </w:r>
      <w:r>
        <w:rPr>
          <w:sz w:val="20"/>
          <w:szCs w:val="20"/>
        </w:rPr>
        <w:t xml:space="preserve"> in</w:t>
      </w:r>
      <w:r>
        <w:rPr>
          <w:sz w:val="20"/>
          <w:szCs w:val="20"/>
        </w:rPr>
        <w:t xml:space="preserve"> 2020</w:t>
      </w:r>
      <w:r>
        <w:rPr>
          <w:sz w:val="20"/>
          <w:szCs w:val="20"/>
        </w:rPr>
        <w:t>.</w:t>
      </w:r>
      <w:r>
        <w:rPr>
          <w:sz w:val="20"/>
          <w:szCs w:val="20"/>
        </w:rPr>
        <w:t xml:space="preserve"> </w:t>
      </w:r>
    </w:p>
    <w:p w:rsidR="00000000" w:rsidRDefault="00477EE8">
      <w:pPr>
        <w:pStyle w:val="a3"/>
        <w:spacing w:before="360" w:beforeAutospacing="0" w:after="0" w:afterAutospacing="0"/>
        <w:divId w:val="1413429710"/>
        <w:rPr>
          <w:sz w:val="20"/>
          <w:szCs w:val="20"/>
        </w:rPr>
      </w:pPr>
      <w:r>
        <w:rPr>
          <w:b/>
          <w:bCs/>
          <w:i/>
          <w:iCs/>
          <w:sz w:val="20"/>
          <w:szCs w:val="20"/>
        </w:rPr>
        <w:t>Basic and Diluted Net Income or Loss per Shar</w:t>
      </w:r>
      <w:r>
        <w:rPr>
          <w:b/>
          <w:bCs/>
          <w:i/>
          <w:iCs/>
          <w:sz w:val="20"/>
          <w:szCs w:val="20"/>
        </w:rPr>
        <w:t>e</w:t>
      </w:r>
    </w:p>
    <w:p w:rsidR="00000000" w:rsidRDefault="00477EE8">
      <w:pPr>
        <w:pStyle w:val="a3"/>
        <w:spacing w:before="120" w:beforeAutospacing="0" w:after="0" w:afterAutospacing="0"/>
        <w:ind w:firstLine="555"/>
        <w:divId w:val="1413429710"/>
        <w:rPr>
          <w:sz w:val="20"/>
          <w:szCs w:val="20"/>
        </w:rPr>
      </w:pPr>
      <w:r>
        <w:rPr>
          <w:sz w:val="20"/>
          <w:szCs w:val="20"/>
        </w:rPr>
        <w:t>Basic net income or loss per common share is computed by dividing the net income or loss attributable to common stockholders by the weighted-average number of common shares outstanding during the perio</w:t>
      </w:r>
      <w:r>
        <w:rPr>
          <w:sz w:val="20"/>
          <w:szCs w:val="20"/>
        </w:rPr>
        <w:t>d. Diluted net income or loss per common share is computed by dividing the net income or loss attributable to common stockholders by the weighted-average number of common shares and dilutive common share equivalents outstanding during the period</w:t>
      </w:r>
      <w:r>
        <w:rPr>
          <w:sz w:val="20"/>
          <w:szCs w:val="20"/>
        </w:rPr>
        <w:t>.</w:t>
      </w:r>
    </w:p>
    <w:p w:rsidR="00000000" w:rsidRDefault="00477EE8">
      <w:pPr>
        <w:pStyle w:val="a3"/>
        <w:spacing w:before="360" w:beforeAutospacing="0" w:after="0" w:afterAutospacing="0"/>
        <w:divId w:val="863523485"/>
        <w:rPr>
          <w:sz w:val="20"/>
          <w:szCs w:val="20"/>
        </w:rPr>
      </w:pPr>
      <w:r>
        <w:rPr>
          <w:b/>
          <w:bCs/>
          <w:i/>
          <w:iCs/>
          <w:sz w:val="20"/>
          <w:szCs w:val="20"/>
        </w:rPr>
        <w:t>Disaggreg</w:t>
      </w:r>
      <w:r>
        <w:rPr>
          <w:b/>
          <w:bCs/>
          <w:i/>
          <w:iCs/>
          <w:sz w:val="20"/>
          <w:szCs w:val="20"/>
        </w:rPr>
        <w:t>ation of Revenu</w:t>
      </w:r>
      <w:r>
        <w:rPr>
          <w:b/>
          <w:bCs/>
          <w:i/>
          <w:iCs/>
          <w:sz w:val="20"/>
          <w:szCs w:val="20"/>
        </w:rPr>
        <w:t>e</w:t>
      </w:r>
    </w:p>
    <w:p w:rsidR="00000000" w:rsidRDefault="00477EE8">
      <w:pPr>
        <w:pStyle w:val="a3"/>
        <w:spacing w:before="120" w:beforeAutospacing="0" w:after="0" w:afterAutospacing="0"/>
        <w:ind w:firstLine="555"/>
        <w:divId w:val="863523485"/>
        <w:rPr>
          <w:sz w:val="20"/>
          <w:szCs w:val="20"/>
        </w:rPr>
      </w:pPr>
      <w:r>
        <w:rPr>
          <w:sz w:val="20"/>
          <w:szCs w:val="20"/>
        </w:rPr>
        <w:t xml:space="preserve">The Company classifies its customers into three payor types: (i) Insurance, including claim reimbursement from HRSA for uninsured individuals, (ii) Institutional, including hospitals, medical institutions, other laboratories, governmental </w:t>
      </w:r>
      <w:r>
        <w:rPr>
          <w:sz w:val="20"/>
          <w:szCs w:val="20"/>
        </w:rPr>
        <w:t>bodies, municipalities and large corporations, or (iii) Patients who pay directly, as the Company believes this best depicts how the nature, amount, timing, and uncertainty of its revenue and cash flows are affected by economic factors.</w:t>
      </w:r>
      <w:r>
        <w:rPr>
          <w:sz w:val="20"/>
          <w:szCs w:val="20"/>
        </w:rPr>
        <w:t xml:space="preserve"> </w:t>
      </w:r>
      <w:r>
        <w:rPr>
          <w:sz w:val="20"/>
          <w:szCs w:val="20"/>
        </w:rPr>
        <w:t>The following table</w:t>
      </w:r>
      <w:r>
        <w:rPr>
          <w:sz w:val="20"/>
          <w:szCs w:val="20"/>
        </w:rPr>
        <w:t xml:space="preserve"> summarizes revenue from contracts with customers by payor type for the years ended December 31, 2022, 2021 and 2020</w:t>
      </w:r>
      <w:r>
        <w:rPr>
          <w:sz w:val="20"/>
          <w:szCs w:val="20"/>
        </w:rPr>
        <w:t>.</w:t>
      </w:r>
    </w:p>
    <w:p w:rsidR="00000000" w:rsidRDefault="00477EE8">
      <w:pPr>
        <w:pStyle w:val="a3"/>
        <w:spacing w:before="0" w:beforeAutospacing="0" w:after="0" w:afterAutospacing="0"/>
        <w:divId w:val="1065226346"/>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97"/>
        <w:gridCol w:w="160"/>
        <w:gridCol w:w="1058"/>
        <w:gridCol w:w="110"/>
        <w:gridCol w:w="139"/>
        <w:gridCol w:w="160"/>
        <w:gridCol w:w="1058"/>
        <w:gridCol w:w="110"/>
        <w:gridCol w:w="139"/>
        <w:gridCol w:w="160"/>
        <w:gridCol w:w="1090"/>
        <w:gridCol w:w="125"/>
      </w:tblGrid>
      <w:tr w:rsidR="00000000">
        <w:trPr>
          <w:divId w:val="1065226346"/>
          <w:tblCellSpacing w:w="15" w:type="dxa"/>
        </w:trPr>
        <w:tc>
          <w:tcPr>
            <w:tcW w:w="2511"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665"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85"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65"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85"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85"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divId w:val="1065226346"/>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10"/>
            <w:vAlign w:val="bottom"/>
            <w:hideMark/>
          </w:tcPr>
          <w:p w:rsidR="00000000" w:rsidRDefault="00477EE8">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065226346"/>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065226346"/>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10"/>
            <w:hideMark/>
          </w:tcPr>
          <w:p w:rsidR="00000000" w:rsidRDefault="00477EE8">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065226346"/>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b/>
                <w:bCs/>
                <w:sz w:val="20"/>
                <w:szCs w:val="20"/>
              </w:rPr>
              <w:t>Testing Services by payo</w:t>
            </w:r>
            <w:r>
              <w:rPr>
                <w:b/>
                <w:bCs/>
                <w:sz w:val="20"/>
                <w:szCs w:val="20"/>
              </w:rPr>
              <w:t>r</w:t>
            </w:r>
          </w:p>
        </w:tc>
        <w:tc>
          <w:tcPr>
            <w:tcW w:w="0" w:type="auto"/>
            <w:gridSpan w:val="2"/>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r>
      <w:tr w:rsidR="00000000">
        <w:trPr>
          <w:divId w:val="1065226346"/>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Insuranc</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377,87</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555,76</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257,58</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065226346"/>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Institutiona</w:t>
            </w:r>
            <w:r>
              <w:rPr>
                <w:sz w:val="20"/>
                <w:szCs w:val="20"/>
              </w:rPr>
              <w:t>l</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239,96</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435,68</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163,08</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065226346"/>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Patien</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1,13</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1,13</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1,04</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065226346"/>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b/>
                <w:bCs/>
                <w:sz w:val="20"/>
                <w:szCs w:val="20"/>
              </w:rPr>
              <w:t>Total Revenu</w:t>
            </w:r>
            <w:r>
              <w:rPr>
                <w:b/>
                <w:bCs/>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618,96</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992,58</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421,71</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240" w:beforeAutospacing="0" w:after="0" w:afterAutospacing="0"/>
        <w:ind w:firstLine="555"/>
        <w:divId w:val="863523485"/>
        <w:rPr>
          <w:sz w:val="20"/>
          <w:szCs w:val="20"/>
        </w:rPr>
      </w:pPr>
      <w:r>
        <w:rPr>
          <w:sz w:val="20"/>
          <w:szCs w:val="20"/>
        </w:rPr>
        <w:t xml:space="preserve">The insurance revenue category above includes </w:t>
      </w:r>
      <w:r>
        <w:rPr>
          <w:sz w:val="20"/>
          <w:szCs w:val="20"/>
        </w:rPr>
        <w:t>$</w:t>
      </w:r>
      <w:r>
        <w:rPr>
          <w:sz w:val="20"/>
          <w:szCs w:val="20"/>
        </w:rPr>
        <w:t>83.</w:t>
      </w:r>
      <w:r>
        <w:rPr>
          <w:sz w:val="20"/>
          <w:szCs w:val="20"/>
        </w:rPr>
        <w:t>1</w:t>
      </w:r>
      <w:r>
        <w:rPr>
          <w:sz w:val="20"/>
          <w:szCs w:val="20"/>
        </w:rPr>
        <w:t xml:space="preserve"> million and </w:t>
      </w:r>
      <w:r>
        <w:rPr>
          <w:sz w:val="20"/>
          <w:szCs w:val="20"/>
        </w:rPr>
        <w:t>$</w:t>
      </w:r>
      <w:r>
        <w:rPr>
          <w:sz w:val="20"/>
          <w:szCs w:val="20"/>
        </w:rPr>
        <w:t>310.</w:t>
      </w:r>
      <w:r>
        <w:rPr>
          <w:sz w:val="20"/>
          <w:szCs w:val="20"/>
        </w:rPr>
        <w:t>4</w:t>
      </w:r>
      <w:r>
        <w:rPr>
          <w:sz w:val="20"/>
          <w:szCs w:val="20"/>
        </w:rPr>
        <w:t xml:space="preserve"> million for the years ended December 31, 2022 and 2021, respectively, for services related to claims covered by the HRSA COVID-19 Uninsured Program</w:t>
      </w:r>
      <w:r>
        <w:rPr>
          <w:sz w:val="20"/>
          <w:szCs w:val="20"/>
        </w:rPr>
        <w:t>.</w:t>
      </w:r>
    </w:p>
    <w:p w:rsidR="00000000" w:rsidRDefault="00477EE8">
      <w:pPr>
        <w:pStyle w:val="a3"/>
        <w:spacing w:before="240" w:beforeAutospacing="0" w:after="0" w:afterAutospacing="0"/>
        <w:ind w:firstLine="555"/>
        <w:divId w:val="863523485"/>
        <w:rPr>
          <w:sz w:val="20"/>
          <w:szCs w:val="20"/>
        </w:rPr>
      </w:pPr>
      <w:r>
        <w:rPr>
          <w:sz w:val="20"/>
          <w:szCs w:val="20"/>
        </w:rPr>
        <w:t>There was no material variable consi</w:t>
      </w:r>
      <w:r>
        <w:rPr>
          <w:sz w:val="20"/>
          <w:szCs w:val="20"/>
        </w:rPr>
        <w:t>deration recognized in the current period that relates to performance obligations that were completed in the prior period</w:t>
      </w:r>
      <w:r>
        <w:rPr>
          <w:sz w:val="20"/>
          <w:szCs w:val="20"/>
        </w:rPr>
        <w:t>.</w:t>
      </w:r>
      <w:r>
        <w:rPr>
          <w:sz w:val="20"/>
          <w:szCs w:val="20"/>
        </w:rPr>
        <w:t xml:space="preserve"> </w:t>
      </w:r>
    </w:p>
    <w:p w:rsidR="00000000" w:rsidRDefault="00477EE8">
      <w:pPr>
        <w:pStyle w:val="a3"/>
        <w:spacing w:before="240" w:beforeAutospacing="0" w:after="0" w:afterAutospacing="0"/>
        <w:ind w:firstLine="555"/>
        <w:divId w:val="863523485"/>
        <w:rPr>
          <w:sz w:val="20"/>
          <w:szCs w:val="20"/>
        </w:rPr>
      </w:pPr>
      <w:r>
        <w:rPr>
          <w:sz w:val="20"/>
          <w:szCs w:val="20"/>
        </w:rPr>
        <w:t xml:space="preserve">Collection of the Company’s net revenues from insurers is normally a function of providing complete and correct billing information </w:t>
      </w:r>
      <w:r>
        <w:rPr>
          <w:sz w:val="20"/>
          <w:szCs w:val="20"/>
        </w:rPr>
        <w:t>within the various filing deadlines. Provided the Company has billed insurers accurately with complete information prior to the established filing deadline. If there has been a delay in billing, the Company determines if the amounts in question will likely</w:t>
      </w:r>
      <w:r>
        <w:rPr>
          <w:sz w:val="20"/>
          <w:szCs w:val="20"/>
        </w:rPr>
        <w:t xml:space="preserve"> go past the filing deadline, and if so, the Company will reserve accordingly for the billing</w:t>
      </w:r>
      <w:r>
        <w:rPr>
          <w:sz w:val="20"/>
          <w:szCs w:val="20"/>
        </w:rPr>
        <w:t>.</w:t>
      </w:r>
    </w:p>
    <w:p w:rsidR="00000000" w:rsidRDefault="00477EE8">
      <w:pPr>
        <w:pStyle w:val="a3"/>
        <w:spacing w:before="360" w:beforeAutospacing="0" w:after="0" w:afterAutospacing="0"/>
        <w:divId w:val="863523485"/>
        <w:rPr>
          <w:sz w:val="20"/>
          <w:szCs w:val="20"/>
        </w:rPr>
      </w:pPr>
      <w:r>
        <w:rPr>
          <w:b/>
          <w:bCs/>
          <w:i/>
          <w:iCs/>
          <w:sz w:val="20"/>
          <w:szCs w:val="20"/>
        </w:rPr>
        <w:t>Contract Balance</w:t>
      </w:r>
      <w:r>
        <w:rPr>
          <w:b/>
          <w:bCs/>
          <w:i/>
          <w:iCs/>
          <w:sz w:val="20"/>
          <w:szCs w:val="20"/>
        </w:rPr>
        <w:t>s</w:t>
      </w:r>
    </w:p>
    <w:p w:rsidR="00000000" w:rsidRDefault="00477EE8">
      <w:pPr>
        <w:pStyle w:val="a3"/>
        <w:spacing w:before="120" w:beforeAutospacing="0" w:after="0" w:afterAutospacing="0"/>
        <w:ind w:firstLine="555"/>
        <w:divId w:val="863523485"/>
        <w:rPr>
          <w:sz w:val="20"/>
          <w:szCs w:val="20"/>
        </w:rPr>
      </w:pPr>
      <w:r>
        <w:rPr>
          <w:i/>
          <w:iCs/>
          <w:sz w:val="20"/>
          <w:szCs w:val="20"/>
        </w:rPr>
        <w:t>Receivables from contracts with customer</w:t>
      </w:r>
      <w:r>
        <w:rPr>
          <w:i/>
          <w:iCs/>
          <w:sz w:val="20"/>
          <w:szCs w:val="20"/>
        </w:rPr>
        <w:t>s</w:t>
      </w:r>
      <w:r>
        <w:rPr>
          <w:sz w:val="20"/>
          <w:szCs w:val="20"/>
        </w:rPr>
        <w:t xml:space="preserve"> - Receivables from contracts with customers are included within trade accounts receivable on the Cons</w:t>
      </w:r>
      <w:r>
        <w:rPr>
          <w:sz w:val="20"/>
          <w:szCs w:val="20"/>
        </w:rPr>
        <w:t>olidated Balance Sheets. Receivable from Insurance and Institutional customers represented</w:t>
      </w:r>
      <w:r>
        <w:rPr>
          <w:sz w:val="20"/>
          <w:szCs w:val="20"/>
        </w:rPr>
        <w:t xml:space="preserve"> </w:t>
      </w:r>
      <w:r>
        <w:rPr>
          <w:sz w:val="20"/>
          <w:szCs w:val="20"/>
        </w:rPr>
        <w:t>1</w:t>
      </w:r>
      <w:r>
        <w:rPr>
          <w:sz w:val="20"/>
          <w:szCs w:val="20"/>
        </w:rPr>
        <w:t>4</w:t>
      </w:r>
      <w:r>
        <w:rPr>
          <w:sz w:val="20"/>
          <w:szCs w:val="20"/>
        </w:rPr>
        <w:t>% and</w:t>
      </w:r>
      <w:r>
        <w:rPr>
          <w:sz w:val="20"/>
          <w:szCs w:val="20"/>
        </w:rPr>
        <w:t xml:space="preserve"> </w:t>
      </w:r>
      <w:r>
        <w:rPr>
          <w:sz w:val="20"/>
          <w:szCs w:val="20"/>
        </w:rPr>
        <w:t>8</w:t>
      </w:r>
      <w:r>
        <w:rPr>
          <w:sz w:val="20"/>
          <w:szCs w:val="20"/>
        </w:rPr>
        <w:t>6</w:t>
      </w:r>
      <w:r>
        <w:rPr>
          <w:sz w:val="20"/>
          <w:szCs w:val="20"/>
        </w:rPr>
        <w:t>%, respectively, as of December 31, 2022 and</w:t>
      </w:r>
      <w:r>
        <w:rPr>
          <w:sz w:val="20"/>
          <w:szCs w:val="20"/>
        </w:rPr>
        <w:t xml:space="preserve"> </w:t>
      </w:r>
      <w:r>
        <w:rPr>
          <w:sz w:val="20"/>
          <w:szCs w:val="20"/>
        </w:rPr>
        <w:t>4</w:t>
      </w:r>
      <w:r>
        <w:rPr>
          <w:sz w:val="20"/>
          <w:szCs w:val="20"/>
        </w:rPr>
        <w:t>7</w:t>
      </w:r>
      <w:r>
        <w:rPr>
          <w:sz w:val="20"/>
          <w:szCs w:val="20"/>
        </w:rPr>
        <w:t>% and</w:t>
      </w:r>
      <w:r>
        <w:rPr>
          <w:sz w:val="20"/>
          <w:szCs w:val="20"/>
        </w:rPr>
        <w:t xml:space="preserve"> </w:t>
      </w:r>
      <w:r>
        <w:rPr>
          <w:sz w:val="20"/>
          <w:szCs w:val="20"/>
        </w:rPr>
        <w:t>5</w:t>
      </w:r>
      <w:r>
        <w:rPr>
          <w:sz w:val="20"/>
          <w:szCs w:val="20"/>
        </w:rPr>
        <w:t>3</w:t>
      </w:r>
      <w:r>
        <w:rPr>
          <w:sz w:val="20"/>
          <w:szCs w:val="20"/>
        </w:rPr>
        <w:t>%, respectively, as of December 31, 2021</w:t>
      </w:r>
      <w:r>
        <w:rPr>
          <w:sz w:val="20"/>
          <w:szCs w:val="20"/>
        </w:rPr>
        <w:t>.</w:t>
      </w:r>
    </w:p>
    <w:p w:rsidR="00000000" w:rsidRDefault="00477EE8">
      <w:pPr>
        <w:pStyle w:val="a3"/>
        <w:spacing w:before="240" w:beforeAutospacing="0" w:after="0" w:afterAutospacing="0"/>
        <w:ind w:firstLine="555"/>
        <w:divId w:val="863523485"/>
        <w:rPr>
          <w:sz w:val="20"/>
          <w:szCs w:val="20"/>
        </w:rPr>
      </w:pPr>
      <w:r>
        <w:rPr>
          <w:i/>
          <w:iCs/>
          <w:sz w:val="20"/>
          <w:szCs w:val="20"/>
        </w:rPr>
        <w:t>Contracts assets and liabilitie</w:t>
      </w:r>
      <w:r>
        <w:rPr>
          <w:i/>
          <w:iCs/>
          <w:sz w:val="20"/>
          <w:szCs w:val="20"/>
        </w:rPr>
        <w:t>s</w:t>
      </w:r>
      <w:r>
        <w:rPr>
          <w:sz w:val="20"/>
          <w:szCs w:val="20"/>
        </w:rPr>
        <w:t xml:space="preserve"> - Contract assets from co</w:t>
      </w:r>
      <w:r>
        <w:rPr>
          <w:sz w:val="20"/>
          <w:szCs w:val="20"/>
        </w:rPr>
        <w:t>ntracts with customers associated with contract execution and certain costs to fulfill a contract are included in other current assets in the accompanying Consolidated Balance Sheets. Contract liabilities are recorded when the Company receives payment prio</w:t>
      </w:r>
      <w:r>
        <w:rPr>
          <w:sz w:val="20"/>
          <w:szCs w:val="20"/>
        </w:rPr>
        <w:t xml:space="preserve">r to completing its obligation to transfer goods or services to a customer. Contract liabilities are included in the Consolidated Balance Sheets. Revenues of </w:t>
      </w:r>
      <w:r>
        <w:rPr>
          <w:sz w:val="20"/>
          <w:szCs w:val="20"/>
        </w:rPr>
        <w:t>$</w:t>
      </w:r>
      <w:r>
        <w:rPr>
          <w:sz w:val="20"/>
          <w:szCs w:val="20"/>
        </w:rPr>
        <w:t>14.</w:t>
      </w:r>
      <w:r>
        <w:rPr>
          <w:sz w:val="20"/>
          <w:szCs w:val="20"/>
        </w:rPr>
        <w:t>4</w:t>
      </w:r>
      <w:r>
        <w:rPr>
          <w:sz w:val="20"/>
          <w:szCs w:val="20"/>
        </w:rPr>
        <w:t xml:space="preserve"> millio</w:t>
      </w:r>
      <w:r>
        <w:rPr>
          <w:sz w:val="20"/>
          <w:szCs w:val="20"/>
        </w:rPr>
        <w:t>n</w:t>
      </w:r>
      <w:r>
        <w:rPr>
          <w:sz w:val="20"/>
          <w:szCs w:val="20"/>
        </w:rPr>
        <w:t xml:space="preserve">, </w:t>
      </w:r>
      <w:r>
        <w:rPr>
          <w:sz w:val="20"/>
          <w:szCs w:val="20"/>
        </w:rPr>
        <w:t>$</w:t>
      </w:r>
      <w:r>
        <w:rPr>
          <w:sz w:val="20"/>
          <w:szCs w:val="20"/>
        </w:rPr>
        <w:t>26.</w:t>
      </w:r>
      <w:r>
        <w:rPr>
          <w:sz w:val="20"/>
          <w:szCs w:val="20"/>
        </w:rPr>
        <w:t>4</w:t>
      </w:r>
      <w:r>
        <w:rPr>
          <w:sz w:val="20"/>
          <w:szCs w:val="20"/>
        </w:rPr>
        <w:t xml:space="preserve"> million and </w:t>
      </w:r>
      <w:r>
        <w:rPr>
          <w:sz w:val="20"/>
          <w:szCs w:val="20"/>
        </w:rPr>
        <w:t>$</w:t>
      </w:r>
      <w:r>
        <w:rPr>
          <w:sz w:val="20"/>
          <w:szCs w:val="20"/>
        </w:rPr>
        <w:t>257,00</w:t>
      </w:r>
      <w:r>
        <w:rPr>
          <w:sz w:val="20"/>
          <w:szCs w:val="20"/>
        </w:rPr>
        <w:t>0</w:t>
      </w:r>
      <w:r>
        <w:rPr>
          <w:sz w:val="20"/>
          <w:szCs w:val="20"/>
        </w:rPr>
        <w:t xml:space="preserve"> for the years ended December 31, 2022, 2021, and 2020, r</w:t>
      </w:r>
      <w:r>
        <w:rPr>
          <w:sz w:val="20"/>
          <w:szCs w:val="20"/>
        </w:rPr>
        <w:t>espectively, related to contract liabilities at the beginning of the respective periods were recognized</w:t>
      </w:r>
      <w:r>
        <w:rPr>
          <w:sz w:val="20"/>
          <w:szCs w:val="20"/>
        </w:rPr>
        <w:t>.</w:t>
      </w:r>
    </w:p>
    <w:p w:rsidR="00000000" w:rsidRDefault="00477EE8">
      <w:pPr>
        <w:pStyle w:val="a3"/>
        <w:spacing w:before="240" w:beforeAutospacing="0" w:after="0" w:afterAutospacing="0"/>
        <w:jc w:val="center"/>
        <w:divId w:val="863523485"/>
        <w:rPr>
          <w:sz w:val="20"/>
          <w:szCs w:val="20"/>
        </w:rPr>
      </w:pPr>
      <w:r>
        <w:rPr>
          <w:sz w:val="20"/>
          <w:szCs w:val="20"/>
        </w:rPr>
        <w:t>F</w:t>
      </w:r>
      <w:r>
        <w:rPr>
          <w:sz w:val="20"/>
          <w:szCs w:val="20"/>
        </w:rPr>
        <w:t>-</w:t>
      </w:r>
      <w:r>
        <w:rPr>
          <w:sz w:val="20"/>
          <w:szCs w:val="20"/>
        </w:rPr>
        <w:t>1</w:t>
      </w:r>
      <w:r>
        <w:rPr>
          <w:sz w:val="20"/>
          <w:szCs w:val="20"/>
        </w:rPr>
        <w:t>8</w:t>
      </w:r>
    </w:p>
    <w:p w:rsidR="00000000" w:rsidRDefault="00477EE8">
      <w:pPr>
        <w:divId w:val="863523485"/>
        <w:rPr>
          <w:rFonts w:eastAsia="Times New Roman"/>
          <w:sz w:val="20"/>
          <w:szCs w:val="20"/>
        </w:rPr>
      </w:pPr>
      <w:r>
        <w:rPr>
          <w:rFonts w:eastAsia="Times New Roman"/>
          <w:sz w:val="20"/>
          <w:szCs w:val="20"/>
        </w:rPr>
        <w:pict>
          <v:rect id="_x0000_i1129" style="width:0;height:1.5pt" o:hralign="center" o:hrstd="t" o:hr="t" fillcolor="#a0a0a0" stroked="f"/>
        </w:pict>
      </w:r>
    </w:p>
    <w:p w:rsidR="00000000" w:rsidRDefault="00477EE8">
      <w:pPr>
        <w:pStyle w:val="a3"/>
        <w:spacing w:before="360" w:beforeAutospacing="0" w:after="0" w:afterAutospacing="0"/>
        <w:divId w:val="863523485"/>
        <w:rPr>
          <w:sz w:val="20"/>
          <w:szCs w:val="20"/>
        </w:rPr>
      </w:pPr>
      <w:r>
        <w:rPr>
          <w:b/>
          <w:bCs/>
          <w:i/>
          <w:iCs/>
          <w:sz w:val="20"/>
          <w:szCs w:val="20"/>
        </w:rPr>
        <w:t>Transaction Price Allocated to Future Performance Obligation</w:t>
      </w:r>
      <w:r>
        <w:rPr>
          <w:b/>
          <w:bCs/>
          <w:i/>
          <w:iCs/>
          <w:sz w:val="20"/>
          <w:szCs w:val="20"/>
        </w:rPr>
        <w:t>s</w:t>
      </w:r>
    </w:p>
    <w:p w:rsidR="00000000" w:rsidRDefault="00477EE8">
      <w:pPr>
        <w:pStyle w:val="a3"/>
        <w:spacing w:before="120" w:beforeAutospacing="0" w:after="0" w:afterAutospacing="0"/>
        <w:ind w:firstLine="555"/>
        <w:divId w:val="863523485"/>
        <w:rPr>
          <w:sz w:val="20"/>
          <w:szCs w:val="20"/>
        </w:rPr>
      </w:pPr>
      <w:r>
        <w:rPr>
          <w:sz w:val="20"/>
          <w:szCs w:val="20"/>
        </w:rPr>
        <w:t>ASC 606</w:t>
      </w:r>
      <w:r>
        <w:rPr>
          <w:sz w:val="20"/>
          <w:szCs w:val="20"/>
        </w:rPr>
        <w:t>,</w:t>
      </w:r>
      <w:r>
        <w:rPr>
          <w:i/>
          <w:iCs/>
          <w:sz w:val="20"/>
          <w:szCs w:val="20"/>
        </w:rPr>
        <w:t xml:space="preserve"> Revenue from Contracts with Customer</w:t>
      </w:r>
      <w:r>
        <w:rPr>
          <w:i/>
          <w:iCs/>
          <w:sz w:val="20"/>
          <w:szCs w:val="20"/>
        </w:rPr>
        <w:t>s</w:t>
      </w:r>
      <w:r>
        <w:rPr>
          <w:sz w:val="20"/>
          <w:szCs w:val="20"/>
        </w:rPr>
        <w:t xml:space="preserve">, issued by the Financial Accounting Standards Board, or FASB, requires that the Company disclose the aggregate amount of transaction price that is </w:t>
      </w:r>
      <w:r>
        <w:rPr>
          <w:sz w:val="20"/>
          <w:szCs w:val="20"/>
        </w:rPr>
        <w:t xml:space="preserve">allocated to performance obligations that have not yet been satisfied as December 31, 2022. ASC 606 provides certain practical expedients that limit the requirement to disclose the aggregate amount of transaction price allocated to unsatisfied performance </w:t>
      </w:r>
      <w:r>
        <w:rPr>
          <w:sz w:val="20"/>
          <w:szCs w:val="20"/>
        </w:rPr>
        <w:t>obligations</w:t>
      </w:r>
      <w:r>
        <w:rPr>
          <w:sz w:val="20"/>
          <w:szCs w:val="20"/>
        </w:rPr>
        <w:t>.</w:t>
      </w:r>
    </w:p>
    <w:p w:rsidR="00000000" w:rsidRDefault="00477EE8">
      <w:pPr>
        <w:pStyle w:val="a3"/>
        <w:spacing w:before="240" w:beforeAutospacing="0" w:after="0" w:afterAutospacing="0"/>
        <w:ind w:firstLine="555"/>
        <w:divId w:val="863523485"/>
        <w:rPr>
          <w:sz w:val="20"/>
          <w:szCs w:val="20"/>
        </w:rPr>
      </w:pPr>
      <w:r>
        <w:rPr>
          <w:sz w:val="20"/>
          <w:szCs w:val="20"/>
        </w:rPr>
        <w:t>The Company applied the practical expedient to</w:t>
      </w:r>
      <w:r>
        <w:rPr>
          <w:sz w:val="20"/>
          <w:szCs w:val="20"/>
        </w:rPr>
        <w:t xml:space="preserve"> </w:t>
      </w:r>
      <w:r>
        <w:rPr>
          <w:sz w:val="20"/>
          <w:szCs w:val="20"/>
        </w:rPr>
        <w:t>n</w:t>
      </w:r>
      <w:r>
        <w:rPr>
          <w:sz w:val="20"/>
          <w:szCs w:val="20"/>
        </w:rPr>
        <w:t>o</w:t>
      </w:r>
      <w:r>
        <w:rPr>
          <w:sz w:val="20"/>
          <w:szCs w:val="20"/>
        </w:rPr>
        <w:t>t disclose the amount of transaction price allocated to unsatisfied performance obligations when the performance obligation is part of a contract that has an original expected duration of one ye</w:t>
      </w:r>
      <w:r>
        <w:rPr>
          <w:sz w:val="20"/>
          <w:szCs w:val="20"/>
        </w:rPr>
        <w:t>ar or less. The Company does not have material future obligations associated with COVID 19, molecular diagnostic or genetic testing services that extend beyond one year</w:t>
      </w:r>
      <w:r>
        <w:rPr>
          <w:sz w:val="20"/>
          <w:szCs w:val="20"/>
        </w:rPr>
        <w:t>.</w:t>
      </w:r>
    </w:p>
    <w:p w:rsidR="00000000" w:rsidRDefault="00477EE8">
      <w:pPr>
        <w:pStyle w:val="a3"/>
        <w:spacing w:before="0" w:beforeAutospacing="0" w:after="0" w:afterAutospacing="0"/>
        <w:divId w:val="433210078"/>
        <w:rPr>
          <w:sz w:val="20"/>
          <w:szCs w:val="20"/>
        </w:rPr>
      </w:pPr>
      <w:r>
        <w:rPr>
          <w:sz w:val="20"/>
          <w:szCs w:val="20"/>
        </w:rPr>
        <w:t> </w:t>
      </w:r>
    </w:p>
    <w:p w:rsidR="00000000" w:rsidRDefault="00477EE8">
      <w:pPr>
        <w:pStyle w:val="a3"/>
        <w:spacing w:before="160" w:beforeAutospacing="0" w:after="0" w:afterAutospacing="0"/>
        <w:divId w:val="1831017414"/>
        <w:rPr>
          <w:sz w:val="20"/>
          <w:szCs w:val="20"/>
        </w:rPr>
      </w:pPr>
      <w:r>
        <w:rPr>
          <w:b/>
          <w:bCs/>
          <w:sz w:val="20"/>
          <w:szCs w:val="20"/>
        </w:rPr>
        <w:t>Recent Accounting Pronouncement</w:t>
      </w:r>
      <w:r>
        <w:rPr>
          <w:b/>
          <w:bCs/>
          <w:sz w:val="20"/>
          <w:szCs w:val="20"/>
        </w:rPr>
        <w:t>s</w:t>
      </w:r>
    </w:p>
    <w:p w:rsidR="00000000" w:rsidRDefault="00477EE8">
      <w:pPr>
        <w:pStyle w:val="a3"/>
        <w:spacing w:before="120" w:beforeAutospacing="0" w:after="0" w:afterAutospacing="0"/>
        <w:ind w:firstLine="555"/>
        <w:divId w:val="1831017414"/>
        <w:rPr>
          <w:sz w:val="20"/>
          <w:szCs w:val="20"/>
        </w:rPr>
      </w:pPr>
      <w:r>
        <w:rPr>
          <w:sz w:val="20"/>
          <w:szCs w:val="20"/>
        </w:rPr>
        <w:t>The Company evaluates all ASUs issued by FASB for c</w:t>
      </w:r>
      <w:r>
        <w:rPr>
          <w:sz w:val="20"/>
          <w:szCs w:val="20"/>
        </w:rPr>
        <w:t>onsideration of their applicability. ASUs not included in the Company’s disclosures were assessed and determined to be either not applicable or are not expected to have a material impact on the Company’s consolidated financial statements or disclosures</w:t>
      </w:r>
      <w:r>
        <w:rPr>
          <w:sz w:val="20"/>
          <w:szCs w:val="20"/>
        </w:rPr>
        <w:t>.</w:t>
      </w:r>
    </w:p>
    <w:p w:rsidR="00000000" w:rsidRDefault="00477EE8">
      <w:pPr>
        <w:pStyle w:val="a3"/>
        <w:spacing w:before="360" w:beforeAutospacing="0" w:after="0" w:afterAutospacing="0"/>
        <w:divId w:val="35131218"/>
        <w:rPr>
          <w:sz w:val="20"/>
          <w:szCs w:val="20"/>
        </w:rPr>
      </w:pPr>
      <w:r>
        <w:rPr>
          <w:b/>
          <w:bCs/>
          <w:sz w:val="20"/>
          <w:szCs w:val="20"/>
        </w:rPr>
        <w:t>No</w:t>
      </w:r>
      <w:r>
        <w:rPr>
          <w:b/>
          <w:bCs/>
          <w:sz w:val="20"/>
          <w:szCs w:val="20"/>
        </w:rPr>
        <w:t>te 3. Equity and Debt Securitie</w:t>
      </w:r>
      <w:r>
        <w:rPr>
          <w:b/>
          <w:bCs/>
          <w:sz w:val="20"/>
          <w:szCs w:val="20"/>
        </w:rPr>
        <w:t>s</w:t>
      </w:r>
    </w:p>
    <w:p w:rsidR="00000000" w:rsidRDefault="00477EE8">
      <w:pPr>
        <w:pStyle w:val="a3"/>
        <w:spacing w:before="120" w:beforeAutospacing="0" w:after="0" w:afterAutospacing="0"/>
        <w:ind w:firstLine="555"/>
        <w:divId w:val="532575697"/>
        <w:rPr>
          <w:sz w:val="20"/>
          <w:szCs w:val="20"/>
        </w:rPr>
      </w:pPr>
      <w:r>
        <w:rPr>
          <w:sz w:val="20"/>
          <w:szCs w:val="20"/>
        </w:rPr>
        <w:t>The Company’s equity and debt securities consisted of the following</w:t>
      </w:r>
      <w:r>
        <w:rPr>
          <w:sz w:val="20"/>
          <w:szCs w:val="20"/>
        </w:rPr>
        <w:t>:</w:t>
      </w:r>
    </w:p>
    <w:p w:rsidR="00000000" w:rsidRDefault="00477EE8">
      <w:pPr>
        <w:pStyle w:val="a3"/>
        <w:spacing w:before="0" w:beforeAutospacing="0" w:after="0" w:afterAutospacing="0"/>
        <w:divId w:val="532575697"/>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72"/>
        <w:gridCol w:w="160"/>
        <w:gridCol w:w="877"/>
        <w:gridCol w:w="127"/>
        <w:gridCol w:w="110"/>
        <w:gridCol w:w="161"/>
        <w:gridCol w:w="834"/>
        <w:gridCol w:w="110"/>
        <w:gridCol w:w="110"/>
        <w:gridCol w:w="160"/>
        <w:gridCol w:w="853"/>
        <w:gridCol w:w="127"/>
        <w:gridCol w:w="110"/>
        <w:gridCol w:w="160"/>
        <w:gridCol w:w="893"/>
        <w:gridCol w:w="142"/>
      </w:tblGrid>
      <w:tr w:rsidR="00000000">
        <w:trPr>
          <w:divId w:val="532575697"/>
          <w:tblCellSpacing w:w="15" w:type="dxa"/>
        </w:trPr>
        <w:tc>
          <w:tcPr>
            <w:tcW w:w="2157"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567"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1"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55"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1"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67"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77"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divId w:val="532575697"/>
          <w:trHeight w:val="160"/>
          <w:tblCellSpacing w:w="15" w:type="dxa"/>
        </w:trPr>
        <w:tc>
          <w:tcPr>
            <w:tcW w:w="0" w:type="auto"/>
            <w:vAlign w:val="center"/>
            <w:hideMark/>
          </w:tcPr>
          <w:p w:rsidR="00000000" w:rsidRDefault="00477EE8">
            <w:pPr>
              <w:pStyle w:val="a3"/>
              <w:spacing w:before="0" w:beforeAutospacing="0" w:after="0" w:afterAutospacing="0"/>
              <w:rPr>
                <w:sz w:val="20"/>
                <w:szCs w:val="20"/>
              </w:rPr>
            </w:pPr>
            <w:r>
              <w:rPr>
                <w:sz w:val="20"/>
                <w:szCs w:val="20"/>
              </w:rPr>
              <w:t> </w:t>
            </w:r>
          </w:p>
        </w:tc>
        <w:tc>
          <w:tcPr>
            <w:tcW w:w="0" w:type="auto"/>
            <w:gridSpan w:val="14"/>
            <w:vAlign w:val="center"/>
            <w:hideMark/>
          </w:tcPr>
          <w:p w:rsidR="00000000" w:rsidRDefault="00477EE8">
            <w:pPr>
              <w:pStyle w:val="a3"/>
              <w:spacing w:before="0" w:beforeAutospacing="0" w:after="0" w:afterAutospacing="0"/>
              <w:jc w:val="center"/>
              <w:rPr>
                <w:sz w:val="16"/>
                <w:szCs w:val="16"/>
              </w:rPr>
            </w:pPr>
            <w:r>
              <w:rPr>
                <w:b/>
                <w:bCs/>
                <w:sz w:val="16"/>
                <w:szCs w:val="16"/>
              </w:rPr>
              <w:t>December 31, 202</w:t>
            </w:r>
            <w:r>
              <w:rPr>
                <w:b/>
                <w:bCs/>
                <w:sz w:val="16"/>
                <w:szCs w:val="16"/>
              </w:rPr>
              <w:t>2</w:t>
            </w:r>
          </w:p>
        </w:tc>
        <w:tc>
          <w:tcPr>
            <w:tcW w:w="0" w:type="auto"/>
            <w:vAlign w:val="center"/>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532575697"/>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Amortized</w:t>
            </w:r>
            <w:r>
              <w:rPr>
                <w:b/>
                <w:bCs/>
                <w:sz w:val="16"/>
                <w:szCs w:val="16"/>
              </w:rPr>
              <w:br/>
              <w:t>Cost Basi</w:t>
            </w:r>
            <w:r>
              <w:rPr>
                <w:b/>
                <w:bCs/>
                <w:sz w:val="16"/>
                <w:szCs w:val="16"/>
              </w:rPr>
              <w:t>s</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Unrealized</w:t>
            </w:r>
            <w:r>
              <w:rPr>
                <w:b/>
                <w:bCs/>
                <w:sz w:val="16"/>
                <w:szCs w:val="16"/>
              </w:rPr>
              <w:br/>
              <w:t>Gain</w:t>
            </w:r>
            <w:r>
              <w:rPr>
                <w:b/>
                <w:bCs/>
                <w:sz w:val="16"/>
                <w:szCs w:val="16"/>
              </w:rPr>
              <w:t>s</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Unrealized</w:t>
            </w:r>
            <w:r>
              <w:rPr>
                <w:b/>
                <w:bCs/>
                <w:sz w:val="16"/>
                <w:szCs w:val="16"/>
              </w:rPr>
              <w:br/>
              <w:t>Losse</w:t>
            </w:r>
            <w:r>
              <w:rPr>
                <w:b/>
                <w:bCs/>
                <w:sz w:val="16"/>
                <w:szCs w:val="16"/>
              </w:rPr>
              <w:t>s</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Aggregate</w:t>
            </w:r>
            <w:r>
              <w:rPr>
                <w:b/>
                <w:bCs/>
                <w:sz w:val="16"/>
                <w:szCs w:val="16"/>
              </w:rPr>
              <w:br/>
            </w:r>
            <w:r>
              <w:rPr>
                <w:b/>
                <w:bCs/>
                <w:sz w:val="16"/>
                <w:szCs w:val="16"/>
              </w:rPr>
              <w:t>Fair Valu</w:t>
            </w:r>
            <w:r>
              <w:rPr>
                <w:b/>
                <w:bCs/>
                <w:sz w:val="16"/>
                <w:szCs w:val="16"/>
              </w:rPr>
              <w:t>e</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532575697"/>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14"/>
            <w:vAlign w:val="bottom"/>
            <w:hideMark/>
          </w:tcPr>
          <w:p w:rsidR="00000000" w:rsidRDefault="00477EE8">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b/>
                <w:bCs/>
                <w:sz w:val="20"/>
                <w:szCs w:val="20"/>
              </w:rPr>
              <w:t>Equity securities</w:t>
            </w:r>
            <w:r>
              <w:rPr>
                <w:b/>
                <w:bCs/>
                <w:sz w:val="20"/>
                <w:szCs w:val="20"/>
              </w:rPr>
              <w:t>:</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Long-ter</w:t>
            </w:r>
            <w:r>
              <w:rPr>
                <w:sz w:val="20"/>
                <w:szCs w:val="20"/>
              </w:rPr>
              <w:t>m</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400"/>
              <w:rPr>
                <w:sz w:val="20"/>
                <w:szCs w:val="20"/>
              </w:rPr>
            </w:pPr>
            <w:r>
              <w:rPr>
                <w:sz w:val="20"/>
                <w:szCs w:val="20"/>
              </w:rPr>
              <w:t>Preferred stock of privately held compan</w:t>
            </w:r>
            <w:r>
              <w:rPr>
                <w:sz w:val="20"/>
                <w:szCs w:val="20"/>
              </w:rPr>
              <w:t>y</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600"/>
              <w:rPr>
                <w:sz w:val="20"/>
                <w:szCs w:val="20"/>
              </w:rPr>
            </w:pPr>
            <w:r>
              <w:rPr>
                <w:sz w:val="20"/>
                <w:szCs w:val="20"/>
              </w:rPr>
              <w:t>Total equity securitie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b/>
                <w:bCs/>
                <w:sz w:val="20"/>
                <w:szCs w:val="20"/>
              </w:rPr>
              <w:t>Available-for-sale debt securitie</w:t>
            </w:r>
            <w:r>
              <w:rPr>
                <w:b/>
                <w:bCs/>
                <w:sz w:val="20"/>
                <w:szCs w:val="20"/>
              </w:rPr>
              <w:t>s</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Short-ter</w:t>
            </w:r>
            <w:r>
              <w:rPr>
                <w:sz w:val="20"/>
                <w:szCs w:val="20"/>
              </w:rPr>
              <w:t>m</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400"/>
              <w:rPr>
                <w:sz w:val="20"/>
                <w:szCs w:val="20"/>
              </w:rPr>
            </w:pPr>
            <w:r>
              <w:rPr>
                <w:sz w:val="20"/>
                <w:szCs w:val="20"/>
              </w:rPr>
              <w:t>U.S. government debt securitie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189,33</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3,37</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185,96</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400"/>
              <w:rPr>
                <w:sz w:val="20"/>
                <w:szCs w:val="20"/>
              </w:rPr>
            </w:pPr>
            <w:r>
              <w:rPr>
                <w:sz w:val="20"/>
                <w:szCs w:val="20"/>
              </w:rPr>
              <w:t>Corporate debt securitie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120,48</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2,22</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118,25</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400"/>
              <w:rPr>
                <w:sz w:val="20"/>
                <w:szCs w:val="20"/>
              </w:rPr>
            </w:pPr>
            <w:r>
              <w:rPr>
                <w:sz w:val="20"/>
                <w:szCs w:val="20"/>
              </w:rPr>
              <w:t>U.S. treasury bill</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69,99</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19</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69,79</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400"/>
              <w:rPr>
                <w:sz w:val="20"/>
                <w:szCs w:val="20"/>
              </w:rPr>
            </w:pPr>
            <w:r>
              <w:rPr>
                <w:sz w:val="20"/>
                <w:szCs w:val="20"/>
              </w:rPr>
              <w:t>U.S. agency debt securitie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68,41</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34</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68,06</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400"/>
              <w:rPr>
                <w:sz w:val="20"/>
                <w:szCs w:val="20"/>
              </w:rPr>
            </w:pPr>
            <w:r>
              <w:rPr>
                <w:sz w:val="20"/>
                <w:szCs w:val="20"/>
              </w:rPr>
              <w:t>Money market account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27,45</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27,45</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400"/>
              <w:rPr>
                <w:sz w:val="20"/>
                <w:szCs w:val="20"/>
              </w:rPr>
            </w:pPr>
            <w:r>
              <w:rPr>
                <w:sz w:val="20"/>
                <w:szCs w:val="20"/>
              </w:rPr>
              <w:t>Municipal bond</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7,37</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8</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7,29</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400"/>
              <w:rPr>
                <w:sz w:val="20"/>
                <w:szCs w:val="20"/>
              </w:rPr>
            </w:pPr>
            <w:r>
              <w:rPr>
                <w:sz w:val="20"/>
                <w:szCs w:val="20"/>
              </w:rPr>
              <w:t>Yankee debt securitie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2,34</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2,34</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400"/>
              <w:rPr>
                <w:sz w:val="20"/>
                <w:szCs w:val="20"/>
              </w:rPr>
            </w:pPr>
            <w:r>
              <w:rPr>
                <w:sz w:val="20"/>
                <w:szCs w:val="20"/>
              </w:rPr>
              <w:t>Less: Cash equivalent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32,44</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32,44</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600"/>
              <w:rPr>
                <w:sz w:val="20"/>
                <w:szCs w:val="20"/>
              </w:rPr>
            </w:pPr>
            <w:r>
              <w:rPr>
                <w:sz w:val="20"/>
                <w:szCs w:val="20"/>
              </w:rPr>
              <w:t>Total debt securities due within 1 yea</w:t>
            </w:r>
            <w:r>
              <w:rPr>
                <w:sz w:val="20"/>
                <w:szCs w:val="20"/>
              </w:rPr>
              <w:t>r</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452,94</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6,21</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446,72</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After 1 year through 5 year</w:t>
            </w:r>
            <w:r>
              <w:rPr>
                <w:sz w:val="20"/>
                <w:szCs w:val="20"/>
              </w:rPr>
              <w:t>s</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400"/>
              <w:rPr>
                <w:sz w:val="20"/>
                <w:szCs w:val="20"/>
              </w:rPr>
            </w:pPr>
            <w:r>
              <w:rPr>
                <w:sz w:val="20"/>
                <w:szCs w:val="20"/>
              </w:rPr>
              <w:t>U.S. government debt securitie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152,43</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6,34</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146,08</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400"/>
              <w:rPr>
                <w:sz w:val="20"/>
                <w:szCs w:val="20"/>
              </w:rPr>
            </w:pPr>
            <w:r>
              <w:rPr>
                <w:sz w:val="20"/>
                <w:szCs w:val="20"/>
              </w:rPr>
              <w:t>U.S. agency debt securitie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92,05</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3,43</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88,61</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400"/>
              <w:rPr>
                <w:sz w:val="20"/>
                <w:szCs w:val="20"/>
              </w:rPr>
            </w:pPr>
            <w:r>
              <w:rPr>
                <w:sz w:val="20"/>
                <w:szCs w:val="20"/>
              </w:rPr>
              <w:t>Corporate debt securitie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80,64</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4,75</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75,89</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400"/>
              <w:rPr>
                <w:sz w:val="20"/>
                <w:szCs w:val="20"/>
              </w:rPr>
            </w:pPr>
            <w:r>
              <w:rPr>
                <w:sz w:val="20"/>
                <w:szCs w:val="20"/>
              </w:rPr>
              <w:t>Municipal bond</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12,06</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21</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11,84</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400"/>
              <w:rPr>
                <w:sz w:val="20"/>
                <w:szCs w:val="20"/>
              </w:rPr>
            </w:pPr>
            <w:r>
              <w:rPr>
                <w:sz w:val="20"/>
                <w:szCs w:val="20"/>
              </w:rPr>
              <w:t>Yankee debt securitie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75</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8</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66</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400"/>
              <w:rPr>
                <w:sz w:val="20"/>
                <w:szCs w:val="20"/>
              </w:rPr>
            </w:pPr>
            <w:r>
              <w:rPr>
                <w:sz w:val="20"/>
                <w:szCs w:val="20"/>
              </w:rPr>
              <w:t>Redeemable preferred stock investmen</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20,00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7,61</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12,38</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600"/>
              <w:rPr>
                <w:sz w:val="20"/>
                <w:szCs w:val="20"/>
              </w:rPr>
            </w:pPr>
            <w:r>
              <w:rPr>
                <w:sz w:val="20"/>
                <w:szCs w:val="20"/>
              </w:rPr>
              <w:t>Total debt securities due after 1 year through 5 year</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357,95</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22,45</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335,49</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After 5 years through 10 year</w:t>
            </w:r>
            <w:r>
              <w:rPr>
                <w:sz w:val="20"/>
                <w:szCs w:val="20"/>
              </w:rPr>
              <w:t>s</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400"/>
              <w:rPr>
                <w:sz w:val="20"/>
                <w:szCs w:val="20"/>
              </w:rPr>
            </w:pPr>
            <w:r>
              <w:rPr>
                <w:sz w:val="20"/>
                <w:szCs w:val="20"/>
              </w:rPr>
              <w:t>Municipal bond</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3,61</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8</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3,53</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600"/>
              <w:rPr>
                <w:sz w:val="20"/>
                <w:szCs w:val="20"/>
              </w:rPr>
            </w:pPr>
            <w:r>
              <w:rPr>
                <w:sz w:val="20"/>
                <w:szCs w:val="20"/>
              </w:rPr>
              <w:t>Total debt securities due after 5 years through 10 year</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3,61</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8</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3,53</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800"/>
              <w:rPr>
                <w:sz w:val="20"/>
                <w:szCs w:val="20"/>
              </w:rPr>
            </w:pPr>
            <w:r>
              <w:rPr>
                <w:sz w:val="20"/>
                <w:szCs w:val="20"/>
              </w:rPr>
              <w:t>Total available-for-sale debt securitie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814,51</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28,75</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785,76</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800"/>
              <w:rPr>
                <w:sz w:val="20"/>
                <w:szCs w:val="20"/>
              </w:rPr>
            </w:pPr>
            <w:r>
              <w:rPr>
                <w:sz w:val="20"/>
                <w:szCs w:val="20"/>
              </w:rPr>
              <w:t>Total equity and debt securitie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829,51</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28,75</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800,76</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0" w:beforeAutospacing="0" w:after="0" w:afterAutospacing="0"/>
        <w:divId w:val="532575697"/>
        <w:rPr>
          <w:sz w:val="20"/>
          <w:szCs w:val="20"/>
        </w:rPr>
      </w:pPr>
      <w:r>
        <w:rPr>
          <w:sz w:val="20"/>
          <w:szCs w:val="20"/>
        </w:rPr>
        <w:t> </w:t>
      </w:r>
    </w:p>
    <w:p w:rsidR="00000000" w:rsidRDefault="00477EE8">
      <w:pPr>
        <w:pStyle w:val="a3"/>
        <w:spacing w:before="240" w:beforeAutospacing="0" w:after="0" w:afterAutospacing="0"/>
        <w:jc w:val="center"/>
        <w:divId w:val="532575697"/>
        <w:rPr>
          <w:sz w:val="20"/>
          <w:szCs w:val="20"/>
        </w:rPr>
      </w:pPr>
      <w:r>
        <w:rPr>
          <w:sz w:val="20"/>
          <w:szCs w:val="20"/>
        </w:rPr>
        <w:t>F</w:t>
      </w:r>
      <w:r>
        <w:rPr>
          <w:sz w:val="20"/>
          <w:szCs w:val="20"/>
        </w:rPr>
        <w:t>-</w:t>
      </w:r>
      <w:r>
        <w:rPr>
          <w:sz w:val="20"/>
          <w:szCs w:val="20"/>
        </w:rPr>
        <w:t>1</w:t>
      </w:r>
      <w:r>
        <w:rPr>
          <w:sz w:val="20"/>
          <w:szCs w:val="20"/>
        </w:rPr>
        <w:t>9</w:t>
      </w:r>
    </w:p>
    <w:p w:rsidR="00000000" w:rsidRDefault="00477EE8">
      <w:pPr>
        <w:divId w:val="532575697"/>
        <w:rPr>
          <w:rFonts w:eastAsia="Times New Roman"/>
          <w:sz w:val="20"/>
          <w:szCs w:val="20"/>
        </w:rPr>
      </w:pPr>
      <w:r>
        <w:rPr>
          <w:rFonts w:eastAsia="Times New Roman"/>
          <w:sz w:val="20"/>
          <w:szCs w:val="20"/>
        </w:rPr>
        <w:pict>
          <v:rect id="_x0000_i1130" style="width:0;height:1.5pt" o:hralign="center" o:hrstd="t" o:hr="t" fillcolor="#a0a0a0" stroked="f"/>
        </w:pict>
      </w:r>
    </w:p>
    <w:p w:rsidR="00000000" w:rsidRDefault="00477EE8">
      <w:pPr>
        <w:pStyle w:val="a3"/>
        <w:spacing w:before="0" w:beforeAutospacing="0" w:after="0" w:afterAutospacing="0"/>
        <w:divId w:val="532575697"/>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56"/>
        <w:gridCol w:w="160"/>
        <w:gridCol w:w="875"/>
        <w:gridCol w:w="127"/>
        <w:gridCol w:w="110"/>
        <w:gridCol w:w="161"/>
        <w:gridCol w:w="850"/>
        <w:gridCol w:w="110"/>
        <w:gridCol w:w="110"/>
        <w:gridCol w:w="161"/>
        <w:gridCol w:w="866"/>
        <w:gridCol w:w="127"/>
        <w:gridCol w:w="110"/>
        <w:gridCol w:w="160"/>
        <w:gridCol w:w="881"/>
        <w:gridCol w:w="142"/>
      </w:tblGrid>
      <w:tr w:rsidR="00000000">
        <w:trPr>
          <w:divId w:val="532575697"/>
          <w:tblCellSpacing w:w="15" w:type="dxa"/>
        </w:trPr>
        <w:tc>
          <w:tcPr>
            <w:tcW w:w="2144"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563"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7"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53"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7"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63"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7"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73"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divId w:val="532575697"/>
          <w:trHeight w:val="160"/>
          <w:tblCellSpacing w:w="15" w:type="dxa"/>
        </w:trPr>
        <w:tc>
          <w:tcPr>
            <w:tcW w:w="0" w:type="auto"/>
            <w:vAlign w:val="center"/>
            <w:hideMark/>
          </w:tcPr>
          <w:p w:rsidR="00000000" w:rsidRDefault="00477EE8">
            <w:pPr>
              <w:pStyle w:val="a3"/>
              <w:spacing w:before="0" w:beforeAutospacing="0" w:after="0" w:afterAutospacing="0"/>
              <w:rPr>
                <w:sz w:val="20"/>
                <w:szCs w:val="20"/>
              </w:rPr>
            </w:pPr>
            <w:r>
              <w:rPr>
                <w:sz w:val="20"/>
                <w:szCs w:val="20"/>
              </w:rPr>
              <w:t> </w:t>
            </w:r>
          </w:p>
        </w:tc>
        <w:tc>
          <w:tcPr>
            <w:tcW w:w="0" w:type="auto"/>
            <w:gridSpan w:val="14"/>
            <w:vAlign w:val="center"/>
            <w:hideMark/>
          </w:tcPr>
          <w:p w:rsidR="00000000" w:rsidRDefault="00477EE8">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center"/>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532575697"/>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Amortized</w:t>
            </w:r>
            <w:r>
              <w:rPr>
                <w:b/>
                <w:bCs/>
                <w:sz w:val="16"/>
                <w:szCs w:val="16"/>
              </w:rPr>
              <w:br/>
              <w:t>Cost Basi</w:t>
            </w:r>
            <w:r>
              <w:rPr>
                <w:b/>
                <w:bCs/>
                <w:sz w:val="16"/>
                <w:szCs w:val="16"/>
              </w:rPr>
              <w:t>s</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Unrealized</w:t>
            </w:r>
            <w:r>
              <w:rPr>
                <w:b/>
                <w:bCs/>
                <w:sz w:val="16"/>
                <w:szCs w:val="16"/>
              </w:rPr>
              <w:br/>
              <w:t>Gain</w:t>
            </w:r>
            <w:r>
              <w:rPr>
                <w:b/>
                <w:bCs/>
                <w:sz w:val="16"/>
                <w:szCs w:val="16"/>
              </w:rPr>
              <w:t>s</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Unrealized</w:t>
            </w:r>
            <w:r>
              <w:rPr>
                <w:b/>
                <w:bCs/>
                <w:sz w:val="16"/>
                <w:szCs w:val="16"/>
              </w:rPr>
              <w:br/>
              <w:t>Losse</w:t>
            </w:r>
            <w:r>
              <w:rPr>
                <w:b/>
                <w:bCs/>
                <w:sz w:val="16"/>
                <w:szCs w:val="16"/>
              </w:rPr>
              <w:t>s</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Aggregate</w:t>
            </w:r>
            <w:r>
              <w:rPr>
                <w:b/>
                <w:bCs/>
                <w:sz w:val="16"/>
                <w:szCs w:val="16"/>
              </w:rPr>
              <w:br/>
              <w:t>Fair Valu</w:t>
            </w:r>
            <w:r>
              <w:rPr>
                <w:b/>
                <w:bCs/>
                <w:sz w:val="16"/>
                <w:szCs w:val="16"/>
              </w:rPr>
              <w:t>e</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532575697"/>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14"/>
            <w:vAlign w:val="bottom"/>
            <w:hideMark/>
          </w:tcPr>
          <w:p w:rsidR="00000000" w:rsidRDefault="00477EE8">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b/>
                <w:bCs/>
                <w:sz w:val="20"/>
                <w:szCs w:val="20"/>
              </w:rPr>
              <w:t>Equity securities</w:t>
            </w:r>
            <w:r>
              <w:rPr>
                <w:b/>
                <w:bCs/>
                <w:sz w:val="20"/>
                <w:szCs w:val="20"/>
              </w:rPr>
              <w:t>:</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Short-ter</w:t>
            </w:r>
            <w:r>
              <w:rPr>
                <w:sz w:val="20"/>
                <w:szCs w:val="20"/>
              </w:rPr>
              <w:t>m</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400"/>
              <w:rPr>
                <w:sz w:val="20"/>
                <w:szCs w:val="20"/>
              </w:rPr>
            </w:pPr>
            <w:r>
              <w:rPr>
                <w:sz w:val="20"/>
                <w:szCs w:val="20"/>
              </w:rPr>
              <w:t>Bond fund</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99,31</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51</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98,79</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400"/>
              <w:rPr>
                <w:sz w:val="20"/>
                <w:szCs w:val="20"/>
              </w:rPr>
            </w:pPr>
            <w:r>
              <w:rPr>
                <w:sz w:val="20"/>
                <w:szCs w:val="20"/>
              </w:rPr>
              <w:t>Exchange traded fund</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35,17</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17</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35,00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600"/>
              <w:rPr>
                <w:sz w:val="20"/>
                <w:szCs w:val="20"/>
              </w:rPr>
            </w:pPr>
            <w:r>
              <w:rPr>
                <w:sz w:val="20"/>
                <w:szCs w:val="20"/>
              </w:rPr>
              <w:t>Total equity securitie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134,48</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68</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133,79</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b/>
                <w:bCs/>
                <w:sz w:val="20"/>
                <w:szCs w:val="20"/>
              </w:rPr>
              <w:t>Available-for-sale debt securitie</w:t>
            </w:r>
            <w:r>
              <w:rPr>
                <w:b/>
                <w:bCs/>
                <w:sz w:val="20"/>
                <w:szCs w:val="20"/>
              </w:rPr>
              <w:t>s</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Short-ter</w:t>
            </w:r>
            <w:r>
              <w:rPr>
                <w:sz w:val="20"/>
                <w:szCs w:val="20"/>
              </w:rPr>
              <w:t>m</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400"/>
              <w:rPr>
                <w:sz w:val="20"/>
                <w:szCs w:val="20"/>
              </w:rPr>
            </w:pPr>
            <w:r>
              <w:rPr>
                <w:sz w:val="20"/>
                <w:szCs w:val="20"/>
              </w:rPr>
              <w:t>Corporate debt securitie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92,11</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14</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91,99</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400"/>
              <w:rPr>
                <w:sz w:val="20"/>
                <w:szCs w:val="20"/>
              </w:rPr>
            </w:pPr>
            <w:r>
              <w:rPr>
                <w:sz w:val="20"/>
                <w:szCs w:val="20"/>
              </w:rPr>
              <w:t>Money market account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77,06</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77,06</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400"/>
              <w:rPr>
                <w:sz w:val="20"/>
                <w:szCs w:val="20"/>
              </w:rPr>
            </w:pPr>
            <w:r>
              <w:rPr>
                <w:sz w:val="20"/>
                <w:szCs w:val="20"/>
              </w:rPr>
              <w:t>U.S. government debt securitie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51,31</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8</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51,23</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400"/>
              <w:rPr>
                <w:sz w:val="20"/>
                <w:szCs w:val="20"/>
              </w:rPr>
            </w:pPr>
            <w:r>
              <w:rPr>
                <w:sz w:val="20"/>
                <w:szCs w:val="20"/>
              </w:rPr>
              <w:t>Municipal bond</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4,98</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1</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4,96</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400"/>
              <w:rPr>
                <w:sz w:val="20"/>
                <w:szCs w:val="20"/>
              </w:rPr>
            </w:pPr>
            <w:r>
              <w:rPr>
                <w:sz w:val="20"/>
                <w:szCs w:val="20"/>
              </w:rPr>
              <w:t>Yankee debt securitie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3,61</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3,60</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400"/>
              <w:rPr>
                <w:sz w:val="20"/>
                <w:szCs w:val="20"/>
              </w:rPr>
            </w:pPr>
            <w:r>
              <w:rPr>
                <w:sz w:val="20"/>
                <w:szCs w:val="20"/>
              </w:rPr>
              <w:t>Less: Cash equivalent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77,06</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77,06</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600"/>
              <w:rPr>
                <w:sz w:val="20"/>
                <w:szCs w:val="20"/>
              </w:rPr>
            </w:pPr>
            <w:r>
              <w:rPr>
                <w:sz w:val="20"/>
                <w:szCs w:val="20"/>
              </w:rPr>
              <w:t>Total debt securities due within 1 yea</w:t>
            </w:r>
            <w:r>
              <w:rPr>
                <w:sz w:val="20"/>
                <w:szCs w:val="20"/>
              </w:rPr>
              <w:t>r</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152,02</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24</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151,80</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After 1 year through 5 year</w:t>
            </w:r>
            <w:r>
              <w:rPr>
                <w:sz w:val="20"/>
                <w:szCs w:val="20"/>
              </w:rPr>
              <w:t>s</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400"/>
              <w:rPr>
                <w:sz w:val="20"/>
                <w:szCs w:val="20"/>
              </w:rPr>
            </w:pPr>
            <w:r>
              <w:rPr>
                <w:sz w:val="20"/>
                <w:szCs w:val="20"/>
              </w:rPr>
              <w:t>Corporate debt securitie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242,42</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1,91</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240,53</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400"/>
              <w:rPr>
                <w:sz w:val="20"/>
                <w:szCs w:val="20"/>
              </w:rPr>
            </w:pPr>
            <w:r>
              <w:rPr>
                <w:sz w:val="20"/>
                <w:szCs w:val="20"/>
              </w:rPr>
              <w:t>U.S. government debt securitie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147,69</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78</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146,92</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400"/>
              <w:rPr>
                <w:sz w:val="20"/>
                <w:szCs w:val="20"/>
              </w:rPr>
            </w:pPr>
            <w:r>
              <w:rPr>
                <w:sz w:val="20"/>
                <w:szCs w:val="20"/>
              </w:rPr>
              <w:t>U.S. agency debt securitie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70,06</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53</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69,53</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400"/>
              <w:rPr>
                <w:sz w:val="20"/>
                <w:szCs w:val="20"/>
              </w:rPr>
            </w:pPr>
            <w:r>
              <w:rPr>
                <w:sz w:val="20"/>
                <w:szCs w:val="20"/>
              </w:rPr>
              <w:t>Municipal bond</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11,92</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1</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11,92</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400"/>
              <w:rPr>
                <w:sz w:val="20"/>
                <w:szCs w:val="20"/>
              </w:rPr>
            </w:pPr>
            <w:r>
              <w:rPr>
                <w:sz w:val="20"/>
                <w:szCs w:val="20"/>
              </w:rPr>
              <w:t>Yankee debt securitie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8,63</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8</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8,54</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600"/>
              <w:rPr>
                <w:sz w:val="20"/>
                <w:szCs w:val="20"/>
              </w:rPr>
            </w:pPr>
            <w:r>
              <w:rPr>
                <w:sz w:val="20"/>
                <w:szCs w:val="20"/>
              </w:rPr>
              <w:t>Total debt securities due after 1 year through 5 year</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480,74</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3,33</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477,45</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After 5 years through 10 year</w:t>
            </w:r>
            <w:r>
              <w:rPr>
                <w:sz w:val="20"/>
                <w:szCs w:val="20"/>
              </w:rPr>
              <w:t>s</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400"/>
              <w:rPr>
                <w:sz w:val="20"/>
                <w:szCs w:val="20"/>
              </w:rPr>
            </w:pPr>
            <w:r>
              <w:rPr>
                <w:sz w:val="20"/>
                <w:szCs w:val="20"/>
              </w:rPr>
              <w:t>Municipal bond</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7,63</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4</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7,59</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400"/>
              <w:rPr>
                <w:sz w:val="20"/>
                <w:szCs w:val="20"/>
              </w:rPr>
            </w:pPr>
            <w:r>
              <w:rPr>
                <w:sz w:val="20"/>
                <w:szCs w:val="20"/>
              </w:rPr>
              <w:t>Redeemable preferred stock investmen</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20,00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1,96</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21,96</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600"/>
              <w:rPr>
                <w:sz w:val="20"/>
                <w:szCs w:val="20"/>
              </w:rPr>
            </w:pPr>
            <w:r>
              <w:rPr>
                <w:sz w:val="20"/>
                <w:szCs w:val="20"/>
              </w:rPr>
              <w:t>Total debt securities due after 5 years through 10 year</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27,63</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1,96</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4</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29,55</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800"/>
              <w:rPr>
                <w:sz w:val="20"/>
                <w:szCs w:val="20"/>
              </w:rPr>
            </w:pPr>
            <w:r>
              <w:rPr>
                <w:sz w:val="20"/>
                <w:szCs w:val="20"/>
              </w:rPr>
              <w:t>Total available-for-sale debt securitie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660,40</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2,03</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3,62</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658,81</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32575697"/>
          <w:trHeight w:val="200"/>
          <w:tblCellSpacing w:w="15" w:type="dxa"/>
        </w:trPr>
        <w:tc>
          <w:tcPr>
            <w:tcW w:w="0" w:type="auto"/>
            <w:vAlign w:val="bottom"/>
            <w:hideMark/>
          </w:tcPr>
          <w:p w:rsidR="00000000" w:rsidRDefault="00477EE8">
            <w:pPr>
              <w:pStyle w:val="a3"/>
              <w:spacing w:before="0" w:beforeAutospacing="0" w:after="0" w:afterAutospacing="0"/>
              <w:ind w:left="800"/>
              <w:rPr>
                <w:sz w:val="20"/>
                <w:szCs w:val="20"/>
              </w:rPr>
            </w:pPr>
            <w:r>
              <w:rPr>
                <w:sz w:val="20"/>
                <w:szCs w:val="20"/>
              </w:rPr>
              <w:t>Total equity and debt securitie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794,89</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2,03</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4,31</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792,61</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120" w:beforeAutospacing="0" w:after="0" w:afterAutospacing="0"/>
        <w:ind w:firstLine="555"/>
        <w:divId w:val="35131218"/>
        <w:rPr>
          <w:sz w:val="20"/>
          <w:szCs w:val="20"/>
        </w:rPr>
      </w:pPr>
      <w:r>
        <w:rPr>
          <w:sz w:val="20"/>
          <w:szCs w:val="20"/>
        </w:rPr>
        <w:t xml:space="preserve">Gross unrealized losses on the Company’s equity and debt securities were </w:t>
      </w:r>
      <w:r>
        <w:rPr>
          <w:sz w:val="20"/>
          <w:szCs w:val="20"/>
        </w:rPr>
        <w:t>$</w:t>
      </w:r>
      <w:r>
        <w:rPr>
          <w:sz w:val="20"/>
          <w:szCs w:val="20"/>
        </w:rPr>
        <w:t>28.</w:t>
      </w:r>
      <w:r>
        <w:rPr>
          <w:sz w:val="20"/>
          <w:szCs w:val="20"/>
        </w:rPr>
        <w:t>8</w:t>
      </w:r>
      <w:r>
        <w:rPr>
          <w:sz w:val="20"/>
          <w:szCs w:val="20"/>
        </w:rPr>
        <w:t xml:space="preserve"> millio</w:t>
      </w:r>
      <w:r>
        <w:rPr>
          <w:sz w:val="20"/>
          <w:szCs w:val="20"/>
        </w:rPr>
        <w:t>n</w:t>
      </w:r>
      <w:r>
        <w:rPr>
          <w:sz w:val="20"/>
          <w:szCs w:val="20"/>
        </w:rPr>
        <w:t xml:space="preserve"> and </w:t>
      </w:r>
      <w:r>
        <w:rPr>
          <w:sz w:val="20"/>
          <w:szCs w:val="20"/>
        </w:rPr>
        <w:t>$</w:t>
      </w:r>
      <w:r>
        <w:rPr>
          <w:sz w:val="20"/>
          <w:szCs w:val="20"/>
        </w:rPr>
        <w:t>4.</w:t>
      </w:r>
      <w:r>
        <w:rPr>
          <w:sz w:val="20"/>
          <w:szCs w:val="20"/>
        </w:rPr>
        <w:t>3</w:t>
      </w:r>
      <w:r>
        <w:rPr>
          <w:sz w:val="20"/>
          <w:szCs w:val="20"/>
        </w:rPr>
        <w:t xml:space="preserve"> million as of December 31, 2022 and 2021, respectively. The Company did not recognize any credit losses for its available-for-sale debt securities in 2022 and 2</w:t>
      </w:r>
      <w:r>
        <w:rPr>
          <w:sz w:val="20"/>
          <w:szCs w:val="20"/>
        </w:rPr>
        <w:t>021</w:t>
      </w:r>
      <w:r>
        <w:rPr>
          <w:sz w:val="20"/>
          <w:szCs w:val="20"/>
        </w:rPr>
        <w:t>.</w:t>
      </w:r>
    </w:p>
    <w:p w:rsidR="00000000" w:rsidRDefault="00477EE8">
      <w:pPr>
        <w:pStyle w:val="a3"/>
        <w:spacing w:before="240" w:beforeAutospacing="0" w:after="0" w:afterAutospacing="0"/>
        <w:ind w:firstLine="555"/>
        <w:divId w:val="35131218"/>
        <w:rPr>
          <w:sz w:val="20"/>
          <w:szCs w:val="20"/>
        </w:rPr>
      </w:pPr>
      <w:r>
        <w:rPr>
          <w:sz w:val="20"/>
          <w:szCs w:val="20"/>
        </w:rPr>
        <w:t xml:space="preserve">The Company’s marketable securities of </w:t>
      </w:r>
      <w:r>
        <w:rPr>
          <w:sz w:val="20"/>
          <w:szCs w:val="20"/>
        </w:rPr>
        <w:t>$</w:t>
      </w:r>
      <w:r>
        <w:rPr>
          <w:sz w:val="20"/>
          <w:szCs w:val="20"/>
        </w:rPr>
        <w:t>472.</w:t>
      </w:r>
      <w:r>
        <w:rPr>
          <w:sz w:val="20"/>
          <w:szCs w:val="20"/>
        </w:rPr>
        <w:t>8</w:t>
      </w:r>
      <w:r>
        <w:rPr>
          <w:sz w:val="20"/>
          <w:szCs w:val="20"/>
        </w:rPr>
        <w:t xml:space="preserve"> million, managed by the custodian of the Company’s marketable debt security investment account, of which the Company has an outstanding margin loan, is used as collateral for the margin account borrowing. </w:t>
      </w:r>
      <w:r>
        <w:rPr>
          <w:sz w:val="20"/>
          <w:szCs w:val="20"/>
        </w:rPr>
        <w:t>See Note 8,</w:t>
      </w:r>
      <w:r>
        <w:rPr>
          <w:sz w:val="20"/>
          <w:szCs w:val="20"/>
        </w:rPr>
        <w:t xml:space="preserve"> </w:t>
      </w:r>
      <w:r>
        <w:rPr>
          <w:i/>
          <w:iCs/>
          <w:sz w:val="20"/>
          <w:szCs w:val="20"/>
        </w:rPr>
        <w:t>Debt, Commitments and Contingencie</w:t>
      </w:r>
      <w:r>
        <w:rPr>
          <w:i/>
          <w:iCs/>
          <w:sz w:val="20"/>
          <w:szCs w:val="20"/>
        </w:rPr>
        <w:t>s</w:t>
      </w:r>
      <w:r>
        <w:rPr>
          <w:sz w:val="20"/>
          <w:szCs w:val="20"/>
        </w:rPr>
        <w:t>, for more information on the margin loan</w:t>
      </w:r>
      <w:r>
        <w:rPr>
          <w:sz w:val="20"/>
          <w:szCs w:val="20"/>
        </w:rPr>
        <w:t>.</w:t>
      </w:r>
    </w:p>
    <w:p w:rsidR="00000000" w:rsidRDefault="00477EE8">
      <w:pPr>
        <w:pStyle w:val="a3"/>
        <w:spacing w:before="0" w:beforeAutospacing="0" w:after="0" w:afterAutospacing="0"/>
        <w:rPr>
          <w:sz w:val="20"/>
          <w:szCs w:val="20"/>
        </w:rPr>
      </w:pPr>
      <w:r>
        <w:rPr>
          <w:sz w:val="20"/>
          <w:szCs w:val="20"/>
        </w:rPr>
        <w:t> </w:t>
      </w:r>
    </w:p>
    <w:p w:rsidR="00000000" w:rsidRDefault="00477EE8">
      <w:pPr>
        <w:pStyle w:val="a3"/>
        <w:spacing w:before="240" w:beforeAutospacing="0" w:after="0" w:afterAutospacing="0"/>
        <w:jc w:val="center"/>
        <w:rPr>
          <w:sz w:val="20"/>
          <w:szCs w:val="20"/>
        </w:rPr>
      </w:pPr>
      <w:r>
        <w:rPr>
          <w:sz w:val="20"/>
          <w:szCs w:val="20"/>
        </w:rPr>
        <w:t>F</w:t>
      </w:r>
      <w:r>
        <w:rPr>
          <w:sz w:val="20"/>
          <w:szCs w:val="20"/>
        </w:rPr>
        <w:t>-</w:t>
      </w:r>
      <w:r>
        <w:rPr>
          <w:sz w:val="20"/>
          <w:szCs w:val="20"/>
        </w:rPr>
        <w:t>2</w:t>
      </w:r>
      <w:r>
        <w:rPr>
          <w:sz w:val="20"/>
          <w:szCs w:val="20"/>
        </w:rPr>
        <w:t>0</w:t>
      </w:r>
    </w:p>
    <w:p w:rsidR="00000000" w:rsidRDefault="00477EE8">
      <w:pPr>
        <w:rPr>
          <w:rFonts w:eastAsia="Times New Roman"/>
        </w:rPr>
      </w:pPr>
      <w:r>
        <w:rPr>
          <w:rFonts w:eastAsia="Times New Roman"/>
        </w:rPr>
        <w:pict>
          <v:rect id="_x0000_i1131" style="width:0;height:1.5pt" o:hralign="center" o:hrstd="t" o:hr="t" fillcolor="#a0a0a0" stroked="f"/>
        </w:pict>
      </w:r>
    </w:p>
    <w:p w:rsidR="00000000" w:rsidRDefault="00477EE8">
      <w:pPr>
        <w:pStyle w:val="a3"/>
        <w:spacing w:before="160" w:beforeAutospacing="0" w:after="0" w:afterAutospacing="0"/>
        <w:divId w:val="2146240561"/>
        <w:rPr>
          <w:sz w:val="20"/>
          <w:szCs w:val="20"/>
        </w:rPr>
      </w:pPr>
      <w:r>
        <w:rPr>
          <w:b/>
          <w:bCs/>
          <w:sz w:val="20"/>
          <w:szCs w:val="20"/>
        </w:rPr>
        <w:t>Note 4. Fair Value Measurement</w:t>
      </w:r>
      <w:r>
        <w:rPr>
          <w:b/>
          <w:bCs/>
          <w:sz w:val="20"/>
          <w:szCs w:val="20"/>
        </w:rPr>
        <w:t>s</w:t>
      </w:r>
      <w:r>
        <w:rPr>
          <w:b/>
          <w:bCs/>
          <w:sz w:val="20"/>
          <w:szCs w:val="20"/>
        </w:rPr>
        <w:t xml:space="preserve"> </w:t>
      </w:r>
    </w:p>
    <w:p w:rsidR="00000000" w:rsidRDefault="00477EE8">
      <w:pPr>
        <w:pStyle w:val="a3"/>
        <w:spacing w:before="120" w:beforeAutospacing="0" w:after="0" w:afterAutospacing="0"/>
        <w:ind w:firstLine="555"/>
        <w:divId w:val="2146240561"/>
        <w:rPr>
          <w:sz w:val="20"/>
          <w:szCs w:val="20"/>
        </w:rPr>
      </w:pPr>
      <w:r>
        <w:rPr>
          <w:sz w:val="20"/>
          <w:szCs w:val="20"/>
        </w:rPr>
        <w:t xml:space="preserve">The authoritative guidance on fair value measurements establishes a framework with respect to measuring assets and liabilities at fair value on a recurring basis and non-recurring basis. </w:t>
      </w:r>
      <w:r>
        <w:rPr>
          <w:sz w:val="20"/>
          <w:szCs w:val="20"/>
        </w:rPr>
        <w:t>Under the framework, fair value is defined as the exit price, or the amount that would be received to sell an asset or paid to transfer a liability in an orderly transaction between market participants, as of the measurement date. The framework also establ</w:t>
      </w:r>
      <w:r>
        <w:rPr>
          <w:sz w:val="20"/>
          <w:szCs w:val="20"/>
        </w:rPr>
        <w:t xml:space="preserve">ishes a three-tier hierarchy for inputs used in measuring fair value that maximizes the use of observable inputs and minimizes the use of unobservable inputs by requiring that the most observable inputs be used when available. Observable inputs are inputs </w:t>
      </w:r>
      <w:r>
        <w:rPr>
          <w:sz w:val="20"/>
          <w:szCs w:val="20"/>
        </w:rPr>
        <w:t>market participants would use in valuing the asset or liability and are developed based on market data obtained from sources independent of the Company. Unobservable inputs are inputs that reflect the Company’s assumptions about the factors market particip</w:t>
      </w:r>
      <w:r>
        <w:rPr>
          <w:sz w:val="20"/>
          <w:szCs w:val="20"/>
        </w:rPr>
        <w:t>ants would use in valuing the asset or liability and are developed based on the best information available in the circumstances. The hierarchy consists of the following three levels</w:t>
      </w:r>
      <w:r>
        <w:rPr>
          <w:sz w:val="20"/>
          <w:szCs w:val="20"/>
        </w:rPr>
        <w:t>:</w:t>
      </w:r>
      <w:r>
        <w:rPr>
          <w:sz w:val="20"/>
          <w:szCs w:val="20"/>
        </w:rPr>
        <w:t xml:space="preserve"> </w:t>
      </w:r>
    </w:p>
    <w:p w:rsidR="00000000" w:rsidRDefault="00477EE8">
      <w:pPr>
        <w:pStyle w:val="a3"/>
        <w:spacing w:before="0" w:beforeAutospacing="0" w:after="0" w:afterAutospacing="0"/>
        <w:divId w:val="2146240561"/>
        <w:rPr>
          <w:sz w:val="20"/>
          <w:szCs w:val="20"/>
        </w:rPr>
      </w:pPr>
      <w:r>
        <w:rPr>
          <w:sz w:val="12"/>
          <w:szCs w:val="12"/>
        </w:rPr>
        <w:t> </w:t>
      </w:r>
    </w:p>
    <w:tbl>
      <w:tblPr>
        <w:tblW w:w="4750" w:type="pct"/>
        <w:tblCellSpacing w:w="15" w:type="dxa"/>
        <w:tblInd w:w="5" w:type="dxa"/>
        <w:tblCellMar>
          <w:top w:w="15" w:type="dxa"/>
          <w:left w:w="15" w:type="dxa"/>
          <w:bottom w:w="15" w:type="dxa"/>
          <w:right w:w="15" w:type="dxa"/>
        </w:tblCellMar>
        <w:tblLook w:val="04A0" w:firstRow="1" w:lastRow="0" w:firstColumn="1" w:lastColumn="0" w:noHBand="0" w:noVBand="1"/>
      </w:tblPr>
      <w:tblGrid>
        <w:gridCol w:w="800"/>
        <w:gridCol w:w="7091"/>
      </w:tblGrid>
      <w:tr w:rsidR="00000000">
        <w:trPr>
          <w:divId w:val="2146240561"/>
          <w:tblCellSpacing w:w="15" w:type="dxa"/>
        </w:trPr>
        <w:tc>
          <w:tcPr>
            <w:tcW w:w="484" w:type="pct"/>
            <w:vAlign w:val="center"/>
            <w:hideMark/>
          </w:tcPr>
          <w:p w:rsidR="00000000" w:rsidRDefault="00477EE8">
            <w:pPr>
              <w:rPr>
                <w:sz w:val="20"/>
                <w:szCs w:val="20"/>
              </w:rPr>
            </w:pPr>
          </w:p>
        </w:tc>
        <w:tc>
          <w:tcPr>
            <w:tcW w:w="4515" w:type="pct"/>
            <w:vAlign w:val="center"/>
            <w:hideMark/>
          </w:tcPr>
          <w:p w:rsidR="00000000" w:rsidRDefault="00477EE8">
            <w:pPr>
              <w:rPr>
                <w:rFonts w:eastAsia="Times New Roman"/>
                <w:sz w:val="20"/>
                <w:szCs w:val="20"/>
              </w:rPr>
            </w:pPr>
          </w:p>
        </w:tc>
      </w:tr>
      <w:tr w:rsidR="00000000">
        <w:trPr>
          <w:divId w:val="2146240561"/>
          <w:trHeight w:val="619"/>
          <w:tblCellSpacing w:w="15" w:type="dxa"/>
        </w:trPr>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r>
              <w:rPr>
                <w:sz w:val="20"/>
                <w:szCs w:val="20"/>
              </w:rPr>
              <w:t>Level 1</w:t>
            </w:r>
            <w:r>
              <w:rPr>
                <w:sz w:val="20"/>
                <w:szCs w:val="20"/>
              </w:rPr>
              <w:t>:</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r>
              <w:rPr>
                <w:sz w:val="20"/>
                <w:szCs w:val="20"/>
              </w:rPr>
              <w:t>Inputs are quoted prices (unadjusted) in active markets for identical assets or liabilities that the reporting entity can access at the measurement date</w:t>
            </w:r>
            <w:r>
              <w:rPr>
                <w:sz w:val="20"/>
                <w:szCs w:val="20"/>
              </w:rPr>
              <w:t>.</w:t>
            </w:r>
          </w:p>
        </w:tc>
      </w:tr>
      <w:tr w:rsidR="00000000">
        <w:trPr>
          <w:divId w:val="2146240561"/>
          <w:trHeight w:val="619"/>
          <w:tblCellSpacing w:w="15" w:type="dxa"/>
        </w:trPr>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r>
              <w:rPr>
                <w:sz w:val="20"/>
                <w:szCs w:val="20"/>
              </w:rPr>
              <w:t>Level 2</w:t>
            </w:r>
            <w:r>
              <w:rPr>
                <w:sz w:val="20"/>
                <w:szCs w:val="20"/>
              </w:rPr>
              <w:t>:</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r>
              <w:rPr>
                <w:sz w:val="20"/>
                <w:szCs w:val="20"/>
              </w:rPr>
              <w:t>Inputs are inputs other than quoted prices included within Level 1 that are observable for t</w:t>
            </w:r>
            <w:r>
              <w:rPr>
                <w:sz w:val="20"/>
                <w:szCs w:val="20"/>
              </w:rPr>
              <w:t>he asset or liability, either directly or indirectly</w:t>
            </w:r>
            <w:r>
              <w:rPr>
                <w:sz w:val="20"/>
                <w:szCs w:val="20"/>
              </w:rPr>
              <w:t>.</w:t>
            </w:r>
          </w:p>
        </w:tc>
      </w:tr>
      <w:tr w:rsidR="00000000">
        <w:trPr>
          <w:divId w:val="2146240561"/>
          <w:trHeight w:val="302"/>
          <w:tblCellSpacing w:w="15" w:type="dxa"/>
        </w:trPr>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r>
              <w:rPr>
                <w:sz w:val="20"/>
                <w:szCs w:val="20"/>
              </w:rPr>
              <w:t>Level 3</w:t>
            </w:r>
            <w:r>
              <w:rPr>
                <w:sz w:val="20"/>
                <w:szCs w:val="20"/>
              </w:rPr>
              <w:t>:</w:t>
            </w:r>
          </w:p>
        </w:tc>
        <w:tc>
          <w:tcPr>
            <w:tcW w:w="0" w:type="auto"/>
            <w:tcMar>
              <w:top w:w="14" w:type="dxa"/>
              <w:left w:w="15" w:type="dxa"/>
              <w:bottom w:w="15" w:type="dxa"/>
              <w:right w:w="14" w:type="dxa"/>
            </w:tcMar>
            <w:hideMark/>
          </w:tcPr>
          <w:p w:rsidR="00000000" w:rsidRDefault="00477EE8">
            <w:pPr>
              <w:pStyle w:val="a3"/>
              <w:spacing w:before="0" w:beforeAutospacing="0" w:after="0" w:afterAutospacing="0"/>
              <w:rPr>
                <w:sz w:val="20"/>
                <w:szCs w:val="20"/>
              </w:rPr>
            </w:pPr>
            <w:r>
              <w:rPr>
                <w:sz w:val="20"/>
                <w:szCs w:val="20"/>
              </w:rPr>
              <w:t>Inputs are unobservable for the asset or liability</w:t>
            </w:r>
            <w:r>
              <w:rPr>
                <w:sz w:val="20"/>
                <w:szCs w:val="20"/>
              </w:rPr>
              <w:t>.</w:t>
            </w:r>
          </w:p>
        </w:tc>
      </w:tr>
    </w:tbl>
    <w:p w:rsidR="00000000" w:rsidRDefault="00477EE8">
      <w:pPr>
        <w:pStyle w:val="a3"/>
        <w:spacing w:before="240" w:beforeAutospacing="0" w:after="0" w:afterAutospacing="0"/>
        <w:ind w:firstLine="555"/>
        <w:divId w:val="1625231951"/>
        <w:rPr>
          <w:sz w:val="20"/>
          <w:szCs w:val="20"/>
        </w:rPr>
      </w:pPr>
      <w:r>
        <w:rPr>
          <w:sz w:val="20"/>
          <w:szCs w:val="20"/>
        </w:rPr>
        <w:t>The following tables present information about the Company’s financial assets measured at fair value on a recurring basis, based on the thr</w:t>
      </w:r>
      <w:r>
        <w:rPr>
          <w:sz w:val="20"/>
          <w:szCs w:val="20"/>
        </w:rPr>
        <w:t>ee-tier fair value hierarchy</w:t>
      </w:r>
      <w:r>
        <w:rPr>
          <w:sz w:val="20"/>
          <w:szCs w:val="20"/>
        </w:rPr>
        <w:t>:</w:t>
      </w:r>
    </w:p>
    <w:p w:rsidR="00000000" w:rsidRDefault="00477EE8">
      <w:pPr>
        <w:pStyle w:val="a3"/>
        <w:spacing w:before="0" w:beforeAutospacing="0" w:after="0" w:afterAutospacing="0"/>
        <w:divId w:val="1625231951"/>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87"/>
        <w:gridCol w:w="160"/>
        <w:gridCol w:w="851"/>
        <w:gridCol w:w="110"/>
        <w:gridCol w:w="110"/>
        <w:gridCol w:w="160"/>
        <w:gridCol w:w="836"/>
        <w:gridCol w:w="110"/>
        <w:gridCol w:w="110"/>
        <w:gridCol w:w="160"/>
        <w:gridCol w:w="838"/>
        <w:gridCol w:w="110"/>
        <w:gridCol w:w="110"/>
        <w:gridCol w:w="160"/>
        <w:gridCol w:w="869"/>
        <w:gridCol w:w="125"/>
      </w:tblGrid>
      <w:tr w:rsidR="00000000">
        <w:trPr>
          <w:divId w:val="1625231951"/>
          <w:tblCellSpacing w:w="15" w:type="dxa"/>
        </w:trPr>
        <w:tc>
          <w:tcPr>
            <w:tcW w:w="2224"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544"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9"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44"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9"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44"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9"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64"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divId w:val="1625231951"/>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14"/>
            <w:hideMark/>
          </w:tcPr>
          <w:p w:rsidR="00000000" w:rsidRDefault="00477EE8">
            <w:pPr>
              <w:pStyle w:val="a3"/>
              <w:spacing w:before="0" w:beforeAutospacing="0" w:after="0" w:afterAutospacing="0"/>
              <w:jc w:val="center"/>
              <w:rPr>
                <w:sz w:val="16"/>
                <w:szCs w:val="16"/>
              </w:rPr>
            </w:pPr>
            <w:r>
              <w:rPr>
                <w:b/>
                <w:bCs/>
                <w:sz w:val="16"/>
                <w:szCs w:val="16"/>
              </w:rPr>
              <w:t>December 31, 202</w:t>
            </w:r>
            <w:r>
              <w:rPr>
                <w:b/>
                <w:bCs/>
                <w:sz w:val="16"/>
                <w:szCs w:val="16"/>
              </w:rPr>
              <w:t>2</w:t>
            </w:r>
          </w:p>
        </w:tc>
        <w:tc>
          <w:tcPr>
            <w:tcW w:w="0" w:type="auto"/>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625231951"/>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 xml:space="preserve">Level </w:t>
            </w:r>
            <w:r>
              <w:rPr>
                <w:b/>
                <w:bCs/>
                <w:sz w:val="16"/>
                <w:szCs w:val="16"/>
              </w:rPr>
              <w:t>1</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 xml:space="preserve">Level </w:t>
            </w:r>
            <w:r>
              <w:rPr>
                <w:b/>
                <w:bCs/>
                <w:sz w:val="16"/>
                <w:szCs w:val="16"/>
              </w:rPr>
              <w:t>2</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 xml:space="preserve">Level </w:t>
            </w:r>
            <w:r>
              <w:rPr>
                <w:b/>
                <w:bCs/>
                <w:sz w:val="16"/>
                <w:szCs w:val="16"/>
              </w:rPr>
              <w:t>3</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625231951"/>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14"/>
            <w:vAlign w:val="bottom"/>
            <w:hideMark/>
          </w:tcPr>
          <w:p w:rsidR="00000000" w:rsidRDefault="00477EE8">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625231951"/>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b/>
                <w:bCs/>
                <w:sz w:val="20"/>
                <w:szCs w:val="20"/>
              </w:rPr>
              <w:t>Equity securities, debt securities and cash equivalents</w:t>
            </w:r>
            <w:r>
              <w:rPr>
                <w:b/>
                <w:bCs/>
                <w:sz w:val="20"/>
                <w:szCs w:val="20"/>
              </w:rPr>
              <w:t>:</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625231951"/>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U.S. government debt securitie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332,04</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332,04</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625231951"/>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Corporate debt securitie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194,14</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194,14</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625231951"/>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U.S. agency debt securitie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156,68</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156,68</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625231951"/>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U.S. treasury bill</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69,79</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69,79</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625231951"/>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Money market account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27,45</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27,45</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625231951"/>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Municipal bond</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22,67</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22,67</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625231951"/>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Preferred stock of privately held compan</w:t>
            </w:r>
            <w:r>
              <w:rPr>
                <w:sz w:val="20"/>
                <w:szCs w:val="20"/>
              </w:rPr>
              <w:t>y</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625231951"/>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Redeemable preferred stock investmen</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12,38</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12,38</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625231951"/>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Yankee debt securitie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3,01</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3,01</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625231951"/>
          <w:trHeight w:val="200"/>
          <w:tblCellSpacing w:w="15" w:type="dxa"/>
        </w:trPr>
        <w:tc>
          <w:tcPr>
            <w:tcW w:w="0" w:type="auto"/>
            <w:vAlign w:val="bottom"/>
            <w:hideMark/>
          </w:tcPr>
          <w:p w:rsidR="00000000" w:rsidRDefault="00477EE8">
            <w:pPr>
              <w:pStyle w:val="a3"/>
              <w:spacing w:before="0" w:beforeAutospacing="0" w:after="0" w:afterAutospacing="0"/>
              <w:ind w:left="400"/>
              <w:rPr>
                <w:sz w:val="20"/>
                <w:szCs w:val="20"/>
              </w:rPr>
            </w:pPr>
            <w:r>
              <w:rPr>
                <w:sz w:val="20"/>
                <w:szCs w:val="20"/>
              </w:rPr>
              <w:t>Total equity securities, debt securities and cash equivalent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833,20</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97,25</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708,56</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27,38</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0" w:beforeAutospacing="0" w:after="0" w:afterAutospacing="0"/>
        <w:divId w:val="1625231951"/>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87"/>
        <w:gridCol w:w="160"/>
        <w:gridCol w:w="851"/>
        <w:gridCol w:w="110"/>
        <w:gridCol w:w="110"/>
        <w:gridCol w:w="160"/>
        <w:gridCol w:w="836"/>
        <w:gridCol w:w="110"/>
        <w:gridCol w:w="110"/>
        <w:gridCol w:w="160"/>
        <w:gridCol w:w="838"/>
        <w:gridCol w:w="110"/>
        <w:gridCol w:w="110"/>
        <w:gridCol w:w="160"/>
        <w:gridCol w:w="869"/>
        <w:gridCol w:w="125"/>
      </w:tblGrid>
      <w:tr w:rsidR="00000000">
        <w:trPr>
          <w:divId w:val="1625231951"/>
          <w:tblCellSpacing w:w="15" w:type="dxa"/>
        </w:trPr>
        <w:tc>
          <w:tcPr>
            <w:tcW w:w="2224"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544"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9"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44"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9"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44"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9"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64"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divId w:val="1625231951"/>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14"/>
            <w:hideMark/>
          </w:tcPr>
          <w:p w:rsidR="00000000" w:rsidRDefault="00477EE8">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625231951"/>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 xml:space="preserve">Level </w:t>
            </w:r>
            <w:r>
              <w:rPr>
                <w:b/>
                <w:bCs/>
                <w:sz w:val="16"/>
                <w:szCs w:val="16"/>
              </w:rPr>
              <w:t>1</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 xml:space="preserve">Level </w:t>
            </w:r>
            <w:r>
              <w:rPr>
                <w:b/>
                <w:bCs/>
                <w:sz w:val="16"/>
                <w:szCs w:val="16"/>
              </w:rPr>
              <w:t>2</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 xml:space="preserve">Level </w:t>
            </w:r>
            <w:r>
              <w:rPr>
                <w:b/>
                <w:bCs/>
                <w:sz w:val="16"/>
                <w:szCs w:val="16"/>
              </w:rPr>
              <w:t>3</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625231951"/>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14"/>
            <w:vAlign w:val="bottom"/>
            <w:hideMark/>
          </w:tcPr>
          <w:p w:rsidR="00000000" w:rsidRDefault="00477EE8">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625231951"/>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b/>
                <w:bCs/>
                <w:sz w:val="20"/>
                <w:szCs w:val="20"/>
              </w:rPr>
              <w:t>Equity securities, debt securities and cash equivalents</w:t>
            </w:r>
            <w:r>
              <w:rPr>
                <w:b/>
                <w:bCs/>
                <w:sz w:val="20"/>
                <w:szCs w:val="20"/>
              </w:rPr>
              <w:t>:</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625231951"/>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Corporate debt securitie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332,52</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332,52</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625231951"/>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U.S. government debt securitie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198,15</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198,15</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625231951"/>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Bond fund</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98,79</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98,79</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625231951"/>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U.S. agency debt securitie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69,53</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69,53</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625231951"/>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Exchange traded fund</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35,00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35,00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625231951"/>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Municipal bond</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24,48</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24,48</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625231951"/>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Yankee debt securitie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12,15</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12,15</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625231951"/>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Redeemable preferred stock investmen</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21,96</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21,96</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625231951"/>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Money market account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77,06</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77,06</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625231951"/>
          <w:trHeight w:val="200"/>
          <w:tblCellSpacing w:w="15" w:type="dxa"/>
        </w:trPr>
        <w:tc>
          <w:tcPr>
            <w:tcW w:w="0" w:type="auto"/>
            <w:vAlign w:val="bottom"/>
            <w:hideMark/>
          </w:tcPr>
          <w:p w:rsidR="00000000" w:rsidRDefault="00477EE8">
            <w:pPr>
              <w:pStyle w:val="a3"/>
              <w:spacing w:before="0" w:beforeAutospacing="0" w:after="0" w:afterAutospacing="0"/>
              <w:ind w:left="400"/>
              <w:rPr>
                <w:sz w:val="20"/>
                <w:szCs w:val="20"/>
              </w:rPr>
            </w:pPr>
            <w:r>
              <w:rPr>
                <w:sz w:val="20"/>
                <w:szCs w:val="20"/>
              </w:rPr>
              <w:t>Total equity securities, debt securities and cash equivalent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869,68</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210,86</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636,85</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21,96</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240" w:beforeAutospacing="0" w:after="0" w:afterAutospacing="0"/>
        <w:ind w:firstLine="555"/>
        <w:divId w:val="2146240561"/>
        <w:rPr>
          <w:sz w:val="20"/>
          <w:szCs w:val="20"/>
        </w:rPr>
      </w:pPr>
      <w:r>
        <w:rPr>
          <w:sz w:val="20"/>
          <w:szCs w:val="20"/>
        </w:rPr>
        <w:t>The Company’</w:t>
      </w:r>
      <w:r>
        <w:rPr>
          <w:sz w:val="20"/>
          <w:szCs w:val="20"/>
        </w:rPr>
        <w:t>s Level 1 assets include U.S. treasury bills, money market instruments, bond funds, and exchange traded funds and are valued based upon observable market prices. Level 2 assets consist of U.S. government and U.S. agency debt securities, municipal bonds, co</w:t>
      </w:r>
      <w:r>
        <w:rPr>
          <w:sz w:val="20"/>
          <w:szCs w:val="20"/>
        </w:rPr>
        <w:t>rporate debt securities and Yankee debt securities. Level 2 securities are valued based upon observable inputs that include reported trades, broker/dealer quotes, bids and offers. As of December 31, 2022, the Company had preferred stock of a privately held</w:t>
      </w:r>
      <w:r>
        <w:rPr>
          <w:sz w:val="20"/>
          <w:szCs w:val="20"/>
        </w:rPr>
        <w:t xml:space="preserve"> company, which was included in other long-term assets in the accompanying Consolidated Balance Sheets, an</w:t>
      </w:r>
      <w:r>
        <w:rPr>
          <w:sz w:val="20"/>
          <w:szCs w:val="20"/>
        </w:rPr>
        <w:t>d</w:t>
      </w:r>
      <w:r>
        <w:rPr>
          <w:sz w:val="20"/>
          <w:szCs w:val="20"/>
        </w:rPr>
        <w:t xml:space="preserve"> </w:t>
      </w:r>
    </w:p>
    <w:p w:rsidR="00000000" w:rsidRDefault="00477EE8">
      <w:pPr>
        <w:pStyle w:val="a3"/>
        <w:spacing w:before="240" w:beforeAutospacing="0" w:after="0" w:afterAutospacing="0"/>
        <w:jc w:val="center"/>
        <w:divId w:val="2146240561"/>
        <w:rPr>
          <w:sz w:val="20"/>
          <w:szCs w:val="20"/>
        </w:rPr>
      </w:pPr>
      <w:r>
        <w:rPr>
          <w:sz w:val="20"/>
          <w:szCs w:val="20"/>
        </w:rPr>
        <w:t>F</w:t>
      </w:r>
      <w:r>
        <w:rPr>
          <w:sz w:val="20"/>
          <w:szCs w:val="20"/>
        </w:rPr>
        <w:t>-</w:t>
      </w:r>
      <w:r>
        <w:rPr>
          <w:sz w:val="20"/>
          <w:szCs w:val="20"/>
        </w:rPr>
        <w:t>2</w:t>
      </w:r>
      <w:r>
        <w:rPr>
          <w:sz w:val="20"/>
          <w:szCs w:val="20"/>
        </w:rPr>
        <w:t>1</w:t>
      </w:r>
    </w:p>
    <w:p w:rsidR="00000000" w:rsidRDefault="00477EE8">
      <w:pPr>
        <w:divId w:val="2146240561"/>
        <w:rPr>
          <w:rFonts w:eastAsia="Times New Roman"/>
          <w:sz w:val="20"/>
          <w:szCs w:val="20"/>
        </w:rPr>
      </w:pPr>
      <w:r>
        <w:rPr>
          <w:rFonts w:eastAsia="Times New Roman"/>
          <w:sz w:val="20"/>
          <w:szCs w:val="20"/>
        </w:rPr>
        <w:pict>
          <v:rect id="_x0000_i1132" style="width:0;height:1.5pt" o:hralign="center" o:hrstd="t" o:hr="t" fillcolor="#a0a0a0" stroked="f"/>
        </w:pict>
      </w:r>
    </w:p>
    <w:p w:rsidR="00000000" w:rsidRDefault="00477EE8">
      <w:pPr>
        <w:pStyle w:val="a3"/>
        <w:spacing w:before="240" w:beforeAutospacing="0" w:after="0" w:afterAutospacing="0"/>
        <w:divId w:val="2146240561"/>
        <w:rPr>
          <w:sz w:val="20"/>
          <w:szCs w:val="20"/>
        </w:rPr>
      </w:pPr>
      <w:r>
        <w:rPr>
          <w:sz w:val="20"/>
          <w:szCs w:val="20"/>
        </w:rPr>
        <w:t xml:space="preserve">redeemable preferred stock of a private company that were measured using unobservable (Level 3) inputs. The fair value of redeemable preferred stock as of December 31, 2022 and 2021 was based on valuation performed by a </w:t>
      </w:r>
      <w:r>
        <w:rPr>
          <w:sz w:val="20"/>
          <w:szCs w:val="20"/>
        </w:rPr>
        <w:t xml:space="preserve">third-party valuation company utilizing the guideline public company method under market approach and the discounted cash flow method under income approach. For the value of the investment in private equity securities, the Company elected to measure it at </w:t>
      </w:r>
      <w:r>
        <w:rPr>
          <w:sz w:val="20"/>
          <w:szCs w:val="20"/>
        </w:rPr>
        <w:t>cost minus impairment, as the preferred stock of the privately held company did not have a readily determinable fair value, and no impairment loss was recorded as of December 31, 2022</w:t>
      </w:r>
      <w:r>
        <w:rPr>
          <w:sz w:val="20"/>
          <w:szCs w:val="20"/>
        </w:rPr>
        <w:t>.</w:t>
      </w:r>
    </w:p>
    <w:p w:rsidR="00000000" w:rsidRDefault="00477EE8">
      <w:pPr>
        <w:pStyle w:val="a3"/>
        <w:spacing w:before="240" w:beforeAutospacing="0" w:after="0" w:afterAutospacing="0"/>
        <w:ind w:firstLine="555"/>
        <w:divId w:val="2146240561"/>
        <w:rPr>
          <w:sz w:val="20"/>
          <w:szCs w:val="20"/>
        </w:rPr>
      </w:pPr>
      <w:r>
        <w:rPr>
          <w:sz w:val="20"/>
          <w:szCs w:val="20"/>
        </w:rPr>
        <w:t>There were</w:t>
      </w:r>
      <w:r>
        <w:rPr>
          <w:sz w:val="20"/>
          <w:szCs w:val="20"/>
        </w:rPr>
        <w:t xml:space="preserve"> </w:t>
      </w:r>
      <w:r>
        <w:rPr>
          <w:sz w:val="20"/>
          <w:szCs w:val="20"/>
        </w:rPr>
        <w:t>n</w:t>
      </w:r>
      <w:r>
        <w:rPr>
          <w:sz w:val="20"/>
          <w:szCs w:val="20"/>
        </w:rPr>
        <w:t>o</w:t>
      </w:r>
      <w:r>
        <w:rPr>
          <w:sz w:val="20"/>
          <w:szCs w:val="20"/>
        </w:rPr>
        <w:t xml:space="preserve"> transfers between fair value measurement levels in 2022, </w:t>
      </w:r>
      <w:r>
        <w:rPr>
          <w:sz w:val="20"/>
          <w:szCs w:val="20"/>
        </w:rPr>
        <w:t>2021, and 2020</w:t>
      </w:r>
      <w:r>
        <w:rPr>
          <w:sz w:val="20"/>
          <w:szCs w:val="20"/>
        </w:rPr>
        <w:t>.</w:t>
      </w:r>
    </w:p>
    <w:p w:rsidR="00000000" w:rsidRDefault="00477EE8">
      <w:pPr>
        <w:pStyle w:val="a3"/>
        <w:spacing w:before="360" w:beforeAutospacing="0" w:after="0" w:afterAutospacing="0"/>
        <w:divId w:val="1135297770"/>
        <w:rPr>
          <w:sz w:val="20"/>
          <w:szCs w:val="20"/>
        </w:rPr>
      </w:pPr>
      <w:r>
        <w:rPr>
          <w:b/>
          <w:bCs/>
          <w:sz w:val="20"/>
          <w:szCs w:val="20"/>
        </w:rPr>
        <w:t>Note 5. Fixed Asset</w:t>
      </w:r>
      <w:r>
        <w:rPr>
          <w:b/>
          <w:bCs/>
          <w:sz w:val="20"/>
          <w:szCs w:val="20"/>
        </w:rPr>
        <w:t>s</w:t>
      </w:r>
    </w:p>
    <w:p w:rsidR="00000000" w:rsidRDefault="00477EE8">
      <w:pPr>
        <w:pStyle w:val="a3"/>
        <w:spacing w:before="120" w:beforeAutospacing="0" w:after="0" w:afterAutospacing="0"/>
        <w:ind w:firstLine="555"/>
        <w:divId w:val="1225141536"/>
        <w:rPr>
          <w:sz w:val="20"/>
          <w:szCs w:val="20"/>
        </w:rPr>
      </w:pPr>
      <w:r>
        <w:rPr>
          <w:sz w:val="20"/>
          <w:szCs w:val="20"/>
        </w:rPr>
        <w:t>Major classes of fixed assets consisted of the following</w:t>
      </w:r>
      <w:r>
        <w:rPr>
          <w:sz w:val="20"/>
          <w:szCs w:val="20"/>
        </w:rPr>
        <w:t>:</w:t>
      </w:r>
    </w:p>
    <w:p w:rsidR="00000000" w:rsidRDefault="00477EE8">
      <w:pPr>
        <w:pStyle w:val="a3"/>
        <w:spacing w:before="0" w:beforeAutospacing="0" w:after="0" w:afterAutospacing="0"/>
        <w:divId w:val="1225141536"/>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60"/>
        <w:gridCol w:w="2986"/>
        <w:gridCol w:w="160"/>
        <w:gridCol w:w="1178"/>
        <w:gridCol w:w="127"/>
        <w:gridCol w:w="199"/>
        <w:gridCol w:w="160"/>
        <w:gridCol w:w="1194"/>
        <w:gridCol w:w="142"/>
      </w:tblGrid>
      <w:tr w:rsidR="00000000">
        <w:trPr>
          <w:divId w:val="1225141536"/>
          <w:tblCellSpacing w:w="15" w:type="dxa"/>
        </w:trPr>
        <w:tc>
          <w:tcPr>
            <w:tcW w:w="1338" w:type="pct"/>
            <w:vAlign w:val="center"/>
            <w:hideMark/>
          </w:tcPr>
          <w:p w:rsidR="00000000" w:rsidRDefault="00477EE8">
            <w:pPr>
              <w:rPr>
                <w:sz w:val="20"/>
                <w:szCs w:val="20"/>
              </w:rPr>
            </w:pPr>
          </w:p>
        </w:tc>
        <w:tc>
          <w:tcPr>
            <w:tcW w:w="1863"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733"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122"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743"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divId w:val="1225141536"/>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477EE8">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225141536"/>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b/>
                <w:bCs/>
                <w:sz w:val="20"/>
                <w:szCs w:val="20"/>
              </w:rPr>
              <w:t>Useful Live</w:t>
            </w:r>
            <w:r>
              <w:rPr>
                <w:b/>
                <w:bCs/>
                <w:sz w:val="20"/>
                <w:szCs w:val="20"/>
              </w:rPr>
              <w:t>s</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225141536"/>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6"/>
            <w:vAlign w:val="bottom"/>
            <w:hideMark/>
          </w:tcPr>
          <w:p w:rsidR="00000000" w:rsidRDefault="00477EE8">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225141536"/>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Medical lab equipmen</w:t>
            </w:r>
            <w:r>
              <w:rPr>
                <w:sz w:val="20"/>
                <w:szCs w:val="20"/>
              </w:rPr>
              <w:t>t</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5</w:t>
            </w:r>
            <w:r>
              <w:rPr>
                <w:sz w:val="20"/>
                <w:szCs w:val="20"/>
              </w:rPr>
              <w:t> months to</w:t>
            </w:r>
            <w:r>
              <w:rPr>
                <w:sz w:val="20"/>
                <w:szCs w:val="20"/>
              </w:rPr>
              <w:t xml:space="preserve"> </w:t>
            </w:r>
            <w:r>
              <w:rPr>
                <w:sz w:val="20"/>
                <w:szCs w:val="20"/>
              </w:rPr>
              <w:t>1</w:t>
            </w:r>
            <w:r>
              <w:rPr>
                <w:sz w:val="20"/>
                <w:szCs w:val="20"/>
              </w:rPr>
              <w:t>2</w:t>
            </w:r>
            <w:r>
              <w:rPr>
                <w:sz w:val="20"/>
                <w:szCs w:val="20"/>
              </w:rPr>
              <w:t> Year</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53,50</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35,93</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25141536"/>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Leasehold improvement</w:t>
            </w:r>
            <w:r>
              <w:rPr>
                <w:sz w:val="20"/>
                <w:szCs w:val="20"/>
              </w:rPr>
              <w:t>s</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Shorter of lease term or estimated useful lif</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11,80</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4,00</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25141536"/>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Computer softwar</w:t>
            </w:r>
            <w:r>
              <w:rPr>
                <w:sz w:val="20"/>
                <w:szCs w:val="20"/>
              </w:rPr>
              <w:t>e</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1</w:t>
            </w:r>
            <w:r>
              <w:rPr>
                <w:sz w:val="20"/>
                <w:szCs w:val="20"/>
              </w:rPr>
              <w:t> to</w:t>
            </w:r>
            <w:r>
              <w:rPr>
                <w:sz w:val="20"/>
                <w:szCs w:val="20"/>
              </w:rPr>
              <w:t xml:space="preserve"> </w:t>
            </w:r>
            <w:r>
              <w:rPr>
                <w:sz w:val="20"/>
                <w:szCs w:val="20"/>
              </w:rPr>
              <w:t>5</w:t>
            </w:r>
            <w:r>
              <w:rPr>
                <w:sz w:val="20"/>
                <w:szCs w:val="20"/>
              </w:rPr>
              <w:t> Year</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6,98</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1,40</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25141536"/>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Computer hardwar</w:t>
            </w:r>
            <w:r>
              <w:rPr>
                <w:sz w:val="20"/>
                <w:szCs w:val="20"/>
              </w:rPr>
              <w:t>e</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1</w:t>
            </w:r>
            <w:r>
              <w:rPr>
                <w:sz w:val="20"/>
                <w:szCs w:val="20"/>
              </w:rPr>
              <w:t> to</w:t>
            </w:r>
            <w:r>
              <w:rPr>
                <w:sz w:val="20"/>
                <w:szCs w:val="20"/>
              </w:rPr>
              <w:t xml:space="preserve"> </w:t>
            </w:r>
            <w:r>
              <w:rPr>
                <w:sz w:val="20"/>
                <w:szCs w:val="20"/>
              </w:rPr>
              <w:t>5</w:t>
            </w:r>
            <w:r>
              <w:rPr>
                <w:sz w:val="20"/>
                <w:szCs w:val="20"/>
              </w:rPr>
              <w:t> Year</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6,97</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5,66</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25141536"/>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Buildin</w:t>
            </w:r>
            <w:r>
              <w:rPr>
                <w:sz w:val="20"/>
                <w:szCs w:val="20"/>
              </w:rPr>
              <w:t>g</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3</w:t>
            </w:r>
            <w:r>
              <w:rPr>
                <w:sz w:val="20"/>
                <w:szCs w:val="20"/>
              </w:rPr>
              <w:t>9</w:t>
            </w:r>
            <w:r>
              <w:rPr>
                <w:sz w:val="20"/>
                <w:szCs w:val="20"/>
              </w:rPr>
              <w:t> Year</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6,73</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6,73</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25141536"/>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Aircraf</w:t>
            </w:r>
            <w:r>
              <w:rPr>
                <w:sz w:val="20"/>
                <w:szCs w:val="20"/>
              </w:rPr>
              <w:t>t</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7</w:t>
            </w:r>
            <w:r>
              <w:rPr>
                <w:sz w:val="20"/>
                <w:szCs w:val="20"/>
              </w:rPr>
              <w:t> Year</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6,40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6,50</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25141536"/>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Building improvement</w:t>
            </w:r>
            <w:r>
              <w:rPr>
                <w:sz w:val="20"/>
                <w:szCs w:val="20"/>
              </w:rPr>
              <w:t>s</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6</w:t>
            </w:r>
            <w:r>
              <w:rPr>
                <w:sz w:val="20"/>
                <w:szCs w:val="20"/>
              </w:rPr>
              <w:t> months to</w:t>
            </w:r>
            <w:r>
              <w:rPr>
                <w:sz w:val="20"/>
                <w:szCs w:val="20"/>
              </w:rPr>
              <w:t xml:space="preserve"> </w:t>
            </w:r>
            <w:r>
              <w:rPr>
                <w:sz w:val="20"/>
                <w:szCs w:val="20"/>
              </w:rPr>
              <w:t>3</w:t>
            </w:r>
            <w:r>
              <w:rPr>
                <w:sz w:val="20"/>
                <w:szCs w:val="20"/>
              </w:rPr>
              <w:t>9</w:t>
            </w:r>
            <w:r>
              <w:rPr>
                <w:sz w:val="20"/>
                <w:szCs w:val="20"/>
              </w:rPr>
              <w:t> Year</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5,86</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3,93</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25141536"/>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Furniture and fixture</w:t>
            </w:r>
            <w:r>
              <w:rPr>
                <w:sz w:val="20"/>
                <w:szCs w:val="20"/>
              </w:rPr>
              <w:t>s</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1</w:t>
            </w:r>
            <w:r>
              <w:rPr>
                <w:sz w:val="20"/>
                <w:szCs w:val="20"/>
              </w:rPr>
              <w:t> to</w:t>
            </w:r>
            <w:r>
              <w:rPr>
                <w:sz w:val="20"/>
                <w:szCs w:val="20"/>
              </w:rPr>
              <w:t xml:space="preserve"> </w:t>
            </w:r>
            <w:r>
              <w:rPr>
                <w:sz w:val="20"/>
                <w:szCs w:val="20"/>
              </w:rPr>
              <w:t>5</w:t>
            </w:r>
            <w:r>
              <w:rPr>
                <w:sz w:val="20"/>
                <w:szCs w:val="20"/>
              </w:rPr>
              <w:t> Year</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4,24</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2,25</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25141536"/>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Land improvement</w:t>
            </w:r>
            <w:r>
              <w:rPr>
                <w:sz w:val="20"/>
                <w:szCs w:val="20"/>
              </w:rPr>
              <w:t>s</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5</w:t>
            </w:r>
            <w:r>
              <w:rPr>
                <w:sz w:val="20"/>
                <w:szCs w:val="20"/>
              </w:rPr>
              <w:t> to</w:t>
            </w:r>
            <w:r>
              <w:rPr>
                <w:sz w:val="20"/>
                <w:szCs w:val="20"/>
              </w:rPr>
              <w:t xml:space="preserve"> </w:t>
            </w:r>
            <w:r>
              <w:rPr>
                <w:sz w:val="20"/>
                <w:szCs w:val="20"/>
              </w:rPr>
              <w:t>1</w:t>
            </w:r>
            <w:r>
              <w:rPr>
                <w:sz w:val="20"/>
                <w:szCs w:val="20"/>
              </w:rPr>
              <w:t>5</w:t>
            </w:r>
            <w:r>
              <w:rPr>
                <w:sz w:val="20"/>
                <w:szCs w:val="20"/>
              </w:rPr>
              <w:t> Year</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90</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40</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25141536"/>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Automobil</w:t>
            </w:r>
            <w:r>
              <w:rPr>
                <w:sz w:val="20"/>
                <w:szCs w:val="20"/>
              </w:rPr>
              <w:t>e</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2</w:t>
            </w:r>
            <w:r>
              <w:rPr>
                <w:sz w:val="20"/>
                <w:szCs w:val="20"/>
              </w:rPr>
              <w:t> to</w:t>
            </w:r>
            <w:r>
              <w:rPr>
                <w:sz w:val="20"/>
                <w:szCs w:val="20"/>
              </w:rPr>
              <w:t xml:space="preserve"> </w:t>
            </w:r>
            <w:r>
              <w:rPr>
                <w:sz w:val="20"/>
                <w:szCs w:val="20"/>
              </w:rPr>
              <w:t>7</w:t>
            </w:r>
            <w:r>
              <w:rPr>
                <w:sz w:val="20"/>
                <w:szCs w:val="20"/>
              </w:rPr>
              <w:t> Year</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79</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82</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25141536"/>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General equipmen</w:t>
            </w:r>
            <w:r>
              <w:rPr>
                <w:sz w:val="20"/>
                <w:szCs w:val="20"/>
              </w:rPr>
              <w:t>t</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3</w:t>
            </w:r>
            <w:r>
              <w:rPr>
                <w:sz w:val="20"/>
                <w:szCs w:val="20"/>
              </w:rPr>
              <w:t> to</w:t>
            </w:r>
            <w:r>
              <w:rPr>
                <w:sz w:val="20"/>
                <w:szCs w:val="20"/>
              </w:rPr>
              <w:t xml:space="preserve"> </w:t>
            </w:r>
            <w:r>
              <w:rPr>
                <w:sz w:val="20"/>
                <w:szCs w:val="20"/>
              </w:rPr>
              <w:t>5</w:t>
            </w:r>
            <w:r>
              <w:rPr>
                <w:sz w:val="20"/>
                <w:szCs w:val="20"/>
              </w:rPr>
              <w:t> Year</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25141536"/>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Lan</w:t>
            </w:r>
            <w:r>
              <w:rPr>
                <w:sz w:val="20"/>
                <w:szCs w:val="20"/>
              </w:rPr>
              <w:t>d</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7,50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7,50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25141536"/>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Assets not yet placed in servic</w:t>
            </w:r>
            <w:r>
              <w:rPr>
                <w:sz w:val="20"/>
                <w:szCs w:val="20"/>
              </w:rPr>
              <w:t>e</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12,87</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6,71</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25141536"/>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124,63</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81,91</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25141536"/>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Less: Accumulated depreciatio</w:t>
            </w:r>
            <w:r>
              <w:rPr>
                <w:sz w:val="20"/>
                <w:szCs w:val="20"/>
              </w:rPr>
              <w:t>n</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43,28</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19,63</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1225141536"/>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Fixed assets, ne</w:t>
            </w:r>
            <w:r>
              <w:rPr>
                <w:sz w:val="20"/>
                <w:szCs w:val="20"/>
              </w:rPr>
              <w:t>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81,35</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62,28</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0" w:beforeAutospacing="0" w:after="0" w:afterAutospacing="0"/>
        <w:divId w:val="1135297770"/>
        <w:rPr>
          <w:sz w:val="20"/>
          <w:szCs w:val="20"/>
        </w:rPr>
      </w:pPr>
      <w:r>
        <w:t> </w:t>
      </w:r>
    </w:p>
    <w:p w:rsidR="00000000" w:rsidRDefault="00477EE8">
      <w:pPr>
        <w:pStyle w:val="a3"/>
        <w:spacing w:before="0" w:beforeAutospacing="0" w:after="0" w:afterAutospacing="0"/>
        <w:ind w:firstLine="555"/>
        <w:divId w:val="1135297770"/>
        <w:rPr>
          <w:sz w:val="20"/>
          <w:szCs w:val="20"/>
        </w:rPr>
      </w:pPr>
      <w:r>
        <w:rPr>
          <w:sz w:val="20"/>
          <w:szCs w:val="20"/>
        </w:rPr>
        <w:t xml:space="preserve">Depreciation expense on fixed assets totaled </w:t>
      </w:r>
      <w:r>
        <w:rPr>
          <w:sz w:val="20"/>
          <w:szCs w:val="20"/>
        </w:rPr>
        <w:t>$</w:t>
      </w:r>
      <w:r>
        <w:rPr>
          <w:sz w:val="20"/>
          <w:szCs w:val="20"/>
        </w:rPr>
        <w:t>25.</w:t>
      </w:r>
      <w:r>
        <w:rPr>
          <w:sz w:val="20"/>
          <w:szCs w:val="20"/>
        </w:rPr>
        <w:t>5</w:t>
      </w:r>
      <w:r>
        <w:rPr>
          <w:sz w:val="20"/>
          <w:szCs w:val="20"/>
        </w:rPr>
        <w:t xml:space="preserve"> millio</w:t>
      </w:r>
      <w:r>
        <w:rPr>
          <w:sz w:val="20"/>
          <w:szCs w:val="20"/>
        </w:rPr>
        <w:t>n</w:t>
      </w:r>
      <w:r>
        <w:rPr>
          <w:sz w:val="20"/>
          <w:szCs w:val="20"/>
        </w:rPr>
        <w:t xml:space="preserve">, </w:t>
      </w:r>
      <w:r>
        <w:rPr>
          <w:sz w:val="20"/>
          <w:szCs w:val="20"/>
        </w:rPr>
        <w:t>$</w:t>
      </w:r>
      <w:r>
        <w:rPr>
          <w:sz w:val="20"/>
          <w:szCs w:val="20"/>
        </w:rPr>
        <w:t>9.</w:t>
      </w:r>
      <w:r>
        <w:rPr>
          <w:sz w:val="20"/>
          <w:szCs w:val="20"/>
        </w:rPr>
        <w:t>3</w:t>
      </w:r>
      <w:r>
        <w:rPr>
          <w:sz w:val="20"/>
          <w:szCs w:val="20"/>
        </w:rPr>
        <w:t xml:space="preserve"> million and </w:t>
      </w:r>
      <w:r>
        <w:rPr>
          <w:sz w:val="20"/>
          <w:szCs w:val="20"/>
        </w:rPr>
        <w:t>$</w:t>
      </w:r>
      <w:r>
        <w:rPr>
          <w:sz w:val="20"/>
          <w:szCs w:val="20"/>
        </w:rPr>
        <w:t>3.</w:t>
      </w:r>
      <w:r>
        <w:rPr>
          <w:sz w:val="20"/>
          <w:szCs w:val="20"/>
        </w:rPr>
        <w:t>0</w:t>
      </w:r>
      <w:r>
        <w:rPr>
          <w:sz w:val="20"/>
          <w:szCs w:val="20"/>
        </w:rPr>
        <w:t xml:space="preserve"> </w:t>
      </w:r>
      <w:r>
        <w:rPr>
          <w:sz w:val="20"/>
          <w:szCs w:val="20"/>
        </w:rPr>
        <w:t>million for the years ended December 31, 2022, 2021 and 2020, respectively</w:t>
      </w:r>
      <w:r>
        <w:rPr>
          <w:sz w:val="20"/>
          <w:szCs w:val="20"/>
        </w:rPr>
        <w:t>.</w:t>
      </w:r>
    </w:p>
    <w:p w:rsidR="00000000" w:rsidRDefault="00477EE8">
      <w:pPr>
        <w:pStyle w:val="a3"/>
        <w:spacing w:before="360" w:beforeAutospacing="0" w:after="0" w:afterAutospacing="0"/>
        <w:divId w:val="406339256"/>
        <w:rPr>
          <w:sz w:val="20"/>
          <w:szCs w:val="20"/>
        </w:rPr>
      </w:pPr>
      <w:r>
        <w:rPr>
          <w:b/>
          <w:bCs/>
          <w:sz w:val="20"/>
          <w:szCs w:val="20"/>
        </w:rPr>
        <w:t>Note 6. Other Significant Balance Sheet Account</w:t>
      </w:r>
      <w:r>
        <w:rPr>
          <w:b/>
          <w:bCs/>
          <w:sz w:val="20"/>
          <w:szCs w:val="20"/>
        </w:rPr>
        <w:t>s</w:t>
      </w:r>
    </w:p>
    <w:p w:rsidR="00000000" w:rsidRDefault="00477EE8">
      <w:pPr>
        <w:pStyle w:val="a3"/>
        <w:spacing w:before="120" w:beforeAutospacing="0" w:after="0" w:afterAutospacing="0"/>
        <w:ind w:firstLine="555"/>
        <w:divId w:val="219291180"/>
        <w:rPr>
          <w:sz w:val="20"/>
          <w:szCs w:val="20"/>
        </w:rPr>
      </w:pPr>
      <w:r>
        <w:rPr>
          <w:sz w:val="20"/>
          <w:szCs w:val="20"/>
        </w:rPr>
        <w:t>Other current assets consisted of the following</w:t>
      </w:r>
      <w:r>
        <w:rPr>
          <w:sz w:val="20"/>
          <w:szCs w:val="20"/>
        </w:rPr>
        <w:t>:</w:t>
      </w:r>
    </w:p>
    <w:p w:rsidR="00000000" w:rsidRDefault="00477EE8">
      <w:pPr>
        <w:pStyle w:val="a3"/>
        <w:spacing w:before="0" w:beforeAutospacing="0" w:after="0" w:afterAutospacing="0"/>
        <w:ind w:firstLine="555"/>
        <w:divId w:val="21929118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87"/>
        <w:gridCol w:w="160"/>
        <w:gridCol w:w="1332"/>
        <w:gridCol w:w="110"/>
        <w:gridCol w:w="168"/>
        <w:gridCol w:w="160"/>
        <w:gridCol w:w="1364"/>
        <w:gridCol w:w="125"/>
      </w:tblGrid>
      <w:tr w:rsidR="00000000">
        <w:trPr>
          <w:divId w:val="219291180"/>
          <w:tblCellSpacing w:w="15" w:type="dxa"/>
        </w:trPr>
        <w:tc>
          <w:tcPr>
            <w:tcW w:w="3027"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825"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101"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845"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divId w:val="219291180"/>
          <w:trHeight w:val="160"/>
          <w:tblCellSpacing w:w="15" w:type="dxa"/>
        </w:trPr>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477EE8">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219291180"/>
          <w:trHeight w:val="160"/>
          <w:tblCellSpacing w:w="15" w:type="dxa"/>
        </w:trPr>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219291180"/>
          <w:trHeight w:val="160"/>
          <w:tblCellSpacing w:w="15" w:type="dxa"/>
        </w:trPr>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gridSpan w:val="6"/>
            <w:hideMark/>
          </w:tcPr>
          <w:p w:rsidR="00000000" w:rsidRDefault="00477EE8">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219291180"/>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Other receivabl</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19,83</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1,40</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19291180"/>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Prepaid income taxe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15,43</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1,71</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19291180"/>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Prepaid expense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6,81</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4,24</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19291180"/>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Reagents and supplie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4,28</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12,20</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19291180"/>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Marketable securities interest receivabl</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2,52</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2,74</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19291180"/>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Contract asset</w:t>
            </w:r>
            <w:r>
              <w:rPr>
                <w:sz w:val="20"/>
                <w:szCs w:val="20"/>
              </w:rPr>
              <w:t>s</w:t>
            </w:r>
          </w:p>
        </w:tc>
        <w:tc>
          <w:tcPr>
            <w:tcW w:w="0" w:type="auto"/>
            <w:noWrap/>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23</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19291180"/>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Tota</w:t>
            </w:r>
            <w:r>
              <w:rPr>
                <w:sz w:val="20"/>
                <w:szCs w:val="20"/>
              </w:rPr>
              <w:t>l</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48,88</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22,54</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240" w:beforeAutospacing="0" w:after="0" w:afterAutospacing="0"/>
        <w:ind w:firstLine="555"/>
        <w:divId w:val="406339256"/>
        <w:rPr>
          <w:sz w:val="20"/>
          <w:szCs w:val="20"/>
        </w:rPr>
      </w:pPr>
      <w:r>
        <w:rPr>
          <w:sz w:val="20"/>
          <w:szCs w:val="20"/>
        </w:rPr>
        <w:t>Other receivable as of December 31, 2022 includes</w:t>
      </w:r>
      <w:r>
        <w:rPr>
          <w:sz w:val="20"/>
          <w:szCs w:val="20"/>
        </w:rPr>
        <w:t xml:space="preserve"> </w:t>
      </w:r>
      <w:r>
        <w:rPr>
          <w:sz w:val="20"/>
          <w:szCs w:val="20"/>
        </w:rPr>
        <w:t>$</w:t>
      </w:r>
      <w:r>
        <w:rPr>
          <w:sz w:val="20"/>
          <w:szCs w:val="20"/>
        </w:rPr>
        <w:t>19.</w:t>
      </w:r>
      <w:r>
        <w:rPr>
          <w:sz w:val="20"/>
          <w:szCs w:val="20"/>
        </w:rPr>
        <w:t>1</w:t>
      </w:r>
      <w:r>
        <w:rPr>
          <w:sz w:val="20"/>
          <w:szCs w:val="20"/>
        </w:rPr>
        <w:t xml:space="preserve"> millio</w:t>
      </w:r>
      <w:r>
        <w:rPr>
          <w:sz w:val="20"/>
          <w:szCs w:val="20"/>
        </w:rPr>
        <w:t>n</w:t>
      </w:r>
      <w:r>
        <w:rPr>
          <w:sz w:val="20"/>
          <w:szCs w:val="20"/>
        </w:rPr>
        <w:t xml:space="preserve"> </w:t>
      </w:r>
      <w:r>
        <w:rPr>
          <w:sz w:val="20"/>
          <w:szCs w:val="20"/>
        </w:rPr>
        <w:t>of maturities of marketable securities that did not settle until after period-end</w:t>
      </w:r>
      <w:r>
        <w:rPr>
          <w:sz w:val="20"/>
          <w:szCs w:val="20"/>
        </w:rPr>
        <w:t>.</w:t>
      </w:r>
    </w:p>
    <w:p w:rsidR="00000000" w:rsidRDefault="00477EE8">
      <w:pPr>
        <w:pStyle w:val="a3"/>
        <w:spacing w:before="240" w:beforeAutospacing="0" w:after="0" w:afterAutospacing="0"/>
        <w:ind w:firstLine="555"/>
        <w:divId w:val="406339256"/>
        <w:rPr>
          <w:sz w:val="20"/>
          <w:szCs w:val="20"/>
        </w:rPr>
      </w:pPr>
      <w:r>
        <w:rPr>
          <w:sz w:val="20"/>
          <w:szCs w:val="20"/>
        </w:rPr>
        <w:t xml:space="preserve">Other current liabilities primarily includes </w:t>
      </w:r>
      <w:r>
        <w:rPr>
          <w:sz w:val="20"/>
          <w:szCs w:val="20"/>
        </w:rPr>
        <w:t>$</w:t>
      </w:r>
      <w:r>
        <w:rPr>
          <w:sz w:val="20"/>
          <w:szCs w:val="20"/>
        </w:rPr>
        <w:t>5.</w:t>
      </w:r>
      <w:r>
        <w:rPr>
          <w:sz w:val="20"/>
          <w:szCs w:val="20"/>
        </w:rPr>
        <w:t>0</w:t>
      </w:r>
      <w:r>
        <w:rPr>
          <w:sz w:val="20"/>
          <w:szCs w:val="20"/>
        </w:rPr>
        <w:t xml:space="preserve"> million payable pursuant to a share transfer agreement, see Note 15,</w:t>
      </w:r>
      <w:r>
        <w:rPr>
          <w:sz w:val="20"/>
          <w:szCs w:val="20"/>
        </w:rPr>
        <w:t xml:space="preserve"> </w:t>
      </w:r>
      <w:r>
        <w:rPr>
          <w:i/>
          <w:iCs/>
          <w:sz w:val="20"/>
          <w:szCs w:val="20"/>
        </w:rPr>
        <w:t>Business Combinations</w:t>
      </w:r>
      <w:r>
        <w:rPr>
          <w:i/>
          <w:iCs/>
          <w:sz w:val="20"/>
          <w:szCs w:val="20"/>
        </w:rPr>
        <w:t>.</w:t>
      </w:r>
    </w:p>
    <w:p w:rsidR="00000000" w:rsidRDefault="00477EE8">
      <w:pPr>
        <w:pStyle w:val="a3"/>
        <w:spacing w:before="240" w:beforeAutospacing="0" w:after="0" w:afterAutospacing="0"/>
        <w:ind w:firstLine="555"/>
        <w:divId w:val="406339256"/>
        <w:rPr>
          <w:sz w:val="20"/>
          <w:szCs w:val="20"/>
        </w:rPr>
      </w:pPr>
      <w:r>
        <w:rPr>
          <w:sz w:val="20"/>
          <w:szCs w:val="20"/>
        </w:rPr>
        <w:t>Other long-term liabilities pri</w:t>
      </w:r>
      <w:r>
        <w:rPr>
          <w:sz w:val="20"/>
          <w:szCs w:val="20"/>
        </w:rPr>
        <w:t>marily includes operating and finance lease liabilities, long-term, see Note 9,</w:t>
      </w:r>
      <w:r>
        <w:rPr>
          <w:sz w:val="20"/>
          <w:szCs w:val="20"/>
        </w:rPr>
        <w:t xml:space="preserve"> </w:t>
      </w:r>
      <w:r>
        <w:rPr>
          <w:i/>
          <w:iCs/>
          <w:sz w:val="20"/>
          <w:szCs w:val="20"/>
        </w:rPr>
        <w:t>Lease</w:t>
      </w:r>
      <w:r>
        <w:rPr>
          <w:i/>
          <w:iCs/>
          <w:sz w:val="20"/>
          <w:szCs w:val="20"/>
        </w:rPr>
        <w:t>s</w:t>
      </w:r>
      <w:r>
        <w:rPr>
          <w:sz w:val="20"/>
          <w:szCs w:val="20"/>
        </w:rPr>
        <w:t>, and notes payable, long-term, See Note 8,</w:t>
      </w:r>
      <w:r>
        <w:rPr>
          <w:sz w:val="20"/>
          <w:szCs w:val="20"/>
        </w:rPr>
        <w:t xml:space="preserve"> </w:t>
      </w:r>
      <w:r>
        <w:rPr>
          <w:i/>
          <w:iCs/>
          <w:sz w:val="20"/>
          <w:szCs w:val="20"/>
        </w:rPr>
        <w:t>Debt, Commitments and Contingencie</w:t>
      </w:r>
      <w:r>
        <w:rPr>
          <w:i/>
          <w:iCs/>
          <w:sz w:val="20"/>
          <w:szCs w:val="20"/>
        </w:rPr>
        <w:t>s</w:t>
      </w:r>
      <w:r>
        <w:rPr>
          <w:sz w:val="20"/>
          <w:szCs w:val="20"/>
        </w:rPr>
        <w:t>.</w:t>
      </w:r>
      <w:r>
        <w:rPr>
          <w:sz w:val="20"/>
          <w:szCs w:val="20"/>
        </w:rPr>
        <w:t xml:space="preserve"> </w:t>
      </w:r>
    </w:p>
    <w:p w:rsidR="00000000" w:rsidRDefault="00477EE8">
      <w:pPr>
        <w:pStyle w:val="a3"/>
        <w:spacing w:before="240" w:beforeAutospacing="0" w:after="0" w:afterAutospacing="0"/>
        <w:jc w:val="center"/>
        <w:rPr>
          <w:sz w:val="20"/>
          <w:szCs w:val="20"/>
        </w:rPr>
      </w:pPr>
      <w:r>
        <w:rPr>
          <w:sz w:val="20"/>
          <w:szCs w:val="20"/>
        </w:rPr>
        <w:t>F</w:t>
      </w:r>
      <w:r>
        <w:rPr>
          <w:sz w:val="20"/>
          <w:szCs w:val="20"/>
        </w:rPr>
        <w:t>-</w:t>
      </w:r>
      <w:r>
        <w:rPr>
          <w:sz w:val="20"/>
          <w:szCs w:val="20"/>
        </w:rPr>
        <w:t>2</w:t>
      </w:r>
      <w:r>
        <w:rPr>
          <w:sz w:val="20"/>
          <w:szCs w:val="20"/>
        </w:rPr>
        <w:t>2</w:t>
      </w:r>
    </w:p>
    <w:p w:rsidR="00000000" w:rsidRDefault="00477EE8">
      <w:pPr>
        <w:rPr>
          <w:rFonts w:eastAsia="Times New Roman"/>
        </w:rPr>
      </w:pPr>
      <w:r>
        <w:rPr>
          <w:rFonts w:eastAsia="Times New Roman"/>
        </w:rPr>
        <w:pict>
          <v:rect id="_x0000_i1133" style="width:0;height:1.5pt" o:hralign="center" o:hrstd="t" o:hr="t" fillcolor="#a0a0a0" stroked="f"/>
        </w:pict>
      </w:r>
    </w:p>
    <w:p w:rsidR="00000000" w:rsidRDefault="00477EE8">
      <w:pPr>
        <w:pStyle w:val="a3"/>
        <w:spacing w:before="360" w:beforeAutospacing="0" w:after="0" w:afterAutospacing="0"/>
        <w:divId w:val="2143226631"/>
        <w:rPr>
          <w:sz w:val="20"/>
          <w:szCs w:val="20"/>
        </w:rPr>
      </w:pPr>
      <w:r>
        <w:rPr>
          <w:b/>
          <w:bCs/>
          <w:sz w:val="20"/>
          <w:szCs w:val="20"/>
        </w:rPr>
        <w:t>Note 7. Reporting Segment and Geographic Informatio</w:t>
      </w:r>
      <w:r>
        <w:rPr>
          <w:b/>
          <w:bCs/>
          <w:sz w:val="20"/>
          <w:szCs w:val="20"/>
        </w:rPr>
        <w:t>n</w:t>
      </w:r>
    </w:p>
    <w:p w:rsidR="00000000" w:rsidRDefault="00477EE8">
      <w:pPr>
        <w:pStyle w:val="a3"/>
        <w:spacing w:before="120" w:beforeAutospacing="0" w:after="0" w:afterAutospacing="0"/>
        <w:ind w:firstLine="555"/>
        <w:divId w:val="2143226631"/>
        <w:rPr>
          <w:sz w:val="20"/>
          <w:szCs w:val="20"/>
        </w:rPr>
      </w:pPr>
      <w:r>
        <w:rPr>
          <w:sz w:val="20"/>
          <w:szCs w:val="20"/>
        </w:rPr>
        <w:t>The Company views its operations and manages its business in one reporting segment. All long-lived assets were located in the United States as of December 31, 2022 and</w:t>
      </w:r>
      <w:r>
        <w:rPr>
          <w:sz w:val="20"/>
          <w:szCs w:val="20"/>
        </w:rPr>
        <w:t xml:space="preserve"> 2021 with an insignificant amount located in China and Canada.</w:t>
      </w:r>
      <w:r>
        <w:rPr>
          <w:sz w:val="20"/>
          <w:szCs w:val="20"/>
        </w:rPr>
        <w:t xml:space="preserve"> </w:t>
      </w:r>
      <w:r>
        <w:rPr>
          <w:sz w:val="20"/>
          <w:szCs w:val="20"/>
        </w:rPr>
        <w:t>Revenue by region for the years ended December 31, 2022, 2021 and 2020 were as follows</w:t>
      </w:r>
      <w:r>
        <w:rPr>
          <w:sz w:val="20"/>
          <w:szCs w:val="20"/>
        </w:rPr>
        <w:t>:</w:t>
      </w:r>
    </w:p>
    <w:p w:rsidR="00000000" w:rsidRDefault="00477EE8">
      <w:pPr>
        <w:pStyle w:val="a3"/>
        <w:spacing w:before="0" w:beforeAutospacing="0" w:after="0" w:afterAutospacing="0"/>
        <w:ind w:firstLine="816"/>
        <w:divId w:val="143150726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3"/>
        <w:gridCol w:w="160"/>
        <w:gridCol w:w="1065"/>
        <w:gridCol w:w="110"/>
        <w:gridCol w:w="116"/>
        <w:gridCol w:w="160"/>
        <w:gridCol w:w="1064"/>
        <w:gridCol w:w="110"/>
        <w:gridCol w:w="117"/>
        <w:gridCol w:w="160"/>
        <w:gridCol w:w="1096"/>
        <w:gridCol w:w="125"/>
      </w:tblGrid>
      <w:tr w:rsidR="00000000">
        <w:trPr>
          <w:divId w:val="1431507265"/>
          <w:tblCellSpacing w:w="15" w:type="dxa"/>
        </w:trPr>
        <w:tc>
          <w:tcPr>
            <w:tcW w:w="2527"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670"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71"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69"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71"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89"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divId w:val="1431507265"/>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10"/>
            <w:vAlign w:val="bottom"/>
            <w:hideMark/>
          </w:tcPr>
          <w:p w:rsidR="00000000" w:rsidRDefault="00477EE8">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431507265"/>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431507265"/>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10"/>
            <w:vAlign w:val="bottom"/>
            <w:hideMark/>
          </w:tcPr>
          <w:p w:rsidR="00000000" w:rsidRDefault="00477EE8">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431507265"/>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b/>
                <w:bCs/>
                <w:sz w:val="20"/>
                <w:szCs w:val="20"/>
              </w:rPr>
              <w:t>Revenue</w:t>
            </w:r>
            <w:r>
              <w:rPr>
                <w:b/>
                <w:bCs/>
                <w:sz w:val="20"/>
                <w:szCs w:val="20"/>
              </w:rPr>
              <w:t>:</w:t>
            </w:r>
          </w:p>
        </w:tc>
        <w:tc>
          <w:tcPr>
            <w:tcW w:w="0" w:type="auto"/>
            <w:gridSpan w:val="2"/>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r>
      <w:tr w:rsidR="00000000">
        <w:trPr>
          <w:divId w:val="1431507265"/>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United State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603,14</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978,97</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415,33</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431507265"/>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Foreig</w:t>
            </w:r>
            <w:r>
              <w:rPr>
                <w:sz w:val="20"/>
                <w:szCs w:val="20"/>
              </w:rPr>
              <w:t>n</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15,82</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13,60</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6,37</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431507265"/>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Tota</w:t>
            </w:r>
            <w:r>
              <w:rPr>
                <w:sz w:val="20"/>
                <w:szCs w:val="20"/>
              </w:rPr>
              <w:t>l</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618,96</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992,58</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421,71</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0" w:beforeAutospacing="0" w:after="0" w:afterAutospacing="0"/>
        <w:divId w:val="2143226631"/>
        <w:rPr>
          <w:sz w:val="20"/>
          <w:szCs w:val="20"/>
        </w:rPr>
      </w:pPr>
      <w:r>
        <w:rPr>
          <w:sz w:val="20"/>
          <w:szCs w:val="20"/>
        </w:rPr>
        <w:t> </w:t>
      </w:r>
    </w:p>
    <w:p w:rsidR="00000000" w:rsidRDefault="00477EE8">
      <w:pPr>
        <w:pStyle w:val="a3"/>
        <w:spacing w:before="360" w:beforeAutospacing="0" w:after="0" w:afterAutospacing="0"/>
        <w:divId w:val="611862306"/>
        <w:rPr>
          <w:sz w:val="20"/>
          <w:szCs w:val="20"/>
        </w:rPr>
      </w:pPr>
      <w:r>
        <w:rPr>
          <w:b/>
          <w:bCs/>
          <w:sz w:val="20"/>
          <w:szCs w:val="20"/>
        </w:rPr>
        <w:t>Note 8. Debt, Commitments and Contingencie</w:t>
      </w:r>
      <w:r>
        <w:rPr>
          <w:b/>
          <w:bCs/>
          <w:sz w:val="20"/>
          <w:szCs w:val="20"/>
        </w:rPr>
        <w:t>s</w:t>
      </w:r>
    </w:p>
    <w:p w:rsidR="00000000" w:rsidRDefault="00477EE8">
      <w:pPr>
        <w:pStyle w:val="a3"/>
        <w:spacing w:before="120" w:beforeAutospacing="0" w:after="0" w:afterAutospacing="0"/>
        <w:divId w:val="611862306"/>
        <w:rPr>
          <w:sz w:val="20"/>
          <w:szCs w:val="20"/>
        </w:rPr>
      </w:pPr>
      <w:r>
        <w:rPr>
          <w:b/>
          <w:bCs/>
          <w:i/>
          <w:iCs/>
          <w:sz w:val="20"/>
          <w:szCs w:val="20"/>
        </w:rPr>
        <w:t>Deb</w:t>
      </w:r>
      <w:r>
        <w:rPr>
          <w:b/>
          <w:bCs/>
          <w:i/>
          <w:iCs/>
          <w:sz w:val="20"/>
          <w:szCs w:val="20"/>
        </w:rPr>
        <w:t>t</w:t>
      </w:r>
    </w:p>
    <w:p w:rsidR="00000000" w:rsidRDefault="00477EE8">
      <w:pPr>
        <w:pStyle w:val="a3"/>
        <w:spacing w:before="120" w:beforeAutospacing="0" w:after="0" w:afterAutospacing="0"/>
        <w:ind w:firstLine="555"/>
        <w:divId w:val="611862306"/>
        <w:rPr>
          <w:sz w:val="20"/>
          <w:szCs w:val="20"/>
        </w:rPr>
      </w:pPr>
      <w:r>
        <w:rPr>
          <w:sz w:val="20"/>
          <w:szCs w:val="20"/>
        </w:rPr>
        <w:t xml:space="preserve">As of December 31, 2022, the Company had an outstanding borrowing of </w:t>
      </w:r>
      <w:r>
        <w:rPr>
          <w:sz w:val="20"/>
          <w:szCs w:val="20"/>
        </w:rPr>
        <w:t>$</w:t>
      </w:r>
      <w:r>
        <w:rPr>
          <w:sz w:val="20"/>
          <w:szCs w:val="20"/>
        </w:rPr>
        <w:t>15.</w:t>
      </w:r>
      <w:r>
        <w:rPr>
          <w:sz w:val="20"/>
          <w:szCs w:val="20"/>
        </w:rPr>
        <w:t>0</w:t>
      </w:r>
      <w:r>
        <w:rPr>
          <w:sz w:val="20"/>
          <w:szCs w:val="20"/>
        </w:rPr>
        <w:t xml:space="preserve"> millio</w:t>
      </w:r>
      <w:r>
        <w:rPr>
          <w:sz w:val="20"/>
          <w:szCs w:val="20"/>
        </w:rPr>
        <w:t>n</w:t>
      </w:r>
      <w:r>
        <w:rPr>
          <w:sz w:val="20"/>
          <w:szCs w:val="20"/>
        </w:rPr>
        <w:t xml:space="preserve"> under its margin account with the custodian of the Company’</w:t>
      </w:r>
      <w:r>
        <w:rPr>
          <w:sz w:val="20"/>
          <w:szCs w:val="20"/>
        </w:rPr>
        <w:t>s marketable debt security investment account, Pershing Advisor Solutions, LLC, a BNY Mellon Company. The outstanding balance is included in the Consolidated Balance Sheets. Margin account borrowings were used for the purchase of real property located in E</w:t>
      </w:r>
      <w:r>
        <w:rPr>
          <w:sz w:val="20"/>
          <w:szCs w:val="20"/>
        </w:rPr>
        <w:t xml:space="preserve">l Monte, California in 2020. The securities in the brokerage account were used as collateral for the margin loan. The custodian can issue a margin call at any time. The interest rate on the margin loan was the effective federal funds rate, or EFFR, plus a </w:t>
      </w:r>
      <w:r>
        <w:rPr>
          <w:sz w:val="20"/>
          <w:szCs w:val="20"/>
        </w:rPr>
        <w:t>spread. EFFR and/or the spread can be changed by BNY Mellon at any time. The interest was</w:t>
      </w:r>
      <w:r>
        <w:rPr>
          <w:sz w:val="20"/>
          <w:szCs w:val="20"/>
        </w:rPr>
        <w:t xml:space="preserve"> </w:t>
      </w:r>
      <w:r>
        <w:rPr>
          <w:sz w:val="20"/>
          <w:szCs w:val="20"/>
        </w:rPr>
        <w:t>1</w:t>
      </w:r>
      <w:r>
        <w:rPr>
          <w:sz w:val="20"/>
          <w:szCs w:val="20"/>
        </w:rPr>
        <w:t xml:space="preserve">% at the time of withdrawal of </w:t>
      </w:r>
      <w:r>
        <w:rPr>
          <w:sz w:val="20"/>
          <w:szCs w:val="20"/>
        </w:rPr>
        <w:t>$</w:t>
      </w:r>
      <w:r>
        <w:rPr>
          <w:sz w:val="20"/>
          <w:szCs w:val="20"/>
        </w:rPr>
        <w:t>15.</w:t>
      </w:r>
      <w:r>
        <w:rPr>
          <w:sz w:val="20"/>
          <w:szCs w:val="20"/>
        </w:rPr>
        <w:t>0</w:t>
      </w:r>
      <w:r>
        <w:rPr>
          <w:sz w:val="20"/>
          <w:szCs w:val="20"/>
        </w:rPr>
        <w:t xml:space="preserve"> million from the margin account, and the interest rate at December 31, 2022 was</w:t>
      </w:r>
      <w:r>
        <w:rPr>
          <w:sz w:val="20"/>
          <w:szCs w:val="20"/>
        </w:rPr>
        <w:t xml:space="preserve"> </w:t>
      </w:r>
      <w:r>
        <w:rPr>
          <w:sz w:val="20"/>
          <w:szCs w:val="20"/>
        </w:rPr>
        <w:t>4.5</w:t>
      </w:r>
      <w:r>
        <w:rPr>
          <w:sz w:val="20"/>
          <w:szCs w:val="20"/>
        </w:rPr>
        <w:t>9</w:t>
      </w:r>
      <w:r>
        <w:rPr>
          <w:sz w:val="20"/>
          <w:szCs w:val="20"/>
        </w:rPr>
        <w:t>%</w:t>
      </w:r>
      <w:r>
        <w:rPr>
          <w:sz w:val="20"/>
          <w:szCs w:val="20"/>
        </w:rPr>
        <w:t>. The related interest expenses in 2022, 20</w:t>
      </w:r>
      <w:r>
        <w:rPr>
          <w:sz w:val="20"/>
          <w:szCs w:val="20"/>
        </w:rPr>
        <w:t xml:space="preserve">21 and 2020 were </w:t>
      </w:r>
      <w:r>
        <w:rPr>
          <w:sz w:val="20"/>
          <w:szCs w:val="20"/>
        </w:rPr>
        <w:t>$</w:t>
      </w:r>
      <w:r>
        <w:rPr>
          <w:sz w:val="20"/>
          <w:szCs w:val="20"/>
        </w:rPr>
        <w:t>346,00</w:t>
      </w:r>
      <w:r>
        <w:rPr>
          <w:sz w:val="20"/>
          <w:szCs w:val="20"/>
        </w:rPr>
        <w:t>0</w:t>
      </w:r>
      <w:r>
        <w:rPr>
          <w:sz w:val="20"/>
          <w:szCs w:val="20"/>
        </w:rPr>
        <w:t xml:space="preserve">, </w:t>
      </w:r>
      <w:r>
        <w:rPr>
          <w:sz w:val="20"/>
          <w:szCs w:val="20"/>
        </w:rPr>
        <w:t>$</w:t>
      </w:r>
      <w:r>
        <w:rPr>
          <w:sz w:val="20"/>
          <w:szCs w:val="20"/>
        </w:rPr>
        <w:t>117,00</w:t>
      </w:r>
      <w:r>
        <w:rPr>
          <w:sz w:val="20"/>
          <w:szCs w:val="20"/>
        </w:rPr>
        <w:t>0</w:t>
      </w:r>
      <w:r>
        <w:rPr>
          <w:sz w:val="20"/>
          <w:szCs w:val="20"/>
        </w:rPr>
        <w:t xml:space="preserve"> and </w:t>
      </w:r>
      <w:r>
        <w:rPr>
          <w:sz w:val="20"/>
          <w:szCs w:val="20"/>
        </w:rPr>
        <w:t>$</w:t>
      </w:r>
      <w:r>
        <w:rPr>
          <w:sz w:val="20"/>
          <w:szCs w:val="20"/>
        </w:rPr>
        <w:t>20,00</w:t>
      </w:r>
      <w:r>
        <w:rPr>
          <w:sz w:val="20"/>
          <w:szCs w:val="20"/>
        </w:rPr>
        <w:t>0</w:t>
      </w:r>
      <w:r>
        <w:rPr>
          <w:sz w:val="20"/>
          <w:szCs w:val="20"/>
        </w:rPr>
        <w:t>, respectively</w:t>
      </w:r>
      <w:r>
        <w:rPr>
          <w:sz w:val="20"/>
          <w:szCs w:val="20"/>
        </w:rPr>
        <w:t>.</w:t>
      </w:r>
    </w:p>
    <w:p w:rsidR="00000000" w:rsidRDefault="00477EE8">
      <w:pPr>
        <w:pStyle w:val="a3"/>
        <w:spacing w:before="240" w:beforeAutospacing="0" w:after="0" w:afterAutospacing="0"/>
        <w:ind w:firstLine="555"/>
        <w:divId w:val="611862306"/>
        <w:rPr>
          <w:sz w:val="20"/>
          <w:szCs w:val="20"/>
        </w:rPr>
      </w:pPr>
      <w:r>
        <w:rPr>
          <w:sz w:val="20"/>
          <w:szCs w:val="20"/>
        </w:rPr>
        <w:t xml:space="preserve">Notes payable as of December 31, 2022, consisted of </w:t>
      </w:r>
      <w:r>
        <w:rPr>
          <w:sz w:val="20"/>
          <w:szCs w:val="20"/>
        </w:rPr>
        <w:t>$</w:t>
      </w:r>
      <w:r>
        <w:rPr>
          <w:sz w:val="20"/>
          <w:szCs w:val="20"/>
        </w:rPr>
        <w:t>3.</w:t>
      </w:r>
      <w:r>
        <w:rPr>
          <w:sz w:val="20"/>
          <w:szCs w:val="20"/>
        </w:rPr>
        <w:t>8</w:t>
      </w:r>
      <w:r>
        <w:rPr>
          <w:sz w:val="20"/>
          <w:szCs w:val="20"/>
        </w:rPr>
        <w:t xml:space="preserve"> millio</w:t>
      </w:r>
      <w:r>
        <w:rPr>
          <w:sz w:val="20"/>
          <w:szCs w:val="20"/>
        </w:rPr>
        <w:t>n</w:t>
      </w:r>
      <w:r>
        <w:rPr>
          <w:sz w:val="20"/>
          <w:szCs w:val="20"/>
        </w:rPr>
        <w:t xml:space="preserve"> of notes payable related to an installment sale contract the Company entered in February 2022 for a building and </w:t>
      </w:r>
      <w:r>
        <w:rPr>
          <w:sz w:val="20"/>
          <w:szCs w:val="20"/>
        </w:rPr>
        <w:t>$</w:t>
      </w:r>
      <w:r>
        <w:rPr>
          <w:sz w:val="20"/>
          <w:szCs w:val="20"/>
        </w:rPr>
        <w:t>5.</w:t>
      </w:r>
      <w:r>
        <w:rPr>
          <w:sz w:val="20"/>
          <w:szCs w:val="20"/>
        </w:rPr>
        <w:t>2</w:t>
      </w:r>
      <w:r>
        <w:rPr>
          <w:sz w:val="20"/>
          <w:szCs w:val="20"/>
        </w:rPr>
        <w:t xml:space="preserve"> millio</w:t>
      </w:r>
      <w:r>
        <w:rPr>
          <w:sz w:val="20"/>
          <w:szCs w:val="20"/>
        </w:rPr>
        <w:t>n</w:t>
      </w:r>
      <w:r>
        <w:rPr>
          <w:sz w:val="20"/>
          <w:szCs w:val="20"/>
        </w:rPr>
        <w:t xml:space="preserve"> of</w:t>
      </w:r>
      <w:r>
        <w:rPr>
          <w:sz w:val="20"/>
          <w:szCs w:val="20"/>
        </w:rPr>
        <w:t xml:space="preserve"> notes payable to Xilong Scientific Co., or Xilong Scientific, by Fujian Fujun Gene Biotech Co., Ltd., or FF Gene Biotech.</w:t>
      </w:r>
      <w:r>
        <w:rPr>
          <w:sz w:val="20"/>
          <w:szCs w:val="20"/>
        </w:rPr>
        <w:t xml:space="preserve"> </w:t>
      </w:r>
      <w:r>
        <w:rPr>
          <w:sz w:val="20"/>
          <w:szCs w:val="20"/>
        </w:rPr>
        <w:t>The notes payable related to the installment sale are due in February 2030, and the interest rate is</w:t>
      </w:r>
      <w:r>
        <w:rPr>
          <w:sz w:val="20"/>
          <w:szCs w:val="20"/>
        </w:rPr>
        <w:t xml:space="preserve"> </w:t>
      </w:r>
      <w:r>
        <w:rPr>
          <w:sz w:val="20"/>
          <w:szCs w:val="20"/>
        </w:rPr>
        <w:t>1.0</w:t>
      </w:r>
      <w:r>
        <w:rPr>
          <w:sz w:val="20"/>
          <w:szCs w:val="20"/>
        </w:rPr>
        <w:t>8</w:t>
      </w:r>
      <w:r>
        <w:rPr>
          <w:sz w:val="20"/>
          <w:szCs w:val="20"/>
        </w:rPr>
        <w:t>%</w:t>
      </w:r>
      <w:r>
        <w:rPr>
          <w:sz w:val="20"/>
          <w:szCs w:val="20"/>
        </w:rPr>
        <w:t>.</w:t>
      </w:r>
      <w:r>
        <w:rPr>
          <w:sz w:val="20"/>
          <w:szCs w:val="20"/>
        </w:rPr>
        <w:t xml:space="preserve"> The current portion and n</w:t>
      </w:r>
      <w:r>
        <w:rPr>
          <w:sz w:val="20"/>
          <w:szCs w:val="20"/>
        </w:rPr>
        <w:t xml:space="preserve">oncurrent portion are </w:t>
      </w:r>
      <w:r>
        <w:rPr>
          <w:sz w:val="20"/>
          <w:szCs w:val="20"/>
        </w:rPr>
        <w:t>$</w:t>
      </w:r>
      <w:r>
        <w:rPr>
          <w:sz w:val="20"/>
          <w:szCs w:val="20"/>
        </w:rPr>
        <w:t>461,00</w:t>
      </w:r>
      <w:r>
        <w:rPr>
          <w:sz w:val="20"/>
          <w:szCs w:val="20"/>
        </w:rPr>
        <w:t>0</w:t>
      </w:r>
      <w:r>
        <w:rPr>
          <w:sz w:val="20"/>
          <w:szCs w:val="20"/>
        </w:rPr>
        <w:t xml:space="preserve"> and </w:t>
      </w:r>
      <w:r>
        <w:rPr>
          <w:sz w:val="20"/>
          <w:szCs w:val="20"/>
        </w:rPr>
        <w:t>$</w:t>
      </w:r>
      <w:r>
        <w:rPr>
          <w:sz w:val="20"/>
          <w:szCs w:val="20"/>
        </w:rPr>
        <w:t>3.</w:t>
      </w:r>
      <w:r>
        <w:rPr>
          <w:sz w:val="20"/>
          <w:szCs w:val="20"/>
        </w:rPr>
        <w:t>4</w:t>
      </w:r>
      <w:r>
        <w:rPr>
          <w:sz w:val="20"/>
          <w:szCs w:val="20"/>
        </w:rPr>
        <w:t xml:space="preserve"> millio</w:t>
      </w:r>
      <w:r>
        <w:rPr>
          <w:sz w:val="20"/>
          <w:szCs w:val="20"/>
        </w:rPr>
        <w:t>n</w:t>
      </w:r>
      <w:r>
        <w:rPr>
          <w:sz w:val="20"/>
          <w:szCs w:val="20"/>
        </w:rPr>
        <w:t>, respectively, and the noncurrent portion is included in the other long-term liabilities in the accompanying Consolidated Balance Sheets.</w:t>
      </w:r>
      <w:r>
        <w:rPr>
          <w:sz w:val="20"/>
          <w:szCs w:val="20"/>
        </w:rPr>
        <w:t xml:space="preserve"> </w:t>
      </w:r>
      <w:r>
        <w:rPr>
          <w:sz w:val="20"/>
          <w:szCs w:val="20"/>
        </w:rPr>
        <w:t>The notes payable to Xilong Scientific is due on March 31, 2023, and t</w:t>
      </w:r>
      <w:r>
        <w:rPr>
          <w:sz w:val="20"/>
          <w:szCs w:val="20"/>
        </w:rPr>
        <w:t>he interest rate on the loan is</w:t>
      </w:r>
      <w:r>
        <w:rPr>
          <w:sz w:val="20"/>
          <w:szCs w:val="20"/>
        </w:rPr>
        <w:t xml:space="preserve"> </w:t>
      </w:r>
      <w:r>
        <w:rPr>
          <w:sz w:val="20"/>
          <w:szCs w:val="20"/>
        </w:rPr>
        <w:t>4.9</w:t>
      </w:r>
      <w:r>
        <w:rPr>
          <w:sz w:val="20"/>
          <w:szCs w:val="20"/>
        </w:rPr>
        <w:t>7</w:t>
      </w:r>
      <w:r>
        <w:rPr>
          <w:sz w:val="20"/>
          <w:szCs w:val="20"/>
        </w:rPr>
        <w:t>%</w:t>
      </w:r>
      <w:r>
        <w:rPr>
          <w:sz w:val="20"/>
          <w:szCs w:val="20"/>
        </w:rPr>
        <w:t>.</w:t>
      </w:r>
      <w:r>
        <w:rPr>
          <w:sz w:val="20"/>
          <w:szCs w:val="20"/>
        </w:rPr>
        <w:t xml:space="preserve"> The related interest expenses in 2022 and 2021 were </w:t>
      </w:r>
      <w:r>
        <w:rPr>
          <w:sz w:val="20"/>
          <w:szCs w:val="20"/>
        </w:rPr>
        <w:t>$</w:t>
      </w:r>
      <w:r>
        <w:rPr>
          <w:sz w:val="20"/>
          <w:szCs w:val="20"/>
        </w:rPr>
        <w:t>304,00</w:t>
      </w:r>
      <w:r>
        <w:rPr>
          <w:sz w:val="20"/>
          <w:szCs w:val="20"/>
        </w:rPr>
        <w:t>0</w:t>
      </w:r>
      <w:r>
        <w:rPr>
          <w:sz w:val="20"/>
          <w:szCs w:val="20"/>
        </w:rPr>
        <w:t xml:space="preserve"> and </w:t>
      </w:r>
      <w:r>
        <w:rPr>
          <w:sz w:val="20"/>
          <w:szCs w:val="20"/>
        </w:rPr>
        <w:t>$</w:t>
      </w:r>
      <w:r>
        <w:rPr>
          <w:sz w:val="20"/>
          <w:szCs w:val="20"/>
        </w:rPr>
        <w:t>177,00</w:t>
      </w:r>
      <w:r>
        <w:rPr>
          <w:sz w:val="20"/>
          <w:szCs w:val="20"/>
        </w:rPr>
        <w:t>0</w:t>
      </w:r>
      <w:r>
        <w:rPr>
          <w:sz w:val="20"/>
          <w:szCs w:val="20"/>
        </w:rPr>
        <w:t>, respectively. The Company did</w:t>
      </w:r>
      <w:r>
        <w:rPr>
          <w:sz w:val="20"/>
          <w:szCs w:val="20"/>
        </w:rPr>
        <w:t xml:space="preserve"> </w:t>
      </w:r>
      <w:r>
        <w:rPr>
          <w:sz w:val="20"/>
          <w:szCs w:val="20"/>
        </w:rPr>
        <w:t>n</w:t>
      </w:r>
      <w:r>
        <w:rPr>
          <w:sz w:val="20"/>
          <w:szCs w:val="20"/>
        </w:rPr>
        <w:t>o</w:t>
      </w:r>
      <w:r>
        <w:rPr>
          <w:sz w:val="20"/>
          <w:szCs w:val="20"/>
        </w:rPr>
        <w:t>t have the installment sale contract in 2021</w:t>
      </w:r>
      <w:r>
        <w:rPr>
          <w:sz w:val="20"/>
          <w:szCs w:val="20"/>
        </w:rPr>
        <w:t>.</w:t>
      </w:r>
    </w:p>
    <w:p w:rsidR="00000000" w:rsidRDefault="00477EE8">
      <w:pPr>
        <w:pStyle w:val="a3"/>
        <w:spacing w:before="360" w:beforeAutospacing="0" w:after="0" w:afterAutospacing="0"/>
        <w:divId w:val="611862306"/>
        <w:rPr>
          <w:sz w:val="20"/>
          <w:szCs w:val="20"/>
        </w:rPr>
      </w:pPr>
      <w:r>
        <w:rPr>
          <w:b/>
          <w:bCs/>
          <w:i/>
          <w:iCs/>
          <w:sz w:val="20"/>
          <w:szCs w:val="20"/>
        </w:rPr>
        <w:t>Operating and Finance Lease</w:t>
      </w:r>
      <w:r>
        <w:rPr>
          <w:b/>
          <w:bCs/>
          <w:i/>
          <w:iCs/>
          <w:sz w:val="20"/>
          <w:szCs w:val="20"/>
        </w:rPr>
        <w:t>s</w:t>
      </w:r>
    </w:p>
    <w:p w:rsidR="00000000" w:rsidRDefault="00477EE8">
      <w:pPr>
        <w:pStyle w:val="a3"/>
        <w:spacing w:before="120" w:beforeAutospacing="0" w:after="0" w:afterAutospacing="0"/>
        <w:ind w:firstLine="555"/>
        <w:divId w:val="611862306"/>
        <w:rPr>
          <w:sz w:val="20"/>
          <w:szCs w:val="20"/>
        </w:rPr>
      </w:pPr>
      <w:r>
        <w:rPr>
          <w:sz w:val="20"/>
          <w:szCs w:val="20"/>
        </w:rPr>
        <w:t>See Note 9,</w:t>
      </w:r>
      <w:r>
        <w:rPr>
          <w:sz w:val="20"/>
          <w:szCs w:val="20"/>
        </w:rPr>
        <w:t xml:space="preserve"> </w:t>
      </w:r>
      <w:r>
        <w:rPr>
          <w:i/>
          <w:iCs/>
          <w:sz w:val="20"/>
          <w:szCs w:val="20"/>
        </w:rPr>
        <w:t>Lease</w:t>
      </w:r>
      <w:r>
        <w:rPr>
          <w:i/>
          <w:iCs/>
          <w:sz w:val="20"/>
          <w:szCs w:val="20"/>
        </w:rPr>
        <w:t>s</w:t>
      </w:r>
      <w:r>
        <w:rPr>
          <w:sz w:val="20"/>
          <w:szCs w:val="20"/>
        </w:rPr>
        <w:t>, for further inf</w:t>
      </w:r>
      <w:r>
        <w:rPr>
          <w:sz w:val="20"/>
          <w:szCs w:val="20"/>
        </w:rPr>
        <w:t>ormation</w:t>
      </w:r>
      <w:r>
        <w:rPr>
          <w:sz w:val="20"/>
          <w:szCs w:val="20"/>
        </w:rPr>
        <w:t>.</w:t>
      </w:r>
    </w:p>
    <w:p w:rsidR="00000000" w:rsidRDefault="00477EE8">
      <w:pPr>
        <w:pStyle w:val="a3"/>
        <w:spacing w:before="360" w:beforeAutospacing="0" w:after="0" w:afterAutospacing="0"/>
        <w:divId w:val="611862306"/>
        <w:rPr>
          <w:sz w:val="20"/>
          <w:szCs w:val="20"/>
        </w:rPr>
      </w:pPr>
      <w:r>
        <w:rPr>
          <w:b/>
          <w:bCs/>
          <w:i/>
          <w:iCs/>
          <w:sz w:val="20"/>
          <w:szCs w:val="20"/>
        </w:rPr>
        <w:t>Purchase Obligation</w:t>
      </w:r>
      <w:r>
        <w:rPr>
          <w:b/>
          <w:bCs/>
          <w:i/>
          <w:iCs/>
          <w:sz w:val="20"/>
          <w:szCs w:val="20"/>
        </w:rPr>
        <w:t>s</w:t>
      </w:r>
    </w:p>
    <w:p w:rsidR="00000000" w:rsidRDefault="00477EE8">
      <w:pPr>
        <w:pStyle w:val="a3"/>
        <w:spacing w:before="120" w:beforeAutospacing="0" w:after="0" w:afterAutospacing="0"/>
        <w:ind w:firstLine="555"/>
        <w:divId w:val="611862306"/>
        <w:rPr>
          <w:sz w:val="20"/>
          <w:szCs w:val="20"/>
        </w:rPr>
      </w:pPr>
      <w:r>
        <w:rPr>
          <w:sz w:val="20"/>
          <w:szCs w:val="20"/>
        </w:rPr>
        <w:t xml:space="preserve">As of December 31, 2022, the Company had non-cancelable purchase obligations of </w:t>
      </w:r>
      <w:r>
        <w:rPr>
          <w:sz w:val="20"/>
          <w:szCs w:val="20"/>
        </w:rPr>
        <w:t>$</w:t>
      </w:r>
      <w:r>
        <w:rPr>
          <w:sz w:val="20"/>
          <w:szCs w:val="20"/>
        </w:rPr>
        <w:t>10.</w:t>
      </w:r>
      <w:r>
        <w:rPr>
          <w:sz w:val="20"/>
          <w:szCs w:val="20"/>
        </w:rPr>
        <w:t>1</w:t>
      </w:r>
      <w:r>
        <w:rPr>
          <w:sz w:val="20"/>
          <w:szCs w:val="20"/>
        </w:rPr>
        <w:t xml:space="preserve"> millio</w:t>
      </w:r>
      <w:r>
        <w:rPr>
          <w:sz w:val="20"/>
          <w:szCs w:val="20"/>
        </w:rPr>
        <w:t>n</w:t>
      </w:r>
      <w:r>
        <w:rPr>
          <w:sz w:val="20"/>
          <w:szCs w:val="20"/>
        </w:rPr>
        <w:t xml:space="preserve">, of which, </w:t>
      </w:r>
      <w:r>
        <w:rPr>
          <w:sz w:val="20"/>
          <w:szCs w:val="20"/>
        </w:rPr>
        <w:t>$</w:t>
      </w:r>
      <w:r>
        <w:rPr>
          <w:sz w:val="20"/>
          <w:szCs w:val="20"/>
        </w:rPr>
        <w:t>3.</w:t>
      </w:r>
      <w:r>
        <w:rPr>
          <w:sz w:val="20"/>
          <w:szCs w:val="20"/>
        </w:rPr>
        <w:t>2</w:t>
      </w:r>
      <w:r>
        <w:rPr>
          <w:sz w:val="20"/>
          <w:szCs w:val="20"/>
        </w:rPr>
        <w:t xml:space="preserve"> millio</w:t>
      </w:r>
      <w:r>
        <w:rPr>
          <w:sz w:val="20"/>
          <w:szCs w:val="20"/>
        </w:rPr>
        <w:t>n</w:t>
      </w:r>
      <w:r>
        <w:rPr>
          <w:sz w:val="20"/>
          <w:szCs w:val="20"/>
        </w:rPr>
        <w:t xml:space="preserve"> for computer software and hardware, </w:t>
      </w:r>
      <w:r>
        <w:rPr>
          <w:sz w:val="20"/>
          <w:szCs w:val="20"/>
        </w:rPr>
        <w:t>$</w:t>
      </w:r>
      <w:r>
        <w:rPr>
          <w:sz w:val="20"/>
          <w:szCs w:val="20"/>
        </w:rPr>
        <w:t>2.</w:t>
      </w:r>
      <w:r>
        <w:rPr>
          <w:sz w:val="20"/>
          <w:szCs w:val="20"/>
        </w:rPr>
        <w:t>5</w:t>
      </w:r>
      <w:r>
        <w:rPr>
          <w:sz w:val="20"/>
          <w:szCs w:val="20"/>
        </w:rPr>
        <w:t xml:space="preserve"> millio</w:t>
      </w:r>
      <w:r>
        <w:rPr>
          <w:sz w:val="20"/>
          <w:szCs w:val="20"/>
        </w:rPr>
        <w:t>n</w:t>
      </w:r>
      <w:r>
        <w:rPr>
          <w:sz w:val="20"/>
          <w:szCs w:val="20"/>
        </w:rPr>
        <w:t xml:space="preserve"> for reagents and other supplies, </w:t>
      </w:r>
      <w:r>
        <w:rPr>
          <w:sz w:val="20"/>
          <w:szCs w:val="20"/>
        </w:rPr>
        <w:t>$</w:t>
      </w:r>
      <w:r>
        <w:rPr>
          <w:sz w:val="20"/>
          <w:szCs w:val="20"/>
        </w:rPr>
        <w:t>1.</w:t>
      </w:r>
      <w:r>
        <w:rPr>
          <w:sz w:val="20"/>
          <w:szCs w:val="20"/>
        </w:rPr>
        <w:t>1</w:t>
      </w:r>
      <w:r>
        <w:rPr>
          <w:sz w:val="20"/>
          <w:szCs w:val="20"/>
        </w:rPr>
        <w:t xml:space="preserve"> millio</w:t>
      </w:r>
      <w:r>
        <w:rPr>
          <w:sz w:val="20"/>
          <w:szCs w:val="20"/>
        </w:rPr>
        <w:t>n</w:t>
      </w:r>
      <w:r>
        <w:rPr>
          <w:sz w:val="20"/>
          <w:szCs w:val="20"/>
        </w:rPr>
        <w:t xml:space="preserve"> for services</w:t>
      </w:r>
      <w:r>
        <w:rPr>
          <w:sz w:val="20"/>
          <w:szCs w:val="20"/>
        </w:rPr>
        <w:t xml:space="preserve"> and </w:t>
      </w:r>
      <w:r>
        <w:rPr>
          <w:sz w:val="20"/>
          <w:szCs w:val="20"/>
        </w:rPr>
        <w:t>$</w:t>
      </w:r>
      <w:r>
        <w:rPr>
          <w:sz w:val="20"/>
          <w:szCs w:val="20"/>
        </w:rPr>
        <w:t>746,00</w:t>
      </w:r>
      <w:r>
        <w:rPr>
          <w:sz w:val="20"/>
          <w:szCs w:val="20"/>
        </w:rPr>
        <w:t>0</w:t>
      </w:r>
      <w:r>
        <w:rPr>
          <w:sz w:val="20"/>
          <w:szCs w:val="20"/>
        </w:rPr>
        <w:t xml:space="preserve"> for medical lab equipment are payable within twelve months. </w:t>
      </w:r>
      <w:r>
        <w:rPr>
          <w:sz w:val="20"/>
          <w:szCs w:val="20"/>
        </w:rPr>
        <w:t>$</w:t>
      </w:r>
      <w:r>
        <w:rPr>
          <w:sz w:val="20"/>
          <w:szCs w:val="20"/>
        </w:rPr>
        <w:t>2.</w:t>
      </w:r>
      <w:r>
        <w:rPr>
          <w:sz w:val="20"/>
          <w:szCs w:val="20"/>
        </w:rPr>
        <w:t>2</w:t>
      </w:r>
      <w:r>
        <w:rPr>
          <w:sz w:val="20"/>
          <w:szCs w:val="20"/>
        </w:rPr>
        <w:t xml:space="preserve"> millio</w:t>
      </w:r>
      <w:r>
        <w:rPr>
          <w:sz w:val="20"/>
          <w:szCs w:val="20"/>
        </w:rPr>
        <w:t>n</w:t>
      </w:r>
      <w:r>
        <w:rPr>
          <w:sz w:val="20"/>
          <w:szCs w:val="20"/>
        </w:rPr>
        <w:t xml:space="preserve"> for computer software and </w:t>
      </w:r>
      <w:r>
        <w:rPr>
          <w:sz w:val="20"/>
          <w:szCs w:val="20"/>
        </w:rPr>
        <w:t>$</w:t>
      </w:r>
      <w:r>
        <w:rPr>
          <w:sz w:val="20"/>
          <w:szCs w:val="20"/>
        </w:rPr>
        <w:t>381,00</w:t>
      </w:r>
      <w:r>
        <w:rPr>
          <w:sz w:val="20"/>
          <w:szCs w:val="20"/>
        </w:rPr>
        <w:t>0</w:t>
      </w:r>
      <w:r>
        <w:rPr>
          <w:sz w:val="20"/>
          <w:szCs w:val="20"/>
        </w:rPr>
        <w:t xml:space="preserve"> for services are payable within the next thirty-six months</w:t>
      </w:r>
      <w:r>
        <w:rPr>
          <w:sz w:val="20"/>
          <w:szCs w:val="20"/>
        </w:rPr>
        <w:t>.</w:t>
      </w:r>
      <w:r>
        <w:rPr>
          <w:sz w:val="20"/>
          <w:szCs w:val="20"/>
        </w:rPr>
        <w:t xml:space="preserve"> </w:t>
      </w:r>
    </w:p>
    <w:p w:rsidR="00000000" w:rsidRDefault="00477EE8">
      <w:pPr>
        <w:pStyle w:val="a3"/>
        <w:spacing w:before="360" w:beforeAutospacing="0" w:after="0" w:afterAutospacing="0"/>
        <w:divId w:val="611862306"/>
        <w:rPr>
          <w:sz w:val="20"/>
          <w:szCs w:val="20"/>
        </w:rPr>
      </w:pPr>
      <w:r>
        <w:rPr>
          <w:b/>
          <w:bCs/>
          <w:i/>
          <w:iCs/>
          <w:sz w:val="20"/>
          <w:szCs w:val="20"/>
        </w:rPr>
        <w:t>Contingencie</w:t>
      </w:r>
      <w:r>
        <w:rPr>
          <w:b/>
          <w:bCs/>
          <w:i/>
          <w:iCs/>
          <w:sz w:val="20"/>
          <w:szCs w:val="20"/>
        </w:rPr>
        <w:t>s</w:t>
      </w:r>
    </w:p>
    <w:p w:rsidR="00000000" w:rsidRDefault="00477EE8">
      <w:pPr>
        <w:pStyle w:val="a3"/>
        <w:spacing w:before="120" w:beforeAutospacing="0" w:after="0" w:afterAutospacing="0"/>
        <w:ind w:firstLine="555"/>
        <w:divId w:val="611862306"/>
        <w:rPr>
          <w:sz w:val="20"/>
          <w:szCs w:val="20"/>
        </w:rPr>
      </w:pPr>
      <w:r>
        <w:rPr>
          <w:sz w:val="20"/>
          <w:szCs w:val="20"/>
        </w:rPr>
        <w:t>From time to time, the Company may be subject to legal proc</w:t>
      </w:r>
      <w:r>
        <w:rPr>
          <w:sz w:val="20"/>
          <w:szCs w:val="20"/>
        </w:rPr>
        <w:t>eedings and claims arising in the ordinary course of business. Management does not believe that the outcome of any of these matters will have a material effect on the Company’s consolidated financial position, results of operations or cash flows</w:t>
      </w:r>
      <w:r>
        <w:rPr>
          <w:sz w:val="20"/>
          <w:szCs w:val="20"/>
        </w:rPr>
        <w:t>.</w:t>
      </w:r>
    </w:p>
    <w:p w:rsidR="00000000" w:rsidRDefault="00477EE8">
      <w:pPr>
        <w:pStyle w:val="a3"/>
        <w:spacing w:before="240" w:beforeAutospacing="0" w:after="0" w:afterAutospacing="0"/>
        <w:ind w:firstLine="555"/>
        <w:divId w:val="611862306"/>
        <w:rPr>
          <w:sz w:val="20"/>
          <w:szCs w:val="20"/>
        </w:rPr>
      </w:pPr>
      <w:r>
        <w:rPr>
          <w:sz w:val="20"/>
          <w:szCs w:val="20"/>
        </w:rPr>
        <w:t>The</w:t>
      </w:r>
      <w:r>
        <w:rPr>
          <w:sz w:val="20"/>
          <w:szCs w:val="20"/>
        </w:rPr>
        <w:t xml:space="preserve"> </w:t>
      </w:r>
      <w:r>
        <w:rPr>
          <w:sz w:val="20"/>
          <w:szCs w:val="20"/>
        </w:rPr>
        <w:t>Compa</w:t>
      </w:r>
      <w:r>
        <w:rPr>
          <w:sz w:val="20"/>
          <w:szCs w:val="20"/>
        </w:rPr>
        <w:t>ny has received a CID issued by the U.S. Department of Justice pursuant to the False Claims Act related to its investigation of allegations of medically unnecessary laboratory testing, improper billing for laboratory testing, and remuneration received or p</w:t>
      </w:r>
      <w:r>
        <w:rPr>
          <w:sz w:val="20"/>
          <w:szCs w:val="20"/>
        </w:rPr>
        <w:t xml:space="preserve">rovided in violation of the Anti-Kickback Statute and the Stark Law. This CID requests information and records relating to certain of the Company’s customers named in the CID, which represent a small portion of the Company’s revenues. The Company is fully </w:t>
      </w:r>
      <w:r>
        <w:rPr>
          <w:sz w:val="20"/>
          <w:szCs w:val="20"/>
        </w:rPr>
        <w:t>cooperating with the U.S. Department of Justice to promptly respond to the requests for information in this CID, and does not presently expect this CID or resulting investigation to have a material adverse impact. However, the Company cannot predict when t</w:t>
      </w:r>
      <w:r>
        <w:rPr>
          <w:sz w:val="20"/>
          <w:szCs w:val="20"/>
        </w:rPr>
        <w:t>h</w:t>
      </w:r>
      <w:r>
        <w:rPr>
          <w:sz w:val="20"/>
          <w:szCs w:val="20"/>
        </w:rPr>
        <w:t>e</w:t>
      </w:r>
      <w:r>
        <w:rPr>
          <w:sz w:val="20"/>
          <w:szCs w:val="20"/>
        </w:rPr>
        <w:t xml:space="preserve"> </w:t>
      </w:r>
    </w:p>
    <w:p w:rsidR="00000000" w:rsidRDefault="00477EE8">
      <w:pPr>
        <w:pStyle w:val="a3"/>
        <w:spacing w:before="240" w:beforeAutospacing="0" w:after="0" w:afterAutospacing="0"/>
        <w:jc w:val="center"/>
        <w:divId w:val="611862306"/>
        <w:rPr>
          <w:sz w:val="20"/>
          <w:szCs w:val="20"/>
        </w:rPr>
      </w:pPr>
      <w:r>
        <w:rPr>
          <w:sz w:val="20"/>
          <w:szCs w:val="20"/>
        </w:rPr>
        <w:t>F</w:t>
      </w:r>
      <w:r>
        <w:rPr>
          <w:sz w:val="20"/>
          <w:szCs w:val="20"/>
        </w:rPr>
        <w:t>-</w:t>
      </w:r>
      <w:r>
        <w:rPr>
          <w:sz w:val="20"/>
          <w:szCs w:val="20"/>
        </w:rPr>
        <w:t>2</w:t>
      </w:r>
      <w:r>
        <w:rPr>
          <w:sz w:val="20"/>
          <w:szCs w:val="20"/>
        </w:rPr>
        <w:t>3</w:t>
      </w:r>
    </w:p>
    <w:p w:rsidR="00000000" w:rsidRDefault="00477EE8">
      <w:pPr>
        <w:divId w:val="611862306"/>
        <w:rPr>
          <w:rFonts w:eastAsia="Times New Roman"/>
          <w:sz w:val="20"/>
          <w:szCs w:val="20"/>
        </w:rPr>
      </w:pPr>
      <w:r>
        <w:rPr>
          <w:rFonts w:eastAsia="Times New Roman"/>
          <w:sz w:val="20"/>
          <w:szCs w:val="20"/>
        </w:rPr>
        <w:pict>
          <v:rect id="_x0000_i1134" style="width:0;height:1.5pt" o:hralign="center" o:hrstd="t" o:hr="t" fillcolor="#a0a0a0" stroked="f"/>
        </w:pict>
      </w:r>
    </w:p>
    <w:p w:rsidR="00000000" w:rsidRDefault="00477EE8">
      <w:pPr>
        <w:pStyle w:val="a3"/>
        <w:spacing w:before="240" w:beforeAutospacing="0" w:after="0" w:afterAutospacing="0"/>
        <w:divId w:val="611862306"/>
        <w:rPr>
          <w:sz w:val="20"/>
          <w:szCs w:val="20"/>
        </w:rPr>
      </w:pPr>
      <w:r>
        <w:rPr>
          <w:sz w:val="20"/>
          <w:szCs w:val="20"/>
        </w:rPr>
        <w:t>investigation</w:t>
      </w:r>
      <w:r>
        <w:rPr>
          <w:sz w:val="20"/>
          <w:szCs w:val="20"/>
        </w:rPr>
        <w:t xml:space="preserve"> </w:t>
      </w:r>
      <w:r>
        <w:rPr>
          <w:sz w:val="20"/>
          <w:szCs w:val="20"/>
        </w:rPr>
        <w:t>will be resolved, the outcome of the investigation or its potential impact, which may ultimately be greater than the Company currently expects</w:t>
      </w:r>
      <w:r>
        <w:rPr>
          <w:sz w:val="20"/>
          <w:szCs w:val="20"/>
        </w:rPr>
        <w:t>.</w:t>
      </w:r>
      <w:r>
        <w:rPr>
          <w:sz w:val="20"/>
          <w:szCs w:val="20"/>
        </w:rPr>
        <w:t xml:space="preserve"> </w:t>
      </w:r>
    </w:p>
    <w:p w:rsidR="00000000" w:rsidRDefault="00477EE8">
      <w:pPr>
        <w:pStyle w:val="a3"/>
        <w:spacing w:before="360" w:beforeAutospacing="0" w:after="0" w:afterAutospacing="0"/>
        <w:divId w:val="187376184"/>
        <w:rPr>
          <w:sz w:val="20"/>
          <w:szCs w:val="20"/>
        </w:rPr>
      </w:pPr>
      <w:r>
        <w:rPr>
          <w:b/>
          <w:bCs/>
          <w:sz w:val="20"/>
          <w:szCs w:val="20"/>
        </w:rPr>
        <w:t>Note 9. Lease</w:t>
      </w:r>
      <w:r>
        <w:rPr>
          <w:b/>
          <w:bCs/>
          <w:sz w:val="20"/>
          <w:szCs w:val="20"/>
        </w:rPr>
        <w:t>s</w:t>
      </w:r>
    </w:p>
    <w:p w:rsidR="00000000" w:rsidRDefault="00477EE8">
      <w:pPr>
        <w:pStyle w:val="a3"/>
        <w:spacing w:before="0" w:beforeAutospacing="0" w:after="0" w:afterAutospacing="0"/>
        <w:ind w:firstLine="599"/>
        <w:divId w:val="187376184"/>
        <w:rPr>
          <w:sz w:val="20"/>
          <w:szCs w:val="20"/>
        </w:rPr>
      </w:pPr>
      <w:r>
        <w:rPr>
          <w:sz w:val="12"/>
          <w:szCs w:val="12"/>
        </w:rPr>
        <w:t> </w:t>
      </w:r>
    </w:p>
    <w:p w:rsidR="00000000" w:rsidRDefault="00477EE8">
      <w:pPr>
        <w:pStyle w:val="a3"/>
        <w:spacing w:before="0" w:beforeAutospacing="0" w:after="0" w:afterAutospacing="0"/>
        <w:divId w:val="187376184"/>
        <w:rPr>
          <w:sz w:val="20"/>
          <w:szCs w:val="20"/>
        </w:rPr>
      </w:pPr>
      <w:r>
        <w:rPr>
          <w:b/>
          <w:bCs/>
          <w:i/>
          <w:iCs/>
          <w:sz w:val="20"/>
          <w:szCs w:val="20"/>
        </w:rPr>
        <w:t>Lesse</w:t>
      </w:r>
      <w:r>
        <w:rPr>
          <w:b/>
          <w:bCs/>
          <w:i/>
          <w:iCs/>
          <w:sz w:val="20"/>
          <w:szCs w:val="20"/>
        </w:rPr>
        <w:t>e</w:t>
      </w:r>
    </w:p>
    <w:p w:rsidR="00000000" w:rsidRDefault="00477EE8">
      <w:pPr>
        <w:pStyle w:val="a3"/>
        <w:spacing w:before="120" w:beforeAutospacing="0" w:after="0" w:afterAutospacing="0"/>
        <w:ind w:firstLine="555"/>
        <w:divId w:val="187376184"/>
        <w:rPr>
          <w:sz w:val="20"/>
          <w:szCs w:val="20"/>
        </w:rPr>
      </w:pPr>
      <w:r>
        <w:rPr>
          <w:sz w:val="20"/>
          <w:szCs w:val="20"/>
        </w:rPr>
        <w:t>The Company is party as a lessee to various non-cancelable operating leases with varying terms through</w:t>
      </w:r>
      <w:r>
        <w:rPr>
          <w:sz w:val="20"/>
          <w:szCs w:val="20"/>
        </w:rPr>
        <w:t xml:space="preserve"> </w:t>
      </w:r>
      <w:r>
        <w:rPr>
          <w:sz w:val="20"/>
          <w:szCs w:val="20"/>
        </w:rPr>
        <w:t>March 202</w:t>
      </w:r>
      <w:r>
        <w:rPr>
          <w:sz w:val="20"/>
          <w:szCs w:val="20"/>
        </w:rPr>
        <w:t>8</w:t>
      </w:r>
      <w:r>
        <w:rPr>
          <w:sz w:val="20"/>
          <w:szCs w:val="20"/>
        </w:rPr>
        <w:t xml:space="preserve"> primarily for laboratory and office space and equipment. The Company has options to renew some of these leases after their expirations. On a l</w:t>
      </w:r>
      <w:r>
        <w:rPr>
          <w:sz w:val="20"/>
          <w:szCs w:val="20"/>
        </w:rPr>
        <w:t>ease-by-lease basis, the Company considers such options, which may be elected at the Company’s sole discretion, in determining the lease term. The Company also has various finance leases for lab equipment with varying terms through</w:t>
      </w:r>
      <w:r>
        <w:rPr>
          <w:sz w:val="20"/>
          <w:szCs w:val="20"/>
        </w:rPr>
        <w:t xml:space="preserve"> </w:t>
      </w:r>
      <w:r>
        <w:rPr>
          <w:sz w:val="20"/>
          <w:szCs w:val="20"/>
        </w:rPr>
        <w:t>December 202</w:t>
      </w:r>
      <w:r>
        <w:rPr>
          <w:sz w:val="20"/>
          <w:szCs w:val="20"/>
        </w:rPr>
        <w:t>6</w:t>
      </w:r>
      <w:r>
        <w:rPr>
          <w:sz w:val="20"/>
          <w:szCs w:val="20"/>
        </w:rPr>
        <w:t>, of which,</w:t>
      </w:r>
      <w:r>
        <w:rPr>
          <w:sz w:val="20"/>
          <w:szCs w:val="20"/>
        </w:rPr>
        <w:t xml:space="preserve"> some were acquired in business combinations. The Company does not have any leases with variable lease payments. The Company’s operating lease agreements do not contain any residual value guarantees, material restrictive covenants, bargain purchase options</w:t>
      </w:r>
      <w:r>
        <w:rPr>
          <w:sz w:val="20"/>
          <w:szCs w:val="20"/>
        </w:rPr>
        <w:t xml:space="preserve"> or asset retirement obligations</w:t>
      </w:r>
      <w:r>
        <w:rPr>
          <w:sz w:val="20"/>
          <w:szCs w:val="20"/>
        </w:rPr>
        <w:t>.</w:t>
      </w:r>
    </w:p>
    <w:p w:rsidR="00000000" w:rsidRDefault="00477EE8">
      <w:pPr>
        <w:pStyle w:val="a3"/>
        <w:spacing w:before="240" w:beforeAutospacing="0" w:after="0" w:afterAutospacing="0"/>
        <w:ind w:firstLine="555"/>
        <w:divId w:val="187376184"/>
        <w:rPr>
          <w:sz w:val="20"/>
          <w:szCs w:val="20"/>
        </w:rPr>
      </w:pPr>
      <w:r>
        <w:rPr>
          <w:sz w:val="20"/>
          <w:szCs w:val="20"/>
        </w:rPr>
        <w:t>The Company’s headquarters are located in Temple City, California, which is comprised of various corporate offices and a laboratory certified under the Clinical Laboratory Improvement Amendments of 1988, or CLIA, accredite</w:t>
      </w:r>
      <w:r>
        <w:rPr>
          <w:sz w:val="20"/>
          <w:szCs w:val="20"/>
        </w:rPr>
        <w:t>d by the College of American Pathologists, or CAP, and licensed by the State of California Department of Public Health. Other CLIA-certified laboratories are located in El Monte, California; Houston and Irving, Texas; Needham, Massachusetts; Phoenix, Arizo</w:t>
      </w:r>
      <w:r>
        <w:rPr>
          <w:sz w:val="20"/>
          <w:szCs w:val="20"/>
        </w:rPr>
        <w:t>na; Alpharetta, Georgia; and New York, New York</w:t>
      </w:r>
      <w:r>
        <w:rPr>
          <w:sz w:val="20"/>
          <w:szCs w:val="20"/>
        </w:rPr>
        <w:t>.</w:t>
      </w:r>
    </w:p>
    <w:p w:rsidR="00000000" w:rsidRDefault="00477EE8">
      <w:pPr>
        <w:pStyle w:val="a3"/>
        <w:spacing w:before="240" w:beforeAutospacing="0" w:after="0" w:afterAutospacing="0"/>
        <w:ind w:firstLine="555"/>
        <w:divId w:val="1554461196"/>
        <w:rPr>
          <w:sz w:val="20"/>
          <w:szCs w:val="20"/>
        </w:rPr>
      </w:pPr>
      <w:r>
        <w:rPr>
          <w:sz w:val="20"/>
          <w:szCs w:val="20"/>
        </w:rPr>
        <w:t>The operating and finance lease right-of-use asset, short-term lease liabilities, and long-term lease liabilities as of December 31, 2022, and 2021 were as follows</w:t>
      </w:r>
      <w:r>
        <w:rPr>
          <w:sz w:val="20"/>
          <w:szCs w:val="20"/>
        </w:rPr>
        <w:t>:</w:t>
      </w:r>
    </w:p>
    <w:p w:rsidR="00000000" w:rsidRDefault="00477EE8">
      <w:pPr>
        <w:pStyle w:val="a3"/>
        <w:spacing w:before="0" w:beforeAutospacing="0" w:after="0" w:afterAutospacing="0"/>
        <w:ind w:firstLine="555"/>
        <w:divId w:val="1554461196"/>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87"/>
        <w:gridCol w:w="160"/>
        <w:gridCol w:w="1329"/>
        <w:gridCol w:w="110"/>
        <w:gridCol w:w="168"/>
        <w:gridCol w:w="160"/>
        <w:gridCol w:w="1367"/>
        <w:gridCol w:w="125"/>
      </w:tblGrid>
      <w:tr w:rsidR="00000000">
        <w:trPr>
          <w:divId w:val="1554461196"/>
          <w:tblCellSpacing w:w="15" w:type="dxa"/>
        </w:trPr>
        <w:tc>
          <w:tcPr>
            <w:tcW w:w="3027"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824"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101"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847"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divId w:val="1554461196"/>
          <w:trHeight w:val="160"/>
          <w:tblCellSpacing w:w="15" w:type="dxa"/>
        </w:trPr>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6"/>
            <w:vAlign w:val="bottom"/>
            <w:hideMark/>
          </w:tcPr>
          <w:p w:rsidR="00000000" w:rsidRDefault="00477EE8">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554461196"/>
          <w:trHeight w:val="160"/>
          <w:tblCellSpacing w:w="15" w:type="dxa"/>
        </w:trPr>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554461196"/>
          <w:trHeight w:val="160"/>
          <w:tblCellSpacing w:w="15" w:type="dxa"/>
        </w:trPr>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6"/>
            <w:vAlign w:val="bottom"/>
            <w:hideMark/>
          </w:tcPr>
          <w:p w:rsidR="00000000" w:rsidRDefault="00477EE8">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554461196"/>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Operating lease ROU asset, ne</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14,78</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7,14</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554461196"/>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Operating lease liabilities, short ter</w:t>
            </w:r>
            <w:r>
              <w:rPr>
                <w:sz w:val="20"/>
                <w:szCs w:val="20"/>
              </w:rPr>
              <w:t>m</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6,13</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1,84</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554461196"/>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Operating lease liabilities, long ter</w:t>
            </w:r>
            <w:r>
              <w:rPr>
                <w:sz w:val="20"/>
                <w:szCs w:val="20"/>
              </w:rPr>
              <w:t>m</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8,79</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5,34</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554461196"/>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Finance lease ROU asset, ne</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2,78</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1,73</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554461196"/>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Finance lease liabilities, short ter</w:t>
            </w:r>
            <w:r>
              <w:rPr>
                <w:sz w:val="20"/>
                <w:szCs w:val="20"/>
              </w:rPr>
              <w:t>m</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94</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33</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554461196"/>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Finance lease liabilities, long ter</w:t>
            </w:r>
            <w:r>
              <w:rPr>
                <w:sz w:val="20"/>
                <w:szCs w:val="20"/>
              </w:rPr>
              <w:t>m</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1,81</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1,39</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240" w:beforeAutospacing="0" w:after="0" w:afterAutospacing="0"/>
        <w:ind w:firstLine="555"/>
        <w:divId w:val="720524211"/>
        <w:rPr>
          <w:sz w:val="20"/>
          <w:szCs w:val="20"/>
        </w:rPr>
      </w:pPr>
      <w:r>
        <w:rPr>
          <w:sz w:val="20"/>
          <w:szCs w:val="20"/>
        </w:rPr>
        <w:t>The following was operating and finance lease expense</w:t>
      </w:r>
      <w:r>
        <w:rPr>
          <w:sz w:val="20"/>
          <w:szCs w:val="20"/>
        </w:rPr>
        <w:t>:</w:t>
      </w:r>
    </w:p>
    <w:p w:rsidR="00000000" w:rsidRDefault="00477EE8">
      <w:pPr>
        <w:pStyle w:val="a3"/>
        <w:spacing w:before="0" w:beforeAutospacing="0" w:after="0" w:afterAutospacing="0"/>
        <w:divId w:val="720524211"/>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97"/>
        <w:gridCol w:w="160"/>
        <w:gridCol w:w="1058"/>
        <w:gridCol w:w="110"/>
        <w:gridCol w:w="139"/>
        <w:gridCol w:w="160"/>
        <w:gridCol w:w="1058"/>
        <w:gridCol w:w="110"/>
        <w:gridCol w:w="139"/>
        <w:gridCol w:w="160"/>
        <w:gridCol w:w="1090"/>
        <w:gridCol w:w="125"/>
      </w:tblGrid>
      <w:tr w:rsidR="00000000">
        <w:trPr>
          <w:divId w:val="720524211"/>
          <w:tblCellSpacing w:w="15" w:type="dxa"/>
        </w:trPr>
        <w:tc>
          <w:tcPr>
            <w:tcW w:w="2511"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665"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85"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65"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85"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85"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divId w:val="720524211"/>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10"/>
            <w:vAlign w:val="bottom"/>
            <w:hideMark/>
          </w:tcPr>
          <w:p w:rsidR="00000000" w:rsidRDefault="00477EE8">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720524211"/>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720524211"/>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10"/>
            <w:vAlign w:val="bottom"/>
            <w:hideMark/>
          </w:tcPr>
          <w:p w:rsidR="00000000" w:rsidRDefault="00477EE8">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720524211"/>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Operating lease cos</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5,42</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1,26</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56</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720524211"/>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Finance lease cost</w:t>
            </w:r>
            <w:r>
              <w:rPr>
                <w:sz w:val="20"/>
                <w:szCs w:val="20"/>
              </w:rPr>
              <w:t>:</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720524211"/>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Amortization of ROU asset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68</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720524211"/>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Interest on lease liabilitie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9</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720524211"/>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Short-term lease cos</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1,52</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29</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720524211"/>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Total lease cos</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7,73</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1,56</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70</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240" w:beforeAutospacing="0" w:after="0" w:afterAutospacing="0"/>
        <w:ind w:firstLine="555"/>
        <w:divId w:val="187376184"/>
        <w:rPr>
          <w:sz w:val="20"/>
          <w:szCs w:val="20"/>
        </w:rPr>
      </w:pPr>
      <w:r>
        <w:rPr>
          <w:sz w:val="20"/>
          <w:szCs w:val="20"/>
        </w:rPr>
        <w:t>Supplemental information related to leases was the following</w:t>
      </w:r>
      <w:r>
        <w:rPr>
          <w:sz w:val="20"/>
          <w:szCs w:val="20"/>
        </w:rPr>
        <w:t>:</w:t>
      </w:r>
    </w:p>
    <w:p w:rsidR="00000000" w:rsidRDefault="00477EE8">
      <w:pPr>
        <w:pStyle w:val="a3"/>
        <w:spacing w:before="0" w:beforeAutospacing="0" w:after="0" w:afterAutospacing="0"/>
        <w:ind w:firstLine="599"/>
        <w:divId w:val="119118311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184"/>
        <w:gridCol w:w="112"/>
        <w:gridCol w:w="1768"/>
        <w:gridCol w:w="242"/>
      </w:tblGrid>
      <w:tr w:rsidR="00000000">
        <w:trPr>
          <w:divId w:val="1191183115"/>
          <w:tblCellSpacing w:w="15" w:type="dxa"/>
        </w:trPr>
        <w:tc>
          <w:tcPr>
            <w:tcW w:w="3798"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1101"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divId w:val="1191183115"/>
          <w:trHeight w:val="16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December 31, 202</w:t>
            </w:r>
            <w:r>
              <w:rPr>
                <w:b/>
                <w:bCs/>
                <w:sz w:val="16"/>
                <w:szCs w:val="16"/>
              </w:rPr>
              <w:t>2</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191183115"/>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Weighted average remaining lease term - operating lease</w:t>
            </w:r>
            <w:r>
              <w:rPr>
                <w:sz w:val="20"/>
                <w:szCs w:val="20"/>
              </w:rPr>
              <w:t>s</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3.2</w:t>
            </w:r>
            <w:r>
              <w:rPr>
                <w:sz w:val="20"/>
                <w:szCs w:val="20"/>
              </w:rPr>
              <w:t>4</w:t>
            </w:r>
            <w:r>
              <w:rPr>
                <w:sz w:val="20"/>
                <w:szCs w:val="20"/>
              </w:rPr>
              <w:t> year</w:t>
            </w:r>
            <w:r>
              <w:rPr>
                <w:sz w:val="20"/>
                <w:szCs w:val="20"/>
              </w:rPr>
              <w:t>s</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r>
      <w:tr w:rsidR="00000000">
        <w:trPr>
          <w:divId w:val="1191183115"/>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Weighted average discount rate - operating lease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3.8</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1191183115"/>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Weighted average remaining lease term -finance lease</w:t>
            </w:r>
            <w:r>
              <w:rPr>
                <w:sz w:val="20"/>
                <w:szCs w:val="20"/>
              </w:rPr>
              <w:t>s</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3.1</w:t>
            </w:r>
            <w:r>
              <w:rPr>
                <w:sz w:val="20"/>
                <w:szCs w:val="20"/>
              </w:rPr>
              <w:t>0</w:t>
            </w:r>
            <w:r>
              <w:rPr>
                <w:sz w:val="20"/>
                <w:szCs w:val="20"/>
              </w:rPr>
              <w:t> year</w:t>
            </w:r>
            <w:r>
              <w:rPr>
                <w:sz w:val="20"/>
                <w:szCs w:val="20"/>
              </w:rPr>
              <w:t>s</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r>
      <w:tr w:rsidR="00000000">
        <w:trPr>
          <w:divId w:val="1191183115"/>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Weighted average discount rate - finance lease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3.9</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bl>
    <w:p w:rsidR="00000000" w:rsidRDefault="00477EE8">
      <w:pPr>
        <w:pStyle w:val="a3"/>
        <w:spacing w:before="0" w:beforeAutospacing="0" w:after="0" w:afterAutospacing="0"/>
        <w:divId w:val="1191183115"/>
        <w:rPr>
          <w:sz w:val="20"/>
          <w:szCs w:val="20"/>
        </w:rPr>
      </w:pPr>
      <w:r>
        <w:rPr>
          <w:sz w:val="20"/>
          <w:szCs w:val="20"/>
        </w:rPr>
        <w:t> </w:t>
      </w:r>
    </w:p>
    <w:p w:rsidR="00000000" w:rsidRDefault="00477EE8">
      <w:pPr>
        <w:pStyle w:val="a3"/>
        <w:spacing w:before="240" w:beforeAutospacing="0" w:after="0" w:afterAutospacing="0"/>
        <w:jc w:val="center"/>
        <w:divId w:val="1191183115"/>
        <w:rPr>
          <w:sz w:val="20"/>
          <w:szCs w:val="20"/>
        </w:rPr>
      </w:pPr>
      <w:r>
        <w:rPr>
          <w:sz w:val="20"/>
          <w:szCs w:val="20"/>
        </w:rPr>
        <w:t>F</w:t>
      </w:r>
      <w:r>
        <w:rPr>
          <w:sz w:val="20"/>
          <w:szCs w:val="20"/>
        </w:rPr>
        <w:t>-</w:t>
      </w:r>
      <w:r>
        <w:rPr>
          <w:sz w:val="20"/>
          <w:szCs w:val="20"/>
        </w:rPr>
        <w:t>2</w:t>
      </w:r>
      <w:r>
        <w:rPr>
          <w:sz w:val="20"/>
          <w:szCs w:val="20"/>
        </w:rPr>
        <w:t>4</w:t>
      </w:r>
    </w:p>
    <w:p w:rsidR="00000000" w:rsidRDefault="00477EE8">
      <w:pPr>
        <w:divId w:val="1191183115"/>
        <w:rPr>
          <w:rFonts w:eastAsia="Times New Roman"/>
          <w:sz w:val="20"/>
          <w:szCs w:val="20"/>
        </w:rPr>
      </w:pPr>
      <w:r>
        <w:rPr>
          <w:rFonts w:eastAsia="Times New Roman"/>
          <w:sz w:val="20"/>
          <w:szCs w:val="20"/>
        </w:rPr>
        <w:pict>
          <v:rect id="_x0000_i1135" style="width:0;height:1.5pt" o:hralign="center" o:hrstd="t" o:hr="t" fillcolor="#a0a0a0" stroked="f"/>
        </w:pict>
      </w:r>
    </w:p>
    <w:p w:rsidR="00000000" w:rsidRDefault="00477EE8">
      <w:pPr>
        <w:pStyle w:val="a3"/>
        <w:spacing w:before="240" w:beforeAutospacing="0" w:after="0" w:afterAutospacing="0"/>
        <w:ind w:firstLine="555"/>
        <w:divId w:val="1019549189"/>
        <w:rPr>
          <w:sz w:val="20"/>
          <w:szCs w:val="20"/>
        </w:rPr>
      </w:pPr>
      <w:r>
        <w:rPr>
          <w:sz w:val="20"/>
          <w:szCs w:val="20"/>
        </w:rPr>
        <w:t>The following is a maturity analysis of operating and finance lease liabilities using undiscounted cash flows on an annual basis with renewal periods included</w:t>
      </w:r>
      <w:r>
        <w:rPr>
          <w:sz w:val="20"/>
          <w:szCs w:val="20"/>
        </w:rPr>
        <w:t>:</w:t>
      </w:r>
    </w:p>
    <w:p w:rsidR="00000000" w:rsidRDefault="00477EE8">
      <w:pPr>
        <w:pStyle w:val="a3"/>
        <w:spacing w:before="0" w:beforeAutospacing="0" w:after="0" w:afterAutospacing="0"/>
        <w:divId w:val="101954918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87"/>
        <w:gridCol w:w="160"/>
        <w:gridCol w:w="1230"/>
        <w:gridCol w:w="127"/>
        <w:gridCol w:w="210"/>
        <w:gridCol w:w="161"/>
        <w:gridCol w:w="1189"/>
        <w:gridCol w:w="142"/>
      </w:tblGrid>
      <w:tr w:rsidR="00000000">
        <w:trPr>
          <w:divId w:val="1019549189"/>
          <w:tblCellSpacing w:w="15" w:type="dxa"/>
        </w:trPr>
        <w:tc>
          <w:tcPr>
            <w:tcW w:w="3200"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811"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3"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785"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divId w:val="1019549189"/>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Operating Lease</w:t>
            </w:r>
            <w:r>
              <w:rPr>
                <w:b/>
                <w:bCs/>
                <w:sz w:val="16"/>
                <w:szCs w:val="16"/>
              </w:rPr>
              <w:t>s</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Financing Lease</w:t>
            </w:r>
            <w:r>
              <w:rPr>
                <w:b/>
                <w:bCs/>
                <w:sz w:val="16"/>
                <w:szCs w:val="16"/>
              </w:rPr>
              <w:t>s</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019549189"/>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477EE8">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019549189"/>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Year Ending December 31</w:t>
            </w:r>
            <w:r>
              <w:rPr>
                <w:sz w:val="20"/>
                <w:szCs w:val="20"/>
              </w:rPr>
              <w:t>,</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019549189"/>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202</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6,59</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98</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019549189"/>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202</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4,07</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1,03</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019549189"/>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202</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2,11</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54</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019549189"/>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202</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1,52</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36</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019549189"/>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202</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1,36</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019549189"/>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Thereafte</w:t>
            </w:r>
            <w:r>
              <w:rPr>
                <w:sz w:val="20"/>
                <w:szCs w:val="20"/>
              </w:rPr>
              <w:t>r</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21</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019549189"/>
          <w:trHeight w:val="200"/>
          <w:tblCellSpacing w:w="15" w:type="dxa"/>
        </w:trPr>
        <w:tc>
          <w:tcPr>
            <w:tcW w:w="0" w:type="auto"/>
            <w:vAlign w:val="bottom"/>
            <w:hideMark/>
          </w:tcPr>
          <w:p w:rsidR="00000000" w:rsidRDefault="00477EE8">
            <w:pPr>
              <w:pStyle w:val="a3"/>
              <w:spacing w:before="0" w:beforeAutospacing="0" w:after="0" w:afterAutospacing="0"/>
              <w:ind w:left="100"/>
              <w:rPr>
                <w:sz w:val="20"/>
                <w:szCs w:val="20"/>
              </w:rPr>
            </w:pPr>
            <w:r>
              <w:rPr>
                <w:sz w:val="20"/>
                <w:szCs w:val="20"/>
              </w:rPr>
              <w:t>Total lease payment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15,87</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ind w:left="10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2,93</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019549189"/>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Less imputed interes</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95</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17</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1019549189"/>
          <w:trHeight w:val="200"/>
          <w:tblCellSpacing w:w="15" w:type="dxa"/>
        </w:trPr>
        <w:tc>
          <w:tcPr>
            <w:tcW w:w="0" w:type="auto"/>
            <w:vAlign w:val="bottom"/>
            <w:hideMark/>
          </w:tcPr>
          <w:p w:rsidR="00000000" w:rsidRDefault="00477EE8">
            <w:pPr>
              <w:pStyle w:val="a3"/>
              <w:spacing w:before="0" w:beforeAutospacing="0" w:after="0" w:afterAutospacing="0"/>
              <w:ind w:left="100"/>
              <w:rPr>
                <w:sz w:val="20"/>
                <w:szCs w:val="20"/>
              </w:rPr>
            </w:pPr>
            <w:r>
              <w:rPr>
                <w:sz w:val="20"/>
                <w:szCs w:val="20"/>
              </w:rPr>
              <w:t>Tota</w:t>
            </w:r>
            <w:r>
              <w:rPr>
                <w:sz w:val="20"/>
                <w:szCs w:val="20"/>
              </w:rPr>
              <w:t>l</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14,92</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ind w:left="10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2,76</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360" w:beforeAutospacing="0" w:after="0" w:afterAutospacing="0"/>
        <w:divId w:val="187376184"/>
        <w:rPr>
          <w:sz w:val="20"/>
          <w:szCs w:val="20"/>
        </w:rPr>
      </w:pPr>
      <w:r>
        <w:rPr>
          <w:b/>
          <w:bCs/>
          <w:i/>
          <w:iCs/>
          <w:sz w:val="20"/>
          <w:szCs w:val="20"/>
        </w:rPr>
        <w:t>Lesso</w:t>
      </w:r>
      <w:r>
        <w:rPr>
          <w:b/>
          <w:bCs/>
          <w:i/>
          <w:iCs/>
          <w:sz w:val="20"/>
          <w:szCs w:val="20"/>
        </w:rPr>
        <w:t>r</w:t>
      </w:r>
    </w:p>
    <w:p w:rsidR="00000000" w:rsidRDefault="00477EE8">
      <w:pPr>
        <w:pStyle w:val="a3"/>
        <w:spacing w:before="120" w:beforeAutospacing="0" w:after="0" w:afterAutospacing="0"/>
        <w:ind w:firstLine="555"/>
        <w:divId w:val="187376184"/>
        <w:rPr>
          <w:sz w:val="20"/>
          <w:szCs w:val="20"/>
        </w:rPr>
      </w:pPr>
      <w:r>
        <w:rPr>
          <w:sz w:val="20"/>
          <w:szCs w:val="20"/>
        </w:rPr>
        <w:t>The Company leases out space in buildings it owns to third-party tenants under noncancelable operating leases. As of December 31, 2022, the remaining lease terms left range from</w:t>
      </w:r>
      <w:r>
        <w:rPr>
          <w:sz w:val="20"/>
          <w:szCs w:val="20"/>
        </w:rPr>
        <w:t xml:space="preserve"> </w:t>
      </w:r>
      <w:r>
        <w:rPr>
          <w:sz w:val="20"/>
          <w:szCs w:val="20"/>
        </w:rPr>
        <w:t>1</w:t>
      </w:r>
      <w:r>
        <w:rPr>
          <w:sz w:val="20"/>
          <w:szCs w:val="20"/>
        </w:rPr>
        <w:t xml:space="preserve"> year to</w:t>
      </w:r>
      <w:r>
        <w:rPr>
          <w:sz w:val="20"/>
          <w:szCs w:val="20"/>
        </w:rPr>
        <w:t xml:space="preserve"> </w:t>
      </w:r>
      <w:r>
        <w:rPr>
          <w:sz w:val="20"/>
          <w:szCs w:val="20"/>
        </w:rPr>
        <w:t>2</w:t>
      </w:r>
      <w:r>
        <w:rPr>
          <w:sz w:val="20"/>
          <w:szCs w:val="20"/>
        </w:rPr>
        <w:t xml:space="preserve"> years, including renewal options and may include rent escalation c</w:t>
      </w:r>
      <w:r>
        <w:rPr>
          <w:sz w:val="20"/>
          <w:szCs w:val="20"/>
        </w:rPr>
        <w:t>lauses. Lease income primarily represents fixed lease payments from tenants recognized on a straight-line basis over the application lease term. Variable lease income represents tenant payments for real estate taxes, insurance and maintenance</w:t>
      </w:r>
      <w:r>
        <w:rPr>
          <w:sz w:val="20"/>
          <w:szCs w:val="20"/>
        </w:rPr>
        <w:t>.</w:t>
      </w:r>
    </w:p>
    <w:p w:rsidR="00000000" w:rsidRDefault="00477EE8">
      <w:pPr>
        <w:pStyle w:val="a3"/>
        <w:spacing w:before="240" w:beforeAutospacing="0" w:after="0" w:afterAutospacing="0"/>
        <w:ind w:firstLine="555"/>
        <w:divId w:val="187376184"/>
        <w:rPr>
          <w:sz w:val="20"/>
          <w:szCs w:val="20"/>
        </w:rPr>
      </w:pPr>
      <w:r>
        <w:rPr>
          <w:sz w:val="20"/>
          <w:szCs w:val="20"/>
        </w:rPr>
        <w:t>The lease in</w:t>
      </w:r>
      <w:r>
        <w:rPr>
          <w:sz w:val="20"/>
          <w:szCs w:val="20"/>
        </w:rPr>
        <w:t>come was included in interest and other income, net, in the accompanying Consolidated Statements of Income.</w:t>
      </w:r>
      <w:r>
        <w:rPr>
          <w:sz w:val="20"/>
          <w:szCs w:val="20"/>
        </w:rPr>
        <w:t xml:space="preserve"> </w:t>
      </w:r>
      <w:r>
        <w:rPr>
          <w:sz w:val="20"/>
          <w:szCs w:val="20"/>
        </w:rPr>
        <w:t>Total lease income was as follows</w:t>
      </w:r>
      <w:r>
        <w:rPr>
          <w:sz w:val="20"/>
          <w:szCs w:val="20"/>
        </w:rPr>
        <w:t>:</w:t>
      </w:r>
    </w:p>
    <w:p w:rsidR="00000000" w:rsidRDefault="00477EE8">
      <w:pPr>
        <w:pStyle w:val="a3"/>
        <w:spacing w:before="0" w:beforeAutospacing="0" w:after="0" w:afterAutospacing="0"/>
        <w:ind w:firstLine="555"/>
        <w:divId w:val="144275766"/>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97"/>
        <w:gridCol w:w="160"/>
        <w:gridCol w:w="1058"/>
        <w:gridCol w:w="110"/>
        <w:gridCol w:w="139"/>
        <w:gridCol w:w="160"/>
        <w:gridCol w:w="1058"/>
        <w:gridCol w:w="110"/>
        <w:gridCol w:w="139"/>
        <w:gridCol w:w="160"/>
        <w:gridCol w:w="1090"/>
        <w:gridCol w:w="125"/>
      </w:tblGrid>
      <w:tr w:rsidR="00000000">
        <w:trPr>
          <w:divId w:val="144275766"/>
          <w:tblCellSpacing w:w="15" w:type="dxa"/>
        </w:trPr>
        <w:tc>
          <w:tcPr>
            <w:tcW w:w="2511"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665"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85"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65"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85"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85"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divId w:val="144275766"/>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10"/>
            <w:vAlign w:val="bottom"/>
            <w:hideMark/>
          </w:tcPr>
          <w:p w:rsidR="00000000" w:rsidRDefault="00477EE8">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44275766"/>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44275766"/>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10"/>
            <w:vAlign w:val="bottom"/>
            <w:hideMark/>
          </w:tcPr>
          <w:p w:rsidR="00000000" w:rsidRDefault="00477EE8">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44275766"/>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Lease incom</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26</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41</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44275766"/>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Variable lease incom</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44275766"/>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Total lease incom</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28</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42</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240" w:beforeAutospacing="0" w:after="0" w:afterAutospacing="0"/>
        <w:ind w:firstLine="555"/>
        <w:divId w:val="838083783"/>
        <w:rPr>
          <w:sz w:val="20"/>
          <w:szCs w:val="20"/>
        </w:rPr>
      </w:pPr>
      <w:r>
        <w:rPr>
          <w:sz w:val="20"/>
          <w:szCs w:val="20"/>
        </w:rPr>
        <w:t>Future fixed lease payments from tenants for all noncancelable operating leases as of December 31, 2022 are as follows</w:t>
      </w:r>
      <w:r>
        <w:rPr>
          <w:sz w:val="20"/>
          <w:szCs w:val="20"/>
        </w:rPr>
        <w:t>:</w:t>
      </w:r>
    </w:p>
    <w:p w:rsidR="00000000" w:rsidRDefault="00477EE8">
      <w:pPr>
        <w:pStyle w:val="a3"/>
        <w:spacing w:before="0" w:beforeAutospacing="0" w:after="0" w:afterAutospacing="0"/>
        <w:ind w:firstLine="555"/>
        <w:divId w:val="838083783"/>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36"/>
        <w:gridCol w:w="161"/>
        <w:gridCol w:w="1784"/>
        <w:gridCol w:w="125"/>
      </w:tblGrid>
      <w:tr w:rsidR="00000000">
        <w:trPr>
          <w:divId w:val="838083783"/>
          <w:tblCellSpacing w:w="15" w:type="dxa"/>
        </w:trPr>
        <w:tc>
          <w:tcPr>
            <w:tcW w:w="3809"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1090"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divId w:val="838083783"/>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Lease Payment</w:t>
            </w:r>
            <w:r>
              <w:rPr>
                <w:b/>
                <w:bCs/>
                <w:sz w:val="16"/>
                <w:szCs w:val="16"/>
              </w:rPr>
              <w:t>s</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838083783"/>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from Tenant</w:t>
            </w:r>
            <w:r>
              <w:rPr>
                <w:b/>
                <w:bCs/>
                <w:sz w:val="16"/>
                <w:szCs w:val="16"/>
              </w:rPr>
              <w:t>s</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838083783"/>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838083783"/>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Year Ending December 31</w:t>
            </w:r>
            <w:r>
              <w:rPr>
                <w:sz w:val="20"/>
                <w:szCs w:val="20"/>
              </w:rPr>
              <w:t>,</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838083783"/>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202</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18</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838083783"/>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202</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9</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838083783"/>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Tota</w:t>
            </w:r>
            <w:r>
              <w:rPr>
                <w:sz w:val="20"/>
                <w:szCs w:val="20"/>
              </w:rPr>
              <w:t>l</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27</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0" w:beforeAutospacing="0" w:after="0" w:afterAutospacing="0"/>
        <w:rPr>
          <w:sz w:val="20"/>
          <w:szCs w:val="20"/>
        </w:rPr>
      </w:pPr>
      <w:r>
        <w:t> </w:t>
      </w:r>
    </w:p>
    <w:p w:rsidR="00000000" w:rsidRDefault="00477EE8">
      <w:pPr>
        <w:pStyle w:val="a3"/>
        <w:spacing w:before="0" w:beforeAutospacing="0" w:after="0" w:afterAutospacing="0"/>
        <w:rPr>
          <w:sz w:val="20"/>
          <w:szCs w:val="20"/>
        </w:rPr>
      </w:pPr>
      <w:r>
        <w:t> </w:t>
      </w:r>
    </w:p>
    <w:p w:rsidR="00000000" w:rsidRDefault="00477EE8">
      <w:pPr>
        <w:pStyle w:val="a3"/>
        <w:spacing w:before="360" w:beforeAutospacing="0" w:after="0" w:afterAutospacing="0"/>
        <w:divId w:val="1546024201"/>
        <w:rPr>
          <w:sz w:val="20"/>
          <w:szCs w:val="20"/>
        </w:rPr>
      </w:pPr>
      <w:r>
        <w:rPr>
          <w:b/>
          <w:bCs/>
          <w:sz w:val="20"/>
          <w:szCs w:val="20"/>
        </w:rPr>
        <w:t>Note 10. Equity-Based Compensatio</w:t>
      </w:r>
      <w:r>
        <w:rPr>
          <w:b/>
          <w:bCs/>
          <w:sz w:val="20"/>
          <w:szCs w:val="20"/>
        </w:rPr>
        <w:t>n</w:t>
      </w:r>
    </w:p>
    <w:p w:rsidR="00000000" w:rsidRDefault="00477EE8">
      <w:pPr>
        <w:pStyle w:val="a3"/>
        <w:spacing w:before="120" w:beforeAutospacing="0" w:after="0" w:afterAutospacing="0"/>
        <w:ind w:firstLine="555"/>
        <w:divId w:val="1146312530"/>
        <w:rPr>
          <w:sz w:val="20"/>
          <w:szCs w:val="20"/>
        </w:rPr>
      </w:pPr>
      <w:r>
        <w:rPr>
          <w:sz w:val="20"/>
          <w:szCs w:val="20"/>
        </w:rPr>
        <w:t>The Company has included equity-based compensation expense as part of cost of revenue and operating expenses in the accompanying Consolidated Statements of Income as follows</w:t>
      </w:r>
      <w:r>
        <w:rPr>
          <w:sz w:val="20"/>
          <w:szCs w:val="20"/>
        </w:rPr>
        <w:t>:</w:t>
      </w:r>
    </w:p>
    <w:p w:rsidR="00000000" w:rsidRDefault="00477EE8">
      <w:pPr>
        <w:pStyle w:val="a3"/>
        <w:spacing w:before="0" w:beforeAutospacing="0" w:after="0" w:afterAutospacing="0"/>
        <w:divId w:val="114631253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09"/>
        <w:gridCol w:w="160"/>
        <w:gridCol w:w="1062"/>
        <w:gridCol w:w="110"/>
        <w:gridCol w:w="127"/>
        <w:gridCol w:w="160"/>
        <w:gridCol w:w="1062"/>
        <w:gridCol w:w="110"/>
        <w:gridCol w:w="127"/>
        <w:gridCol w:w="160"/>
        <w:gridCol w:w="1094"/>
        <w:gridCol w:w="125"/>
      </w:tblGrid>
      <w:tr w:rsidR="00000000">
        <w:trPr>
          <w:divId w:val="1146312530"/>
          <w:tblCellSpacing w:w="15" w:type="dxa"/>
        </w:trPr>
        <w:tc>
          <w:tcPr>
            <w:tcW w:w="2519"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668"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78"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68"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78"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88"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divId w:val="1146312530"/>
          <w:trHeight w:val="16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gridSpan w:val="10"/>
            <w:vAlign w:val="bottom"/>
            <w:hideMark/>
          </w:tcPr>
          <w:p w:rsidR="00000000" w:rsidRDefault="00477EE8">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146312530"/>
          <w:trHeight w:val="16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146312530"/>
          <w:trHeight w:val="16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gridSpan w:val="10"/>
            <w:vAlign w:val="bottom"/>
            <w:hideMark/>
          </w:tcPr>
          <w:p w:rsidR="00000000" w:rsidRDefault="00477EE8">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146312530"/>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Cost of revenu</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8,70</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3,56</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1,45</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146312530"/>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Research and developmen</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10,44</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6,32</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2,69</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146312530"/>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Selling and marketin</w:t>
            </w:r>
            <w:r>
              <w:rPr>
                <w:sz w:val="20"/>
                <w:szCs w:val="20"/>
              </w:rPr>
              <w:t>g</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4,37</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2,51</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2,09</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146312530"/>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General and administrativ</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9,11</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3,48</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1,92</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146312530"/>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Tota</w:t>
            </w:r>
            <w:r>
              <w:rPr>
                <w:sz w:val="20"/>
                <w:szCs w:val="20"/>
              </w:rPr>
              <w:t>l</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32,64</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15,88</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8,15</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0" w:beforeAutospacing="0" w:after="0" w:afterAutospacing="0"/>
        <w:divId w:val="1146312530"/>
        <w:rPr>
          <w:sz w:val="20"/>
          <w:szCs w:val="20"/>
        </w:rPr>
      </w:pPr>
      <w:r>
        <w:rPr>
          <w:sz w:val="20"/>
          <w:szCs w:val="20"/>
        </w:rPr>
        <w:t> </w:t>
      </w:r>
    </w:p>
    <w:p w:rsidR="00000000" w:rsidRDefault="00477EE8">
      <w:pPr>
        <w:pStyle w:val="a3"/>
        <w:spacing w:before="240" w:beforeAutospacing="0" w:after="0" w:afterAutospacing="0"/>
        <w:jc w:val="center"/>
        <w:divId w:val="1146312530"/>
        <w:rPr>
          <w:sz w:val="20"/>
          <w:szCs w:val="20"/>
        </w:rPr>
      </w:pPr>
      <w:r>
        <w:rPr>
          <w:sz w:val="20"/>
          <w:szCs w:val="20"/>
        </w:rPr>
        <w:t>F</w:t>
      </w:r>
      <w:r>
        <w:rPr>
          <w:sz w:val="20"/>
          <w:szCs w:val="20"/>
        </w:rPr>
        <w:t>-</w:t>
      </w:r>
      <w:r>
        <w:rPr>
          <w:sz w:val="20"/>
          <w:szCs w:val="20"/>
        </w:rPr>
        <w:t>2</w:t>
      </w:r>
      <w:r>
        <w:rPr>
          <w:sz w:val="20"/>
          <w:szCs w:val="20"/>
        </w:rPr>
        <w:t>5</w:t>
      </w:r>
    </w:p>
    <w:p w:rsidR="00000000" w:rsidRDefault="00477EE8">
      <w:pPr>
        <w:divId w:val="1146312530"/>
        <w:rPr>
          <w:rFonts w:eastAsia="Times New Roman"/>
          <w:sz w:val="20"/>
          <w:szCs w:val="20"/>
        </w:rPr>
      </w:pPr>
      <w:r>
        <w:rPr>
          <w:rFonts w:eastAsia="Times New Roman"/>
          <w:sz w:val="20"/>
          <w:szCs w:val="20"/>
        </w:rPr>
        <w:pict>
          <v:rect id="_x0000_i1136" style="width:0;height:1.5pt" o:hralign="center" o:hrstd="t" o:hr="t" fillcolor="#a0a0a0" stroked="f"/>
        </w:pict>
      </w:r>
    </w:p>
    <w:p w:rsidR="00000000" w:rsidRDefault="00477EE8">
      <w:pPr>
        <w:pStyle w:val="a3"/>
        <w:spacing w:before="120" w:beforeAutospacing="0" w:after="0" w:afterAutospacing="0"/>
        <w:ind w:firstLine="555"/>
        <w:divId w:val="1546024201"/>
        <w:rPr>
          <w:sz w:val="20"/>
          <w:szCs w:val="20"/>
        </w:rPr>
      </w:pPr>
      <w:r>
        <w:rPr>
          <w:sz w:val="20"/>
          <w:szCs w:val="20"/>
        </w:rPr>
        <w:t xml:space="preserve">The actual tax benefit realized from windfall tax deductions related to awards vested or exercised were </w:t>
      </w:r>
      <w:r>
        <w:rPr>
          <w:sz w:val="20"/>
          <w:szCs w:val="20"/>
        </w:rPr>
        <w:t>$</w:t>
      </w:r>
      <w:r>
        <w:rPr>
          <w:sz w:val="20"/>
          <w:szCs w:val="20"/>
        </w:rPr>
        <w:t>2.</w:t>
      </w:r>
      <w:r>
        <w:rPr>
          <w:sz w:val="20"/>
          <w:szCs w:val="20"/>
        </w:rPr>
        <w:t>1</w:t>
      </w:r>
      <w:r>
        <w:rPr>
          <w:sz w:val="20"/>
          <w:szCs w:val="20"/>
        </w:rPr>
        <w:t xml:space="preserve"> millio</w:t>
      </w:r>
      <w:r>
        <w:rPr>
          <w:sz w:val="20"/>
          <w:szCs w:val="20"/>
        </w:rPr>
        <w:t>n</w:t>
      </w:r>
      <w:r>
        <w:rPr>
          <w:sz w:val="20"/>
          <w:szCs w:val="20"/>
        </w:rPr>
        <w:t xml:space="preserve">, </w:t>
      </w:r>
      <w:r>
        <w:rPr>
          <w:sz w:val="20"/>
          <w:szCs w:val="20"/>
        </w:rPr>
        <w:t>$</w:t>
      </w:r>
      <w:r>
        <w:rPr>
          <w:sz w:val="20"/>
          <w:szCs w:val="20"/>
        </w:rPr>
        <w:t>13.</w:t>
      </w:r>
      <w:r>
        <w:rPr>
          <w:sz w:val="20"/>
          <w:szCs w:val="20"/>
        </w:rPr>
        <w:t>3</w:t>
      </w:r>
      <w:r>
        <w:rPr>
          <w:sz w:val="20"/>
          <w:szCs w:val="20"/>
        </w:rPr>
        <w:t xml:space="preserve"> million, and </w:t>
      </w:r>
      <w:r>
        <w:rPr>
          <w:sz w:val="20"/>
          <w:szCs w:val="20"/>
        </w:rPr>
        <w:t>$</w:t>
      </w:r>
      <w:r>
        <w:rPr>
          <w:sz w:val="20"/>
          <w:szCs w:val="20"/>
        </w:rPr>
        <w:t>2.</w:t>
      </w:r>
      <w:r>
        <w:rPr>
          <w:sz w:val="20"/>
          <w:szCs w:val="20"/>
        </w:rPr>
        <w:t>7</w:t>
      </w:r>
      <w:r>
        <w:rPr>
          <w:sz w:val="20"/>
          <w:szCs w:val="20"/>
        </w:rPr>
        <w:t xml:space="preserve"> million for the years ended December 31, 2022, 2021 and 2020, respectively</w:t>
      </w:r>
      <w:r>
        <w:rPr>
          <w:sz w:val="20"/>
          <w:szCs w:val="20"/>
        </w:rPr>
        <w:t>.</w:t>
      </w:r>
    </w:p>
    <w:p w:rsidR="00000000" w:rsidRDefault="00477EE8">
      <w:pPr>
        <w:pStyle w:val="a3"/>
        <w:spacing w:before="360" w:beforeAutospacing="0" w:after="0" w:afterAutospacing="0"/>
        <w:divId w:val="1546024201"/>
        <w:rPr>
          <w:sz w:val="20"/>
          <w:szCs w:val="20"/>
        </w:rPr>
      </w:pPr>
      <w:r>
        <w:rPr>
          <w:b/>
          <w:bCs/>
          <w:i/>
          <w:iCs/>
          <w:sz w:val="20"/>
          <w:szCs w:val="20"/>
        </w:rPr>
        <w:t>Award Activit</w:t>
      </w:r>
      <w:r>
        <w:rPr>
          <w:b/>
          <w:bCs/>
          <w:i/>
          <w:iCs/>
          <w:sz w:val="20"/>
          <w:szCs w:val="20"/>
        </w:rPr>
        <w:t>y</w:t>
      </w:r>
    </w:p>
    <w:p w:rsidR="00000000" w:rsidRDefault="00477EE8">
      <w:pPr>
        <w:pStyle w:val="a3"/>
        <w:spacing w:before="120" w:beforeAutospacing="0" w:after="0" w:afterAutospacing="0"/>
        <w:divId w:val="1546024201"/>
        <w:rPr>
          <w:sz w:val="20"/>
          <w:szCs w:val="20"/>
        </w:rPr>
      </w:pPr>
      <w:r>
        <w:rPr>
          <w:i/>
          <w:iCs/>
          <w:sz w:val="20"/>
          <w:szCs w:val="20"/>
        </w:rPr>
        <w:t>Option Award</w:t>
      </w:r>
      <w:r>
        <w:rPr>
          <w:i/>
          <w:iCs/>
          <w:sz w:val="20"/>
          <w:szCs w:val="20"/>
        </w:rPr>
        <w:t>s</w:t>
      </w:r>
    </w:p>
    <w:p w:rsidR="00000000" w:rsidRDefault="00477EE8">
      <w:pPr>
        <w:pStyle w:val="a3"/>
        <w:spacing w:before="120" w:beforeAutospacing="0" w:after="0" w:afterAutospacing="0"/>
        <w:ind w:firstLine="555"/>
        <w:divId w:val="34891467"/>
        <w:rPr>
          <w:sz w:val="20"/>
          <w:szCs w:val="20"/>
        </w:rPr>
      </w:pPr>
      <w:r>
        <w:rPr>
          <w:sz w:val="20"/>
          <w:szCs w:val="20"/>
        </w:rPr>
        <w:t>The following table summarizes activity for options to acquire shares of the Company’s common stock in the years ended December 31, 2022, 2021 and 2020</w:t>
      </w:r>
      <w:r>
        <w:rPr>
          <w:sz w:val="20"/>
          <w:szCs w:val="20"/>
        </w:rPr>
        <w:t>:</w:t>
      </w:r>
    </w:p>
    <w:p w:rsidR="00000000" w:rsidRDefault="00477EE8">
      <w:pPr>
        <w:pStyle w:val="a3"/>
        <w:spacing w:before="0" w:beforeAutospacing="0" w:after="0" w:afterAutospacing="0"/>
        <w:divId w:val="34891467"/>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04"/>
        <w:gridCol w:w="110"/>
        <w:gridCol w:w="111"/>
        <w:gridCol w:w="857"/>
        <w:gridCol w:w="127"/>
        <w:gridCol w:w="110"/>
        <w:gridCol w:w="161"/>
        <w:gridCol w:w="861"/>
        <w:gridCol w:w="110"/>
        <w:gridCol w:w="110"/>
        <w:gridCol w:w="161"/>
        <w:gridCol w:w="839"/>
        <w:gridCol w:w="110"/>
        <w:gridCol w:w="110"/>
        <w:gridCol w:w="111"/>
        <w:gridCol w:w="845"/>
        <w:gridCol w:w="110"/>
        <w:gridCol w:w="110"/>
        <w:gridCol w:w="161"/>
        <w:gridCol w:w="863"/>
        <w:gridCol w:w="125"/>
      </w:tblGrid>
      <w:tr w:rsidR="00000000">
        <w:trPr>
          <w:divId w:val="34891467"/>
          <w:tblCellSpacing w:w="15" w:type="dxa"/>
        </w:trPr>
        <w:tc>
          <w:tcPr>
            <w:tcW w:w="1449" w:type="pct"/>
            <w:vAlign w:val="center"/>
            <w:hideMark/>
          </w:tcPr>
          <w:p w:rsidR="00000000" w:rsidRDefault="00477EE8">
            <w:pPr>
              <w:rPr>
                <w:sz w:val="20"/>
                <w:szCs w:val="20"/>
              </w:rPr>
            </w:pPr>
          </w:p>
        </w:tc>
        <w:tc>
          <w:tcPr>
            <w:tcW w:w="31"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78"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30"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80"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40"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65"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31"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69"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41"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81"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divId w:val="34891467"/>
          <w:trHeight w:val="160"/>
          <w:tblCellSpacing w:w="15" w:type="dxa"/>
        </w:trPr>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Number</w:t>
            </w:r>
            <w:r>
              <w:rPr>
                <w:b/>
                <w:bCs/>
                <w:sz w:val="16"/>
                <w:szCs w:val="16"/>
              </w:rPr>
              <w:br/>
              <w:t>of Shares</w:t>
            </w:r>
            <w:r>
              <w:rPr>
                <w:b/>
                <w:bCs/>
                <w:sz w:val="16"/>
                <w:szCs w:val="16"/>
              </w:rPr>
              <w:br/>
              <w:t>Subject to</w:t>
            </w:r>
            <w:r>
              <w:rPr>
                <w:b/>
                <w:bCs/>
                <w:sz w:val="16"/>
                <w:szCs w:val="16"/>
              </w:rPr>
              <w:br/>
              <w:t xml:space="preserve">Options </w:t>
            </w:r>
            <w:r>
              <w:rPr>
                <w:b/>
                <w:bCs/>
                <w:sz w:val="16"/>
                <w:szCs w:val="16"/>
              </w:rPr>
              <w:br/>
            </w:r>
            <w:r>
              <w:rPr>
                <w:b/>
                <w:bCs/>
                <w:sz w:val="16"/>
                <w:szCs w:val="16"/>
              </w:rPr>
              <w:t>(in thousands</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Weighted-</w:t>
            </w:r>
            <w:r>
              <w:rPr>
                <w:b/>
                <w:bCs/>
                <w:sz w:val="16"/>
                <w:szCs w:val="16"/>
              </w:rPr>
              <w:br/>
              <w:t>Average</w:t>
            </w:r>
            <w:r>
              <w:rPr>
                <w:b/>
                <w:bCs/>
                <w:sz w:val="16"/>
                <w:szCs w:val="16"/>
              </w:rPr>
              <w:br/>
              <w:t>Exercise Pric</w:t>
            </w:r>
            <w:r>
              <w:rPr>
                <w:b/>
                <w:bCs/>
                <w:sz w:val="16"/>
                <w:szCs w:val="16"/>
              </w:rPr>
              <w:t>e</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Weighted-</w:t>
            </w:r>
            <w:r>
              <w:rPr>
                <w:b/>
                <w:bCs/>
                <w:sz w:val="16"/>
                <w:szCs w:val="16"/>
              </w:rPr>
              <w:br/>
              <w:t>Average</w:t>
            </w:r>
            <w:r>
              <w:rPr>
                <w:b/>
                <w:bCs/>
                <w:sz w:val="16"/>
                <w:szCs w:val="16"/>
              </w:rPr>
              <w:br/>
              <w:t>Grant Date Fair Valu</w:t>
            </w:r>
            <w:r>
              <w:rPr>
                <w:b/>
                <w:bCs/>
                <w:sz w:val="16"/>
                <w:szCs w:val="16"/>
              </w:rPr>
              <w:t>e</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Weighted-</w:t>
            </w:r>
            <w:r>
              <w:rPr>
                <w:b/>
                <w:bCs/>
                <w:sz w:val="16"/>
                <w:szCs w:val="16"/>
              </w:rPr>
              <w:br/>
              <w:t>Average</w:t>
            </w:r>
            <w:r>
              <w:rPr>
                <w:b/>
                <w:bCs/>
                <w:sz w:val="16"/>
                <w:szCs w:val="16"/>
              </w:rPr>
              <w:br/>
              <w:t>Remaining</w:t>
            </w:r>
            <w:r>
              <w:rPr>
                <w:b/>
                <w:bCs/>
                <w:sz w:val="16"/>
                <w:szCs w:val="16"/>
              </w:rPr>
              <w:br/>
              <w:t>Contractual Life</w:t>
            </w:r>
            <w:r>
              <w:rPr>
                <w:b/>
                <w:bCs/>
                <w:sz w:val="16"/>
                <w:szCs w:val="16"/>
              </w:rPr>
              <w:br/>
              <w:t>(in years</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Aggregate</w:t>
            </w:r>
            <w:r>
              <w:rPr>
                <w:b/>
                <w:bCs/>
                <w:sz w:val="16"/>
                <w:szCs w:val="16"/>
              </w:rPr>
              <w:br/>
              <w:t>Intrinsic</w:t>
            </w:r>
            <w:r>
              <w:rPr>
                <w:b/>
                <w:bCs/>
                <w:sz w:val="16"/>
                <w:szCs w:val="16"/>
              </w:rPr>
              <w:br/>
              <w:t>Value</w:t>
            </w:r>
            <w:r>
              <w:rPr>
                <w:b/>
                <w:bCs/>
                <w:sz w:val="16"/>
                <w:szCs w:val="16"/>
              </w:rPr>
              <w:br/>
              <w:t>(in thousands) (1</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34891467"/>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Balance at December 31, 201</w:t>
            </w:r>
            <w:r>
              <w:rPr>
                <w:sz w:val="20"/>
                <w:szCs w:val="20"/>
              </w:rPr>
              <w:t>9</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34</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1.2</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3,96</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34891467"/>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Grante</w:t>
            </w:r>
            <w:r>
              <w:rPr>
                <w:sz w:val="20"/>
                <w:szCs w:val="20"/>
              </w:rPr>
              <w:t>d</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15.8</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11.4</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r>
      <w:tr w:rsidR="00000000">
        <w:trPr>
          <w:divId w:val="34891467"/>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Exercise</w:t>
            </w:r>
            <w:r>
              <w:rPr>
                <w:sz w:val="20"/>
                <w:szCs w:val="20"/>
              </w:rPr>
              <w:t>d</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5</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1.8</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5.0</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r>
      <w:tr w:rsidR="00000000">
        <w:trPr>
          <w:divId w:val="34891467"/>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Cancele</w:t>
            </w:r>
            <w:r>
              <w:rPr>
                <w:sz w:val="20"/>
                <w:szCs w:val="20"/>
              </w:rPr>
              <w:t>d</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4.1</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4.6</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r>
      <w:tr w:rsidR="00000000">
        <w:trPr>
          <w:divId w:val="34891467"/>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Balance at December 31, 202</w:t>
            </w:r>
            <w:r>
              <w:rPr>
                <w:sz w:val="20"/>
                <w:szCs w:val="20"/>
              </w:rPr>
              <w:t>0</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28</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14,48</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34891467"/>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Grante</w:t>
            </w:r>
            <w:r>
              <w:rPr>
                <w:sz w:val="20"/>
                <w:szCs w:val="20"/>
              </w:rPr>
              <w:t>d</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73.6</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56.3</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r>
      <w:tr w:rsidR="00000000">
        <w:trPr>
          <w:divId w:val="34891467"/>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Exercise</w:t>
            </w:r>
            <w:r>
              <w:rPr>
                <w:sz w:val="20"/>
                <w:szCs w:val="20"/>
              </w:rPr>
              <w:t>d</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7</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1.1</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8.4</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r>
      <w:tr w:rsidR="00000000">
        <w:trPr>
          <w:divId w:val="34891467"/>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Cancele</w:t>
            </w:r>
            <w:r>
              <w:rPr>
                <w:sz w:val="20"/>
                <w:szCs w:val="20"/>
              </w:rPr>
              <w:t>d</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r>
      <w:tr w:rsidR="00000000">
        <w:trPr>
          <w:divId w:val="34891467"/>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Balance at December 31, 202</w:t>
            </w:r>
            <w:r>
              <w:rPr>
                <w:sz w:val="20"/>
                <w:szCs w:val="20"/>
              </w:rPr>
              <w:t>1</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21</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3.4</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20,96</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34891467"/>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Grante</w:t>
            </w:r>
            <w:r>
              <w:rPr>
                <w:sz w:val="20"/>
                <w:szCs w:val="20"/>
              </w:rPr>
              <w:t>d</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59.5</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44.5</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r>
      <w:tr w:rsidR="00000000">
        <w:trPr>
          <w:divId w:val="34891467"/>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Exercise</w:t>
            </w:r>
            <w:r>
              <w:rPr>
                <w:sz w:val="20"/>
                <w:szCs w:val="20"/>
              </w:rPr>
              <w:t>d</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7.1</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7.4</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r>
      <w:tr w:rsidR="00000000">
        <w:trPr>
          <w:divId w:val="34891467"/>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Cancele</w:t>
            </w:r>
            <w:r>
              <w:rPr>
                <w:sz w:val="20"/>
                <w:szCs w:val="20"/>
              </w:rPr>
              <w:t>d</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43.3</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33.5</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r>
      <w:tr w:rsidR="00000000">
        <w:trPr>
          <w:divId w:val="34891467"/>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Balance at December 31, 202</w:t>
            </w:r>
            <w:r>
              <w:rPr>
                <w:sz w:val="20"/>
                <w:szCs w:val="20"/>
              </w:rPr>
              <w:t>2</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21</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4.2</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5,42</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34891467"/>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Exercisable as of December 31, 202</w:t>
            </w:r>
            <w:r>
              <w:rPr>
                <w:sz w:val="20"/>
                <w:szCs w:val="20"/>
              </w:rPr>
              <w:t>2</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19</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1.2</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5,60</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0" w:beforeAutospacing="0" w:after="0" w:afterAutospacing="0"/>
        <w:divId w:val="34891467"/>
        <w:rPr>
          <w:sz w:val="20"/>
          <w:szCs w:val="20"/>
        </w:rPr>
      </w:pPr>
      <w:r>
        <w:t> </w:t>
      </w:r>
    </w:p>
    <w:p w:rsidR="00000000" w:rsidRDefault="00477EE8">
      <w:pPr>
        <w:divId w:val="34891467"/>
        <w:rPr>
          <w:rFonts w:eastAsia="Times New Roman"/>
        </w:rPr>
      </w:pPr>
      <w:r>
        <w:rPr>
          <w:rFonts w:eastAsia="Times New Roman"/>
          <w:sz w:val="18"/>
          <w:szCs w:val="18"/>
        </w:rPr>
        <w:t>(1</w:t>
      </w:r>
      <w:r>
        <w:rPr>
          <w:rFonts w:eastAsia="Times New Roman"/>
          <w:sz w:val="18"/>
          <w:szCs w:val="18"/>
        </w:rPr>
        <w:t>)</w:t>
      </w:r>
    </w:p>
    <w:p w:rsidR="00000000" w:rsidRDefault="00477EE8">
      <w:pPr>
        <w:divId w:val="1029256256"/>
        <w:rPr>
          <w:rFonts w:eastAsia="Times New Roman"/>
        </w:rPr>
      </w:pPr>
      <w:r>
        <w:rPr>
          <w:rFonts w:eastAsia="Times New Roman"/>
          <w:sz w:val="18"/>
          <w:szCs w:val="18"/>
        </w:rPr>
        <w:t>Aggregate intrinsic value is calculated as the difference between (i) the exercise price of options and (ii) the market value of the Company’s common stock as of the applicable date</w:t>
      </w:r>
      <w:r>
        <w:rPr>
          <w:rFonts w:eastAsia="Times New Roman"/>
          <w:sz w:val="18"/>
          <w:szCs w:val="18"/>
        </w:rPr>
        <w:t>.</w:t>
      </w:r>
    </w:p>
    <w:p w:rsidR="00000000" w:rsidRDefault="00477EE8">
      <w:pPr>
        <w:pStyle w:val="a3"/>
        <w:spacing w:before="240" w:beforeAutospacing="0" w:after="0" w:afterAutospacing="0"/>
        <w:ind w:firstLine="555"/>
        <w:divId w:val="1546024201"/>
        <w:rPr>
          <w:sz w:val="20"/>
          <w:szCs w:val="20"/>
        </w:rPr>
      </w:pPr>
      <w:r>
        <w:rPr>
          <w:sz w:val="20"/>
          <w:szCs w:val="20"/>
        </w:rPr>
        <w:t>The total fair value of options that vested during the years ended Decemb</w:t>
      </w:r>
      <w:r>
        <w:rPr>
          <w:sz w:val="20"/>
          <w:szCs w:val="20"/>
        </w:rPr>
        <w:t xml:space="preserve">er 31, 2022, 2021 and 2020 was </w:t>
      </w:r>
      <w:r>
        <w:rPr>
          <w:sz w:val="20"/>
          <w:szCs w:val="20"/>
        </w:rPr>
        <w:t>$</w:t>
      </w:r>
      <w:r>
        <w:rPr>
          <w:sz w:val="20"/>
          <w:szCs w:val="20"/>
        </w:rPr>
        <w:t>126,00</w:t>
      </w:r>
      <w:r>
        <w:rPr>
          <w:sz w:val="20"/>
          <w:szCs w:val="20"/>
        </w:rPr>
        <w:t>0</w:t>
      </w:r>
      <w:r>
        <w:rPr>
          <w:sz w:val="20"/>
          <w:szCs w:val="20"/>
        </w:rPr>
        <w:t xml:space="preserve">, </w:t>
      </w:r>
      <w:r>
        <w:rPr>
          <w:sz w:val="20"/>
          <w:szCs w:val="20"/>
        </w:rPr>
        <w:t>$</w:t>
      </w:r>
      <w:r>
        <w:rPr>
          <w:sz w:val="20"/>
          <w:szCs w:val="20"/>
        </w:rPr>
        <w:t>76,00</w:t>
      </w:r>
      <w:r>
        <w:rPr>
          <w:sz w:val="20"/>
          <w:szCs w:val="20"/>
        </w:rPr>
        <w:t>0</w:t>
      </w:r>
      <w:r>
        <w:rPr>
          <w:sz w:val="20"/>
          <w:szCs w:val="20"/>
        </w:rPr>
        <w:t xml:space="preserve"> and </w:t>
      </w:r>
      <w:r>
        <w:rPr>
          <w:sz w:val="20"/>
          <w:szCs w:val="20"/>
        </w:rPr>
        <w:t>$</w:t>
      </w:r>
      <w:r>
        <w:rPr>
          <w:sz w:val="20"/>
          <w:szCs w:val="20"/>
        </w:rPr>
        <w:t>223,00</w:t>
      </w:r>
      <w:r>
        <w:rPr>
          <w:sz w:val="20"/>
          <w:szCs w:val="20"/>
        </w:rPr>
        <w:t>0</w:t>
      </w:r>
      <w:r>
        <w:rPr>
          <w:sz w:val="20"/>
          <w:szCs w:val="20"/>
        </w:rPr>
        <w:t xml:space="preserve">, respectively. As of December 31, 2022, the remaining unrecognized compensation expense related to all outstanding option awards was </w:t>
      </w:r>
      <w:r>
        <w:rPr>
          <w:sz w:val="20"/>
          <w:szCs w:val="20"/>
        </w:rPr>
        <w:t>$</w:t>
      </w:r>
      <w:r>
        <w:rPr>
          <w:sz w:val="20"/>
          <w:szCs w:val="20"/>
        </w:rPr>
        <w:t>433,00</w:t>
      </w:r>
      <w:r>
        <w:rPr>
          <w:sz w:val="20"/>
          <w:szCs w:val="20"/>
        </w:rPr>
        <w:t>0</w:t>
      </w:r>
      <w:r>
        <w:rPr>
          <w:sz w:val="20"/>
          <w:szCs w:val="20"/>
        </w:rPr>
        <w:t xml:space="preserve"> and is expected to be recognized over a weighted-ave</w:t>
      </w:r>
      <w:r>
        <w:rPr>
          <w:sz w:val="20"/>
          <w:szCs w:val="20"/>
        </w:rPr>
        <w:t>rage period of</w:t>
      </w:r>
      <w:r>
        <w:rPr>
          <w:sz w:val="20"/>
          <w:szCs w:val="20"/>
        </w:rPr>
        <w:t xml:space="preserve"> </w:t>
      </w:r>
      <w:r>
        <w:rPr>
          <w:sz w:val="20"/>
          <w:szCs w:val="20"/>
        </w:rPr>
        <w:t>3.</w:t>
      </w:r>
      <w:r>
        <w:rPr>
          <w:sz w:val="20"/>
          <w:szCs w:val="20"/>
        </w:rPr>
        <w:t>4</w:t>
      </w:r>
      <w:r>
        <w:rPr>
          <w:sz w:val="20"/>
          <w:szCs w:val="20"/>
        </w:rPr>
        <w:t xml:space="preserve"> years</w:t>
      </w:r>
      <w:r>
        <w:rPr>
          <w:sz w:val="20"/>
          <w:szCs w:val="20"/>
        </w:rPr>
        <w:t>.</w:t>
      </w:r>
      <w:r>
        <w:rPr>
          <w:sz w:val="20"/>
          <w:szCs w:val="20"/>
        </w:rPr>
        <w:t xml:space="preserve"> </w:t>
      </w:r>
    </w:p>
    <w:p w:rsidR="00000000" w:rsidRDefault="00477EE8">
      <w:pPr>
        <w:pStyle w:val="a3"/>
        <w:spacing w:before="360" w:beforeAutospacing="0" w:after="0" w:afterAutospacing="0"/>
        <w:divId w:val="1546024201"/>
        <w:rPr>
          <w:sz w:val="20"/>
          <w:szCs w:val="20"/>
        </w:rPr>
      </w:pPr>
      <w:r>
        <w:rPr>
          <w:i/>
          <w:iCs/>
          <w:sz w:val="20"/>
          <w:szCs w:val="20"/>
        </w:rPr>
        <w:t>RSU Award</w:t>
      </w:r>
      <w:r>
        <w:rPr>
          <w:i/>
          <w:iCs/>
          <w:sz w:val="20"/>
          <w:szCs w:val="20"/>
        </w:rPr>
        <w:t>s</w:t>
      </w:r>
    </w:p>
    <w:p w:rsidR="00000000" w:rsidRDefault="00477EE8">
      <w:pPr>
        <w:pStyle w:val="a3"/>
        <w:spacing w:before="120" w:beforeAutospacing="0" w:after="0" w:afterAutospacing="0"/>
        <w:ind w:firstLine="555"/>
        <w:divId w:val="1546024201"/>
        <w:rPr>
          <w:sz w:val="20"/>
          <w:szCs w:val="20"/>
        </w:rPr>
      </w:pPr>
      <w:r>
        <w:rPr>
          <w:sz w:val="20"/>
          <w:szCs w:val="20"/>
        </w:rPr>
        <w:t>RSUs are awards that entitle the holder to receive shares of the Company’s common stock upon satisfaction of vesting conditions. Each RSU represents the contingent right to receive one share of the Company’s common sto</w:t>
      </w:r>
      <w:r>
        <w:rPr>
          <w:sz w:val="20"/>
          <w:szCs w:val="20"/>
        </w:rPr>
        <w:t>ck upon vesting and settlement</w:t>
      </w:r>
      <w:r>
        <w:rPr>
          <w:sz w:val="20"/>
          <w:szCs w:val="20"/>
        </w:rPr>
        <w:t>.</w:t>
      </w:r>
    </w:p>
    <w:p w:rsidR="00000000" w:rsidRDefault="00477EE8">
      <w:pPr>
        <w:pStyle w:val="a3"/>
        <w:spacing w:before="240" w:beforeAutospacing="0" w:after="0" w:afterAutospacing="0"/>
        <w:jc w:val="center"/>
        <w:divId w:val="1546024201"/>
        <w:rPr>
          <w:sz w:val="20"/>
          <w:szCs w:val="20"/>
        </w:rPr>
      </w:pPr>
      <w:r>
        <w:rPr>
          <w:sz w:val="20"/>
          <w:szCs w:val="20"/>
        </w:rPr>
        <w:t>F</w:t>
      </w:r>
      <w:r>
        <w:rPr>
          <w:sz w:val="20"/>
          <w:szCs w:val="20"/>
        </w:rPr>
        <w:t>-</w:t>
      </w:r>
      <w:r>
        <w:rPr>
          <w:sz w:val="20"/>
          <w:szCs w:val="20"/>
        </w:rPr>
        <w:t>2</w:t>
      </w:r>
      <w:r>
        <w:rPr>
          <w:sz w:val="20"/>
          <w:szCs w:val="20"/>
        </w:rPr>
        <w:t>6</w:t>
      </w:r>
    </w:p>
    <w:p w:rsidR="00000000" w:rsidRDefault="00477EE8">
      <w:pPr>
        <w:divId w:val="1546024201"/>
        <w:rPr>
          <w:rFonts w:eastAsia="Times New Roman"/>
          <w:sz w:val="20"/>
          <w:szCs w:val="20"/>
        </w:rPr>
      </w:pPr>
      <w:r>
        <w:rPr>
          <w:rFonts w:eastAsia="Times New Roman"/>
          <w:sz w:val="20"/>
          <w:szCs w:val="20"/>
        </w:rPr>
        <w:pict>
          <v:rect id="_x0000_i1137" style="width:0;height:1.5pt" o:hralign="center" o:hrstd="t" o:hr="t" fillcolor="#a0a0a0" stroked="f"/>
        </w:pict>
      </w:r>
    </w:p>
    <w:p w:rsidR="00000000" w:rsidRDefault="00477EE8">
      <w:pPr>
        <w:pStyle w:val="a3"/>
        <w:spacing w:before="240" w:beforeAutospacing="0" w:after="0" w:afterAutospacing="0"/>
        <w:ind w:firstLine="555"/>
        <w:divId w:val="1242372332"/>
        <w:rPr>
          <w:sz w:val="20"/>
          <w:szCs w:val="20"/>
        </w:rPr>
      </w:pPr>
      <w:r>
        <w:rPr>
          <w:sz w:val="20"/>
          <w:szCs w:val="20"/>
        </w:rPr>
        <w:t>The following table summarizes activity for RSUs relating to shares of the Company’s common stock in the years ended December 31, 2022, 2021, and 2020</w:t>
      </w:r>
      <w:r>
        <w:rPr>
          <w:sz w:val="20"/>
          <w:szCs w:val="20"/>
        </w:rPr>
        <w:t>:</w:t>
      </w:r>
    </w:p>
    <w:p w:rsidR="00000000" w:rsidRDefault="00477EE8">
      <w:pPr>
        <w:pStyle w:val="a3"/>
        <w:spacing w:before="0" w:beforeAutospacing="0" w:after="0" w:afterAutospacing="0"/>
        <w:divId w:val="1242372332"/>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8"/>
        <w:gridCol w:w="111"/>
        <w:gridCol w:w="1368"/>
        <w:gridCol w:w="127"/>
        <w:gridCol w:w="176"/>
        <w:gridCol w:w="161"/>
        <w:gridCol w:w="1380"/>
        <w:gridCol w:w="125"/>
      </w:tblGrid>
      <w:tr w:rsidR="00000000">
        <w:trPr>
          <w:divId w:val="1242372332"/>
          <w:tblCellSpacing w:w="15" w:type="dxa"/>
        </w:trPr>
        <w:tc>
          <w:tcPr>
            <w:tcW w:w="3004"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843"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101"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850"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divId w:val="1242372332"/>
          <w:trHeight w:val="16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Number of</w:t>
            </w:r>
            <w:r>
              <w:rPr>
                <w:b/>
                <w:bCs/>
                <w:sz w:val="16"/>
                <w:szCs w:val="16"/>
              </w:rPr>
              <w:br/>
              <w:t>Shares</w:t>
            </w:r>
            <w:r>
              <w:rPr>
                <w:b/>
                <w:bCs/>
                <w:sz w:val="16"/>
                <w:szCs w:val="16"/>
              </w:rPr>
              <w:br/>
              <w:t>(in thousands</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hideMark/>
          </w:tcPr>
          <w:p w:rsidR="00000000" w:rsidRDefault="00477EE8">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Weighted-Average</w:t>
            </w:r>
            <w:r>
              <w:rPr>
                <w:b/>
                <w:bCs/>
                <w:sz w:val="16"/>
                <w:szCs w:val="16"/>
              </w:rPr>
              <w:br/>
              <w:t>Grant Date</w:t>
            </w:r>
            <w:r>
              <w:rPr>
                <w:b/>
                <w:bCs/>
                <w:sz w:val="16"/>
                <w:szCs w:val="16"/>
              </w:rPr>
              <w:br/>
              <w:t>Fair Valu</w:t>
            </w:r>
            <w:r>
              <w:rPr>
                <w:b/>
                <w:bCs/>
                <w:sz w:val="16"/>
                <w:szCs w:val="16"/>
              </w:rPr>
              <w:t>e</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242372332"/>
          <w:trHeight w:val="200"/>
          <w:tblCellSpacing w:w="15" w:type="dxa"/>
        </w:trPr>
        <w:tc>
          <w:tcPr>
            <w:tcW w:w="0" w:type="auto"/>
            <w:hideMark/>
          </w:tcPr>
          <w:p w:rsidR="00000000" w:rsidRDefault="00477EE8">
            <w:pPr>
              <w:pStyle w:val="a3"/>
              <w:spacing w:before="0" w:beforeAutospacing="0" w:after="0" w:afterAutospacing="0"/>
              <w:rPr>
                <w:sz w:val="20"/>
                <w:szCs w:val="20"/>
              </w:rPr>
            </w:pPr>
            <w:r>
              <w:rPr>
                <w:b/>
                <w:bCs/>
                <w:sz w:val="20"/>
                <w:szCs w:val="20"/>
              </w:rPr>
              <w:t>Balance at December 31, 201</w:t>
            </w:r>
            <w:r>
              <w:rPr>
                <w:b/>
                <w:bCs/>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1,51</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6.5</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42372332"/>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Grante</w:t>
            </w:r>
            <w:r>
              <w:rPr>
                <w:sz w:val="20"/>
                <w:szCs w:val="20"/>
              </w:rPr>
              <w:t>d</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1,38</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24.8</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42372332"/>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Vested and settle</w:t>
            </w:r>
            <w:r>
              <w:rPr>
                <w:sz w:val="20"/>
                <w:szCs w:val="20"/>
              </w:rPr>
              <w:t>d</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65</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7.9</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42372332"/>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Forfeite</w:t>
            </w:r>
            <w:r>
              <w:rPr>
                <w:sz w:val="20"/>
                <w:szCs w:val="20"/>
              </w:rPr>
              <w:t>d</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16</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11.1</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42372332"/>
          <w:trHeight w:val="200"/>
          <w:tblCellSpacing w:w="15" w:type="dxa"/>
        </w:trPr>
        <w:tc>
          <w:tcPr>
            <w:tcW w:w="0" w:type="auto"/>
            <w:hideMark/>
          </w:tcPr>
          <w:p w:rsidR="00000000" w:rsidRDefault="00477EE8">
            <w:pPr>
              <w:pStyle w:val="a3"/>
              <w:spacing w:before="0" w:beforeAutospacing="0" w:after="0" w:afterAutospacing="0"/>
              <w:rPr>
                <w:sz w:val="20"/>
                <w:szCs w:val="20"/>
              </w:rPr>
            </w:pPr>
            <w:r>
              <w:rPr>
                <w:b/>
                <w:bCs/>
                <w:sz w:val="20"/>
                <w:szCs w:val="20"/>
              </w:rPr>
              <w:t>Balance at December 31, 202</w:t>
            </w:r>
            <w:r>
              <w:rPr>
                <w:b/>
                <w:bCs/>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2,08</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17.9</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42372332"/>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Grante</w:t>
            </w:r>
            <w:r>
              <w:rPr>
                <w:sz w:val="20"/>
                <w:szCs w:val="20"/>
              </w:rPr>
              <w:t>d</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47</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95.3</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42372332"/>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Vested and settle</w:t>
            </w:r>
            <w:r>
              <w:rPr>
                <w:sz w:val="20"/>
                <w:szCs w:val="20"/>
              </w:rPr>
              <w:t>d</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83</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15.4</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42372332"/>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Forfeite</w:t>
            </w:r>
            <w:r>
              <w:rPr>
                <w:sz w:val="20"/>
                <w:szCs w:val="20"/>
              </w:rPr>
              <w:t>d</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10</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37.8</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42372332"/>
          <w:trHeight w:val="200"/>
          <w:tblCellSpacing w:w="15" w:type="dxa"/>
        </w:trPr>
        <w:tc>
          <w:tcPr>
            <w:tcW w:w="0" w:type="auto"/>
            <w:hideMark/>
          </w:tcPr>
          <w:p w:rsidR="00000000" w:rsidRDefault="00477EE8">
            <w:pPr>
              <w:pStyle w:val="a3"/>
              <w:spacing w:before="0" w:beforeAutospacing="0" w:after="0" w:afterAutospacing="0"/>
              <w:rPr>
                <w:sz w:val="20"/>
                <w:szCs w:val="20"/>
              </w:rPr>
            </w:pPr>
            <w:r>
              <w:rPr>
                <w:b/>
                <w:bCs/>
                <w:sz w:val="20"/>
                <w:szCs w:val="20"/>
              </w:rPr>
              <w:t>Balance at December 31, 202</w:t>
            </w:r>
            <w:r>
              <w:rPr>
                <w:b/>
                <w:bCs/>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1,61</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40.7</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42372332"/>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Grante</w:t>
            </w:r>
            <w:r>
              <w:rPr>
                <w:sz w:val="20"/>
                <w:szCs w:val="20"/>
              </w:rPr>
              <w:t>d</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1,89</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49.9</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42372332"/>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Vested and settle</w:t>
            </w:r>
            <w:r>
              <w:rPr>
                <w:sz w:val="20"/>
                <w:szCs w:val="20"/>
              </w:rPr>
              <w:t>d</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69</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34.0</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42372332"/>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Forfeite</w:t>
            </w:r>
            <w:r>
              <w:rPr>
                <w:sz w:val="20"/>
                <w:szCs w:val="20"/>
              </w:rPr>
              <w:t>d</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18</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61.1</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42372332"/>
          <w:trHeight w:val="200"/>
          <w:tblCellSpacing w:w="15" w:type="dxa"/>
        </w:trPr>
        <w:tc>
          <w:tcPr>
            <w:tcW w:w="0" w:type="auto"/>
            <w:hideMark/>
          </w:tcPr>
          <w:p w:rsidR="00000000" w:rsidRDefault="00477EE8">
            <w:pPr>
              <w:pStyle w:val="a3"/>
              <w:spacing w:before="0" w:beforeAutospacing="0" w:after="0" w:afterAutospacing="0"/>
              <w:rPr>
                <w:sz w:val="20"/>
                <w:szCs w:val="20"/>
              </w:rPr>
            </w:pPr>
            <w:r>
              <w:rPr>
                <w:b/>
                <w:bCs/>
                <w:sz w:val="20"/>
                <w:szCs w:val="20"/>
              </w:rPr>
              <w:t>Balance at December 31, 202</w:t>
            </w:r>
            <w:r>
              <w:rPr>
                <w:b/>
                <w:bCs/>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2,63</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47.7</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240" w:beforeAutospacing="0" w:after="0" w:afterAutospacing="0"/>
        <w:ind w:firstLine="555"/>
        <w:divId w:val="1546024201"/>
        <w:rPr>
          <w:sz w:val="20"/>
          <w:szCs w:val="20"/>
        </w:rPr>
      </w:pPr>
      <w:r>
        <w:rPr>
          <w:sz w:val="20"/>
          <w:szCs w:val="20"/>
        </w:rPr>
        <w:t xml:space="preserve">The RSU awards granted in the years ended December 31, 2022, 2021 and 2020 will result in aggregate equity-based compensation expense of </w:t>
      </w:r>
      <w:r>
        <w:rPr>
          <w:sz w:val="20"/>
          <w:szCs w:val="20"/>
        </w:rPr>
        <w:t>$</w:t>
      </w:r>
      <w:r>
        <w:rPr>
          <w:sz w:val="20"/>
          <w:szCs w:val="20"/>
        </w:rPr>
        <w:t>94.</w:t>
      </w:r>
      <w:r>
        <w:rPr>
          <w:sz w:val="20"/>
          <w:szCs w:val="20"/>
        </w:rPr>
        <w:t>8</w:t>
      </w:r>
      <w:r>
        <w:rPr>
          <w:sz w:val="20"/>
          <w:szCs w:val="20"/>
        </w:rPr>
        <w:t xml:space="preserve"> millio</w:t>
      </w:r>
      <w:r>
        <w:rPr>
          <w:sz w:val="20"/>
          <w:szCs w:val="20"/>
        </w:rPr>
        <w:t>n</w:t>
      </w:r>
      <w:r>
        <w:rPr>
          <w:sz w:val="20"/>
          <w:szCs w:val="20"/>
        </w:rPr>
        <w:t xml:space="preserve">, </w:t>
      </w:r>
      <w:r>
        <w:rPr>
          <w:sz w:val="20"/>
          <w:szCs w:val="20"/>
        </w:rPr>
        <w:t>$</w:t>
      </w:r>
      <w:r>
        <w:rPr>
          <w:sz w:val="20"/>
          <w:szCs w:val="20"/>
        </w:rPr>
        <w:t>45.</w:t>
      </w:r>
      <w:r>
        <w:rPr>
          <w:sz w:val="20"/>
          <w:szCs w:val="20"/>
        </w:rPr>
        <w:t>5</w:t>
      </w:r>
      <w:r>
        <w:rPr>
          <w:sz w:val="20"/>
          <w:szCs w:val="20"/>
        </w:rPr>
        <w:t xml:space="preserve"> million and </w:t>
      </w:r>
      <w:r>
        <w:rPr>
          <w:sz w:val="20"/>
          <w:szCs w:val="20"/>
        </w:rPr>
        <w:t>$</w:t>
      </w:r>
      <w:r>
        <w:rPr>
          <w:sz w:val="20"/>
          <w:szCs w:val="20"/>
        </w:rPr>
        <w:t>34.</w:t>
      </w:r>
      <w:r>
        <w:rPr>
          <w:sz w:val="20"/>
          <w:szCs w:val="20"/>
        </w:rPr>
        <w:t>5</w:t>
      </w:r>
      <w:r>
        <w:rPr>
          <w:sz w:val="20"/>
          <w:szCs w:val="20"/>
        </w:rPr>
        <w:t xml:space="preserve"> million, respectively, to be recognized over the vesting periods from the grant </w:t>
      </w:r>
      <w:r>
        <w:rPr>
          <w:sz w:val="20"/>
          <w:szCs w:val="20"/>
        </w:rPr>
        <w:t>date of each award granted in the period. The RSU awards granted in the year ended December 31, 2022 included</w:t>
      </w:r>
      <w:r>
        <w:rPr>
          <w:sz w:val="20"/>
          <w:szCs w:val="20"/>
        </w:rPr>
        <w:t xml:space="preserve"> </w:t>
      </w:r>
      <w:r>
        <w:rPr>
          <w:sz w:val="20"/>
          <w:szCs w:val="20"/>
        </w:rPr>
        <w:t>663,01</w:t>
      </w:r>
      <w:r>
        <w:rPr>
          <w:sz w:val="20"/>
          <w:szCs w:val="20"/>
        </w:rPr>
        <w:t>3</w:t>
      </w:r>
      <w:r>
        <w:rPr>
          <w:sz w:val="20"/>
          <w:szCs w:val="20"/>
        </w:rPr>
        <w:t xml:space="preserve"> shares of RSU awards assumed as part of the Fulgent Pharma acquisition, see more details in Note 14,</w:t>
      </w:r>
      <w:r>
        <w:rPr>
          <w:sz w:val="20"/>
          <w:szCs w:val="20"/>
        </w:rPr>
        <w:t xml:space="preserve"> </w:t>
      </w:r>
      <w:r>
        <w:rPr>
          <w:i/>
          <w:iCs/>
          <w:sz w:val="20"/>
          <w:szCs w:val="20"/>
        </w:rPr>
        <w:t>Related Party</w:t>
      </w:r>
      <w:r>
        <w:rPr>
          <w:i/>
          <w:iCs/>
          <w:sz w:val="20"/>
          <w:szCs w:val="20"/>
        </w:rPr>
        <w:t>,</w:t>
      </w:r>
      <w:r>
        <w:rPr>
          <w:sz w:val="20"/>
          <w:szCs w:val="20"/>
        </w:rPr>
        <w:t xml:space="preserve"> and Note 15,</w:t>
      </w:r>
      <w:r>
        <w:rPr>
          <w:sz w:val="20"/>
          <w:szCs w:val="20"/>
        </w:rPr>
        <w:t xml:space="preserve"> </w:t>
      </w:r>
      <w:r>
        <w:rPr>
          <w:i/>
          <w:iCs/>
          <w:sz w:val="20"/>
          <w:szCs w:val="20"/>
        </w:rPr>
        <w:t xml:space="preserve">Business </w:t>
      </w:r>
      <w:r>
        <w:rPr>
          <w:i/>
          <w:iCs/>
          <w:sz w:val="20"/>
          <w:szCs w:val="20"/>
        </w:rPr>
        <w:t>Combination</w:t>
      </w:r>
      <w:r>
        <w:rPr>
          <w:i/>
          <w:iCs/>
          <w:sz w:val="20"/>
          <w:szCs w:val="20"/>
        </w:rPr>
        <w:t>s</w:t>
      </w:r>
      <w:r>
        <w:rPr>
          <w:sz w:val="20"/>
          <w:szCs w:val="20"/>
        </w:rPr>
        <w:t xml:space="preserve">. As of December 31, 2022, the remaining unrecognized compensation expense related to all outstanding RSU awards was </w:t>
      </w:r>
      <w:r>
        <w:rPr>
          <w:sz w:val="20"/>
          <w:szCs w:val="20"/>
        </w:rPr>
        <w:t>$</w:t>
      </w:r>
      <w:r>
        <w:rPr>
          <w:sz w:val="20"/>
          <w:szCs w:val="20"/>
        </w:rPr>
        <w:t>110.</w:t>
      </w:r>
      <w:r>
        <w:rPr>
          <w:sz w:val="20"/>
          <w:szCs w:val="20"/>
        </w:rPr>
        <w:t>6</w:t>
      </w:r>
      <w:r>
        <w:rPr>
          <w:sz w:val="20"/>
          <w:szCs w:val="20"/>
        </w:rPr>
        <w:t xml:space="preserve"> millio</w:t>
      </w:r>
      <w:r>
        <w:rPr>
          <w:sz w:val="20"/>
          <w:szCs w:val="20"/>
        </w:rPr>
        <w:t>n</w:t>
      </w:r>
      <w:r>
        <w:rPr>
          <w:sz w:val="20"/>
          <w:szCs w:val="20"/>
        </w:rPr>
        <w:t xml:space="preserve"> and is expected to be recognized over a weighted-average period of</w:t>
      </w:r>
      <w:r>
        <w:rPr>
          <w:sz w:val="20"/>
          <w:szCs w:val="20"/>
        </w:rPr>
        <w:t xml:space="preserve"> </w:t>
      </w:r>
      <w:r>
        <w:rPr>
          <w:sz w:val="20"/>
          <w:szCs w:val="20"/>
        </w:rPr>
        <w:t>3.</w:t>
      </w:r>
      <w:r>
        <w:rPr>
          <w:sz w:val="20"/>
          <w:szCs w:val="20"/>
        </w:rPr>
        <w:t>0</w:t>
      </w:r>
      <w:r>
        <w:rPr>
          <w:sz w:val="20"/>
          <w:szCs w:val="20"/>
        </w:rPr>
        <w:t xml:space="preserve"> years</w:t>
      </w:r>
      <w:r>
        <w:rPr>
          <w:sz w:val="20"/>
          <w:szCs w:val="20"/>
        </w:rPr>
        <w:t>.</w:t>
      </w:r>
    </w:p>
    <w:p w:rsidR="00000000" w:rsidRDefault="00477EE8">
      <w:pPr>
        <w:pStyle w:val="a3"/>
        <w:spacing w:before="360" w:beforeAutospacing="0" w:after="0" w:afterAutospacing="0"/>
        <w:divId w:val="1546024201"/>
        <w:rPr>
          <w:sz w:val="20"/>
          <w:szCs w:val="20"/>
        </w:rPr>
      </w:pPr>
      <w:r>
        <w:rPr>
          <w:b/>
          <w:bCs/>
          <w:i/>
          <w:iCs/>
          <w:sz w:val="20"/>
          <w:szCs w:val="20"/>
        </w:rPr>
        <w:t xml:space="preserve">Fair Value Assumptions for Option </w:t>
      </w:r>
      <w:r>
        <w:rPr>
          <w:b/>
          <w:bCs/>
          <w:i/>
          <w:iCs/>
          <w:sz w:val="20"/>
          <w:szCs w:val="20"/>
        </w:rPr>
        <w:t>Award</w:t>
      </w:r>
      <w:r>
        <w:rPr>
          <w:b/>
          <w:bCs/>
          <w:i/>
          <w:iCs/>
          <w:sz w:val="20"/>
          <w:szCs w:val="20"/>
        </w:rPr>
        <w:t>s</w:t>
      </w:r>
    </w:p>
    <w:p w:rsidR="00000000" w:rsidRDefault="00477EE8">
      <w:pPr>
        <w:pStyle w:val="a3"/>
        <w:spacing w:before="120" w:beforeAutospacing="0" w:after="0" w:afterAutospacing="0"/>
        <w:ind w:firstLine="555"/>
        <w:divId w:val="1546024201"/>
        <w:rPr>
          <w:sz w:val="20"/>
          <w:szCs w:val="20"/>
        </w:rPr>
      </w:pPr>
      <w:r>
        <w:rPr>
          <w:sz w:val="20"/>
          <w:szCs w:val="20"/>
        </w:rPr>
        <w:t>The Company uses the Black-Scholes option-pricing model to measure the fair value of option awards. The Black-Scholes option-pricing model requires the input of various assumptions, each of which is subjective and requires significant judgment. Thes</w:t>
      </w:r>
      <w:r>
        <w:rPr>
          <w:sz w:val="20"/>
          <w:szCs w:val="20"/>
        </w:rPr>
        <w:t>e assumptions include the following</w:t>
      </w:r>
      <w:r>
        <w:rPr>
          <w:sz w:val="20"/>
          <w:szCs w:val="20"/>
        </w:rPr>
        <w:t>:</w:t>
      </w:r>
    </w:p>
    <w:p w:rsidR="00000000" w:rsidRDefault="00477EE8">
      <w:pPr>
        <w:divId w:val="2047875684"/>
        <w:rPr>
          <w:rFonts w:eastAsia="Times New Roman"/>
          <w:sz w:val="20"/>
          <w:szCs w:val="20"/>
        </w:rPr>
      </w:pPr>
      <w:r>
        <w:rPr>
          <w:rFonts w:eastAsia="Times New Roman"/>
          <w:sz w:val="20"/>
          <w:szCs w:val="20"/>
        </w:rPr>
        <w:t>•</w:t>
      </w:r>
    </w:p>
    <w:p w:rsidR="00000000" w:rsidRDefault="00477EE8">
      <w:pPr>
        <w:divId w:val="750545680"/>
        <w:rPr>
          <w:rFonts w:eastAsia="Times New Roman"/>
          <w:sz w:val="20"/>
          <w:szCs w:val="20"/>
        </w:rPr>
      </w:pPr>
      <w:r>
        <w:rPr>
          <w:rFonts w:eastAsia="Times New Roman"/>
          <w:i/>
          <w:iCs/>
          <w:sz w:val="20"/>
          <w:szCs w:val="20"/>
        </w:rPr>
        <w:t>Expected Term</w:t>
      </w:r>
      <w:r>
        <w:rPr>
          <w:rFonts w:eastAsia="Times New Roman"/>
          <w:i/>
          <w:iCs/>
          <w:sz w:val="20"/>
          <w:szCs w:val="20"/>
        </w:rPr>
        <w:t>.</w:t>
      </w:r>
      <w:r>
        <w:rPr>
          <w:rFonts w:eastAsia="Times New Roman"/>
          <w:sz w:val="20"/>
          <w:szCs w:val="20"/>
        </w:rPr>
        <w:t xml:space="preserve"> The expected term represents the period that the Company’s equity-based awards are expected to be outstanding. The Company determines the expected term assumption based on the vesting terms, exercise te</w:t>
      </w:r>
      <w:r>
        <w:rPr>
          <w:rFonts w:eastAsia="Times New Roman"/>
          <w:sz w:val="20"/>
          <w:szCs w:val="20"/>
        </w:rPr>
        <w:t>rms and contractual terms of the options</w:t>
      </w:r>
      <w:r>
        <w:rPr>
          <w:rFonts w:eastAsia="Times New Roman"/>
          <w:sz w:val="20"/>
          <w:szCs w:val="20"/>
        </w:rPr>
        <w:t>.</w:t>
      </w:r>
    </w:p>
    <w:p w:rsidR="00000000" w:rsidRDefault="00477EE8">
      <w:pPr>
        <w:pStyle w:val="a3"/>
        <w:spacing w:before="0" w:beforeAutospacing="0" w:after="0" w:afterAutospacing="0"/>
        <w:divId w:val="1546024201"/>
        <w:rPr>
          <w:sz w:val="20"/>
          <w:szCs w:val="20"/>
        </w:rPr>
      </w:pPr>
      <w:r>
        <w:rPr>
          <w:sz w:val="12"/>
          <w:szCs w:val="12"/>
        </w:rPr>
        <w:t> </w:t>
      </w:r>
    </w:p>
    <w:p w:rsidR="00000000" w:rsidRDefault="00477EE8">
      <w:pPr>
        <w:divId w:val="7026367"/>
        <w:rPr>
          <w:rFonts w:eastAsia="Times New Roman"/>
          <w:sz w:val="20"/>
          <w:szCs w:val="20"/>
        </w:rPr>
      </w:pPr>
      <w:r>
        <w:rPr>
          <w:rFonts w:eastAsia="Times New Roman"/>
          <w:sz w:val="20"/>
          <w:szCs w:val="20"/>
        </w:rPr>
        <w:t>•</w:t>
      </w:r>
    </w:p>
    <w:p w:rsidR="00000000" w:rsidRDefault="00477EE8">
      <w:pPr>
        <w:divId w:val="89470506"/>
        <w:rPr>
          <w:rFonts w:eastAsia="Times New Roman"/>
          <w:sz w:val="20"/>
          <w:szCs w:val="20"/>
        </w:rPr>
      </w:pPr>
      <w:r>
        <w:rPr>
          <w:rFonts w:eastAsia="Times New Roman"/>
          <w:i/>
          <w:iCs/>
          <w:sz w:val="20"/>
          <w:szCs w:val="20"/>
        </w:rPr>
        <w:t>Risk-Free Interest Rate</w:t>
      </w:r>
      <w:r>
        <w:rPr>
          <w:rFonts w:eastAsia="Times New Roman"/>
          <w:i/>
          <w:iCs/>
          <w:sz w:val="20"/>
          <w:szCs w:val="20"/>
        </w:rPr>
        <w:t>.</w:t>
      </w:r>
      <w:r>
        <w:rPr>
          <w:rFonts w:eastAsia="Times New Roman"/>
          <w:sz w:val="20"/>
          <w:szCs w:val="20"/>
        </w:rPr>
        <w:t xml:space="preserve"> The Company determines the risk-free interest rate by using the equivalent to the expected term based on the U.S. Treasury yield curve in effect as of the date of grant</w:t>
      </w:r>
      <w:r>
        <w:rPr>
          <w:rFonts w:eastAsia="Times New Roman"/>
          <w:sz w:val="20"/>
          <w:szCs w:val="20"/>
        </w:rPr>
        <w:t>.</w:t>
      </w:r>
    </w:p>
    <w:p w:rsidR="00000000" w:rsidRDefault="00477EE8">
      <w:pPr>
        <w:pStyle w:val="a3"/>
        <w:spacing w:before="0" w:beforeAutospacing="0" w:after="0" w:afterAutospacing="0"/>
        <w:divId w:val="1546024201"/>
        <w:rPr>
          <w:sz w:val="20"/>
          <w:szCs w:val="20"/>
        </w:rPr>
      </w:pPr>
      <w:r>
        <w:rPr>
          <w:sz w:val="12"/>
          <w:szCs w:val="12"/>
        </w:rPr>
        <w:t> </w:t>
      </w:r>
    </w:p>
    <w:p w:rsidR="00000000" w:rsidRDefault="00477EE8">
      <w:pPr>
        <w:divId w:val="1663662120"/>
        <w:rPr>
          <w:rFonts w:eastAsia="Times New Roman"/>
          <w:sz w:val="20"/>
          <w:szCs w:val="20"/>
        </w:rPr>
      </w:pPr>
      <w:r>
        <w:rPr>
          <w:rFonts w:eastAsia="Times New Roman"/>
          <w:sz w:val="20"/>
          <w:szCs w:val="20"/>
        </w:rPr>
        <w:t>•</w:t>
      </w:r>
    </w:p>
    <w:p w:rsidR="00000000" w:rsidRDefault="00477EE8">
      <w:pPr>
        <w:divId w:val="1713578809"/>
        <w:rPr>
          <w:rFonts w:eastAsia="Times New Roman"/>
          <w:sz w:val="20"/>
          <w:szCs w:val="20"/>
        </w:rPr>
      </w:pPr>
      <w:r>
        <w:rPr>
          <w:rFonts w:eastAsia="Times New Roman"/>
          <w:i/>
          <w:iCs/>
          <w:sz w:val="20"/>
          <w:szCs w:val="20"/>
        </w:rPr>
        <w:t>Dividend Yi</w:t>
      </w:r>
      <w:r>
        <w:rPr>
          <w:rFonts w:eastAsia="Times New Roman"/>
          <w:i/>
          <w:iCs/>
          <w:sz w:val="20"/>
          <w:szCs w:val="20"/>
        </w:rPr>
        <w:t>eld</w:t>
      </w:r>
      <w:r>
        <w:rPr>
          <w:rFonts w:eastAsia="Times New Roman"/>
          <w:i/>
          <w:iCs/>
          <w:sz w:val="20"/>
          <w:szCs w:val="20"/>
        </w:rPr>
        <w:t>.</w:t>
      </w:r>
      <w:r>
        <w:rPr>
          <w:rFonts w:eastAsia="Times New Roman"/>
          <w:sz w:val="20"/>
          <w:szCs w:val="20"/>
        </w:rPr>
        <w:t xml:space="preserve"> The assumed dividend yield is based on the Company’s expectation that it will not pay dividends in the foreseeable future, which is consistent with its history of not paying dividends</w:t>
      </w:r>
      <w:r>
        <w:rPr>
          <w:rFonts w:eastAsia="Times New Roman"/>
          <w:sz w:val="20"/>
          <w:szCs w:val="20"/>
        </w:rPr>
        <w:t>.</w:t>
      </w:r>
    </w:p>
    <w:p w:rsidR="00000000" w:rsidRDefault="00477EE8">
      <w:pPr>
        <w:pStyle w:val="a3"/>
        <w:spacing w:before="0" w:beforeAutospacing="0" w:after="0" w:afterAutospacing="0"/>
        <w:divId w:val="1546024201"/>
        <w:rPr>
          <w:sz w:val="20"/>
          <w:szCs w:val="20"/>
        </w:rPr>
      </w:pPr>
      <w:r>
        <w:rPr>
          <w:sz w:val="12"/>
          <w:szCs w:val="12"/>
        </w:rPr>
        <w:t> </w:t>
      </w:r>
    </w:p>
    <w:p w:rsidR="00000000" w:rsidRDefault="00477EE8">
      <w:pPr>
        <w:divId w:val="16808516"/>
        <w:rPr>
          <w:rFonts w:eastAsia="Times New Roman"/>
          <w:sz w:val="20"/>
          <w:szCs w:val="20"/>
        </w:rPr>
      </w:pPr>
      <w:r>
        <w:rPr>
          <w:rFonts w:eastAsia="Times New Roman"/>
          <w:sz w:val="20"/>
          <w:szCs w:val="20"/>
        </w:rPr>
        <w:t>•</w:t>
      </w:r>
    </w:p>
    <w:p w:rsidR="00000000" w:rsidRDefault="00477EE8">
      <w:pPr>
        <w:divId w:val="926812794"/>
        <w:rPr>
          <w:rFonts w:eastAsia="Times New Roman"/>
          <w:sz w:val="20"/>
          <w:szCs w:val="20"/>
        </w:rPr>
      </w:pPr>
      <w:r>
        <w:rPr>
          <w:rFonts w:eastAsia="Times New Roman"/>
          <w:i/>
          <w:iCs/>
          <w:sz w:val="20"/>
          <w:szCs w:val="20"/>
        </w:rPr>
        <w:t>Expected Volatility</w:t>
      </w:r>
      <w:r>
        <w:rPr>
          <w:rFonts w:eastAsia="Times New Roman"/>
          <w:i/>
          <w:iCs/>
          <w:sz w:val="20"/>
          <w:szCs w:val="20"/>
        </w:rPr>
        <w:t>.</w:t>
      </w:r>
      <w:r>
        <w:rPr>
          <w:rFonts w:eastAsia="Times New Roman"/>
          <w:sz w:val="20"/>
          <w:szCs w:val="20"/>
        </w:rPr>
        <w:t xml:space="preserve"> The Company calculates expected volatilit</w:t>
      </w:r>
      <w:r>
        <w:rPr>
          <w:rFonts w:eastAsia="Times New Roman"/>
          <w:sz w:val="20"/>
          <w:szCs w:val="20"/>
        </w:rPr>
        <w:t>y based on historical volatility data of its stock that is publicly traded</w:t>
      </w:r>
      <w:r>
        <w:rPr>
          <w:rFonts w:eastAsia="Times New Roman"/>
          <w:sz w:val="20"/>
          <w:szCs w:val="20"/>
        </w:rPr>
        <w:t>.</w:t>
      </w:r>
    </w:p>
    <w:p w:rsidR="00000000" w:rsidRDefault="00477EE8">
      <w:pPr>
        <w:pStyle w:val="a3"/>
        <w:spacing w:before="0" w:beforeAutospacing="0" w:after="0" w:afterAutospacing="0"/>
        <w:ind w:hanging="1360"/>
        <w:divId w:val="1546024201"/>
        <w:rPr>
          <w:sz w:val="20"/>
          <w:szCs w:val="20"/>
        </w:rPr>
      </w:pPr>
      <w:r>
        <w:rPr>
          <w:sz w:val="12"/>
          <w:szCs w:val="12"/>
        </w:rPr>
        <w:t> </w:t>
      </w:r>
    </w:p>
    <w:p w:rsidR="00000000" w:rsidRDefault="00477EE8">
      <w:pPr>
        <w:divId w:val="431558207"/>
        <w:rPr>
          <w:rFonts w:eastAsia="Times New Roman"/>
          <w:sz w:val="20"/>
          <w:szCs w:val="20"/>
        </w:rPr>
      </w:pPr>
      <w:r>
        <w:rPr>
          <w:rFonts w:eastAsia="Times New Roman"/>
          <w:sz w:val="20"/>
          <w:szCs w:val="20"/>
        </w:rPr>
        <w:t>•</w:t>
      </w:r>
    </w:p>
    <w:p w:rsidR="00000000" w:rsidRDefault="00477EE8">
      <w:pPr>
        <w:divId w:val="838273796"/>
        <w:rPr>
          <w:rFonts w:eastAsia="Times New Roman"/>
          <w:sz w:val="20"/>
          <w:szCs w:val="20"/>
        </w:rPr>
      </w:pPr>
      <w:r>
        <w:rPr>
          <w:rFonts w:eastAsia="Times New Roman"/>
          <w:i/>
          <w:iCs/>
          <w:sz w:val="20"/>
          <w:szCs w:val="20"/>
        </w:rPr>
        <w:t>Forfeiture Rate</w:t>
      </w:r>
      <w:r>
        <w:rPr>
          <w:rFonts w:eastAsia="Times New Roman"/>
          <w:i/>
          <w:iCs/>
          <w:sz w:val="20"/>
          <w:szCs w:val="20"/>
        </w:rPr>
        <w:t>.</w:t>
      </w:r>
      <w:r>
        <w:rPr>
          <w:rFonts w:eastAsia="Times New Roman"/>
          <w:sz w:val="20"/>
          <w:szCs w:val="20"/>
        </w:rPr>
        <w:t xml:space="preserve"> The Company accounts for forfeitures as they occur</w:t>
      </w:r>
      <w:r>
        <w:rPr>
          <w:rFonts w:eastAsia="Times New Roman"/>
          <w:sz w:val="20"/>
          <w:szCs w:val="20"/>
        </w:rPr>
        <w:t>.</w:t>
      </w:r>
    </w:p>
    <w:p w:rsidR="00000000" w:rsidRDefault="00477EE8">
      <w:pPr>
        <w:pStyle w:val="a3"/>
        <w:spacing w:before="360" w:beforeAutospacing="0" w:after="0" w:afterAutospacing="0"/>
        <w:divId w:val="1546024201"/>
        <w:rPr>
          <w:sz w:val="20"/>
          <w:szCs w:val="20"/>
        </w:rPr>
      </w:pPr>
      <w:r>
        <w:rPr>
          <w:i/>
          <w:iCs/>
          <w:sz w:val="20"/>
          <w:szCs w:val="20"/>
        </w:rPr>
        <w:t>Awards to Employee</w:t>
      </w:r>
      <w:r>
        <w:rPr>
          <w:i/>
          <w:iCs/>
          <w:sz w:val="20"/>
          <w:szCs w:val="20"/>
        </w:rPr>
        <w:t>s</w:t>
      </w:r>
    </w:p>
    <w:p w:rsidR="00000000" w:rsidRDefault="00477EE8">
      <w:pPr>
        <w:pStyle w:val="a3"/>
        <w:spacing w:before="120" w:beforeAutospacing="0" w:after="0" w:afterAutospacing="0"/>
        <w:ind w:firstLine="555"/>
        <w:divId w:val="99761952"/>
        <w:rPr>
          <w:sz w:val="20"/>
          <w:szCs w:val="20"/>
        </w:rPr>
      </w:pPr>
      <w:r>
        <w:rPr>
          <w:sz w:val="20"/>
          <w:szCs w:val="20"/>
        </w:rPr>
        <w:t xml:space="preserve">The table below sets forth the weighted-average assumptions used in the Black-Scholes option-pricing model to estimate the fair value of options to acquire shares of the Company’s common stock granted to employees during the years ended December 31, 2022, </w:t>
      </w:r>
      <w:r>
        <w:rPr>
          <w:sz w:val="20"/>
          <w:szCs w:val="20"/>
        </w:rPr>
        <w:t>2021 and 2020</w:t>
      </w:r>
      <w:r>
        <w:rPr>
          <w:sz w:val="20"/>
          <w:szCs w:val="20"/>
        </w:rPr>
        <w:t>.</w:t>
      </w:r>
    </w:p>
    <w:p w:rsidR="00000000" w:rsidRDefault="00477EE8">
      <w:pPr>
        <w:pStyle w:val="a3"/>
        <w:spacing w:before="0" w:beforeAutospacing="0" w:after="0" w:afterAutospacing="0"/>
        <w:divId w:val="99761952"/>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38"/>
        <w:gridCol w:w="110"/>
        <w:gridCol w:w="1062"/>
        <w:gridCol w:w="227"/>
        <w:gridCol w:w="110"/>
        <w:gridCol w:w="110"/>
        <w:gridCol w:w="1031"/>
        <w:gridCol w:w="227"/>
        <w:gridCol w:w="110"/>
        <w:gridCol w:w="110"/>
        <w:gridCol w:w="1029"/>
        <w:gridCol w:w="242"/>
      </w:tblGrid>
      <w:tr w:rsidR="00000000">
        <w:trPr>
          <w:divId w:val="99761952"/>
          <w:tblCellSpacing w:w="15" w:type="dxa"/>
        </w:trPr>
        <w:tc>
          <w:tcPr>
            <w:tcW w:w="2495"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689"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1"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96"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1"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95"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divId w:val="99761952"/>
          <w:trHeight w:val="16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gridSpan w:val="10"/>
            <w:vAlign w:val="bottom"/>
            <w:hideMark/>
          </w:tcPr>
          <w:p w:rsidR="00000000" w:rsidRDefault="00477EE8">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99761952"/>
          <w:trHeight w:val="16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hideMark/>
          </w:tcPr>
          <w:p w:rsidR="00000000" w:rsidRDefault="00477EE8">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hideMark/>
          </w:tcPr>
          <w:p w:rsidR="00000000" w:rsidRDefault="00477EE8">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99761952"/>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Expected term (in years</w:t>
            </w: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99761952"/>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Risk-free interest rate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0.</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99761952"/>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Dividend yiel</w:t>
            </w:r>
            <w:r>
              <w:rPr>
                <w:sz w:val="20"/>
                <w:szCs w:val="20"/>
              </w:rPr>
              <w:t>d</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99761952"/>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Expected volatilit</w:t>
            </w:r>
            <w:r>
              <w:rPr>
                <w:sz w:val="20"/>
                <w:szCs w:val="20"/>
              </w:rPr>
              <w:t>y</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88.</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94.</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87.</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bl>
    <w:p w:rsidR="00000000" w:rsidRDefault="00477EE8">
      <w:pPr>
        <w:pStyle w:val="a3"/>
        <w:spacing w:before="0" w:beforeAutospacing="0" w:after="0" w:afterAutospacing="0"/>
        <w:divId w:val="99761952"/>
        <w:rPr>
          <w:sz w:val="20"/>
          <w:szCs w:val="20"/>
        </w:rPr>
      </w:pPr>
      <w:r>
        <w:rPr>
          <w:sz w:val="20"/>
          <w:szCs w:val="20"/>
        </w:rPr>
        <w:t> </w:t>
      </w:r>
    </w:p>
    <w:p w:rsidR="00000000" w:rsidRDefault="00477EE8">
      <w:pPr>
        <w:pStyle w:val="a3"/>
        <w:spacing w:before="240" w:beforeAutospacing="0" w:after="0" w:afterAutospacing="0"/>
        <w:jc w:val="center"/>
        <w:divId w:val="99761952"/>
        <w:rPr>
          <w:sz w:val="20"/>
          <w:szCs w:val="20"/>
        </w:rPr>
      </w:pPr>
      <w:r>
        <w:rPr>
          <w:sz w:val="20"/>
          <w:szCs w:val="20"/>
        </w:rPr>
        <w:t>F</w:t>
      </w:r>
      <w:r>
        <w:rPr>
          <w:sz w:val="20"/>
          <w:szCs w:val="20"/>
        </w:rPr>
        <w:t>-</w:t>
      </w:r>
      <w:r>
        <w:rPr>
          <w:sz w:val="20"/>
          <w:szCs w:val="20"/>
        </w:rPr>
        <w:t>2</w:t>
      </w:r>
      <w:r>
        <w:rPr>
          <w:sz w:val="20"/>
          <w:szCs w:val="20"/>
        </w:rPr>
        <w:t>7</w:t>
      </w:r>
    </w:p>
    <w:p w:rsidR="00000000" w:rsidRDefault="00477EE8">
      <w:pPr>
        <w:divId w:val="99761952"/>
        <w:rPr>
          <w:rFonts w:eastAsia="Times New Roman"/>
          <w:sz w:val="20"/>
          <w:szCs w:val="20"/>
        </w:rPr>
      </w:pPr>
      <w:r>
        <w:rPr>
          <w:rFonts w:eastAsia="Times New Roman"/>
          <w:sz w:val="20"/>
          <w:szCs w:val="20"/>
        </w:rPr>
        <w:pict>
          <v:rect id="_x0000_i1138" style="width:0;height:1.5pt" o:hralign="center" o:hrstd="t" o:hr="t" fillcolor="#a0a0a0" stroked="f"/>
        </w:pict>
      </w:r>
    </w:p>
    <w:p w:rsidR="00000000" w:rsidRDefault="00477EE8">
      <w:pPr>
        <w:pStyle w:val="a3"/>
        <w:spacing w:before="360" w:beforeAutospacing="0" w:after="0" w:afterAutospacing="0"/>
        <w:divId w:val="1546024201"/>
        <w:rPr>
          <w:sz w:val="20"/>
          <w:szCs w:val="20"/>
        </w:rPr>
      </w:pPr>
      <w:r>
        <w:rPr>
          <w:b/>
          <w:bCs/>
          <w:i/>
          <w:iCs/>
          <w:sz w:val="20"/>
          <w:szCs w:val="20"/>
        </w:rPr>
        <w:t>Determination of Fair Value on Grant Date</w:t>
      </w:r>
      <w:r>
        <w:rPr>
          <w:b/>
          <w:bCs/>
          <w:i/>
          <w:iCs/>
          <w:sz w:val="20"/>
          <w:szCs w:val="20"/>
        </w:rPr>
        <w:t>s</w:t>
      </w:r>
      <w:r>
        <w:rPr>
          <w:b/>
          <w:bCs/>
          <w:i/>
          <w:iCs/>
          <w:sz w:val="20"/>
          <w:szCs w:val="20"/>
        </w:rPr>
        <w:t xml:space="preserve"> </w:t>
      </w:r>
    </w:p>
    <w:p w:rsidR="00000000" w:rsidRDefault="00477EE8">
      <w:pPr>
        <w:pStyle w:val="a3"/>
        <w:spacing w:before="120" w:beforeAutospacing="0" w:after="0" w:afterAutospacing="0"/>
        <w:ind w:firstLine="555"/>
        <w:divId w:val="1546024201"/>
        <w:rPr>
          <w:sz w:val="20"/>
          <w:szCs w:val="20"/>
        </w:rPr>
      </w:pPr>
      <w:r>
        <w:rPr>
          <w:sz w:val="20"/>
          <w:szCs w:val="20"/>
        </w:rPr>
        <w:t>The fair value of the shares of the Company’</w:t>
      </w:r>
      <w:r>
        <w:rPr>
          <w:sz w:val="20"/>
          <w:szCs w:val="20"/>
        </w:rPr>
        <w:t>s common stock underlying option and RSU awards is determined by the Company’s board of directors or the compensation committee thereof based on the closing sales price of the Company’s common stock on the date of grant as reported by the Nasdaq Global Mar</w:t>
      </w:r>
      <w:r>
        <w:rPr>
          <w:sz w:val="20"/>
          <w:szCs w:val="20"/>
        </w:rPr>
        <w:t>ket</w:t>
      </w:r>
      <w:r>
        <w:rPr>
          <w:sz w:val="20"/>
          <w:szCs w:val="20"/>
        </w:rPr>
        <w:t>.</w:t>
      </w:r>
    </w:p>
    <w:p w:rsidR="00000000" w:rsidRDefault="00477EE8">
      <w:pPr>
        <w:pStyle w:val="a3"/>
        <w:spacing w:before="360" w:beforeAutospacing="0" w:after="0" w:afterAutospacing="0"/>
        <w:divId w:val="364982780"/>
        <w:rPr>
          <w:sz w:val="20"/>
          <w:szCs w:val="20"/>
        </w:rPr>
      </w:pPr>
      <w:r>
        <w:rPr>
          <w:b/>
          <w:bCs/>
          <w:sz w:val="20"/>
          <w:szCs w:val="20"/>
        </w:rPr>
        <w:t>Note 11. Income Taxe</w:t>
      </w:r>
      <w:r>
        <w:rPr>
          <w:b/>
          <w:bCs/>
          <w:sz w:val="20"/>
          <w:szCs w:val="20"/>
        </w:rPr>
        <w:t>s</w:t>
      </w:r>
    </w:p>
    <w:p w:rsidR="00000000" w:rsidRDefault="00477EE8">
      <w:pPr>
        <w:pStyle w:val="a3"/>
        <w:spacing w:before="120" w:beforeAutospacing="0" w:after="0" w:afterAutospacing="0"/>
        <w:ind w:firstLine="555"/>
        <w:divId w:val="364982780"/>
        <w:rPr>
          <w:sz w:val="20"/>
          <w:szCs w:val="20"/>
        </w:rPr>
      </w:pPr>
      <w:r>
        <w:rPr>
          <w:sz w:val="20"/>
          <w:szCs w:val="20"/>
        </w:rPr>
        <w:t>Provision for income taxes consists of U.S. federal and state income taxes. A deferred tax liability is recognized for all taxable temporary differences, and a deferred tax asset is recognized for all deductible temporary differe</w:t>
      </w:r>
      <w:r>
        <w:rPr>
          <w:sz w:val="20"/>
          <w:szCs w:val="20"/>
        </w:rPr>
        <w:t>nces, operating losses and tax credit carryforwards. A valuation allowance is provided when it is more likely than not that some portion or all of a deferred tax asset will not be realized</w:t>
      </w:r>
      <w:r>
        <w:rPr>
          <w:sz w:val="20"/>
          <w:szCs w:val="20"/>
        </w:rPr>
        <w:t>.</w:t>
      </w:r>
    </w:p>
    <w:p w:rsidR="00000000" w:rsidRDefault="00477EE8">
      <w:pPr>
        <w:pStyle w:val="a3"/>
        <w:spacing w:before="240" w:beforeAutospacing="0" w:after="0" w:afterAutospacing="0"/>
        <w:ind w:firstLine="555"/>
        <w:divId w:val="1781338086"/>
        <w:rPr>
          <w:sz w:val="20"/>
          <w:szCs w:val="20"/>
        </w:rPr>
      </w:pPr>
      <w:r>
        <w:rPr>
          <w:sz w:val="20"/>
          <w:szCs w:val="20"/>
        </w:rPr>
        <w:t xml:space="preserve">The following table summarizes income (loss) before income taxes, </w:t>
      </w:r>
      <w:r>
        <w:rPr>
          <w:sz w:val="20"/>
          <w:szCs w:val="20"/>
        </w:rPr>
        <w:t>equity loss in investee and gain (loss) on equity-method investments</w:t>
      </w:r>
      <w:r>
        <w:rPr>
          <w:sz w:val="20"/>
          <w:szCs w:val="20"/>
        </w:rPr>
        <w:t>:</w:t>
      </w:r>
    </w:p>
    <w:p w:rsidR="00000000" w:rsidRDefault="00477EE8">
      <w:pPr>
        <w:pStyle w:val="a3"/>
        <w:spacing w:before="0" w:beforeAutospacing="0" w:after="0" w:afterAutospacing="0"/>
        <w:ind w:firstLine="555"/>
        <w:divId w:val="1781338086"/>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48"/>
        <w:gridCol w:w="160"/>
        <w:gridCol w:w="1007"/>
        <w:gridCol w:w="127"/>
        <w:gridCol w:w="120"/>
        <w:gridCol w:w="160"/>
        <w:gridCol w:w="1007"/>
        <w:gridCol w:w="127"/>
        <w:gridCol w:w="121"/>
        <w:gridCol w:w="160"/>
        <w:gridCol w:w="1027"/>
        <w:gridCol w:w="142"/>
      </w:tblGrid>
      <w:tr w:rsidR="00000000">
        <w:trPr>
          <w:divId w:val="1781338086"/>
          <w:tblCellSpacing w:w="15" w:type="dxa"/>
        </w:trPr>
        <w:tc>
          <w:tcPr>
            <w:tcW w:w="2612"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638"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79"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38"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79"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50"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divId w:val="1781338086"/>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10"/>
            <w:vAlign w:val="bottom"/>
            <w:hideMark/>
          </w:tcPr>
          <w:p w:rsidR="00000000" w:rsidRDefault="00477EE8">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781338086"/>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781338086"/>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10"/>
            <w:vAlign w:val="bottom"/>
            <w:hideMark/>
          </w:tcPr>
          <w:p w:rsidR="00000000" w:rsidRDefault="00477EE8">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781338086"/>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U.S. income before income taxes, equity loss in investee and gain (loss) on equity-method investment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189,40</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681,40</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291,73</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781338086"/>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Foreign loss before income taxes, equity loss in investee and gain (loss) on equity-method investment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5,38</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4,10</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5</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1781338086"/>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Income before income taxes, equity loss in investee and gain (loss) on equity-method investment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184,02</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677,30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291,68</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240" w:beforeAutospacing="0" w:after="0" w:afterAutospacing="0"/>
        <w:ind w:firstLine="555"/>
        <w:divId w:val="1258904894"/>
        <w:rPr>
          <w:sz w:val="20"/>
          <w:szCs w:val="20"/>
        </w:rPr>
      </w:pPr>
      <w:r>
        <w:rPr>
          <w:sz w:val="20"/>
          <w:szCs w:val="20"/>
        </w:rPr>
        <w:t>Income tax expense consisted of the following</w:t>
      </w:r>
      <w:r>
        <w:rPr>
          <w:sz w:val="20"/>
          <w:szCs w:val="20"/>
        </w:rPr>
        <w:t>:</w:t>
      </w:r>
    </w:p>
    <w:p w:rsidR="00000000" w:rsidRDefault="00477EE8">
      <w:pPr>
        <w:pStyle w:val="a3"/>
        <w:spacing w:before="0" w:beforeAutospacing="0" w:after="0" w:afterAutospacing="0"/>
        <w:ind w:firstLine="555"/>
        <w:divId w:val="1258904894"/>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0"/>
        <w:gridCol w:w="160"/>
        <w:gridCol w:w="1006"/>
        <w:gridCol w:w="127"/>
        <w:gridCol w:w="124"/>
        <w:gridCol w:w="160"/>
        <w:gridCol w:w="1006"/>
        <w:gridCol w:w="127"/>
        <w:gridCol w:w="124"/>
        <w:gridCol w:w="160"/>
        <w:gridCol w:w="1020"/>
        <w:gridCol w:w="142"/>
      </w:tblGrid>
      <w:tr w:rsidR="00000000">
        <w:trPr>
          <w:divId w:val="1258904894"/>
          <w:tblCellSpacing w:w="15" w:type="dxa"/>
        </w:trPr>
        <w:tc>
          <w:tcPr>
            <w:tcW w:w="2614"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638"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81"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38"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81"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47"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divId w:val="1258904894"/>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10"/>
            <w:vAlign w:val="bottom"/>
            <w:hideMark/>
          </w:tcPr>
          <w:p w:rsidR="00000000" w:rsidRDefault="00477EE8">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258904894"/>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258904894"/>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10"/>
            <w:vAlign w:val="bottom"/>
            <w:hideMark/>
          </w:tcPr>
          <w:p w:rsidR="00000000" w:rsidRDefault="00477EE8">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258904894"/>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b/>
                <w:bCs/>
                <w:sz w:val="20"/>
                <w:szCs w:val="20"/>
              </w:rPr>
              <w:t>Current</w:t>
            </w:r>
            <w:r>
              <w:rPr>
                <w:b/>
                <w:bCs/>
                <w:sz w:val="20"/>
                <w:szCs w:val="20"/>
              </w:rPr>
              <w:t>:</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58904894"/>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Federa</w:t>
            </w:r>
            <w:r>
              <w:rPr>
                <w:sz w:val="20"/>
                <w:szCs w:val="20"/>
              </w:rPr>
              <w:t>l</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31,14</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131,90</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53,79</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58904894"/>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Stat</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19,24</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51,07</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20,51</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58904894"/>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b/>
                <w:bCs/>
                <w:sz w:val="20"/>
                <w:szCs w:val="20"/>
              </w:rPr>
              <w:t>Total Curren</w:t>
            </w:r>
            <w:r>
              <w:rPr>
                <w:b/>
                <w:bCs/>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50,38</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182,98</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74,30</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58904894"/>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b/>
                <w:bCs/>
                <w:sz w:val="20"/>
                <w:szCs w:val="20"/>
              </w:rPr>
              <w:t>Deferred</w:t>
            </w:r>
            <w:r>
              <w:rPr>
                <w:b/>
                <w:bCs/>
                <w:sz w:val="20"/>
                <w:szCs w:val="20"/>
              </w:rPr>
              <w:t>:</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58904894"/>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Federa</w:t>
            </w:r>
            <w:r>
              <w:rPr>
                <w:sz w:val="20"/>
                <w:szCs w:val="20"/>
              </w:rPr>
              <w:t>l</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3,76</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7,47</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24</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1258904894"/>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Stat</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4,51</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71</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1</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1258904894"/>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Foreig</w:t>
            </w:r>
            <w:r>
              <w:rPr>
                <w:sz w:val="20"/>
                <w:szCs w:val="20"/>
              </w:rPr>
              <w:t>n</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22</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66</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58904894"/>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Change in valuation allowanc</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22</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66</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1,51</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1258904894"/>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b/>
                <w:bCs/>
                <w:sz w:val="20"/>
                <w:szCs w:val="20"/>
              </w:rPr>
              <w:t>Total Deferre</w:t>
            </w:r>
            <w:r>
              <w:rPr>
                <w:b/>
                <w:bCs/>
                <w:sz w:val="20"/>
                <w:szCs w:val="20"/>
              </w:rPr>
              <w:t>d</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8,28</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8,18</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1,77</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1258904894"/>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Total income tax expens</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42,10</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174,79</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72,53</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240" w:beforeAutospacing="0" w:after="0" w:afterAutospacing="0"/>
        <w:ind w:firstLine="555"/>
        <w:divId w:val="1398437579"/>
        <w:rPr>
          <w:sz w:val="20"/>
          <w:szCs w:val="20"/>
        </w:rPr>
      </w:pPr>
      <w:r>
        <w:rPr>
          <w:sz w:val="20"/>
          <w:szCs w:val="20"/>
        </w:rPr>
        <w:t>Reconciliation of the difference between the federal statutory income tax rate and the effective income tax rate is as follows</w:t>
      </w:r>
      <w:r>
        <w:rPr>
          <w:sz w:val="20"/>
          <w:szCs w:val="20"/>
        </w:rPr>
        <w:t>:</w:t>
      </w:r>
    </w:p>
    <w:p w:rsidR="00000000" w:rsidRDefault="00477EE8">
      <w:pPr>
        <w:pStyle w:val="a3"/>
        <w:spacing w:before="0" w:beforeAutospacing="0" w:after="0" w:afterAutospacing="0"/>
        <w:ind w:firstLine="555"/>
        <w:divId w:val="139843757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12"/>
        <w:gridCol w:w="110"/>
        <w:gridCol w:w="1016"/>
        <w:gridCol w:w="227"/>
        <w:gridCol w:w="110"/>
        <w:gridCol w:w="110"/>
        <w:gridCol w:w="967"/>
        <w:gridCol w:w="227"/>
        <w:gridCol w:w="110"/>
        <w:gridCol w:w="110"/>
        <w:gridCol w:w="965"/>
        <w:gridCol w:w="242"/>
      </w:tblGrid>
      <w:tr w:rsidR="00000000">
        <w:trPr>
          <w:divId w:val="1398437579"/>
          <w:tblCellSpacing w:w="15" w:type="dxa"/>
        </w:trPr>
        <w:tc>
          <w:tcPr>
            <w:tcW w:w="2605"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660"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7"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60"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7"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59"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divId w:val="1398437579"/>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10"/>
            <w:vAlign w:val="bottom"/>
            <w:hideMark/>
          </w:tcPr>
          <w:p w:rsidR="00000000" w:rsidRDefault="00477EE8">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398437579"/>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398437579"/>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Tax provision at federal statutory rat</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21.0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21.0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21.0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1398437579"/>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State taxe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7.0</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5.9</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5.6</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1398437579"/>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Uncertain tax position</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0.9</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0.0</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0.1</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1398437579"/>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Stock based compensatio</w:t>
            </w:r>
            <w:r>
              <w:rPr>
                <w:sz w:val="20"/>
                <w:szCs w:val="20"/>
              </w:rPr>
              <w:t>n</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1.1</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1.9</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0.9</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1398437579"/>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Return to provisio</w:t>
            </w:r>
            <w:r>
              <w:rPr>
                <w:sz w:val="20"/>
                <w:szCs w:val="20"/>
              </w:rPr>
              <w:t>n</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3.9</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0.1</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0.1</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1398437579"/>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Other permanent difference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1.3</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1.0</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0.0</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1398437579"/>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Research &amp; development credi</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2.9</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0.3</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0.4</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1398437579"/>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Othe</w:t>
            </w:r>
            <w:r>
              <w:rPr>
                <w:sz w:val="20"/>
                <w:szCs w:val="20"/>
              </w:rPr>
              <w:t>r</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0.3</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0.1</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0.0</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1398437579"/>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Change in valuation allowanc</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0.1</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0.1</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0.5</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1398437579"/>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Effective tax rat</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22.7</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25.7</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24.8</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bl>
    <w:p w:rsidR="00000000" w:rsidRDefault="00477EE8">
      <w:pPr>
        <w:pStyle w:val="a3"/>
        <w:spacing w:before="0" w:beforeAutospacing="0" w:after="0" w:afterAutospacing="0"/>
        <w:divId w:val="364982780"/>
        <w:rPr>
          <w:sz w:val="20"/>
          <w:szCs w:val="20"/>
        </w:rPr>
      </w:pPr>
      <w:r>
        <w:rPr>
          <w:sz w:val="20"/>
          <w:szCs w:val="20"/>
        </w:rPr>
        <w:t> </w:t>
      </w:r>
    </w:p>
    <w:p w:rsidR="00000000" w:rsidRDefault="00477EE8">
      <w:pPr>
        <w:pStyle w:val="a3"/>
        <w:spacing w:before="240" w:beforeAutospacing="0" w:after="0" w:afterAutospacing="0"/>
        <w:jc w:val="center"/>
        <w:divId w:val="364982780"/>
        <w:rPr>
          <w:sz w:val="20"/>
          <w:szCs w:val="20"/>
        </w:rPr>
      </w:pPr>
      <w:r>
        <w:rPr>
          <w:sz w:val="20"/>
          <w:szCs w:val="20"/>
        </w:rPr>
        <w:t>F</w:t>
      </w:r>
      <w:r>
        <w:rPr>
          <w:sz w:val="20"/>
          <w:szCs w:val="20"/>
        </w:rPr>
        <w:t>-</w:t>
      </w:r>
      <w:r>
        <w:rPr>
          <w:sz w:val="20"/>
          <w:szCs w:val="20"/>
        </w:rPr>
        <w:t>2</w:t>
      </w:r>
      <w:r>
        <w:rPr>
          <w:sz w:val="20"/>
          <w:szCs w:val="20"/>
        </w:rPr>
        <w:t>8</w:t>
      </w:r>
    </w:p>
    <w:p w:rsidR="00000000" w:rsidRDefault="00477EE8">
      <w:pPr>
        <w:divId w:val="364982780"/>
        <w:rPr>
          <w:rFonts w:eastAsia="Times New Roman"/>
          <w:sz w:val="20"/>
          <w:szCs w:val="20"/>
        </w:rPr>
      </w:pPr>
      <w:r>
        <w:rPr>
          <w:rFonts w:eastAsia="Times New Roman"/>
          <w:sz w:val="20"/>
          <w:szCs w:val="20"/>
        </w:rPr>
        <w:pict>
          <v:rect id="_x0000_i1139" style="width:0;height:1.5pt" o:hralign="center" o:hrstd="t" o:hr="t" fillcolor="#a0a0a0" stroked="f"/>
        </w:pict>
      </w:r>
    </w:p>
    <w:p w:rsidR="00000000" w:rsidRDefault="00477EE8">
      <w:pPr>
        <w:pStyle w:val="a3"/>
        <w:spacing w:before="240" w:beforeAutospacing="0" w:after="0" w:afterAutospacing="0"/>
        <w:ind w:firstLine="555"/>
        <w:divId w:val="2031644830"/>
        <w:rPr>
          <w:sz w:val="20"/>
          <w:szCs w:val="20"/>
        </w:rPr>
      </w:pPr>
      <w:r>
        <w:rPr>
          <w:sz w:val="20"/>
          <w:szCs w:val="20"/>
        </w:rPr>
        <w:t>The following table summarizes the elements of the deferred tax assets (liabilities). Net deferred tax assets are included in other long-term assets in the Consolidated Balance Sheets</w:t>
      </w:r>
      <w:r>
        <w:rPr>
          <w:sz w:val="20"/>
          <w:szCs w:val="20"/>
        </w:rPr>
        <w:t>.</w:t>
      </w:r>
    </w:p>
    <w:p w:rsidR="00000000" w:rsidRDefault="00477EE8">
      <w:pPr>
        <w:pStyle w:val="a3"/>
        <w:spacing w:before="0" w:beforeAutospacing="0" w:after="0" w:afterAutospacing="0"/>
        <w:ind w:firstLine="555"/>
        <w:divId w:val="203164483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7"/>
        <w:gridCol w:w="160"/>
        <w:gridCol w:w="1255"/>
        <w:gridCol w:w="127"/>
        <w:gridCol w:w="153"/>
        <w:gridCol w:w="160"/>
        <w:gridCol w:w="1272"/>
        <w:gridCol w:w="142"/>
      </w:tblGrid>
      <w:tr w:rsidR="00000000">
        <w:trPr>
          <w:divId w:val="2031644830"/>
          <w:tblCellSpacing w:w="15" w:type="dxa"/>
        </w:trPr>
        <w:tc>
          <w:tcPr>
            <w:tcW w:w="3126"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783"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97"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793"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divId w:val="2031644830"/>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477EE8">
            <w:pPr>
              <w:pStyle w:val="a3"/>
              <w:spacing w:before="0" w:beforeAutospacing="0" w:after="0" w:afterAutospacing="0"/>
              <w:jc w:val="center"/>
              <w:rPr>
                <w:sz w:val="16"/>
                <w:szCs w:val="16"/>
              </w:rPr>
            </w:pPr>
            <w:r>
              <w:rPr>
                <w:b/>
                <w:bCs/>
                <w:sz w:val="16"/>
                <w:szCs w:val="16"/>
              </w:rPr>
              <w:t>As of December 31</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2031644830"/>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2031644830"/>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477EE8">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2031644830"/>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b/>
                <w:bCs/>
                <w:sz w:val="20"/>
                <w:szCs w:val="20"/>
              </w:rPr>
              <w:t>Deferred tax asset</w:t>
            </w:r>
            <w:r>
              <w:rPr>
                <w:b/>
                <w:bCs/>
                <w:sz w:val="20"/>
                <w:szCs w:val="20"/>
              </w:rPr>
              <w:t>s</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31644830"/>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Accrued vacation and other accrued expense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1,48</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1,48</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31644830"/>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Provision for credit losse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10,25</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2,75</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31644830"/>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Net operating losse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16,34</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19</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31644830"/>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Stock based compensatio</w:t>
            </w:r>
            <w:r>
              <w:rPr>
                <w:sz w:val="20"/>
                <w:szCs w:val="20"/>
              </w:rPr>
              <w:t>n</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2,55</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1,73</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31644830"/>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State income taxe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4,89</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10,99</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31644830"/>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Excess tax basis in FF Gene Biotech net asset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2,03</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31644830"/>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Foreig</w:t>
            </w:r>
            <w:r>
              <w:rPr>
                <w:sz w:val="20"/>
                <w:szCs w:val="20"/>
              </w:rPr>
              <w:t>n</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1,80</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31644830"/>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Lease liabilit</w:t>
            </w:r>
            <w:r>
              <w:rPr>
                <w:sz w:val="20"/>
                <w:szCs w:val="20"/>
              </w:rPr>
              <w:t>y</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4,08</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1,64</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31644830"/>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Unrealized gain/loss on available-for-sale debt securitie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7,66</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43</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31644830"/>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Section 174 research &amp; experimental expenditure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6,57</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31644830"/>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Equity loss in investmen</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50</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31644830"/>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Othe</w:t>
            </w:r>
            <w:r>
              <w:rPr>
                <w:sz w:val="20"/>
                <w:szCs w:val="20"/>
              </w:rPr>
              <w:t>r</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19</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16</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31644830"/>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Gross deferred tax asset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56,58</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21,92</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31644830"/>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Less: Valuation allowanc</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2,83</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2,60</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2031644830"/>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b/>
                <w:bCs/>
                <w:sz w:val="20"/>
                <w:szCs w:val="20"/>
              </w:rPr>
              <w:t>Net deferred tax asset</w:t>
            </w:r>
            <w:r>
              <w:rPr>
                <w:b/>
                <w:bCs/>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53,75</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19,31</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31644830"/>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b/>
                <w:bCs/>
                <w:sz w:val="20"/>
                <w:szCs w:val="20"/>
              </w:rPr>
              <w:t>Deferred tax liabilitie</w:t>
            </w:r>
            <w:r>
              <w:rPr>
                <w:b/>
                <w:bCs/>
                <w:sz w:val="20"/>
                <w:szCs w:val="20"/>
              </w:rPr>
              <w:t>s</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31644830"/>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Intangible asset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39,19</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8,08</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31644830"/>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Depreciatio</w:t>
            </w:r>
            <w:r>
              <w:rPr>
                <w:sz w:val="20"/>
                <w:szCs w:val="20"/>
              </w:rPr>
              <w:t>n</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5,50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7,37</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31644830"/>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Right of use asse</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4,05</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1,64</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31644830"/>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Othe</w:t>
            </w:r>
            <w:r>
              <w:rPr>
                <w:sz w:val="20"/>
                <w:szCs w:val="20"/>
              </w:rPr>
              <w:t>r</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1,49</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1,45</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31644830"/>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Total deferred tax liabilitie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50,25</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18,55</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31644830"/>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b/>
                <w:bCs/>
                <w:sz w:val="20"/>
                <w:szCs w:val="20"/>
              </w:rPr>
              <w:t>Net deferred tax asset</w:t>
            </w:r>
            <w:r>
              <w:rPr>
                <w:b/>
                <w:bCs/>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3,50</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75</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240" w:beforeAutospacing="0" w:after="0" w:afterAutospacing="0"/>
        <w:ind w:firstLine="555"/>
        <w:divId w:val="364982780"/>
        <w:rPr>
          <w:sz w:val="20"/>
          <w:szCs w:val="20"/>
        </w:rPr>
      </w:pPr>
      <w:r>
        <w:rPr>
          <w:sz w:val="20"/>
          <w:szCs w:val="20"/>
        </w:rPr>
        <w:t xml:space="preserve">As of December 31, 2022, the Company has </w:t>
      </w:r>
      <w:r>
        <w:rPr>
          <w:sz w:val="20"/>
          <w:szCs w:val="20"/>
        </w:rPr>
        <w:t>$</w:t>
      </w:r>
      <w:r>
        <w:rPr>
          <w:sz w:val="20"/>
          <w:szCs w:val="20"/>
        </w:rPr>
        <w:t>58.</w:t>
      </w:r>
      <w:r>
        <w:rPr>
          <w:sz w:val="20"/>
          <w:szCs w:val="20"/>
        </w:rPr>
        <w:t>8</w:t>
      </w:r>
      <w:r>
        <w:rPr>
          <w:sz w:val="20"/>
          <w:szCs w:val="20"/>
        </w:rPr>
        <w:t xml:space="preserve"> millio</w:t>
      </w:r>
      <w:r>
        <w:rPr>
          <w:sz w:val="20"/>
          <w:szCs w:val="20"/>
        </w:rPr>
        <w:t>n</w:t>
      </w:r>
      <w:r>
        <w:rPr>
          <w:sz w:val="20"/>
          <w:szCs w:val="20"/>
        </w:rPr>
        <w:t xml:space="preserve"> estimated federal net operating loss, or NOL, carryforwards and estimated state NOL carryforwards of </w:t>
      </w:r>
      <w:r>
        <w:rPr>
          <w:sz w:val="20"/>
          <w:szCs w:val="20"/>
        </w:rPr>
        <w:t>$</w:t>
      </w:r>
      <w:r>
        <w:rPr>
          <w:sz w:val="20"/>
          <w:szCs w:val="20"/>
        </w:rPr>
        <w:t>66.</w:t>
      </w:r>
      <w:r>
        <w:rPr>
          <w:sz w:val="20"/>
          <w:szCs w:val="20"/>
        </w:rPr>
        <w:t>0</w:t>
      </w:r>
      <w:r>
        <w:rPr>
          <w:sz w:val="20"/>
          <w:szCs w:val="20"/>
        </w:rPr>
        <w:t xml:space="preserve"> millio</w:t>
      </w:r>
      <w:r>
        <w:rPr>
          <w:sz w:val="20"/>
          <w:szCs w:val="20"/>
        </w:rPr>
        <w:t>n</w:t>
      </w:r>
      <w:r>
        <w:rPr>
          <w:sz w:val="20"/>
          <w:szCs w:val="20"/>
        </w:rPr>
        <w:t>. The Company’s state NOLs are scheduled to begin expiring in</w:t>
      </w:r>
      <w:r>
        <w:rPr>
          <w:sz w:val="20"/>
          <w:szCs w:val="20"/>
        </w:rPr>
        <w:t xml:space="preserve"> </w:t>
      </w:r>
      <w:r>
        <w:rPr>
          <w:sz w:val="20"/>
          <w:szCs w:val="20"/>
        </w:rPr>
        <w:t>203</w:t>
      </w:r>
      <w:r>
        <w:rPr>
          <w:sz w:val="20"/>
          <w:szCs w:val="20"/>
        </w:rPr>
        <w:t>7</w:t>
      </w:r>
      <w:r>
        <w:rPr>
          <w:sz w:val="20"/>
          <w:szCs w:val="20"/>
        </w:rPr>
        <w:t>. The Company also ha</w:t>
      </w:r>
      <w:r>
        <w:rPr>
          <w:sz w:val="20"/>
          <w:szCs w:val="20"/>
        </w:rPr>
        <w:t xml:space="preserve">s foreign NOL carryforwards of </w:t>
      </w:r>
      <w:r>
        <w:rPr>
          <w:sz w:val="20"/>
          <w:szCs w:val="20"/>
        </w:rPr>
        <w:t>$</w:t>
      </w:r>
      <w:r>
        <w:rPr>
          <w:sz w:val="20"/>
          <w:szCs w:val="20"/>
        </w:rPr>
        <w:t>13.</w:t>
      </w:r>
      <w:r>
        <w:rPr>
          <w:sz w:val="20"/>
          <w:szCs w:val="20"/>
        </w:rPr>
        <w:t>8</w:t>
      </w:r>
      <w:r>
        <w:rPr>
          <w:sz w:val="20"/>
          <w:szCs w:val="20"/>
        </w:rPr>
        <w:t xml:space="preserve"> millio</w:t>
      </w:r>
      <w:r>
        <w:rPr>
          <w:sz w:val="20"/>
          <w:szCs w:val="20"/>
        </w:rPr>
        <w:t>n</w:t>
      </w:r>
      <w:r>
        <w:rPr>
          <w:sz w:val="20"/>
          <w:szCs w:val="20"/>
        </w:rPr>
        <w:t xml:space="preserve"> which are scheduled to expire from</w:t>
      </w:r>
      <w:r>
        <w:rPr>
          <w:sz w:val="20"/>
          <w:szCs w:val="20"/>
        </w:rPr>
        <w:t xml:space="preserve"> </w:t>
      </w:r>
      <w:r>
        <w:rPr>
          <w:sz w:val="20"/>
          <w:szCs w:val="20"/>
        </w:rPr>
        <w:t>202</w:t>
      </w:r>
      <w:r>
        <w:rPr>
          <w:sz w:val="20"/>
          <w:szCs w:val="20"/>
        </w:rPr>
        <w:t>3</w:t>
      </w:r>
      <w:r>
        <w:rPr>
          <w:sz w:val="20"/>
          <w:szCs w:val="20"/>
        </w:rPr>
        <w:t xml:space="preserve"> through</w:t>
      </w:r>
      <w:r>
        <w:rPr>
          <w:sz w:val="20"/>
          <w:szCs w:val="20"/>
        </w:rPr>
        <w:t xml:space="preserve"> </w:t>
      </w:r>
      <w:r>
        <w:rPr>
          <w:sz w:val="20"/>
          <w:szCs w:val="20"/>
        </w:rPr>
        <w:t>202</w:t>
      </w:r>
      <w:r>
        <w:rPr>
          <w:sz w:val="20"/>
          <w:szCs w:val="20"/>
        </w:rPr>
        <w:t>7</w:t>
      </w:r>
      <w:r>
        <w:rPr>
          <w:sz w:val="20"/>
          <w:szCs w:val="20"/>
        </w:rPr>
        <w:t>.</w:t>
      </w:r>
    </w:p>
    <w:p w:rsidR="00000000" w:rsidRDefault="00477EE8">
      <w:pPr>
        <w:pStyle w:val="a3"/>
        <w:spacing w:before="240" w:beforeAutospacing="0" w:after="0" w:afterAutospacing="0"/>
        <w:ind w:firstLine="555"/>
        <w:divId w:val="364982780"/>
        <w:rPr>
          <w:sz w:val="20"/>
          <w:szCs w:val="20"/>
        </w:rPr>
      </w:pPr>
      <w:r>
        <w:rPr>
          <w:sz w:val="20"/>
          <w:szCs w:val="20"/>
        </w:rPr>
        <w:t>ASC 740-10-30-5 requires that deferred income tax assets be reduced by a valuation allowance if it is more likely than not that some or all of the deferred i</w:t>
      </w:r>
      <w:r>
        <w:rPr>
          <w:sz w:val="20"/>
          <w:szCs w:val="20"/>
        </w:rPr>
        <w:t xml:space="preserve">ncome tax assets will not be realized. The Company has evaluated the realizability of its deferred tax assets and has concluded that it is more likely than not that the Company may not realize the benefit of certain deferred tax assets. These deferred tax </w:t>
      </w:r>
      <w:r>
        <w:rPr>
          <w:sz w:val="20"/>
          <w:szCs w:val="20"/>
        </w:rPr>
        <w:t xml:space="preserve">assets consist primarily of equity losses in joint ventures and foreign net operating loss carryforwards; accordingly, a valuation allowance of </w:t>
      </w:r>
      <w:r>
        <w:rPr>
          <w:sz w:val="20"/>
          <w:szCs w:val="20"/>
        </w:rPr>
        <w:t>$</w:t>
      </w:r>
      <w:r>
        <w:rPr>
          <w:sz w:val="20"/>
          <w:szCs w:val="20"/>
        </w:rPr>
        <w:t>2.</w:t>
      </w:r>
      <w:r>
        <w:rPr>
          <w:sz w:val="20"/>
          <w:szCs w:val="20"/>
        </w:rPr>
        <w:t>8</w:t>
      </w:r>
      <w:r>
        <w:rPr>
          <w:sz w:val="20"/>
          <w:szCs w:val="20"/>
        </w:rPr>
        <w:t xml:space="preserve"> millio</w:t>
      </w:r>
      <w:r>
        <w:rPr>
          <w:sz w:val="20"/>
          <w:szCs w:val="20"/>
        </w:rPr>
        <w:t>n</w:t>
      </w:r>
      <w:r>
        <w:rPr>
          <w:sz w:val="20"/>
          <w:szCs w:val="20"/>
        </w:rPr>
        <w:t xml:space="preserve"> and </w:t>
      </w:r>
      <w:r>
        <w:rPr>
          <w:sz w:val="20"/>
          <w:szCs w:val="20"/>
        </w:rPr>
        <w:t>$</w:t>
      </w:r>
      <w:r>
        <w:rPr>
          <w:sz w:val="20"/>
          <w:szCs w:val="20"/>
        </w:rPr>
        <w:t>2.</w:t>
      </w:r>
      <w:r>
        <w:rPr>
          <w:sz w:val="20"/>
          <w:szCs w:val="20"/>
        </w:rPr>
        <w:t>6</w:t>
      </w:r>
      <w:r>
        <w:rPr>
          <w:sz w:val="20"/>
          <w:szCs w:val="20"/>
        </w:rPr>
        <w:t xml:space="preserve"> million has been recorded on these deferred tax assets as of December 31, 2022 and 2021. T</w:t>
      </w:r>
      <w:r>
        <w:rPr>
          <w:sz w:val="20"/>
          <w:szCs w:val="20"/>
        </w:rPr>
        <w:t xml:space="preserve">he increase in the valuation allowance of </w:t>
      </w:r>
      <w:r>
        <w:rPr>
          <w:sz w:val="20"/>
          <w:szCs w:val="20"/>
        </w:rPr>
        <w:t>$</w:t>
      </w:r>
      <w:r>
        <w:rPr>
          <w:sz w:val="20"/>
          <w:szCs w:val="20"/>
        </w:rPr>
        <w:t>224,00</w:t>
      </w:r>
      <w:r>
        <w:rPr>
          <w:sz w:val="20"/>
          <w:szCs w:val="20"/>
        </w:rPr>
        <w:t>0</w:t>
      </w:r>
      <w:r>
        <w:rPr>
          <w:sz w:val="20"/>
          <w:szCs w:val="20"/>
        </w:rPr>
        <w:t xml:space="preserve"> for the years ended December 31, 2022 was primarily due to an increase in foreign deferred tax assets that are more likely than not to expire unrealized</w:t>
      </w:r>
      <w:r>
        <w:rPr>
          <w:sz w:val="20"/>
          <w:szCs w:val="20"/>
        </w:rPr>
        <w:t>.</w:t>
      </w:r>
    </w:p>
    <w:p w:rsidR="00000000" w:rsidRDefault="00477EE8">
      <w:pPr>
        <w:pStyle w:val="a3"/>
        <w:spacing w:before="240" w:beforeAutospacing="0" w:after="0" w:afterAutospacing="0"/>
        <w:ind w:firstLine="555"/>
        <w:divId w:val="364982780"/>
        <w:rPr>
          <w:sz w:val="20"/>
          <w:szCs w:val="20"/>
        </w:rPr>
      </w:pPr>
      <w:r>
        <w:rPr>
          <w:sz w:val="20"/>
          <w:szCs w:val="20"/>
        </w:rPr>
        <w:t>During 2020, the Company recorded a deferred tax asset related to the impairment of its investment in BostonMolecules, Inc. When realized, the asset will generate a capital loss which may only be used to offset capital gain income; therefore, the Company h</w:t>
      </w:r>
      <w:r>
        <w:rPr>
          <w:sz w:val="20"/>
          <w:szCs w:val="20"/>
        </w:rPr>
        <w:t>as recorded a full valuation allowance against this asset</w:t>
      </w:r>
      <w:r>
        <w:rPr>
          <w:sz w:val="20"/>
          <w:szCs w:val="20"/>
        </w:rPr>
        <w:t>.</w:t>
      </w:r>
    </w:p>
    <w:p w:rsidR="00000000" w:rsidRDefault="00477EE8">
      <w:pPr>
        <w:pStyle w:val="a3"/>
        <w:spacing w:before="360" w:beforeAutospacing="0" w:after="0" w:afterAutospacing="0"/>
        <w:divId w:val="364982780"/>
        <w:rPr>
          <w:sz w:val="20"/>
          <w:szCs w:val="20"/>
        </w:rPr>
      </w:pPr>
      <w:r>
        <w:rPr>
          <w:b/>
          <w:bCs/>
          <w:i/>
          <w:iCs/>
          <w:sz w:val="20"/>
          <w:szCs w:val="20"/>
        </w:rPr>
        <w:t>Uncertain Tax Position</w:t>
      </w:r>
      <w:r>
        <w:rPr>
          <w:b/>
          <w:bCs/>
          <w:i/>
          <w:iCs/>
          <w:sz w:val="20"/>
          <w:szCs w:val="20"/>
        </w:rPr>
        <w:t>s</w:t>
      </w:r>
    </w:p>
    <w:p w:rsidR="00000000" w:rsidRDefault="00477EE8">
      <w:pPr>
        <w:pStyle w:val="a3"/>
        <w:spacing w:before="120" w:beforeAutospacing="0" w:after="0" w:afterAutospacing="0"/>
        <w:ind w:firstLine="555"/>
        <w:divId w:val="364982780"/>
        <w:rPr>
          <w:sz w:val="20"/>
          <w:szCs w:val="20"/>
        </w:rPr>
      </w:pPr>
      <w:r>
        <w:rPr>
          <w:sz w:val="20"/>
          <w:szCs w:val="20"/>
        </w:rPr>
        <w:t>The Company is subject to income taxation by the United States government and certain states in which the Company's activities give rise to an income tax filing requirement.</w:t>
      </w:r>
      <w:r>
        <w:rPr>
          <w:sz w:val="20"/>
          <w:szCs w:val="20"/>
        </w:rPr>
        <w:t xml:space="preserve"> The Company does not have any significant income tax filing requirements in any foreign jurisdiction. As of December 31, 2022, there were no pending tax audits in any jurisdiction. The tax returns are subject to statutes of limitations that vary by jurisd</w:t>
      </w:r>
      <w:r>
        <w:rPr>
          <w:sz w:val="20"/>
          <w:szCs w:val="20"/>
        </w:rPr>
        <w:t>iction. At December 31, 2022, the Company remains subject to income tax examinations in the U.S. and various states for tax years 2019 through</w:t>
      </w:r>
      <w:r>
        <w:rPr>
          <w:sz w:val="20"/>
          <w:szCs w:val="20"/>
        </w:rPr>
        <w:t xml:space="preserve"> </w:t>
      </w:r>
      <w:r>
        <w:rPr>
          <w:sz w:val="20"/>
          <w:szCs w:val="20"/>
        </w:rPr>
        <w:t>202</w:t>
      </w:r>
      <w:r>
        <w:rPr>
          <w:sz w:val="20"/>
          <w:szCs w:val="20"/>
        </w:rPr>
        <w:t>2</w:t>
      </w:r>
      <w:r>
        <w:rPr>
          <w:sz w:val="20"/>
          <w:szCs w:val="20"/>
        </w:rPr>
        <w:t>; certain other states remain subject to examination for tax years</w:t>
      </w:r>
      <w:r>
        <w:rPr>
          <w:sz w:val="20"/>
          <w:szCs w:val="20"/>
        </w:rPr>
        <w:t xml:space="preserve"> </w:t>
      </w:r>
      <w:r>
        <w:rPr>
          <w:sz w:val="20"/>
          <w:szCs w:val="20"/>
        </w:rPr>
        <w:t>201</w:t>
      </w:r>
      <w:r>
        <w:rPr>
          <w:sz w:val="20"/>
          <w:szCs w:val="20"/>
        </w:rPr>
        <w:t>8</w:t>
      </w:r>
      <w:r>
        <w:rPr>
          <w:sz w:val="20"/>
          <w:szCs w:val="20"/>
        </w:rPr>
        <w:t xml:space="preserve"> through 2022. However, due to the Com</w:t>
      </w:r>
      <w:r>
        <w:rPr>
          <w:sz w:val="20"/>
          <w:szCs w:val="20"/>
        </w:rPr>
        <w:t>pany’s NOL carryforwards in various jurisdictions, tax authorities have the ability to adjust carryforwards related to closed years until the statute expires on the year(s) in which the NOL carryforwards are utilized</w:t>
      </w:r>
      <w:r>
        <w:rPr>
          <w:sz w:val="20"/>
          <w:szCs w:val="20"/>
        </w:rPr>
        <w:t>.</w:t>
      </w:r>
    </w:p>
    <w:p w:rsidR="00000000" w:rsidRDefault="00477EE8">
      <w:pPr>
        <w:pStyle w:val="a3"/>
        <w:spacing w:before="240" w:beforeAutospacing="0" w:after="0" w:afterAutospacing="0"/>
        <w:ind w:firstLine="555"/>
        <w:divId w:val="1811363297"/>
        <w:rPr>
          <w:sz w:val="20"/>
          <w:szCs w:val="20"/>
        </w:rPr>
      </w:pPr>
      <w:r>
        <w:rPr>
          <w:sz w:val="20"/>
          <w:szCs w:val="20"/>
        </w:rPr>
        <w:t>A reconciliation of the Company’s gros</w:t>
      </w:r>
      <w:r>
        <w:rPr>
          <w:sz w:val="20"/>
          <w:szCs w:val="20"/>
        </w:rPr>
        <w:t>s unrecognized tax benefits is as follows</w:t>
      </w:r>
      <w:r>
        <w:rPr>
          <w:sz w:val="20"/>
          <w:szCs w:val="20"/>
        </w:rPr>
        <w:t>:</w:t>
      </w:r>
    </w:p>
    <w:p w:rsidR="00000000" w:rsidRDefault="00477EE8">
      <w:pPr>
        <w:pStyle w:val="a3"/>
        <w:spacing w:before="0" w:beforeAutospacing="0" w:after="0" w:afterAutospacing="0"/>
        <w:ind w:firstLine="555"/>
        <w:divId w:val="1811363297"/>
        <w:rPr>
          <w:sz w:val="20"/>
          <w:szCs w:val="20"/>
        </w:rPr>
      </w:pPr>
      <w:r>
        <w:rPr>
          <w:sz w:val="20"/>
          <w:szCs w:val="20"/>
        </w:rPr>
        <w:t> </w:t>
      </w:r>
    </w:p>
    <w:p w:rsidR="00000000" w:rsidRDefault="00477EE8">
      <w:pPr>
        <w:pStyle w:val="a3"/>
        <w:spacing w:before="240" w:beforeAutospacing="0" w:after="0" w:afterAutospacing="0"/>
        <w:jc w:val="center"/>
        <w:divId w:val="1811363297"/>
        <w:rPr>
          <w:sz w:val="20"/>
          <w:szCs w:val="20"/>
        </w:rPr>
      </w:pPr>
      <w:r>
        <w:rPr>
          <w:sz w:val="20"/>
          <w:szCs w:val="20"/>
        </w:rPr>
        <w:t>F</w:t>
      </w:r>
      <w:r>
        <w:rPr>
          <w:sz w:val="20"/>
          <w:szCs w:val="20"/>
        </w:rPr>
        <w:t>-</w:t>
      </w:r>
      <w:r>
        <w:rPr>
          <w:sz w:val="20"/>
          <w:szCs w:val="20"/>
        </w:rPr>
        <w:t>2</w:t>
      </w:r>
      <w:r>
        <w:rPr>
          <w:sz w:val="20"/>
          <w:szCs w:val="20"/>
        </w:rPr>
        <w:t>9</w:t>
      </w:r>
    </w:p>
    <w:p w:rsidR="00000000" w:rsidRDefault="00477EE8">
      <w:pPr>
        <w:divId w:val="1811363297"/>
        <w:rPr>
          <w:rFonts w:ascii="Calibri" w:eastAsia="Times New Roman" w:hAnsi="Calibri" w:cs="Calibri"/>
          <w:sz w:val="22"/>
          <w:szCs w:val="22"/>
        </w:rPr>
      </w:pPr>
      <w:r>
        <w:rPr>
          <w:rFonts w:ascii="Calibri" w:eastAsia="Times New Roman" w:hAnsi="Calibri" w:cs="Calibri"/>
          <w:sz w:val="22"/>
          <w:szCs w:val="22"/>
        </w:rPr>
        <w:pict>
          <v:rect id="_x0000_i1140"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75"/>
        <w:gridCol w:w="160"/>
        <w:gridCol w:w="1003"/>
        <w:gridCol w:w="110"/>
        <w:gridCol w:w="129"/>
        <w:gridCol w:w="160"/>
        <w:gridCol w:w="1004"/>
        <w:gridCol w:w="110"/>
        <w:gridCol w:w="130"/>
        <w:gridCol w:w="160"/>
        <w:gridCol w:w="1040"/>
        <w:gridCol w:w="125"/>
      </w:tblGrid>
      <w:tr w:rsidR="00000000">
        <w:trPr>
          <w:divId w:val="1811363297"/>
          <w:tblCellSpacing w:w="15" w:type="dxa"/>
        </w:trPr>
        <w:tc>
          <w:tcPr>
            <w:tcW w:w="2623" w:type="pct"/>
            <w:vAlign w:val="center"/>
            <w:hideMark/>
          </w:tcPr>
          <w:p w:rsidR="00000000" w:rsidRDefault="00477EE8">
            <w:pPr>
              <w:rPr>
                <w:rFonts w:ascii="Calibri" w:eastAsia="Times New Roman" w:hAnsi="Calibri" w:cs="Calibri"/>
                <w:sz w:val="22"/>
                <w:szCs w:val="22"/>
              </w:rPr>
            </w:pPr>
          </w:p>
        </w:tc>
        <w:tc>
          <w:tcPr>
            <w:tcW w:w="50" w:type="pct"/>
            <w:vAlign w:val="center"/>
            <w:hideMark/>
          </w:tcPr>
          <w:p w:rsidR="00000000" w:rsidRDefault="00477EE8">
            <w:pPr>
              <w:rPr>
                <w:rFonts w:eastAsia="Times New Roman"/>
                <w:sz w:val="20"/>
                <w:szCs w:val="20"/>
              </w:rPr>
            </w:pPr>
          </w:p>
        </w:tc>
        <w:tc>
          <w:tcPr>
            <w:tcW w:w="631"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79"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31"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79"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54"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divId w:val="1811363297"/>
          <w:trHeight w:val="160"/>
          <w:tblCellSpacing w:w="15" w:type="dxa"/>
        </w:trPr>
        <w:tc>
          <w:tcPr>
            <w:tcW w:w="0" w:type="auto"/>
            <w:vAlign w:val="bottom"/>
            <w:hideMark/>
          </w:tcPr>
          <w:p w:rsidR="00000000" w:rsidRDefault="00477EE8">
            <w:pPr>
              <w:pStyle w:val="a3"/>
              <w:spacing w:before="0" w:beforeAutospacing="0" w:after="0" w:afterAutospacing="0"/>
              <w:rPr>
                <w:sz w:val="22"/>
                <w:szCs w:val="22"/>
              </w:rPr>
            </w:pPr>
            <w:r>
              <w:rPr>
                <w:rFonts w:ascii="Calibri" w:hAnsi="Calibri" w:cs="Calibri"/>
                <w:sz w:val="22"/>
                <w:szCs w:val="22"/>
              </w:rPr>
              <w:t> </w:t>
            </w:r>
          </w:p>
        </w:tc>
        <w:tc>
          <w:tcPr>
            <w:tcW w:w="0" w:type="auto"/>
            <w:gridSpan w:val="10"/>
            <w:vAlign w:val="bottom"/>
            <w:hideMark/>
          </w:tcPr>
          <w:p w:rsidR="00000000" w:rsidRDefault="00477EE8">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811363297"/>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811363297"/>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10"/>
            <w:vAlign w:val="bottom"/>
            <w:hideMark/>
          </w:tcPr>
          <w:p w:rsidR="00000000" w:rsidRDefault="00477EE8">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811363297"/>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Balance at beginning of yea</w:t>
            </w:r>
            <w:r>
              <w:rPr>
                <w:sz w:val="20"/>
                <w:szCs w:val="20"/>
              </w:rPr>
              <w:t>r</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71</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37</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811363297"/>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Increases to prior year position</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2,84</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811363297"/>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Increases for current year position</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6,18</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33</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23</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811363297"/>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Balance at end of yea</w:t>
            </w:r>
            <w:r>
              <w:rPr>
                <w:sz w:val="20"/>
                <w:szCs w:val="20"/>
              </w:rPr>
              <w:t>r</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9,74</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71</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37</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240" w:beforeAutospacing="0" w:after="0" w:afterAutospacing="0"/>
        <w:ind w:firstLine="555"/>
        <w:divId w:val="364982780"/>
        <w:rPr>
          <w:sz w:val="20"/>
          <w:szCs w:val="20"/>
        </w:rPr>
      </w:pPr>
      <w:r>
        <w:rPr>
          <w:sz w:val="20"/>
          <w:szCs w:val="20"/>
        </w:rPr>
        <w:t xml:space="preserve">As of December 31, 2022, the Company has </w:t>
      </w:r>
      <w:r>
        <w:rPr>
          <w:sz w:val="20"/>
          <w:szCs w:val="20"/>
        </w:rPr>
        <w:t>$</w:t>
      </w:r>
      <w:r>
        <w:rPr>
          <w:sz w:val="20"/>
          <w:szCs w:val="20"/>
        </w:rPr>
        <w:t>9.</w:t>
      </w:r>
      <w:r>
        <w:rPr>
          <w:sz w:val="20"/>
          <w:szCs w:val="20"/>
        </w:rPr>
        <w:t>7</w:t>
      </w:r>
      <w:r>
        <w:rPr>
          <w:sz w:val="20"/>
          <w:szCs w:val="20"/>
        </w:rPr>
        <w:t xml:space="preserve"> millio</w:t>
      </w:r>
      <w:r>
        <w:rPr>
          <w:sz w:val="20"/>
          <w:szCs w:val="20"/>
        </w:rPr>
        <w:t>n</w:t>
      </w:r>
      <w:r>
        <w:rPr>
          <w:sz w:val="20"/>
          <w:szCs w:val="20"/>
        </w:rPr>
        <w:t xml:space="preserve"> of gross unrecognized tax benefits, of which, </w:t>
      </w:r>
      <w:r>
        <w:rPr>
          <w:sz w:val="20"/>
          <w:szCs w:val="20"/>
        </w:rPr>
        <w:t>$</w:t>
      </w:r>
      <w:r>
        <w:rPr>
          <w:sz w:val="20"/>
          <w:szCs w:val="20"/>
        </w:rPr>
        <w:t>2.</w:t>
      </w:r>
      <w:r>
        <w:rPr>
          <w:sz w:val="20"/>
          <w:szCs w:val="20"/>
        </w:rPr>
        <w:t>3</w:t>
      </w:r>
      <w:r>
        <w:rPr>
          <w:sz w:val="20"/>
          <w:szCs w:val="20"/>
        </w:rPr>
        <w:t xml:space="preserve"> millio</w:t>
      </w:r>
      <w:r>
        <w:rPr>
          <w:sz w:val="20"/>
          <w:szCs w:val="20"/>
        </w:rPr>
        <w:t>n</w:t>
      </w:r>
      <w:r>
        <w:rPr>
          <w:sz w:val="20"/>
          <w:szCs w:val="20"/>
        </w:rPr>
        <w:t xml:space="preserve"> of unrecognized tax benefits would affect the effective tax rate if recognized. The Company has accrued </w:t>
      </w:r>
      <w:r>
        <w:rPr>
          <w:sz w:val="20"/>
          <w:szCs w:val="20"/>
        </w:rPr>
        <w:t>$</w:t>
      </w:r>
      <w:r>
        <w:rPr>
          <w:sz w:val="20"/>
          <w:szCs w:val="20"/>
        </w:rPr>
        <w:t>94,00</w:t>
      </w:r>
      <w:r>
        <w:rPr>
          <w:sz w:val="20"/>
          <w:szCs w:val="20"/>
        </w:rPr>
        <w:t>0</w:t>
      </w:r>
      <w:r>
        <w:rPr>
          <w:sz w:val="20"/>
          <w:szCs w:val="20"/>
        </w:rPr>
        <w:t xml:space="preserve"> and </w:t>
      </w:r>
      <w:r>
        <w:rPr>
          <w:sz w:val="20"/>
          <w:szCs w:val="20"/>
        </w:rPr>
        <w:t>$</w:t>
      </w:r>
      <w:r>
        <w:rPr>
          <w:sz w:val="20"/>
          <w:szCs w:val="20"/>
        </w:rPr>
        <w:t>15,00</w:t>
      </w:r>
      <w:r>
        <w:rPr>
          <w:sz w:val="20"/>
          <w:szCs w:val="20"/>
        </w:rPr>
        <w:t>0</w:t>
      </w:r>
      <w:r>
        <w:rPr>
          <w:sz w:val="20"/>
          <w:szCs w:val="20"/>
        </w:rPr>
        <w:t xml:space="preserve"> for interest at Dec</w:t>
      </w:r>
      <w:r>
        <w:rPr>
          <w:sz w:val="20"/>
          <w:szCs w:val="20"/>
        </w:rPr>
        <w:t xml:space="preserve">ember 31, 2022 and 2021, respectively, and has recognized interest expense of </w:t>
      </w:r>
      <w:r>
        <w:rPr>
          <w:sz w:val="20"/>
          <w:szCs w:val="20"/>
        </w:rPr>
        <w:t>$</w:t>
      </w:r>
      <w:r>
        <w:rPr>
          <w:sz w:val="20"/>
          <w:szCs w:val="20"/>
        </w:rPr>
        <w:t>94,00</w:t>
      </w:r>
      <w:r>
        <w:rPr>
          <w:sz w:val="20"/>
          <w:szCs w:val="20"/>
        </w:rPr>
        <w:t>0</w:t>
      </w:r>
      <w:r>
        <w:rPr>
          <w:sz w:val="20"/>
          <w:szCs w:val="20"/>
        </w:rPr>
        <w:t xml:space="preserve"> and </w:t>
      </w:r>
      <w:r>
        <w:rPr>
          <w:sz w:val="20"/>
          <w:szCs w:val="20"/>
        </w:rPr>
        <w:t>$</w:t>
      </w:r>
      <w:r>
        <w:rPr>
          <w:sz w:val="20"/>
          <w:szCs w:val="20"/>
        </w:rPr>
        <w:t>15,00</w:t>
      </w:r>
      <w:r>
        <w:rPr>
          <w:sz w:val="20"/>
          <w:szCs w:val="20"/>
        </w:rPr>
        <w:t>0</w:t>
      </w:r>
      <w:r>
        <w:rPr>
          <w:sz w:val="20"/>
          <w:szCs w:val="20"/>
        </w:rPr>
        <w:t xml:space="preserve"> for the years ended December 31, 2022 and 2021, respectively. Although it is possible that the amount of unrecognized benefits with respect to our uncertain t</w:t>
      </w:r>
      <w:r>
        <w:rPr>
          <w:sz w:val="20"/>
          <w:szCs w:val="20"/>
        </w:rPr>
        <w:t>ax positions will increase or decrease in the next twelve months, the Company does not expect material changes</w:t>
      </w:r>
      <w:r>
        <w:rPr>
          <w:sz w:val="20"/>
          <w:szCs w:val="20"/>
        </w:rPr>
        <w:t>.</w:t>
      </w:r>
    </w:p>
    <w:p w:rsidR="00000000" w:rsidRDefault="00477EE8">
      <w:pPr>
        <w:pStyle w:val="a3"/>
        <w:spacing w:before="240" w:beforeAutospacing="0" w:after="0" w:afterAutospacing="0"/>
        <w:ind w:firstLine="555"/>
        <w:divId w:val="364982780"/>
        <w:rPr>
          <w:sz w:val="20"/>
          <w:szCs w:val="20"/>
        </w:rPr>
      </w:pPr>
      <w:r>
        <w:rPr>
          <w:sz w:val="20"/>
          <w:szCs w:val="20"/>
        </w:rPr>
        <w:t>While the Company believes it has adequately provided for all tax positions, amounts asserted by taxing authorities could differ from the Company's accrued positions. Accordingly, additional provisions on federal, state and foreign tax-related matters coul</w:t>
      </w:r>
      <w:r>
        <w:rPr>
          <w:sz w:val="20"/>
          <w:szCs w:val="20"/>
        </w:rPr>
        <w:t>d be recorded in future periods as revised estimates are settled or otherwise resolved</w:t>
      </w:r>
      <w:r>
        <w:rPr>
          <w:sz w:val="20"/>
          <w:szCs w:val="20"/>
        </w:rPr>
        <w:t>.</w:t>
      </w:r>
    </w:p>
    <w:p w:rsidR="00000000" w:rsidRDefault="00477EE8">
      <w:pPr>
        <w:pStyle w:val="a3"/>
        <w:spacing w:before="360" w:beforeAutospacing="0" w:after="0" w:afterAutospacing="0"/>
        <w:divId w:val="1868055539"/>
        <w:rPr>
          <w:sz w:val="20"/>
          <w:szCs w:val="20"/>
        </w:rPr>
      </w:pPr>
      <w:r>
        <w:rPr>
          <w:b/>
          <w:bCs/>
          <w:sz w:val="20"/>
          <w:szCs w:val="20"/>
        </w:rPr>
        <w:t>Note 12. Income per Shar</w:t>
      </w:r>
      <w:r>
        <w:rPr>
          <w:b/>
          <w:bCs/>
          <w:sz w:val="20"/>
          <w:szCs w:val="20"/>
        </w:rPr>
        <w:t>e</w:t>
      </w:r>
    </w:p>
    <w:p w:rsidR="00000000" w:rsidRDefault="00477EE8">
      <w:pPr>
        <w:pStyle w:val="a3"/>
        <w:spacing w:before="120" w:beforeAutospacing="0" w:after="0" w:afterAutospacing="0"/>
        <w:ind w:firstLine="555"/>
        <w:divId w:val="2134202362"/>
        <w:rPr>
          <w:sz w:val="20"/>
          <w:szCs w:val="20"/>
        </w:rPr>
      </w:pPr>
      <w:r>
        <w:rPr>
          <w:sz w:val="20"/>
          <w:szCs w:val="20"/>
        </w:rPr>
        <w:t>The following is a reconciliation of the basic and diluted income per share computations</w:t>
      </w:r>
      <w:r>
        <w:rPr>
          <w:sz w:val="20"/>
          <w:szCs w:val="20"/>
        </w:rPr>
        <w:t>:</w:t>
      </w:r>
    </w:p>
    <w:p w:rsidR="00000000" w:rsidRDefault="00477EE8">
      <w:pPr>
        <w:pStyle w:val="a3"/>
        <w:spacing w:before="0" w:beforeAutospacing="0" w:after="0" w:afterAutospacing="0"/>
        <w:divId w:val="2134202362"/>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97"/>
        <w:gridCol w:w="160"/>
        <w:gridCol w:w="1058"/>
        <w:gridCol w:w="110"/>
        <w:gridCol w:w="139"/>
        <w:gridCol w:w="160"/>
        <w:gridCol w:w="1058"/>
        <w:gridCol w:w="110"/>
        <w:gridCol w:w="139"/>
        <w:gridCol w:w="160"/>
        <w:gridCol w:w="1090"/>
        <w:gridCol w:w="125"/>
      </w:tblGrid>
      <w:tr w:rsidR="00000000">
        <w:trPr>
          <w:divId w:val="2134202362"/>
          <w:tblCellSpacing w:w="15" w:type="dxa"/>
        </w:trPr>
        <w:tc>
          <w:tcPr>
            <w:tcW w:w="2511"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665"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85"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65"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85"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85"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divId w:val="2134202362"/>
          <w:trHeight w:val="160"/>
          <w:tblCellSpacing w:w="15" w:type="dxa"/>
        </w:trPr>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10"/>
            <w:vAlign w:val="bottom"/>
            <w:hideMark/>
          </w:tcPr>
          <w:p w:rsidR="00000000" w:rsidRDefault="00477EE8">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2134202362"/>
          <w:trHeight w:val="16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2134202362"/>
          <w:trHeight w:val="16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gridSpan w:val="10"/>
            <w:vAlign w:val="bottom"/>
            <w:hideMark/>
          </w:tcPr>
          <w:p w:rsidR="00000000" w:rsidRDefault="00477EE8">
            <w:pPr>
              <w:pStyle w:val="a3"/>
              <w:spacing w:before="0" w:beforeAutospacing="0" w:after="0" w:afterAutospacing="0"/>
              <w:jc w:val="center"/>
              <w:rPr>
                <w:sz w:val="16"/>
                <w:szCs w:val="16"/>
              </w:rPr>
            </w:pPr>
            <w:r>
              <w:rPr>
                <w:b/>
                <w:bCs/>
                <w:sz w:val="16"/>
                <w:szCs w:val="16"/>
              </w:rPr>
              <w:t>(in thousands, except per share data</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2134202362"/>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Net income attributable to Fulgen</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143,40</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507,36</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214,31</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134202362"/>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Weighted-average common shares - outstanding, basi</w:t>
            </w:r>
            <w:r>
              <w:rPr>
                <w:sz w:val="20"/>
                <w:szCs w:val="20"/>
              </w:rPr>
              <w:t>c</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30,09</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29,40</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22,69</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134202362"/>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Weighted-average common shares - outstanding, dilute</w:t>
            </w:r>
            <w:r>
              <w:rPr>
                <w:sz w:val="20"/>
                <w:szCs w:val="20"/>
              </w:rPr>
              <w:t>d</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30,96</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30,97</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24,05</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134202362"/>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Net income per common share, basi</w:t>
            </w:r>
            <w:r>
              <w:rPr>
                <w:sz w:val="20"/>
                <w:szCs w:val="20"/>
              </w:rPr>
              <w:t>c</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4.7</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17.2</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9.4</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134202362"/>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Net income per common share, dilute</w:t>
            </w:r>
            <w:r>
              <w:rPr>
                <w:sz w:val="20"/>
                <w:szCs w:val="20"/>
              </w:rPr>
              <w:t>d</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4.6</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16.3</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8.9</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240" w:beforeAutospacing="0" w:after="0" w:afterAutospacing="0"/>
        <w:ind w:firstLine="555"/>
        <w:divId w:val="63264570"/>
        <w:rPr>
          <w:sz w:val="20"/>
          <w:szCs w:val="20"/>
        </w:rPr>
      </w:pPr>
      <w:r>
        <w:rPr>
          <w:sz w:val="20"/>
          <w:szCs w:val="20"/>
        </w:rPr>
        <w:t>The</w:t>
      </w:r>
      <w:r>
        <w:rPr>
          <w:sz w:val="20"/>
          <w:szCs w:val="20"/>
        </w:rPr>
        <w:t xml:space="preserve"> </w:t>
      </w:r>
      <w:r>
        <w:rPr>
          <w:sz w:val="20"/>
          <w:szCs w:val="20"/>
        </w:rPr>
        <w:t>following securities have been excluded from the calculation of diluted income per share because their effect would have been anti-dilutive</w:t>
      </w:r>
      <w:r>
        <w:rPr>
          <w:sz w:val="20"/>
          <w:szCs w:val="20"/>
        </w:rPr>
        <w:t>:</w:t>
      </w:r>
    </w:p>
    <w:p w:rsidR="00000000" w:rsidRDefault="00477EE8">
      <w:pPr>
        <w:pStyle w:val="a3"/>
        <w:spacing w:before="0" w:beforeAutospacing="0" w:after="0" w:afterAutospacing="0"/>
        <w:divId w:val="6326457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53"/>
        <w:gridCol w:w="110"/>
        <w:gridCol w:w="1096"/>
        <w:gridCol w:w="110"/>
        <w:gridCol w:w="127"/>
        <w:gridCol w:w="110"/>
        <w:gridCol w:w="1097"/>
        <w:gridCol w:w="110"/>
        <w:gridCol w:w="128"/>
        <w:gridCol w:w="110"/>
        <w:gridCol w:w="1130"/>
        <w:gridCol w:w="125"/>
      </w:tblGrid>
      <w:tr w:rsidR="00000000">
        <w:trPr>
          <w:divId w:val="63264570"/>
          <w:tblCellSpacing w:w="15" w:type="dxa"/>
        </w:trPr>
        <w:tc>
          <w:tcPr>
            <w:tcW w:w="2530"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674"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2"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74"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2"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95"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divId w:val="63264570"/>
          <w:trHeight w:val="16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gridSpan w:val="10"/>
            <w:vAlign w:val="bottom"/>
            <w:hideMark/>
          </w:tcPr>
          <w:p w:rsidR="00000000" w:rsidRDefault="00477EE8">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63264570"/>
          <w:trHeight w:val="16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63264570"/>
          <w:trHeight w:val="16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gridSpan w:val="10"/>
            <w:vAlign w:val="bottom"/>
            <w:hideMark/>
          </w:tcPr>
          <w:p w:rsidR="00000000" w:rsidRDefault="00477EE8">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63264570"/>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Option</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63264570"/>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RSU</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72</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18</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34</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240" w:beforeAutospacing="0" w:after="0" w:afterAutospacing="0"/>
        <w:ind w:firstLine="555"/>
        <w:divId w:val="1868055539"/>
        <w:rPr>
          <w:sz w:val="20"/>
          <w:szCs w:val="20"/>
        </w:rPr>
      </w:pPr>
      <w:r>
        <w:rPr>
          <w:sz w:val="20"/>
          <w:szCs w:val="20"/>
        </w:rPr>
        <w:t>The anti-dilutive shares described above were calculated using the treasury stock method</w:t>
      </w:r>
      <w:r>
        <w:rPr>
          <w:sz w:val="20"/>
          <w:szCs w:val="20"/>
        </w:rPr>
        <w:t>.</w:t>
      </w:r>
    </w:p>
    <w:p w:rsidR="00000000" w:rsidRDefault="00477EE8">
      <w:pPr>
        <w:pStyle w:val="a3"/>
        <w:spacing w:before="360" w:beforeAutospacing="0" w:after="0" w:afterAutospacing="0"/>
        <w:divId w:val="1427531200"/>
        <w:rPr>
          <w:sz w:val="20"/>
          <w:szCs w:val="20"/>
        </w:rPr>
      </w:pPr>
      <w:r>
        <w:rPr>
          <w:b/>
          <w:bCs/>
          <w:sz w:val="20"/>
          <w:szCs w:val="20"/>
        </w:rPr>
        <w:t>Note 13. Retirement Plan</w:t>
      </w:r>
      <w:r>
        <w:rPr>
          <w:b/>
          <w:bCs/>
          <w:sz w:val="20"/>
          <w:szCs w:val="20"/>
        </w:rPr>
        <w:t>s</w:t>
      </w:r>
    </w:p>
    <w:p w:rsidR="00000000" w:rsidRDefault="00477EE8">
      <w:pPr>
        <w:pStyle w:val="a3"/>
        <w:spacing w:before="0" w:beforeAutospacing="0" w:after="0" w:afterAutospacing="0"/>
        <w:divId w:val="1427531200"/>
        <w:rPr>
          <w:sz w:val="20"/>
          <w:szCs w:val="20"/>
        </w:rPr>
      </w:pPr>
      <w:r>
        <w:rPr>
          <w:sz w:val="12"/>
          <w:szCs w:val="12"/>
        </w:rPr>
        <w:t> </w:t>
      </w:r>
    </w:p>
    <w:p w:rsidR="00000000" w:rsidRDefault="00477EE8">
      <w:pPr>
        <w:pStyle w:val="a3"/>
        <w:spacing w:before="0" w:beforeAutospacing="0" w:after="0" w:afterAutospacing="0"/>
        <w:ind w:firstLine="555"/>
        <w:divId w:val="1427531200"/>
        <w:rPr>
          <w:sz w:val="20"/>
          <w:szCs w:val="20"/>
        </w:rPr>
      </w:pPr>
      <w:r>
        <w:rPr>
          <w:sz w:val="20"/>
          <w:szCs w:val="20"/>
        </w:rPr>
        <w:t>The Company offers a 401(k) retirement savings plan, or the 401 (k) Plan, for its employees, including its executive officers, who satisfy certain eligibility requirements. The Internal Revenue Code of 1986, as amended, allows eligible employees to defer a</w:t>
      </w:r>
      <w:r>
        <w:rPr>
          <w:sz w:val="20"/>
          <w:szCs w:val="20"/>
        </w:rPr>
        <w:t xml:space="preserve"> portion of their compensation, within prescribed limits, on a pre-tax basis through contributions to the 401(k) Plan. The Company matches contributions to the 401(k) Plan based on the amount of salary deferral contributions the participant makes to the 40</w:t>
      </w:r>
      <w:r>
        <w:rPr>
          <w:sz w:val="20"/>
          <w:szCs w:val="20"/>
        </w:rPr>
        <w:t>1(k) Plan. The Company will match up to</w:t>
      </w:r>
      <w:r>
        <w:rPr>
          <w:sz w:val="20"/>
          <w:szCs w:val="20"/>
        </w:rPr>
        <w:t xml:space="preserve"> </w:t>
      </w:r>
      <w:r>
        <w:rPr>
          <w:sz w:val="20"/>
          <w:szCs w:val="20"/>
        </w:rPr>
        <w:t>3</w:t>
      </w:r>
      <w:r>
        <w:rPr>
          <w:sz w:val="20"/>
          <w:szCs w:val="20"/>
        </w:rPr>
        <w:t xml:space="preserve">% of an employee’s compensation that the employee contributes to his or her 401(k) Plan account. Total Company matching contributions to the 401(k) Plan were </w:t>
      </w:r>
      <w:r>
        <w:rPr>
          <w:sz w:val="20"/>
          <w:szCs w:val="20"/>
        </w:rPr>
        <w:t>$</w:t>
      </w:r>
      <w:r>
        <w:rPr>
          <w:sz w:val="20"/>
          <w:szCs w:val="20"/>
        </w:rPr>
        <w:t>2.</w:t>
      </w:r>
      <w:r>
        <w:rPr>
          <w:sz w:val="20"/>
          <w:szCs w:val="20"/>
        </w:rPr>
        <w:t>5</w:t>
      </w:r>
      <w:r>
        <w:rPr>
          <w:sz w:val="20"/>
          <w:szCs w:val="20"/>
        </w:rPr>
        <w:t xml:space="preserve"> millio</w:t>
      </w:r>
      <w:r>
        <w:rPr>
          <w:sz w:val="20"/>
          <w:szCs w:val="20"/>
        </w:rPr>
        <w:t>n</w:t>
      </w:r>
      <w:r>
        <w:rPr>
          <w:sz w:val="20"/>
          <w:szCs w:val="20"/>
        </w:rPr>
        <w:t xml:space="preserve">, </w:t>
      </w:r>
      <w:r>
        <w:rPr>
          <w:sz w:val="20"/>
          <w:szCs w:val="20"/>
        </w:rPr>
        <w:t>$</w:t>
      </w:r>
      <w:r>
        <w:rPr>
          <w:sz w:val="20"/>
          <w:szCs w:val="20"/>
        </w:rPr>
        <w:t>697,00</w:t>
      </w:r>
      <w:r>
        <w:rPr>
          <w:sz w:val="20"/>
          <w:szCs w:val="20"/>
        </w:rPr>
        <w:t>0</w:t>
      </w:r>
      <w:r>
        <w:rPr>
          <w:sz w:val="20"/>
          <w:szCs w:val="20"/>
        </w:rPr>
        <w:t xml:space="preserve"> and </w:t>
      </w:r>
      <w:r>
        <w:rPr>
          <w:sz w:val="20"/>
          <w:szCs w:val="20"/>
        </w:rPr>
        <w:t>$</w:t>
      </w:r>
      <w:r>
        <w:rPr>
          <w:sz w:val="20"/>
          <w:szCs w:val="20"/>
        </w:rPr>
        <w:t>422,00</w:t>
      </w:r>
      <w:r>
        <w:rPr>
          <w:sz w:val="20"/>
          <w:szCs w:val="20"/>
        </w:rPr>
        <w:t>0</w:t>
      </w:r>
      <w:r>
        <w:rPr>
          <w:sz w:val="20"/>
          <w:szCs w:val="20"/>
        </w:rPr>
        <w:t xml:space="preserve"> in the years ended De</w:t>
      </w:r>
      <w:r>
        <w:rPr>
          <w:sz w:val="20"/>
          <w:szCs w:val="20"/>
        </w:rPr>
        <w:t>cember 31, 2022, 2021 and 2020, respectively</w:t>
      </w:r>
      <w:r>
        <w:rPr>
          <w:sz w:val="20"/>
          <w:szCs w:val="20"/>
        </w:rPr>
        <w:t>.</w:t>
      </w:r>
    </w:p>
    <w:p w:rsidR="00000000" w:rsidRDefault="00477EE8">
      <w:pPr>
        <w:pStyle w:val="a3"/>
        <w:spacing w:before="360" w:beforeAutospacing="0" w:after="0" w:afterAutospacing="0"/>
        <w:divId w:val="312566412"/>
        <w:rPr>
          <w:sz w:val="20"/>
          <w:szCs w:val="20"/>
        </w:rPr>
      </w:pPr>
      <w:r>
        <w:rPr>
          <w:b/>
          <w:bCs/>
          <w:sz w:val="20"/>
          <w:szCs w:val="20"/>
        </w:rPr>
        <w:t>Note 14. Related Part</w:t>
      </w:r>
      <w:r>
        <w:rPr>
          <w:b/>
          <w:bCs/>
          <w:sz w:val="20"/>
          <w:szCs w:val="20"/>
        </w:rPr>
        <w:t>y</w:t>
      </w:r>
    </w:p>
    <w:p w:rsidR="00000000" w:rsidRDefault="00477EE8">
      <w:pPr>
        <w:pStyle w:val="a3"/>
        <w:spacing w:before="120" w:beforeAutospacing="0" w:after="0" w:afterAutospacing="0"/>
        <w:ind w:firstLine="555"/>
        <w:divId w:val="312566412"/>
        <w:rPr>
          <w:sz w:val="20"/>
          <w:szCs w:val="20"/>
        </w:rPr>
      </w:pPr>
      <w:r>
        <w:rPr>
          <w:sz w:val="20"/>
          <w:szCs w:val="20"/>
        </w:rPr>
        <w:t>Linda Marsh, who is a member of the Company’s board of directors, is currently the Senior Executive Vice President of AHMC Healthcare Inc., or AHMC. The Company performs genetic testing a</w:t>
      </w:r>
      <w:r>
        <w:rPr>
          <w:sz w:val="20"/>
          <w:szCs w:val="20"/>
        </w:rPr>
        <w:t xml:space="preserve">nd other testing services, on an arms-length basis, for AHMC, and the Company recognized </w:t>
      </w:r>
      <w:r>
        <w:rPr>
          <w:sz w:val="20"/>
          <w:szCs w:val="20"/>
        </w:rPr>
        <w:t>$</w:t>
      </w:r>
      <w:r>
        <w:rPr>
          <w:sz w:val="20"/>
          <w:szCs w:val="20"/>
        </w:rPr>
        <w:t>1.</w:t>
      </w:r>
      <w:r>
        <w:rPr>
          <w:sz w:val="20"/>
          <w:szCs w:val="20"/>
        </w:rPr>
        <w:t>5</w:t>
      </w:r>
      <w:r>
        <w:rPr>
          <w:sz w:val="20"/>
          <w:szCs w:val="20"/>
        </w:rPr>
        <w:t xml:space="preserve"> millio</w:t>
      </w:r>
      <w:r>
        <w:rPr>
          <w:sz w:val="20"/>
          <w:szCs w:val="20"/>
        </w:rPr>
        <w:t>n</w:t>
      </w:r>
      <w:r>
        <w:rPr>
          <w:sz w:val="20"/>
          <w:szCs w:val="20"/>
        </w:rPr>
        <w:t xml:space="preserve">, </w:t>
      </w:r>
      <w:r>
        <w:rPr>
          <w:sz w:val="20"/>
          <w:szCs w:val="20"/>
        </w:rPr>
        <w:t>$</w:t>
      </w:r>
      <w:r>
        <w:rPr>
          <w:sz w:val="20"/>
          <w:szCs w:val="20"/>
        </w:rPr>
        <w:t>3.</w:t>
      </w:r>
      <w:r>
        <w:rPr>
          <w:sz w:val="20"/>
          <w:szCs w:val="20"/>
        </w:rPr>
        <w:t>4</w:t>
      </w:r>
      <w:r>
        <w:rPr>
          <w:sz w:val="20"/>
          <w:szCs w:val="20"/>
        </w:rPr>
        <w:t xml:space="preserve"> million and </w:t>
      </w:r>
      <w:r>
        <w:rPr>
          <w:sz w:val="20"/>
          <w:szCs w:val="20"/>
        </w:rPr>
        <w:t>$</w:t>
      </w:r>
      <w:r>
        <w:rPr>
          <w:sz w:val="20"/>
          <w:szCs w:val="20"/>
        </w:rPr>
        <w:t>3.</w:t>
      </w:r>
      <w:r>
        <w:rPr>
          <w:sz w:val="20"/>
          <w:szCs w:val="20"/>
        </w:rPr>
        <w:t>1</w:t>
      </w:r>
      <w:r>
        <w:rPr>
          <w:sz w:val="20"/>
          <w:szCs w:val="20"/>
        </w:rPr>
        <w:t xml:space="preserve"> million</w:t>
      </w:r>
      <w:r>
        <w:rPr>
          <w:sz w:val="20"/>
          <w:szCs w:val="20"/>
        </w:rPr>
        <w:t xml:space="preserve"> </w:t>
      </w:r>
      <w:r>
        <w:rPr>
          <w:sz w:val="20"/>
          <w:szCs w:val="20"/>
        </w:rPr>
        <w:t>in revenue in the years ended December 31, 2022, 2021 an</w:t>
      </w:r>
      <w:r>
        <w:rPr>
          <w:sz w:val="20"/>
          <w:szCs w:val="20"/>
        </w:rPr>
        <w:t>d</w:t>
      </w:r>
      <w:r>
        <w:rPr>
          <w:sz w:val="20"/>
          <w:szCs w:val="20"/>
        </w:rPr>
        <w:t xml:space="preserve"> </w:t>
      </w:r>
    </w:p>
    <w:p w:rsidR="00000000" w:rsidRDefault="00477EE8">
      <w:pPr>
        <w:pStyle w:val="a3"/>
        <w:spacing w:before="240" w:beforeAutospacing="0" w:after="0" w:afterAutospacing="0"/>
        <w:jc w:val="center"/>
        <w:divId w:val="312566412"/>
        <w:rPr>
          <w:sz w:val="20"/>
          <w:szCs w:val="20"/>
        </w:rPr>
      </w:pPr>
      <w:r>
        <w:rPr>
          <w:sz w:val="20"/>
          <w:szCs w:val="20"/>
        </w:rPr>
        <w:t>F</w:t>
      </w:r>
      <w:r>
        <w:rPr>
          <w:sz w:val="20"/>
          <w:szCs w:val="20"/>
        </w:rPr>
        <w:t>-</w:t>
      </w:r>
      <w:r>
        <w:rPr>
          <w:sz w:val="20"/>
          <w:szCs w:val="20"/>
        </w:rPr>
        <w:t>3</w:t>
      </w:r>
      <w:r>
        <w:rPr>
          <w:sz w:val="20"/>
          <w:szCs w:val="20"/>
        </w:rPr>
        <w:t>0</w:t>
      </w:r>
    </w:p>
    <w:p w:rsidR="00000000" w:rsidRDefault="00477EE8">
      <w:pPr>
        <w:divId w:val="312566412"/>
        <w:rPr>
          <w:rFonts w:eastAsia="Times New Roman"/>
          <w:sz w:val="20"/>
          <w:szCs w:val="20"/>
        </w:rPr>
      </w:pPr>
      <w:r>
        <w:rPr>
          <w:rFonts w:eastAsia="Times New Roman"/>
          <w:sz w:val="20"/>
          <w:szCs w:val="20"/>
        </w:rPr>
        <w:pict>
          <v:rect id="_x0000_i1141" style="width:0;height:1.5pt" o:hralign="center" o:hrstd="t" o:hr="t" fillcolor="#a0a0a0" stroked="f"/>
        </w:pict>
      </w:r>
    </w:p>
    <w:p w:rsidR="00000000" w:rsidRDefault="00477EE8">
      <w:pPr>
        <w:pStyle w:val="a3"/>
        <w:spacing w:before="120" w:beforeAutospacing="0" w:after="0" w:afterAutospacing="0"/>
        <w:divId w:val="312566412"/>
        <w:rPr>
          <w:sz w:val="20"/>
          <w:szCs w:val="20"/>
        </w:rPr>
      </w:pPr>
      <w:r>
        <w:rPr>
          <w:sz w:val="20"/>
          <w:szCs w:val="20"/>
        </w:rPr>
        <w:t>2020.</w:t>
      </w:r>
      <w:r>
        <w:rPr>
          <w:sz w:val="20"/>
          <w:szCs w:val="20"/>
        </w:rPr>
        <w:t xml:space="preserve"> </w:t>
      </w:r>
      <w:r>
        <w:rPr>
          <w:sz w:val="20"/>
          <w:szCs w:val="20"/>
        </w:rPr>
        <w:t xml:space="preserve">As of December 31, 2022 and 2021, </w:t>
      </w:r>
      <w:r>
        <w:rPr>
          <w:sz w:val="20"/>
          <w:szCs w:val="20"/>
        </w:rPr>
        <w:t>$</w:t>
      </w:r>
      <w:r>
        <w:rPr>
          <w:sz w:val="20"/>
          <w:szCs w:val="20"/>
        </w:rPr>
        <w:t>93,00</w:t>
      </w:r>
      <w:r>
        <w:rPr>
          <w:sz w:val="20"/>
          <w:szCs w:val="20"/>
        </w:rPr>
        <w:t>0</w:t>
      </w:r>
      <w:r>
        <w:rPr>
          <w:sz w:val="20"/>
          <w:szCs w:val="20"/>
        </w:rPr>
        <w:t xml:space="preserve"> and </w:t>
      </w:r>
      <w:r>
        <w:rPr>
          <w:sz w:val="20"/>
          <w:szCs w:val="20"/>
        </w:rPr>
        <w:t>$</w:t>
      </w:r>
      <w:r>
        <w:rPr>
          <w:sz w:val="20"/>
          <w:szCs w:val="20"/>
        </w:rPr>
        <w:t>556,00</w:t>
      </w:r>
      <w:r>
        <w:rPr>
          <w:sz w:val="20"/>
          <w:szCs w:val="20"/>
        </w:rPr>
        <w:t>0</w:t>
      </w:r>
      <w:r>
        <w:rPr>
          <w:sz w:val="20"/>
          <w:szCs w:val="20"/>
        </w:rPr>
        <w:t xml:space="preserve"> was owed to the Company by AHMC, respectively, which is included in trade accounts receivable, net, in the accompanying Consolidated Balance Sheets, in connect</w:t>
      </w:r>
      <w:r>
        <w:rPr>
          <w:sz w:val="20"/>
          <w:szCs w:val="20"/>
        </w:rPr>
        <w:t>ion with this relationship</w:t>
      </w:r>
      <w:r>
        <w:rPr>
          <w:sz w:val="20"/>
          <w:szCs w:val="20"/>
        </w:rPr>
        <w:t>.</w:t>
      </w:r>
    </w:p>
    <w:p w:rsidR="00000000" w:rsidRDefault="00477EE8">
      <w:pPr>
        <w:pStyle w:val="a3"/>
        <w:spacing w:before="240" w:beforeAutospacing="0" w:after="0" w:afterAutospacing="0"/>
        <w:ind w:firstLine="555"/>
        <w:divId w:val="312566412"/>
        <w:rPr>
          <w:sz w:val="20"/>
          <w:szCs w:val="20"/>
        </w:rPr>
      </w:pPr>
      <w:r>
        <w:rPr>
          <w:sz w:val="20"/>
          <w:szCs w:val="20"/>
        </w:rPr>
        <w:t>On November 7, 2022, the Company acquired Fulgent Pharma. See Note 15,</w:t>
      </w:r>
      <w:r>
        <w:rPr>
          <w:sz w:val="20"/>
          <w:szCs w:val="20"/>
        </w:rPr>
        <w:t xml:space="preserve"> </w:t>
      </w:r>
      <w:r>
        <w:rPr>
          <w:i/>
          <w:iCs/>
          <w:sz w:val="20"/>
          <w:szCs w:val="20"/>
        </w:rPr>
        <w:t>Business Combination</w:t>
      </w:r>
      <w:r>
        <w:rPr>
          <w:i/>
          <w:iCs/>
          <w:sz w:val="20"/>
          <w:szCs w:val="20"/>
        </w:rPr>
        <w:t>s</w:t>
      </w:r>
      <w:r>
        <w:rPr>
          <w:sz w:val="20"/>
          <w:szCs w:val="20"/>
        </w:rPr>
        <w:t>. Prior to the acquisition, the Company and Fulgent Pharma LLC were parties to shared services arrangements where research and developme</w:t>
      </w:r>
      <w:r>
        <w:rPr>
          <w:sz w:val="20"/>
          <w:szCs w:val="20"/>
        </w:rPr>
        <w:t>nt, administrative services and office space and equipment are provided between the companies, on an arms-length basis. Until April 2022, Ming Hsieh was the manager and a member of Fulgent Pharma LLC. In April 2022, Fulgent Pharma LLC became a wholly-owned</w:t>
      </w:r>
      <w:r>
        <w:rPr>
          <w:sz w:val="20"/>
          <w:szCs w:val="20"/>
        </w:rPr>
        <w:t xml:space="preserve"> subsidiary of Fulgent Pharma which was</w:t>
      </w:r>
      <w:r>
        <w:rPr>
          <w:sz w:val="20"/>
          <w:szCs w:val="20"/>
        </w:rPr>
        <w:t xml:space="preserve"> </w:t>
      </w:r>
      <w:r>
        <w:rPr>
          <w:sz w:val="20"/>
          <w:szCs w:val="20"/>
        </w:rPr>
        <w:t>10</w:t>
      </w:r>
      <w:r>
        <w:rPr>
          <w:sz w:val="20"/>
          <w:szCs w:val="20"/>
        </w:rPr>
        <w:t>0</w:t>
      </w:r>
      <w:r>
        <w:rPr>
          <w:sz w:val="20"/>
          <w:szCs w:val="20"/>
        </w:rPr>
        <w:t>% owned by Ming Hsieh, the Chief Executive Officer and Chairman of the Company’s board of directors, and the Hsieh Family Dynasty Trust, dated January 27, 2010, or the Hsieh Trust, of which Mr. Hsieh is the granto</w:t>
      </w:r>
      <w:r>
        <w:rPr>
          <w:sz w:val="20"/>
          <w:szCs w:val="20"/>
        </w:rPr>
        <w:t>r. Mr. Hsieh and Paul Kim, the Chief Financial Officer and Treasurer of Fulgent, also served as executive officers of Fulgent Pharma as its (i) President and Chief Executive Officer and (ii) Treasurer and Secretary, respectively. The cost of research and d</w:t>
      </w:r>
      <w:r>
        <w:rPr>
          <w:sz w:val="20"/>
          <w:szCs w:val="20"/>
        </w:rPr>
        <w:t>evelopment services rendered by Fulgent Pharma LLC for the Company was</w:t>
      </w:r>
      <w:r>
        <w:rPr>
          <w:sz w:val="20"/>
          <w:szCs w:val="20"/>
        </w:rPr>
        <w:t xml:space="preserve"> </w:t>
      </w:r>
      <w:r>
        <w:rPr>
          <w:sz w:val="20"/>
          <w:szCs w:val="20"/>
        </w:rPr>
        <w:t>n</w:t>
      </w:r>
      <w:r>
        <w:rPr>
          <w:sz w:val="20"/>
          <w:szCs w:val="20"/>
        </w:rPr>
        <w:t>o</w:t>
      </w:r>
      <w:r>
        <w:rPr>
          <w:sz w:val="20"/>
          <w:szCs w:val="20"/>
        </w:rPr>
        <w:t xml:space="preserve">t significant in 2022 prior to the acquisition. In the years ended December 31, 2021 and 2020, the research development service rendered by Fulgent Pharma LLC was </w:t>
      </w:r>
      <w:r>
        <w:rPr>
          <w:sz w:val="20"/>
          <w:szCs w:val="20"/>
        </w:rPr>
        <w:t>$</w:t>
      </w:r>
      <w:r>
        <w:rPr>
          <w:sz w:val="20"/>
          <w:szCs w:val="20"/>
        </w:rPr>
        <w:t>330,00</w:t>
      </w:r>
      <w:r>
        <w:rPr>
          <w:sz w:val="20"/>
          <w:szCs w:val="20"/>
        </w:rPr>
        <w:t>0</w:t>
      </w:r>
      <w:r>
        <w:rPr>
          <w:sz w:val="20"/>
          <w:szCs w:val="20"/>
        </w:rPr>
        <w:t xml:space="preserve"> and </w:t>
      </w:r>
      <w:r>
        <w:rPr>
          <w:sz w:val="20"/>
          <w:szCs w:val="20"/>
        </w:rPr>
        <w:t>$</w:t>
      </w:r>
      <w:r>
        <w:rPr>
          <w:sz w:val="20"/>
          <w:szCs w:val="20"/>
        </w:rPr>
        <w:t>427,00</w:t>
      </w:r>
      <w:r>
        <w:rPr>
          <w:sz w:val="20"/>
          <w:szCs w:val="20"/>
        </w:rPr>
        <w:t>0</w:t>
      </w:r>
      <w:r>
        <w:rPr>
          <w:sz w:val="20"/>
          <w:szCs w:val="20"/>
        </w:rPr>
        <w:t>, respectively. Costs allocated to Fulgent Pharma LLC were</w:t>
      </w:r>
      <w:r>
        <w:rPr>
          <w:sz w:val="20"/>
          <w:szCs w:val="20"/>
        </w:rPr>
        <w:t xml:space="preserve"> </w:t>
      </w:r>
      <w:r>
        <w:rPr>
          <w:sz w:val="20"/>
          <w:szCs w:val="20"/>
        </w:rPr>
        <w:t>n</w:t>
      </w:r>
      <w:r>
        <w:rPr>
          <w:sz w:val="20"/>
          <w:szCs w:val="20"/>
        </w:rPr>
        <w:t>o</w:t>
      </w:r>
      <w:r>
        <w:rPr>
          <w:sz w:val="20"/>
          <w:szCs w:val="20"/>
        </w:rPr>
        <w:t xml:space="preserve">t significant in 2022 prior to the acquisition, 2021 and 2020. As of December 31, 2021, </w:t>
      </w:r>
      <w:r>
        <w:rPr>
          <w:sz w:val="20"/>
          <w:szCs w:val="20"/>
        </w:rPr>
        <w:t>$</w:t>
      </w:r>
      <w:r>
        <w:rPr>
          <w:sz w:val="20"/>
          <w:szCs w:val="20"/>
        </w:rPr>
        <w:t>679,00</w:t>
      </w:r>
      <w:r>
        <w:rPr>
          <w:sz w:val="20"/>
          <w:szCs w:val="20"/>
        </w:rPr>
        <w:t>0</w:t>
      </w:r>
      <w:r>
        <w:rPr>
          <w:sz w:val="20"/>
          <w:szCs w:val="20"/>
        </w:rPr>
        <w:t xml:space="preserve"> was owed to Fulgent Pharma LLC by the Company, which is recorded in other current liabilities in </w:t>
      </w:r>
      <w:r>
        <w:rPr>
          <w:sz w:val="20"/>
          <w:szCs w:val="20"/>
        </w:rPr>
        <w:t>the accompanying Consolidated Balance Sheet, in connection with these relationships. As part of the acquisition, RSUs to acquire shares of common stock of Fulgent Pharma held by Paul Kim, the Company’s Chief Financial Officer, Jian Xie, the Company’s Presi</w:t>
      </w:r>
      <w:r>
        <w:rPr>
          <w:sz w:val="20"/>
          <w:szCs w:val="20"/>
        </w:rPr>
        <w:t>dent and Chief Operating Officer, Hanlin Gao, the Company’s Chief Scientific Officer and other employees of the Company and consultants of Fulgent Pharma LLC were assumed by the Company and became RSUs to acquire</w:t>
      </w:r>
      <w:r>
        <w:rPr>
          <w:sz w:val="20"/>
          <w:szCs w:val="20"/>
        </w:rPr>
        <w:t xml:space="preserve"> </w:t>
      </w:r>
      <w:r>
        <w:rPr>
          <w:sz w:val="20"/>
          <w:szCs w:val="20"/>
        </w:rPr>
        <w:t>77,58</w:t>
      </w:r>
      <w:r>
        <w:rPr>
          <w:sz w:val="20"/>
          <w:szCs w:val="20"/>
        </w:rPr>
        <w:t>5</w:t>
      </w:r>
      <w:r>
        <w:rPr>
          <w:sz w:val="20"/>
          <w:szCs w:val="20"/>
        </w:rPr>
        <w:t>,</w:t>
      </w:r>
      <w:r>
        <w:rPr>
          <w:sz w:val="20"/>
          <w:szCs w:val="20"/>
        </w:rPr>
        <w:t xml:space="preserve"> </w:t>
      </w:r>
      <w:r>
        <w:rPr>
          <w:sz w:val="20"/>
          <w:szCs w:val="20"/>
        </w:rPr>
        <w:t>129,30</w:t>
      </w:r>
      <w:r>
        <w:rPr>
          <w:sz w:val="20"/>
          <w:szCs w:val="20"/>
        </w:rPr>
        <w:t>9</w:t>
      </w:r>
      <w:r>
        <w:rPr>
          <w:sz w:val="20"/>
          <w:szCs w:val="20"/>
        </w:rPr>
        <w:t>,</w:t>
      </w:r>
      <w:r>
        <w:rPr>
          <w:sz w:val="20"/>
          <w:szCs w:val="20"/>
        </w:rPr>
        <w:t xml:space="preserve"> </w:t>
      </w:r>
      <w:r>
        <w:rPr>
          <w:sz w:val="20"/>
          <w:szCs w:val="20"/>
        </w:rPr>
        <w:t>51,72</w:t>
      </w:r>
      <w:r>
        <w:rPr>
          <w:sz w:val="20"/>
          <w:szCs w:val="20"/>
        </w:rPr>
        <w:t>3</w:t>
      </w:r>
      <w:r>
        <w:rPr>
          <w:sz w:val="20"/>
          <w:szCs w:val="20"/>
        </w:rPr>
        <w:t>,</w:t>
      </w:r>
      <w:r>
        <w:rPr>
          <w:sz w:val="20"/>
          <w:szCs w:val="20"/>
        </w:rPr>
        <w:t xml:space="preserve"> </w:t>
      </w:r>
      <w:r>
        <w:rPr>
          <w:sz w:val="20"/>
          <w:szCs w:val="20"/>
        </w:rPr>
        <w:t>117,39</w:t>
      </w:r>
      <w:r>
        <w:rPr>
          <w:sz w:val="20"/>
          <w:szCs w:val="20"/>
        </w:rPr>
        <w:t>8</w:t>
      </w:r>
      <w:r>
        <w:rPr>
          <w:sz w:val="20"/>
          <w:szCs w:val="20"/>
        </w:rPr>
        <w:t>, and</w:t>
      </w:r>
      <w:r>
        <w:rPr>
          <w:sz w:val="20"/>
          <w:szCs w:val="20"/>
        </w:rPr>
        <w:t xml:space="preserve"> </w:t>
      </w:r>
      <w:r>
        <w:rPr>
          <w:sz w:val="20"/>
          <w:szCs w:val="20"/>
        </w:rPr>
        <w:t>286,9</w:t>
      </w:r>
      <w:r>
        <w:rPr>
          <w:sz w:val="20"/>
          <w:szCs w:val="20"/>
        </w:rPr>
        <w:t>9</w:t>
      </w:r>
      <w:r>
        <w:rPr>
          <w:sz w:val="20"/>
          <w:szCs w:val="20"/>
        </w:rPr>
        <w:t>8</w:t>
      </w:r>
      <w:r>
        <w:rPr>
          <w:sz w:val="20"/>
          <w:szCs w:val="20"/>
        </w:rPr>
        <w:t xml:space="preserve"> shares of common stock of the Company, respectively</w:t>
      </w:r>
      <w:r>
        <w:rPr>
          <w:sz w:val="20"/>
          <w:szCs w:val="20"/>
        </w:rPr>
        <w:t>.</w:t>
      </w:r>
    </w:p>
    <w:p w:rsidR="00000000" w:rsidRDefault="00477EE8">
      <w:pPr>
        <w:pStyle w:val="a3"/>
        <w:spacing w:before="240" w:beforeAutospacing="0" w:after="0" w:afterAutospacing="0"/>
        <w:ind w:firstLine="555"/>
        <w:divId w:val="312566412"/>
        <w:rPr>
          <w:sz w:val="20"/>
          <w:szCs w:val="20"/>
        </w:rPr>
      </w:pPr>
      <w:r>
        <w:rPr>
          <w:sz w:val="20"/>
          <w:szCs w:val="20"/>
        </w:rPr>
        <w:t xml:space="preserve">Ming Hsieh, is the owner of PTJ Associates Inc., or PTJ. PTJ provides flight services to the Company on an arms-length basis. In the years ended December 31, 2022, 2021 and 2020, the Company incurred </w:t>
      </w:r>
      <w:r>
        <w:rPr>
          <w:sz w:val="20"/>
          <w:szCs w:val="20"/>
        </w:rPr>
        <w:t>$</w:t>
      </w:r>
      <w:r>
        <w:rPr>
          <w:sz w:val="20"/>
          <w:szCs w:val="20"/>
        </w:rPr>
        <w:t>235,00</w:t>
      </w:r>
      <w:r>
        <w:rPr>
          <w:sz w:val="20"/>
          <w:szCs w:val="20"/>
        </w:rPr>
        <w:t>0</w:t>
      </w:r>
      <w:r>
        <w:rPr>
          <w:sz w:val="20"/>
          <w:szCs w:val="20"/>
        </w:rPr>
        <w:t xml:space="preserve">, </w:t>
      </w:r>
      <w:r>
        <w:rPr>
          <w:sz w:val="20"/>
          <w:szCs w:val="20"/>
        </w:rPr>
        <w:t>$</w:t>
      </w:r>
      <w:r>
        <w:rPr>
          <w:sz w:val="20"/>
          <w:szCs w:val="20"/>
        </w:rPr>
        <w:t>142,00</w:t>
      </w:r>
      <w:r>
        <w:rPr>
          <w:sz w:val="20"/>
          <w:szCs w:val="20"/>
        </w:rPr>
        <w:t>0</w:t>
      </w:r>
      <w:r>
        <w:rPr>
          <w:sz w:val="20"/>
          <w:szCs w:val="20"/>
        </w:rPr>
        <w:t xml:space="preserve"> and </w:t>
      </w:r>
      <w:r>
        <w:rPr>
          <w:sz w:val="20"/>
          <w:szCs w:val="20"/>
        </w:rPr>
        <w:t>$</w:t>
      </w:r>
      <w:r>
        <w:rPr>
          <w:sz w:val="20"/>
          <w:szCs w:val="20"/>
        </w:rPr>
        <w:t>343,00</w:t>
      </w:r>
      <w:r>
        <w:rPr>
          <w:sz w:val="20"/>
          <w:szCs w:val="20"/>
        </w:rPr>
        <w:t>0</w:t>
      </w:r>
      <w:r>
        <w:rPr>
          <w:sz w:val="20"/>
          <w:szCs w:val="20"/>
        </w:rPr>
        <w:t>, respectively, in expenses for flights between California and Texas to transport employees and supplies. As of December 31, 2022 and 2021,</w:t>
      </w:r>
      <w:r>
        <w:rPr>
          <w:sz w:val="20"/>
          <w:szCs w:val="20"/>
        </w:rPr>
        <w:t xml:space="preserve"> </w:t>
      </w:r>
      <w:r>
        <w:rPr>
          <w:sz w:val="20"/>
          <w:szCs w:val="20"/>
        </w:rPr>
        <w:t>n</w:t>
      </w:r>
      <w:r>
        <w:rPr>
          <w:sz w:val="20"/>
          <w:szCs w:val="20"/>
        </w:rPr>
        <w:t>o</w:t>
      </w:r>
      <w:r>
        <w:rPr>
          <w:sz w:val="20"/>
          <w:szCs w:val="20"/>
        </w:rPr>
        <w:t xml:space="preserve"> amount was owed to PTJ by the Company</w:t>
      </w:r>
      <w:r>
        <w:rPr>
          <w:sz w:val="20"/>
          <w:szCs w:val="20"/>
        </w:rPr>
        <w:t>.</w:t>
      </w:r>
      <w:r>
        <w:rPr>
          <w:sz w:val="20"/>
          <w:szCs w:val="20"/>
        </w:rPr>
        <w:t xml:space="preserve"> </w:t>
      </w:r>
    </w:p>
    <w:p w:rsidR="00000000" w:rsidRDefault="00477EE8">
      <w:pPr>
        <w:pStyle w:val="a3"/>
        <w:spacing w:before="240" w:beforeAutospacing="0" w:after="0" w:afterAutospacing="0"/>
        <w:ind w:firstLine="555"/>
        <w:divId w:val="312566412"/>
        <w:rPr>
          <w:sz w:val="20"/>
          <w:szCs w:val="20"/>
        </w:rPr>
      </w:pPr>
      <w:r>
        <w:rPr>
          <w:sz w:val="20"/>
          <w:szCs w:val="20"/>
        </w:rPr>
        <w:t>Ming Hsieh is also on the board of directo</w:t>
      </w:r>
      <w:r>
        <w:rPr>
          <w:sz w:val="20"/>
          <w:szCs w:val="20"/>
        </w:rPr>
        <w:t>rs and a</w:t>
      </w:r>
      <w:r>
        <w:rPr>
          <w:sz w:val="20"/>
          <w:szCs w:val="20"/>
        </w:rPr>
        <w:t xml:space="preserve"> </w:t>
      </w:r>
      <w:r>
        <w:rPr>
          <w:sz w:val="20"/>
          <w:szCs w:val="20"/>
        </w:rPr>
        <w:t>2</w:t>
      </w:r>
      <w:r>
        <w:rPr>
          <w:sz w:val="20"/>
          <w:szCs w:val="20"/>
        </w:rPr>
        <w:t>0</w:t>
      </w:r>
      <w:r>
        <w:rPr>
          <w:sz w:val="20"/>
          <w:szCs w:val="20"/>
        </w:rPr>
        <w:t>% owner of ANP Technologies, Inc., or ANP, from which the Company purchased COVID-19 antigen rapid test kits and entered into certain drug-related licensing and development service agreements. The President and Chief Scientific Officer of Fulgen</w:t>
      </w:r>
      <w:r>
        <w:rPr>
          <w:sz w:val="20"/>
          <w:szCs w:val="20"/>
        </w:rPr>
        <w:t xml:space="preserve">t Pharma, Ray Yin, is the Founder, President, and Chief Technology Officer of ANP. In the year ended December 31, 2022, the Company incurred </w:t>
      </w:r>
      <w:r>
        <w:rPr>
          <w:sz w:val="20"/>
          <w:szCs w:val="20"/>
        </w:rPr>
        <w:t>$</w:t>
      </w:r>
      <w:r>
        <w:rPr>
          <w:sz w:val="20"/>
          <w:szCs w:val="20"/>
        </w:rPr>
        <w:t>1.</w:t>
      </w:r>
      <w:r>
        <w:rPr>
          <w:sz w:val="20"/>
          <w:szCs w:val="20"/>
        </w:rPr>
        <w:t>2</w:t>
      </w:r>
      <w:r>
        <w:rPr>
          <w:sz w:val="20"/>
          <w:szCs w:val="20"/>
        </w:rPr>
        <w:t xml:space="preserve"> millio</w:t>
      </w:r>
      <w:r>
        <w:rPr>
          <w:sz w:val="20"/>
          <w:szCs w:val="20"/>
        </w:rPr>
        <w:t>n</w:t>
      </w:r>
      <w:r>
        <w:rPr>
          <w:sz w:val="20"/>
          <w:szCs w:val="20"/>
        </w:rPr>
        <w:t xml:space="preserve"> related to the purchase of COVID-19 antigen rapid tests kits and licensing and development services.</w:t>
      </w:r>
      <w:r>
        <w:rPr>
          <w:sz w:val="20"/>
          <w:szCs w:val="20"/>
        </w:rPr>
        <w:t xml:space="preserve"> </w:t>
      </w:r>
      <w:r>
        <w:rPr>
          <w:sz w:val="20"/>
          <w:szCs w:val="20"/>
        </w:rPr>
        <w:t>N</w:t>
      </w:r>
      <w:r>
        <w:rPr>
          <w:sz w:val="20"/>
          <w:szCs w:val="20"/>
        </w:rPr>
        <w:t>o</w:t>
      </w:r>
      <w:r>
        <w:rPr>
          <w:sz w:val="20"/>
          <w:szCs w:val="20"/>
        </w:rPr>
        <w:t xml:space="preserve"> costs were incurred in the years ended December 31, 2021 and 2020. As of December 31, 2022, </w:t>
      </w:r>
      <w:r>
        <w:rPr>
          <w:sz w:val="20"/>
          <w:szCs w:val="20"/>
        </w:rPr>
        <w:t>$</w:t>
      </w:r>
      <w:r>
        <w:rPr>
          <w:sz w:val="20"/>
          <w:szCs w:val="20"/>
        </w:rPr>
        <w:t>607,00</w:t>
      </w:r>
      <w:r>
        <w:rPr>
          <w:sz w:val="20"/>
          <w:szCs w:val="20"/>
        </w:rPr>
        <w:t>0</w:t>
      </w:r>
      <w:r>
        <w:rPr>
          <w:sz w:val="20"/>
          <w:szCs w:val="20"/>
        </w:rPr>
        <w:t xml:space="preserve"> was owed to ANP by the Company in connection with these relationships, and</w:t>
      </w:r>
      <w:r>
        <w:rPr>
          <w:sz w:val="20"/>
          <w:szCs w:val="20"/>
        </w:rPr>
        <w:t xml:space="preserve"> </w:t>
      </w:r>
      <w:r>
        <w:rPr>
          <w:sz w:val="20"/>
          <w:szCs w:val="20"/>
        </w:rPr>
        <w:t>n</w:t>
      </w:r>
      <w:r>
        <w:rPr>
          <w:sz w:val="20"/>
          <w:szCs w:val="20"/>
        </w:rPr>
        <w:t>o</w:t>
      </w:r>
      <w:r>
        <w:rPr>
          <w:sz w:val="20"/>
          <w:szCs w:val="20"/>
        </w:rPr>
        <w:t xml:space="preserve"> amount was owed to ANP as of December 31, 2021</w:t>
      </w:r>
      <w:r>
        <w:rPr>
          <w:sz w:val="20"/>
          <w:szCs w:val="20"/>
        </w:rPr>
        <w:t>.</w:t>
      </w:r>
    </w:p>
    <w:p w:rsidR="00000000" w:rsidRDefault="00477EE8">
      <w:pPr>
        <w:pStyle w:val="a3"/>
        <w:spacing w:before="240" w:beforeAutospacing="0" w:after="0" w:afterAutospacing="0"/>
        <w:ind w:firstLine="555"/>
        <w:rPr>
          <w:sz w:val="20"/>
          <w:szCs w:val="20"/>
        </w:rPr>
      </w:pPr>
      <w:r>
        <w:rPr>
          <w:sz w:val="20"/>
          <w:szCs w:val="20"/>
        </w:rPr>
        <w:t> </w:t>
      </w:r>
    </w:p>
    <w:p w:rsidR="00000000" w:rsidRDefault="00477EE8">
      <w:pPr>
        <w:pStyle w:val="a3"/>
        <w:spacing w:before="360" w:beforeAutospacing="0" w:after="0" w:afterAutospacing="0"/>
        <w:divId w:val="13969962"/>
        <w:rPr>
          <w:sz w:val="20"/>
          <w:szCs w:val="20"/>
        </w:rPr>
      </w:pPr>
      <w:r>
        <w:rPr>
          <w:b/>
          <w:bCs/>
          <w:sz w:val="20"/>
          <w:szCs w:val="20"/>
        </w:rPr>
        <w:t>Note 15. Business Combina</w:t>
      </w:r>
      <w:r>
        <w:rPr>
          <w:b/>
          <w:bCs/>
          <w:sz w:val="20"/>
          <w:szCs w:val="20"/>
        </w:rPr>
        <w:t>tion</w:t>
      </w:r>
      <w:r>
        <w:rPr>
          <w:b/>
          <w:bCs/>
          <w:sz w:val="20"/>
          <w:szCs w:val="20"/>
        </w:rPr>
        <w:t>s</w:t>
      </w:r>
    </w:p>
    <w:p w:rsidR="00000000" w:rsidRDefault="00477EE8">
      <w:pPr>
        <w:pStyle w:val="a3"/>
        <w:spacing w:before="120" w:beforeAutospacing="0" w:after="0" w:afterAutospacing="0"/>
        <w:divId w:val="13969962"/>
        <w:rPr>
          <w:sz w:val="20"/>
          <w:szCs w:val="20"/>
        </w:rPr>
      </w:pPr>
      <w:r>
        <w:rPr>
          <w:b/>
          <w:bCs/>
          <w:i/>
          <w:iCs/>
          <w:sz w:val="20"/>
          <w:szCs w:val="20"/>
        </w:rPr>
        <w:t>Inform Diagnostic</w:t>
      </w:r>
      <w:r>
        <w:rPr>
          <w:b/>
          <w:bCs/>
          <w:i/>
          <w:iCs/>
          <w:sz w:val="20"/>
          <w:szCs w:val="20"/>
        </w:rPr>
        <w:t>s</w:t>
      </w:r>
    </w:p>
    <w:p w:rsidR="00000000" w:rsidRDefault="00477EE8">
      <w:pPr>
        <w:pStyle w:val="a3"/>
        <w:spacing w:before="120" w:beforeAutospacing="0" w:after="0" w:afterAutospacing="0"/>
        <w:ind w:firstLine="555"/>
        <w:divId w:val="13969962"/>
        <w:rPr>
          <w:sz w:val="20"/>
          <w:szCs w:val="20"/>
        </w:rPr>
      </w:pPr>
      <w:r>
        <w:rPr>
          <w:sz w:val="20"/>
          <w:szCs w:val="20"/>
        </w:rPr>
        <w:t>On April 26, 2022, the Company completed the acquisition of</w:t>
      </w:r>
      <w:r>
        <w:rPr>
          <w:sz w:val="20"/>
          <w:szCs w:val="20"/>
        </w:rPr>
        <w:t xml:space="preserve"> </w:t>
      </w:r>
      <w:r>
        <w:rPr>
          <w:sz w:val="20"/>
          <w:szCs w:val="20"/>
        </w:rPr>
        <w:t>10</w:t>
      </w:r>
      <w:r>
        <w:rPr>
          <w:sz w:val="20"/>
          <w:szCs w:val="20"/>
        </w:rPr>
        <w:t>0</w:t>
      </w:r>
      <w:r>
        <w:rPr>
          <w:sz w:val="20"/>
          <w:szCs w:val="20"/>
        </w:rPr>
        <w:t xml:space="preserve">% of the outstanding equity of Symphony Buyer, Inc., or Inform Diagnostics, a leading national independent pathology laboratory based in Irving, Texas. Under the terms </w:t>
      </w:r>
      <w:r>
        <w:rPr>
          <w:sz w:val="20"/>
          <w:szCs w:val="20"/>
        </w:rPr>
        <w:t xml:space="preserve">of the Agreement and Plan of Merger, dated April 16, 2022, or the Inform Merger Agreement, the total purchase price payable to the securityholders of Symphony Buyer, Inc. was approximately </w:t>
      </w:r>
      <w:r>
        <w:rPr>
          <w:sz w:val="20"/>
          <w:szCs w:val="20"/>
        </w:rPr>
        <w:t>$</w:t>
      </w:r>
      <w:r>
        <w:rPr>
          <w:sz w:val="20"/>
          <w:szCs w:val="20"/>
        </w:rPr>
        <w:t>17</w:t>
      </w:r>
      <w:r>
        <w:rPr>
          <w:sz w:val="20"/>
          <w:szCs w:val="20"/>
        </w:rPr>
        <w:t>0</w:t>
      </w:r>
      <w:r>
        <w:rPr>
          <w:sz w:val="20"/>
          <w:szCs w:val="20"/>
        </w:rPr>
        <w:t xml:space="preserve"> million, as adjusted for closing cash, closing indebtedness, c</w:t>
      </w:r>
      <w:r>
        <w:rPr>
          <w:sz w:val="20"/>
          <w:szCs w:val="20"/>
        </w:rPr>
        <w:t>losing working capital, closing transaction expenses and other transaction matters. With the addition of Inform Diagnostics, the Company will further expand the Company’s genomic testing footprint and extend its test menu into breast pathology, gastrointes</w:t>
      </w:r>
      <w:r>
        <w:rPr>
          <w:sz w:val="20"/>
          <w:szCs w:val="20"/>
        </w:rPr>
        <w:t>tinal pathology, dermatopathology, urologic pathology, neuropathology, and hematopathology</w:t>
      </w:r>
      <w:r>
        <w:rPr>
          <w:sz w:val="20"/>
          <w:szCs w:val="20"/>
        </w:rPr>
        <w:t>.</w:t>
      </w:r>
    </w:p>
    <w:p w:rsidR="00000000" w:rsidRDefault="00477EE8">
      <w:pPr>
        <w:pStyle w:val="a3"/>
        <w:spacing w:before="240" w:beforeAutospacing="0" w:after="0" w:afterAutospacing="0"/>
        <w:ind w:firstLine="555"/>
        <w:divId w:val="13969962"/>
        <w:rPr>
          <w:sz w:val="20"/>
          <w:szCs w:val="20"/>
        </w:rPr>
      </w:pPr>
      <w:r>
        <w:rPr>
          <w:sz w:val="20"/>
          <w:szCs w:val="20"/>
        </w:rPr>
        <w:t>The financial results of Inform Diagnostics are included in the consolidated financial statements from the date of acquisition. The Company al</w:t>
      </w:r>
      <w:r>
        <w:rPr>
          <w:sz w:val="20"/>
          <w:szCs w:val="20"/>
        </w:rPr>
        <w:t>l</w:t>
      </w:r>
      <w:r>
        <w:rPr>
          <w:sz w:val="20"/>
          <w:szCs w:val="20"/>
        </w:rPr>
        <w:t>ocated the purchase p</w:t>
      </w:r>
      <w:r>
        <w:rPr>
          <w:sz w:val="20"/>
          <w:szCs w:val="20"/>
        </w:rPr>
        <w:t>rice to tangible and identified intangible assets acquired and liabilities assumed based on estimated fair values.</w:t>
      </w:r>
      <w:r>
        <w:rPr>
          <w:sz w:val="20"/>
          <w:szCs w:val="20"/>
        </w:rPr>
        <w:t xml:space="preserve"> </w:t>
      </w:r>
      <w:r>
        <w:rPr>
          <w:sz w:val="20"/>
          <w:szCs w:val="20"/>
        </w:rPr>
        <w:t>The following tables summarizes the consideration paid and the updated amounts of the assets acquired and liabilities assumed recognized at t</w:t>
      </w:r>
      <w:r>
        <w:rPr>
          <w:sz w:val="20"/>
          <w:szCs w:val="20"/>
        </w:rPr>
        <w:t>he acquisition date</w:t>
      </w:r>
      <w:r>
        <w:rPr>
          <w:sz w:val="20"/>
          <w:szCs w:val="20"/>
        </w:rPr>
        <w:t>:</w:t>
      </w:r>
    </w:p>
    <w:p w:rsidR="00000000" w:rsidRDefault="00477EE8">
      <w:pPr>
        <w:pStyle w:val="a3"/>
        <w:spacing w:before="0" w:beforeAutospacing="0" w:after="0" w:afterAutospacing="0"/>
        <w:ind w:firstLine="555"/>
        <w:divId w:val="840389634"/>
        <w:rPr>
          <w:sz w:val="20"/>
          <w:szCs w:val="20"/>
        </w:rPr>
      </w:pPr>
      <w:r>
        <w:rPr>
          <w:sz w:val="20"/>
          <w:szCs w:val="20"/>
        </w:rPr>
        <w:t> </w:t>
      </w:r>
    </w:p>
    <w:p w:rsidR="00000000" w:rsidRDefault="00477EE8">
      <w:pPr>
        <w:pStyle w:val="a3"/>
        <w:spacing w:before="240" w:beforeAutospacing="0" w:after="0" w:afterAutospacing="0"/>
        <w:jc w:val="center"/>
        <w:divId w:val="840389634"/>
        <w:rPr>
          <w:sz w:val="20"/>
          <w:szCs w:val="20"/>
        </w:rPr>
      </w:pPr>
      <w:r>
        <w:rPr>
          <w:sz w:val="20"/>
          <w:szCs w:val="20"/>
        </w:rPr>
        <w:t>F</w:t>
      </w:r>
      <w:r>
        <w:rPr>
          <w:sz w:val="20"/>
          <w:szCs w:val="20"/>
        </w:rPr>
        <w:t>-</w:t>
      </w:r>
      <w:r>
        <w:rPr>
          <w:sz w:val="20"/>
          <w:szCs w:val="20"/>
        </w:rPr>
        <w:t>3</w:t>
      </w:r>
      <w:r>
        <w:rPr>
          <w:sz w:val="20"/>
          <w:szCs w:val="20"/>
        </w:rPr>
        <w:t>1</w:t>
      </w:r>
    </w:p>
    <w:p w:rsidR="00000000" w:rsidRDefault="00477EE8">
      <w:pPr>
        <w:divId w:val="840389634"/>
        <w:rPr>
          <w:rFonts w:eastAsia="Times New Roman"/>
          <w:sz w:val="22"/>
          <w:szCs w:val="22"/>
        </w:rPr>
      </w:pPr>
      <w:r>
        <w:rPr>
          <w:rFonts w:eastAsia="Times New Roman"/>
          <w:sz w:val="22"/>
          <w:szCs w:val="22"/>
        </w:rPr>
        <w:pict>
          <v:rect id="_x0000_i1142"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884"/>
        <w:gridCol w:w="160"/>
        <w:gridCol w:w="1120"/>
        <w:gridCol w:w="142"/>
      </w:tblGrid>
      <w:tr w:rsidR="00000000">
        <w:trPr>
          <w:divId w:val="840389634"/>
          <w:tblCellSpacing w:w="15" w:type="dxa"/>
        </w:trPr>
        <w:tc>
          <w:tcPr>
            <w:tcW w:w="4211" w:type="pct"/>
            <w:vAlign w:val="center"/>
            <w:hideMark/>
          </w:tcPr>
          <w:p w:rsidR="00000000" w:rsidRDefault="00477EE8">
            <w:pPr>
              <w:rPr>
                <w:rFonts w:eastAsia="Times New Roman"/>
                <w:sz w:val="22"/>
                <w:szCs w:val="22"/>
              </w:rPr>
            </w:pPr>
          </w:p>
        </w:tc>
        <w:tc>
          <w:tcPr>
            <w:tcW w:w="50" w:type="pct"/>
            <w:vAlign w:val="center"/>
            <w:hideMark/>
          </w:tcPr>
          <w:p w:rsidR="00000000" w:rsidRDefault="00477EE8">
            <w:pPr>
              <w:rPr>
                <w:rFonts w:eastAsia="Times New Roman"/>
                <w:sz w:val="20"/>
                <w:szCs w:val="20"/>
              </w:rPr>
            </w:pPr>
          </w:p>
        </w:tc>
        <w:tc>
          <w:tcPr>
            <w:tcW w:w="688"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divId w:val="840389634"/>
          <w:trHeight w:val="160"/>
          <w:tblCellSpacing w:w="15" w:type="dxa"/>
        </w:trPr>
        <w:tc>
          <w:tcPr>
            <w:tcW w:w="0" w:type="auto"/>
            <w:vAlign w:val="bottom"/>
            <w:hideMark/>
          </w:tcPr>
          <w:p w:rsidR="00000000" w:rsidRDefault="00477EE8">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Amount</w:t>
            </w:r>
            <w:r>
              <w:rPr>
                <w:b/>
                <w:bCs/>
                <w:sz w:val="16"/>
                <w:szCs w:val="16"/>
              </w:rPr>
              <w:t>s</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840389634"/>
          <w:trHeight w:val="160"/>
          <w:tblCellSpacing w:w="15" w:type="dxa"/>
        </w:trPr>
        <w:tc>
          <w:tcPr>
            <w:tcW w:w="0" w:type="auto"/>
            <w:vAlign w:val="bottom"/>
            <w:hideMark/>
          </w:tcPr>
          <w:p w:rsidR="00000000" w:rsidRDefault="00477EE8">
            <w:pPr>
              <w:pStyle w:val="a3"/>
              <w:spacing w:before="0" w:beforeAutospacing="0" w:after="0" w:afterAutospacing="0"/>
              <w:rPr>
                <w:sz w:val="22"/>
                <w:szCs w:val="22"/>
              </w:rPr>
            </w:pPr>
            <w:r>
              <w:rPr>
                <w:sz w:val="22"/>
                <w:szCs w:val="22"/>
              </w:rPr>
              <w:t> </w:t>
            </w:r>
          </w:p>
        </w:tc>
        <w:tc>
          <w:tcPr>
            <w:tcW w:w="0" w:type="auto"/>
            <w:gridSpan w:val="2"/>
            <w:hideMark/>
          </w:tcPr>
          <w:p w:rsidR="00000000" w:rsidRDefault="00477EE8">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840389634"/>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Consideratio</w:t>
            </w:r>
            <w:r>
              <w:rPr>
                <w:sz w:val="20"/>
                <w:szCs w:val="20"/>
              </w:rPr>
              <w:t>n</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840389634"/>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Cash, net of cash receive</w:t>
            </w:r>
            <w:r>
              <w:rPr>
                <w:sz w:val="20"/>
                <w:szCs w:val="20"/>
              </w:rPr>
              <w:t>d</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137,75</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840389634"/>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477EE8">
            <w:pPr>
              <w:pStyle w:val="a3"/>
              <w:spacing w:before="0" w:beforeAutospacing="0" w:after="0" w:afterAutospacing="0"/>
              <w:rPr>
                <w:sz w:val="22"/>
                <w:szCs w:val="22"/>
              </w:rPr>
            </w:pPr>
            <w:r>
              <w:rPr>
                <w:rFonts w:ascii="Calibri" w:hAnsi="Calibri" w:cs="Calibri"/>
                <w:sz w:val="22"/>
                <w:szCs w:val="22"/>
              </w:rPr>
              <w:t> </w:t>
            </w:r>
          </w:p>
        </w:tc>
      </w:tr>
      <w:tr w:rsidR="00000000">
        <w:trPr>
          <w:divId w:val="840389634"/>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840389634"/>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b/>
                <w:bCs/>
                <w:sz w:val="20"/>
                <w:szCs w:val="20"/>
              </w:rPr>
              <w:t>Recognized amounts of identifiable assets acquired and liabilities assume</w:t>
            </w:r>
            <w:r>
              <w:rPr>
                <w:b/>
                <w:bCs/>
                <w:sz w:val="20"/>
                <w:szCs w:val="20"/>
              </w:rPr>
              <w:t>d</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840389634"/>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Net working capita</w:t>
            </w:r>
            <w:r>
              <w:rPr>
                <w:sz w:val="20"/>
                <w:szCs w:val="20"/>
              </w:rPr>
              <w:t>l</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15,02</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840389634"/>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Fixed asset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20,24</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840389634"/>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ROU assets - operatin</w:t>
            </w:r>
            <w:r>
              <w:rPr>
                <w:sz w:val="20"/>
                <w:szCs w:val="20"/>
              </w:rPr>
              <w:t>g</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12,65</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840389634"/>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ROU assets - financ</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1,18</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840389634"/>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Deferred tax asset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3,41</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840389634"/>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Other long-term asset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4,71</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840389634"/>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Identifiable intangible asset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57,06</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840389634"/>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Operating lease liabilitie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12,65</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840389634"/>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Finance lease liabilitie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1,18</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840389634"/>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Income tax payabl</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4</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840389634"/>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Other long-term liabilitie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4,44</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840389634"/>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Recognized amounts of identifiable assets acquired and liabilities assumed, ne</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65,91</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840389634"/>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Goodwil</w:t>
            </w:r>
            <w:r>
              <w:rPr>
                <w:sz w:val="20"/>
                <w:szCs w:val="20"/>
              </w:rPr>
              <w:t>l</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71,84</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840389634"/>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Tota</w:t>
            </w:r>
            <w:r>
              <w:rPr>
                <w:sz w:val="20"/>
                <w:szCs w:val="20"/>
              </w:rPr>
              <w:t>l</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137,75</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240" w:beforeAutospacing="0" w:after="0" w:afterAutospacing="0"/>
        <w:ind w:firstLine="555"/>
        <w:divId w:val="13969962"/>
        <w:rPr>
          <w:sz w:val="20"/>
          <w:szCs w:val="20"/>
        </w:rPr>
      </w:pPr>
      <w:r>
        <w:rPr>
          <w:sz w:val="20"/>
          <w:szCs w:val="20"/>
        </w:rPr>
        <w:t xml:space="preserve">The goodwill of </w:t>
      </w:r>
      <w:r>
        <w:rPr>
          <w:sz w:val="20"/>
          <w:szCs w:val="20"/>
        </w:rPr>
        <w:t>$</w:t>
      </w:r>
      <w:r>
        <w:rPr>
          <w:sz w:val="20"/>
          <w:szCs w:val="20"/>
        </w:rPr>
        <w:t>71.</w:t>
      </w:r>
      <w:r>
        <w:rPr>
          <w:sz w:val="20"/>
          <w:szCs w:val="20"/>
        </w:rPr>
        <w:t>8</w:t>
      </w:r>
      <w:r>
        <w:rPr>
          <w:sz w:val="20"/>
          <w:szCs w:val="20"/>
        </w:rPr>
        <w:t xml:space="preserve"> </w:t>
      </w:r>
      <w:r>
        <w:rPr>
          <w:sz w:val="20"/>
          <w:szCs w:val="20"/>
        </w:rPr>
        <w:t>million arising from the acquisition is attributed to the expected synergies, assembled workforce, other benefits that will be potentially generated from the combination and deferred tax. The goodwill recognized is not deductible for tax purposes</w:t>
      </w:r>
      <w:r>
        <w:rPr>
          <w:sz w:val="20"/>
          <w:szCs w:val="20"/>
        </w:rPr>
        <w:t>.</w:t>
      </w:r>
    </w:p>
    <w:p w:rsidR="00000000" w:rsidRDefault="00477EE8">
      <w:pPr>
        <w:pStyle w:val="a3"/>
        <w:spacing w:before="240" w:beforeAutospacing="0" w:after="0" w:afterAutospacing="0"/>
        <w:ind w:firstLine="555"/>
        <w:divId w:val="13969962"/>
        <w:rPr>
          <w:sz w:val="20"/>
          <w:szCs w:val="20"/>
        </w:rPr>
      </w:pPr>
      <w:r>
        <w:rPr>
          <w:sz w:val="20"/>
          <w:szCs w:val="20"/>
        </w:rPr>
        <w:t>The iden</w:t>
      </w:r>
      <w:r>
        <w:rPr>
          <w:sz w:val="20"/>
          <w:szCs w:val="20"/>
        </w:rPr>
        <w:t xml:space="preserve">tified intangible assets acquired consisted of </w:t>
      </w:r>
      <w:r>
        <w:rPr>
          <w:sz w:val="20"/>
          <w:szCs w:val="20"/>
        </w:rPr>
        <w:t>$</w:t>
      </w:r>
      <w:r>
        <w:rPr>
          <w:sz w:val="20"/>
          <w:szCs w:val="20"/>
        </w:rPr>
        <w:t>54.</w:t>
      </w:r>
      <w:r>
        <w:rPr>
          <w:sz w:val="20"/>
          <w:szCs w:val="20"/>
        </w:rPr>
        <w:t>0</w:t>
      </w:r>
      <w:r>
        <w:rPr>
          <w:sz w:val="20"/>
          <w:szCs w:val="20"/>
        </w:rPr>
        <w:t xml:space="preserve"> million customer relationships with an estimated amortization life of</w:t>
      </w:r>
      <w:r>
        <w:rPr>
          <w:sz w:val="20"/>
          <w:szCs w:val="20"/>
        </w:rPr>
        <w:t xml:space="preserve"> </w:t>
      </w:r>
      <w:r>
        <w:rPr>
          <w:sz w:val="20"/>
          <w:szCs w:val="20"/>
        </w:rPr>
        <w:t>1</w:t>
      </w:r>
      <w:r>
        <w:rPr>
          <w:sz w:val="20"/>
          <w:szCs w:val="20"/>
        </w:rPr>
        <w:t>4</w:t>
      </w:r>
      <w:r>
        <w:rPr>
          <w:sz w:val="20"/>
          <w:szCs w:val="20"/>
        </w:rPr>
        <w:t xml:space="preserve"> years, </w:t>
      </w:r>
      <w:r>
        <w:rPr>
          <w:sz w:val="20"/>
          <w:szCs w:val="20"/>
        </w:rPr>
        <w:t>$</w:t>
      </w:r>
      <w:r>
        <w:rPr>
          <w:sz w:val="20"/>
          <w:szCs w:val="20"/>
        </w:rPr>
        <w:t>2.</w:t>
      </w:r>
      <w:r>
        <w:rPr>
          <w:sz w:val="20"/>
          <w:szCs w:val="20"/>
        </w:rPr>
        <w:t>7</w:t>
      </w:r>
      <w:r>
        <w:rPr>
          <w:sz w:val="20"/>
          <w:szCs w:val="20"/>
        </w:rPr>
        <w:t xml:space="preserve"> million trade name with an estimated amortization life of</w:t>
      </w:r>
      <w:r>
        <w:rPr>
          <w:sz w:val="20"/>
          <w:szCs w:val="20"/>
        </w:rPr>
        <w:t xml:space="preserve"> </w:t>
      </w:r>
      <w:r>
        <w:rPr>
          <w:sz w:val="20"/>
          <w:szCs w:val="20"/>
        </w:rPr>
        <w:t>7</w:t>
      </w:r>
      <w:r>
        <w:rPr>
          <w:sz w:val="20"/>
          <w:szCs w:val="20"/>
        </w:rPr>
        <w:t xml:space="preserve"> years, and </w:t>
      </w:r>
      <w:r>
        <w:rPr>
          <w:sz w:val="20"/>
          <w:szCs w:val="20"/>
        </w:rPr>
        <w:t>$</w:t>
      </w:r>
      <w:r>
        <w:rPr>
          <w:sz w:val="20"/>
          <w:szCs w:val="20"/>
        </w:rPr>
        <w:t>360,00</w:t>
      </w:r>
      <w:r>
        <w:rPr>
          <w:sz w:val="20"/>
          <w:szCs w:val="20"/>
        </w:rPr>
        <w:t>0</w:t>
      </w:r>
      <w:r>
        <w:rPr>
          <w:sz w:val="20"/>
          <w:szCs w:val="20"/>
        </w:rPr>
        <w:t xml:space="preserve"> in-place lease intangible asset to be </w:t>
      </w:r>
      <w:r>
        <w:rPr>
          <w:sz w:val="20"/>
          <w:szCs w:val="20"/>
        </w:rPr>
        <w:t>amortized over the remaining lease term of</w:t>
      </w:r>
      <w:r>
        <w:rPr>
          <w:sz w:val="20"/>
          <w:szCs w:val="20"/>
        </w:rPr>
        <w:t xml:space="preserve"> </w:t>
      </w:r>
      <w:r>
        <w:rPr>
          <w:sz w:val="20"/>
          <w:szCs w:val="20"/>
        </w:rPr>
        <w:t>5</w:t>
      </w:r>
      <w:r>
        <w:rPr>
          <w:sz w:val="20"/>
          <w:szCs w:val="20"/>
        </w:rPr>
        <w:t xml:space="preserve"> years</w:t>
      </w:r>
      <w:r>
        <w:rPr>
          <w:sz w:val="20"/>
          <w:szCs w:val="20"/>
        </w:rPr>
        <w:t>.</w:t>
      </w:r>
    </w:p>
    <w:p w:rsidR="00000000" w:rsidRDefault="00477EE8">
      <w:pPr>
        <w:pStyle w:val="a3"/>
        <w:spacing w:before="240" w:beforeAutospacing="0" w:after="0" w:afterAutospacing="0"/>
        <w:ind w:firstLine="555"/>
        <w:divId w:val="13969962"/>
        <w:rPr>
          <w:sz w:val="20"/>
          <w:szCs w:val="20"/>
        </w:rPr>
      </w:pPr>
      <w:r>
        <w:rPr>
          <w:sz w:val="20"/>
          <w:szCs w:val="20"/>
        </w:rPr>
        <w:t xml:space="preserve">The fair value of the customer relationship was estimated using the Multiperiod Excess Earnings Method, or MPEEM, of the income approach. Under the MPEEM, an intangible asset’s fair value is equal to the </w:t>
      </w:r>
      <w:r>
        <w:rPr>
          <w:sz w:val="20"/>
          <w:szCs w:val="20"/>
        </w:rPr>
        <w:t>present value of the incremental after-tax cash flows attributable only to the subject intangible asset after deducting contributory asset charges. The incremental after-tax cash flows attributable to the customer relationships are then discounted to their</w:t>
      </w:r>
      <w:r>
        <w:rPr>
          <w:sz w:val="20"/>
          <w:szCs w:val="20"/>
        </w:rPr>
        <w:t xml:space="preserve"> present value at a risk-adjusted rate of return. The fair value of the trade name was estimated using the relief from royalty, or RFR, method. The RFR method estimates the portion of the Company's earnings attributable to an intangible asset based on the </w:t>
      </w:r>
      <w:r>
        <w:rPr>
          <w:sz w:val="20"/>
          <w:szCs w:val="20"/>
        </w:rPr>
        <w:t xml:space="preserve">royalty rate the Company would have paid for the use of the asset if it did not own it. The fair value of in-place lease intangible asset was estimated using the discounted cash flow under the income approach. The useful lives of the intangible assets for </w:t>
      </w:r>
      <w:r>
        <w:rPr>
          <w:sz w:val="20"/>
          <w:szCs w:val="20"/>
        </w:rPr>
        <w:t>amortization purposes were determined by considering the period of expected cash flows used to measure the fair values of the intangible assets adjusted as appropriate for entity-specific factors including legal, regulatory, contractual, competitive, econo</w:t>
      </w:r>
      <w:r>
        <w:rPr>
          <w:sz w:val="20"/>
          <w:szCs w:val="20"/>
        </w:rPr>
        <w:t>mic and other factors that may limit the useful life. The customer relationships and trade name are amortized on a straight-line basis over their estimated useful lives</w:t>
      </w:r>
      <w:r>
        <w:rPr>
          <w:sz w:val="20"/>
          <w:szCs w:val="20"/>
        </w:rPr>
        <w:t>.</w:t>
      </w:r>
    </w:p>
    <w:p w:rsidR="00000000" w:rsidRDefault="00477EE8">
      <w:pPr>
        <w:pStyle w:val="a3"/>
        <w:spacing w:before="240" w:beforeAutospacing="0" w:after="0" w:afterAutospacing="0"/>
        <w:ind w:firstLine="555"/>
        <w:divId w:val="13969962"/>
        <w:rPr>
          <w:sz w:val="20"/>
          <w:szCs w:val="20"/>
        </w:rPr>
      </w:pPr>
      <w:r>
        <w:rPr>
          <w:sz w:val="20"/>
          <w:szCs w:val="20"/>
        </w:rPr>
        <w:t>Revenue and operating loss from the Inform Diagnostics acquisition since the acquisiti</w:t>
      </w:r>
      <w:r>
        <w:rPr>
          <w:sz w:val="20"/>
          <w:szCs w:val="20"/>
        </w:rPr>
        <w:t xml:space="preserve">on date are </w:t>
      </w:r>
      <w:r>
        <w:rPr>
          <w:sz w:val="20"/>
          <w:szCs w:val="20"/>
        </w:rPr>
        <w:t>$</w:t>
      </w:r>
      <w:r>
        <w:rPr>
          <w:sz w:val="20"/>
          <w:szCs w:val="20"/>
        </w:rPr>
        <w:t>83.</w:t>
      </w:r>
      <w:r>
        <w:rPr>
          <w:sz w:val="20"/>
          <w:szCs w:val="20"/>
        </w:rPr>
        <w:t>6</w:t>
      </w:r>
      <w:r>
        <w:rPr>
          <w:sz w:val="20"/>
          <w:szCs w:val="20"/>
        </w:rPr>
        <w:t xml:space="preserve"> million and </w:t>
      </w:r>
      <w:r>
        <w:rPr>
          <w:sz w:val="20"/>
          <w:szCs w:val="20"/>
        </w:rPr>
        <w:t>$</w:t>
      </w:r>
      <w:r>
        <w:rPr>
          <w:sz w:val="20"/>
          <w:szCs w:val="20"/>
        </w:rPr>
        <w:t>17.</w:t>
      </w:r>
      <w:r>
        <w:rPr>
          <w:sz w:val="20"/>
          <w:szCs w:val="20"/>
        </w:rPr>
        <w:t>0</w:t>
      </w:r>
      <w:r>
        <w:rPr>
          <w:sz w:val="20"/>
          <w:szCs w:val="20"/>
        </w:rPr>
        <w:t xml:space="preserve"> million, respectively, which are included in the accompanying Consolidated Statements of Income</w:t>
      </w:r>
      <w:r>
        <w:rPr>
          <w:sz w:val="20"/>
          <w:szCs w:val="20"/>
        </w:rPr>
        <w:t>.</w:t>
      </w:r>
    </w:p>
    <w:p w:rsidR="00000000" w:rsidRDefault="00477EE8">
      <w:pPr>
        <w:pStyle w:val="a3"/>
        <w:spacing w:before="240" w:beforeAutospacing="0" w:after="0" w:afterAutospacing="0"/>
        <w:ind w:firstLine="555"/>
        <w:divId w:val="13969962"/>
        <w:rPr>
          <w:sz w:val="20"/>
          <w:szCs w:val="20"/>
        </w:rPr>
      </w:pPr>
      <w:r>
        <w:rPr>
          <w:sz w:val="20"/>
          <w:szCs w:val="20"/>
        </w:rPr>
        <w:t>The transaction costs associated with the acquisition of Inform Diagnostics consisted primarily of legal, regulatory and fi</w:t>
      </w:r>
      <w:r>
        <w:rPr>
          <w:sz w:val="20"/>
          <w:szCs w:val="20"/>
        </w:rPr>
        <w:t xml:space="preserve">nancial advisory fees of approximately </w:t>
      </w:r>
      <w:r>
        <w:rPr>
          <w:sz w:val="20"/>
          <w:szCs w:val="20"/>
        </w:rPr>
        <w:t>$</w:t>
      </w:r>
      <w:r>
        <w:rPr>
          <w:sz w:val="20"/>
          <w:szCs w:val="20"/>
        </w:rPr>
        <w:t>6.</w:t>
      </w:r>
      <w:r>
        <w:rPr>
          <w:sz w:val="20"/>
          <w:szCs w:val="20"/>
        </w:rPr>
        <w:t>6</w:t>
      </w:r>
      <w:r>
        <w:rPr>
          <w:sz w:val="20"/>
          <w:szCs w:val="20"/>
        </w:rPr>
        <w:t xml:space="preserve"> million for the year ended December 31, 2022, respectively. These transaction costs were expensed as incurred as general and administrative expense in the respective period</w:t>
      </w:r>
      <w:r>
        <w:rPr>
          <w:sz w:val="20"/>
          <w:szCs w:val="20"/>
        </w:rPr>
        <w:t>.</w:t>
      </w:r>
    </w:p>
    <w:p w:rsidR="00000000" w:rsidRDefault="00477EE8">
      <w:pPr>
        <w:pStyle w:val="a3"/>
        <w:spacing w:before="240" w:beforeAutospacing="0" w:after="0" w:afterAutospacing="0"/>
        <w:divId w:val="13969962"/>
        <w:rPr>
          <w:sz w:val="20"/>
          <w:szCs w:val="20"/>
        </w:rPr>
      </w:pPr>
      <w:r>
        <w:rPr>
          <w:b/>
          <w:bCs/>
          <w:sz w:val="20"/>
          <w:szCs w:val="20"/>
        </w:rPr>
        <w:t>Unaudited Pro Forma Financial Informat</w:t>
      </w:r>
      <w:r>
        <w:rPr>
          <w:b/>
          <w:bCs/>
          <w:sz w:val="20"/>
          <w:szCs w:val="20"/>
        </w:rPr>
        <w:t>io</w:t>
      </w:r>
      <w:r>
        <w:rPr>
          <w:b/>
          <w:bCs/>
          <w:sz w:val="20"/>
          <w:szCs w:val="20"/>
        </w:rPr>
        <w:t>n</w:t>
      </w:r>
    </w:p>
    <w:p w:rsidR="00000000" w:rsidRDefault="00477EE8">
      <w:pPr>
        <w:pStyle w:val="a3"/>
        <w:spacing w:before="120" w:beforeAutospacing="0" w:after="0" w:afterAutospacing="0"/>
        <w:ind w:firstLine="539"/>
        <w:divId w:val="27681425"/>
        <w:rPr>
          <w:sz w:val="20"/>
          <w:szCs w:val="20"/>
        </w:rPr>
      </w:pPr>
      <w:r>
        <w:rPr>
          <w:sz w:val="20"/>
          <w:szCs w:val="20"/>
        </w:rPr>
        <w:t>The following unaudited pro forma financial information summarizes the combined results of operations of Fulgent and Inform Diagnostics as if the companies had been combined as of the beginning of 2021. The pro forma financial information has been adju</w:t>
      </w:r>
      <w:r>
        <w:rPr>
          <w:sz w:val="20"/>
          <w:szCs w:val="20"/>
        </w:rPr>
        <w:t>sted for the following</w:t>
      </w:r>
      <w:r>
        <w:rPr>
          <w:sz w:val="20"/>
          <w:szCs w:val="20"/>
        </w:rPr>
        <w:t>:</w:t>
      </w:r>
    </w:p>
    <w:p w:rsidR="00000000" w:rsidRDefault="00477EE8">
      <w:pPr>
        <w:pStyle w:val="a3"/>
        <w:spacing w:before="240" w:beforeAutospacing="0" w:after="0" w:afterAutospacing="0"/>
        <w:ind w:firstLine="539"/>
        <w:divId w:val="13969962"/>
        <w:rPr>
          <w:sz w:val="20"/>
          <w:szCs w:val="20"/>
        </w:rPr>
      </w:pPr>
      <w:r>
        <w:rPr>
          <w:i/>
          <w:iCs/>
          <w:sz w:val="20"/>
          <w:szCs w:val="20"/>
        </w:rPr>
        <w:t>Acquisition-related cost</w:t>
      </w:r>
      <w:r>
        <w:rPr>
          <w:i/>
          <w:iCs/>
          <w:sz w:val="20"/>
          <w:szCs w:val="20"/>
        </w:rPr>
        <w:t>s</w:t>
      </w:r>
      <w:r>
        <w:rPr>
          <w:sz w:val="20"/>
          <w:szCs w:val="20"/>
        </w:rPr>
        <w:t xml:space="preserve"> - Acquisition-related costs incurred by both Fulgent and Inform Diagnostics were excluded from the net income attributable to Fulgent, and total costs were </w:t>
      </w:r>
      <w:r>
        <w:rPr>
          <w:sz w:val="20"/>
          <w:szCs w:val="20"/>
        </w:rPr>
        <w:t>$</w:t>
      </w:r>
      <w:r>
        <w:rPr>
          <w:sz w:val="20"/>
          <w:szCs w:val="20"/>
        </w:rPr>
        <w:t>9.</w:t>
      </w:r>
      <w:r>
        <w:rPr>
          <w:sz w:val="20"/>
          <w:szCs w:val="20"/>
        </w:rPr>
        <w:t>6</w:t>
      </w:r>
      <w:r>
        <w:rPr>
          <w:sz w:val="20"/>
          <w:szCs w:val="20"/>
        </w:rPr>
        <w:t xml:space="preserve"> million for the year ended December 31, 2022</w:t>
      </w:r>
      <w:r>
        <w:rPr>
          <w:sz w:val="20"/>
          <w:szCs w:val="20"/>
        </w:rPr>
        <w:t>.</w:t>
      </w:r>
    </w:p>
    <w:p w:rsidR="00000000" w:rsidRDefault="00477EE8">
      <w:pPr>
        <w:pStyle w:val="a3"/>
        <w:spacing w:before="240" w:beforeAutospacing="0" w:after="0" w:afterAutospacing="0"/>
        <w:jc w:val="center"/>
        <w:divId w:val="13969962"/>
        <w:rPr>
          <w:sz w:val="20"/>
          <w:szCs w:val="20"/>
        </w:rPr>
      </w:pPr>
      <w:r>
        <w:rPr>
          <w:sz w:val="20"/>
          <w:szCs w:val="20"/>
        </w:rPr>
        <w:t>F</w:t>
      </w:r>
      <w:r>
        <w:rPr>
          <w:sz w:val="20"/>
          <w:szCs w:val="20"/>
        </w:rPr>
        <w:t>-</w:t>
      </w:r>
      <w:r>
        <w:rPr>
          <w:sz w:val="20"/>
          <w:szCs w:val="20"/>
        </w:rPr>
        <w:t>3</w:t>
      </w:r>
      <w:r>
        <w:rPr>
          <w:sz w:val="20"/>
          <w:szCs w:val="20"/>
        </w:rPr>
        <w:t>2</w:t>
      </w:r>
    </w:p>
    <w:p w:rsidR="00000000" w:rsidRDefault="00477EE8">
      <w:pPr>
        <w:divId w:val="13969962"/>
        <w:rPr>
          <w:rFonts w:eastAsia="Times New Roman"/>
        </w:rPr>
      </w:pPr>
      <w:r>
        <w:rPr>
          <w:rFonts w:eastAsia="Times New Roman"/>
        </w:rPr>
        <w:pict>
          <v:rect id="_x0000_i1143" style="width:0;height:1.5pt" o:hralign="center" o:hrstd="t" o:hr="t" fillcolor="#a0a0a0" stroked="f"/>
        </w:pict>
      </w:r>
    </w:p>
    <w:p w:rsidR="00000000" w:rsidRDefault="00477EE8">
      <w:pPr>
        <w:pStyle w:val="a3"/>
        <w:spacing w:before="240" w:beforeAutospacing="0" w:after="0" w:afterAutospacing="0"/>
        <w:ind w:firstLine="539"/>
        <w:divId w:val="13969962"/>
        <w:rPr>
          <w:sz w:val="20"/>
          <w:szCs w:val="20"/>
        </w:rPr>
      </w:pPr>
      <w:r>
        <w:rPr>
          <w:sz w:val="20"/>
          <w:szCs w:val="20"/>
        </w:rPr>
        <w:t xml:space="preserve">Other adjustments to the net income attributable to Fulgent were </w:t>
      </w:r>
      <w:r>
        <w:rPr>
          <w:sz w:val="20"/>
          <w:szCs w:val="20"/>
        </w:rPr>
        <w:t>$</w:t>
      </w:r>
      <w:r>
        <w:rPr>
          <w:sz w:val="20"/>
          <w:szCs w:val="20"/>
        </w:rPr>
        <w:t>772,00</w:t>
      </w:r>
      <w:r>
        <w:rPr>
          <w:sz w:val="20"/>
          <w:szCs w:val="20"/>
        </w:rPr>
        <w:t>0</w:t>
      </w:r>
      <w:r>
        <w:rPr>
          <w:sz w:val="20"/>
          <w:szCs w:val="20"/>
        </w:rPr>
        <w:t xml:space="preserve"> and </w:t>
      </w:r>
      <w:r>
        <w:rPr>
          <w:sz w:val="20"/>
          <w:szCs w:val="20"/>
        </w:rPr>
        <w:t>$</w:t>
      </w:r>
      <w:r>
        <w:rPr>
          <w:sz w:val="20"/>
          <w:szCs w:val="20"/>
        </w:rPr>
        <w:t>2.</w:t>
      </w:r>
      <w:r>
        <w:rPr>
          <w:sz w:val="20"/>
          <w:szCs w:val="20"/>
        </w:rPr>
        <w:t>3</w:t>
      </w:r>
      <w:r>
        <w:rPr>
          <w:sz w:val="20"/>
          <w:szCs w:val="20"/>
        </w:rPr>
        <w:t xml:space="preserve"> million for the year ended December 31, 2022 and 2021, respectively. Other adjustments to revenue were </w:t>
      </w:r>
      <w:r>
        <w:rPr>
          <w:sz w:val="20"/>
          <w:szCs w:val="20"/>
        </w:rPr>
        <w:t>$</w:t>
      </w:r>
      <w:r>
        <w:rPr>
          <w:sz w:val="20"/>
          <w:szCs w:val="20"/>
        </w:rPr>
        <w:t>962,00</w:t>
      </w:r>
      <w:r>
        <w:rPr>
          <w:sz w:val="20"/>
          <w:szCs w:val="20"/>
        </w:rPr>
        <w:t>0</w:t>
      </w:r>
      <w:r>
        <w:rPr>
          <w:sz w:val="20"/>
          <w:szCs w:val="20"/>
        </w:rPr>
        <w:t xml:space="preserve"> and </w:t>
      </w:r>
      <w:r>
        <w:rPr>
          <w:sz w:val="20"/>
          <w:szCs w:val="20"/>
        </w:rPr>
        <w:t>$</w:t>
      </w:r>
      <w:r>
        <w:rPr>
          <w:sz w:val="20"/>
          <w:szCs w:val="20"/>
        </w:rPr>
        <w:t>3.</w:t>
      </w:r>
      <w:r>
        <w:rPr>
          <w:sz w:val="20"/>
          <w:szCs w:val="20"/>
        </w:rPr>
        <w:t>9</w:t>
      </w:r>
      <w:r>
        <w:rPr>
          <w:sz w:val="20"/>
          <w:szCs w:val="20"/>
        </w:rPr>
        <w:t xml:space="preserve"> million for or t</w:t>
      </w:r>
      <w:r>
        <w:rPr>
          <w:sz w:val="20"/>
          <w:szCs w:val="20"/>
        </w:rPr>
        <w:t>he year ended December 31, 2022 and 2021, respectively</w:t>
      </w:r>
      <w:r>
        <w:rPr>
          <w:sz w:val="20"/>
          <w:szCs w:val="20"/>
        </w:rPr>
        <w:t>.</w:t>
      </w:r>
    </w:p>
    <w:p w:rsidR="00000000" w:rsidRDefault="00477EE8">
      <w:pPr>
        <w:pStyle w:val="a3"/>
        <w:spacing w:before="0" w:beforeAutospacing="0" w:after="0" w:afterAutospacing="0"/>
        <w:ind w:firstLine="539"/>
        <w:divId w:val="13969962"/>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94"/>
        <w:gridCol w:w="160"/>
        <w:gridCol w:w="874"/>
        <w:gridCol w:w="110"/>
        <w:gridCol w:w="147"/>
        <w:gridCol w:w="160"/>
        <w:gridCol w:w="1036"/>
        <w:gridCol w:w="125"/>
      </w:tblGrid>
      <w:tr w:rsidR="00000000">
        <w:trPr>
          <w:divId w:val="1215199025"/>
          <w:tblCellSpacing w:w="15" w:type="dxa"/>
        </w:trPr>
        <w:tc>
          <w:tcPr>
            <w:tcW w:w="3529"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540"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88"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41"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divId w:val="1215199025"/>
          <w:trHeight w:val="160"/>
          <w:tblCellSpacing w:w="15" w:type="dxa"/>
        </w:trPr>
        <w:tc>
          <w:tcPr>
            <w:tcW w:w="0" w:type="auto"/>
            <w:vAlign w:val="bottom"/>
            <w:hideMark/>
          </w:tcPr>
          <w:p w:rsidR="00000000" w:rsidRDefault="00477EE8">
            <w:pPr>
              <w:pStyle w:val="a3"/>
              <w:spacing w:before="0" w:beforeAutospacing="0" w:after="0" w:afterAutospacing="0"/>
              <w:rPr>
                <w:sz w:val="22"/>
                <w:szCs w:val="22"/>
              </w:rPr>
            </w:pPr>
            <w:r>
              <w:rPr>
                <w:sz w:val="22"/>
                <w:szCs w:val="22"/>
              </w:rPr>
              <w:t> </w:t>
            </w:r>
          </w:p>
        </w:tc>
        <w:tc>
          <w:tcPr>
            <w:tcW w:w="0" w:type="auto"/>
            <w:gridSpan w:val="6"/>
            <w:vAlign w:val="bottom"/>
            <w:hideMark/>
          </w:tcPr>
          <w:p w:rsidR="00000000" w:rsidRDefault="00477EE8">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215199025"/>
          <w:trHeight w:val="160"/>
          <w:tblCellSpacing w:w="15" w:type="dxa"/>
        </w:trPr>
        <w:tc>
          <w:tcPr>
            <w:tcW w:w="0" w:type="auto"/>
            <w:vAlign w:val="bottom"/>
            <w:hideMark/>
          </w:tcPr>
          <w:p w:rsidR="00000000" w:rsidRDefault="00477EE8">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215199025"/>
          <w:trHeight w:val="160"/>
          <w:tblCellSpacing w:w="15" w:type="dxa"/>
        </w:trPr>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6"/>
            <w:hideMark/>
          </w:tcPr>
          <w:p w:rsidR="00000000" w:rsidRDefault="00477EE8">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215199025"/>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Revenu</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659,38</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1,140,18</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15199025"/>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Net income attributable to Fulgen</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140,28</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493,31</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15199025"/>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Basic earnings per common share attributable to Fulgen</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4.6</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16.7</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15199025"/>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Diluted earnings per common share attributable to Fulgen</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4.5</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15.9</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360" w:beforeAutospacing="0" w:after="0" w:afterAutospacing="0"/>
        <w:divId w:val="13969962"/>
        <w:rPr>
          <w:sz w:val="20"/>
          <w:szCs w:val="20"/>
        </w:rPr>
      </w:pPr>
      <w:r>
        <w:rPr>
          <w:b/>
          <w:bCs/>
          <w:i/>
          <w:iCs/>
          <w:sz w:val="20"/>
          <w:szCs w:val="20"/>
        </w:rPr>
        <w:t>Fulgent Pharma Holdings, In</w:t>
      </w:r>
      <w:r>
        <w:rPr>
          <w:b/>
          <w:bCs/>
          <w:i/>
          <w:iCs/>
          <w:sz w:val="20"/>
          <w:szCs w:val="20"/>
        </w:rPr>
        <w:t>c</w:t>
      </w:r>
    </w:p>
    <w:p w:rsidR="00000000" w:rsidRDefault="00477EE8">
      <w:pPr>
        <w:pStyle w:val="a3"/>
        <w:spacing w:before="120" w:beforeAutospacing="0" w:after="0" w:afterAutospacing="0"/>
        <w:ind w:firstLine="539"/>
        <w:divId w:val="13969962"/>
        <w:rPr>
          <w:sz w:val="20"/>
          <w:szCs w:val="20"/>
        </w:rPr>
      </w:pPr>
      <w:r>
        <w:rPr>
          <w:sz w:val="20"/>
          <w:szCs w:val="20"/>
        </w:rPr>
        <w:t>On November 7, 2022, the Company completed the acquisition of</w:t>
      </w:r>
      <w:r>
        <w:rPr>
          <w:sz w:val="20"/>
          <w:szCs w:val="20"/>
        </w:rPr>
        <w:t xml:space="preserve"> </w:t>
      </w:r>
      <w:r>
        <w:rPr>
          <w:sz w:val="20"/>
          <w:szCs w:val="20"/>
        </w:rPr>
        <w:t>10</w:t>
      </w:r>
      <w:r>
        <w:rPr>
          <w:sz w:val="20"/>
          <w:szCs w:val="20"/>
        </w:rPr>
        <w:t>0</w:t>
      </w:r>
      <w:r>
        <w:rPr>
          <w:sz w:val="20"/>
          <w:szCs w:val="20"/>
        </w:rPr>
        <w:t xml:space="preserve">% of the outstanding equity of Fulgent Pharma, a clinical-stage, therapeutics development company focused on perfecting drug candidates for treating a broad range of cancers. Under the terms </w:t>
      </w:r>
      <w:r>
        <w:rPr>
          <w:sz w:val="20"/>
          <w:szCs w:val="20"/>
        </w:rPr>
        <w:t>of the Agreement and Plan of Merger, dated November 7, 2022, or the Pharma Merger Agreement, the total merger consideration was paid in a combination of cash, the Company's common stock, or the Stock Consideration, and assumed restricted stock units, or RS</w:t>
      </w:r>
      <w:r>
        <w:rPr>
          <w:sz w:val="20"/>
          <w:szCs w:val="20"/>
        </w:rPr>
        <w:t>Us, subject to customary adjustments for closing cash, closing indebtedness, transaction expenses and other transaction matters. A portion of the Stock Consideration was held back for a duration of time after the closing of the transaction to satisfy certa</w:t>
      </w:r>
      <w:r>
        <w:rPr>
          <w:sz w:val="20"/>
          <w:szCs w:val="20"/>
        </w:rPr>
        <w:t>in indemnification obligations of the Pharma Stockholders as described in the Pharma Merger Agreement. The RSUs are subject to vesting over the</w:t>
      </w:r>
      <w:r>
        <w:rPr>
          <w:sz w:val="20"/>
          <w:szCs w:val="20"/>
        </w:rPr>
        <w:t xml:space="preserve"> </w:t>
      </w:r>
      <w:r>
        <w:rPr>
          <w:sz w:val="20"/>
          <w:szCs w:val="20"/>
        </w:rPr>
        <w:t>four-yea</w:t>
      </w:r>
      <w:r>
        <w:rPr>
          <w:sz w:val="20"/>
          <w:szCs w:val="20"/>
        </w:rPr>
        <w:t>r</w:t>
      </w:r>
      <w:r>
        <w:rPr>
          <w:sz w:val="20"/>
          <w:szCs w:val="20"/>
        </w:rPr>
        <w:t xml:space="preserve"> period immediately following the date of their original grant, subject to the holder’s continuing serv</w:t>
      </w:r>
      <w:r>
        <w:rPr>
          <w:sz w:val="20"/>
          <w:szCs w:val="20"/>
        </w:rPr>
        <w:t>ice. The integrated companies plan to offer a vertically integrated solution to combat cancer with the potential to unlock significant long-term upsides for both the therapeutic and diagnostic businesses, while effectively managing risk</w:t>
      </w:r>
      <w:r>
        <w:rPr>
          <w:sz w:val="20"/>
          <w:szCs w:val="20"/>
        </w:rPr>
        <w:t>.</w:t>
      </w:r>
      <w:r>
        <w:rPr>
          <w:sz w:val="20"/>
          <w:szCs w:val="20"/>
        </w:rPr>
        <w:t xml:space="preserve"> </w:t>
      </w:r>
    </w:p>
    <w:p w:rsidR="00000000" w:rsidRDefault="00477EE8">
      <w:pPr>
        <w:pStyle w:val="a3"/>
        <w:spacing w:before="240" w:beforeAutospacing="0" w:after="0" w:afterAutospacing="0"/>
        <w:ind w:firstLine="555"/>
        <w:divId w:val="13969962"/>
        <w:rPr>
          <w:sz w:val="20"/>
          <w:szCs w:val="20"/>
        </w:rPr>
      </w:pPr>
      <w:r>
        <w:rPr>
          <w:sz w:val="20"/>
          <w:szCs w:val="20"/>
        </w:rPr>
        <w:t>The financial res</w:t>
      </w:r>
      <w:r>
        <w:rPr>
          <w:sz w:val="20"/>
          <w:szCs w:val="20"/>
        </w:rPr>
        <w:t>ults of Pharma are included in the consolidated financial statements from the date of acquisition. The Company al</w:t>
      </w:r>
      <w:r>
        <w:rPr>
          <w:sz w:val="20"/>
          <w:szCs w:val="20"/>
        </w:rPr>
        <w:t>l</w:t>
      </w:r>
      <w:r>
        <w:rPr>
          <w:sz w:val="20"/>
          <w:szCs w:val="20"/>
        </w:rPr>
        <w:t>ocated the purchase price to tangible and identified intangible assets acquired and liabilities assumed based on estimated fair values.</w:t>
      </w:r>
      <w:r>
        <w:rPr>
          <w:sz w:val="20"/>
          <w:szCs w:val="20"/>
        </w:rPr>
        <w:t xml:space="preserve"> </w:t>
      </w:r>
      <w:r>
        <w:rPr>
          <w:sz w:val="20"/>
          <w:szCs w:val="20"/>
        </w:rPr>
        <w:t>The fo</w:t>
      </w:r>
      <w:r>
        <w:rPr>
          <w:sz w:val="20"/>
          <w:szCs w:val="20"/>
        </w:rPr>
        <w:t>llowing tables summarizes the consideration paid and the updated amounts of the assets acquired and liabilities assumed recognized at the acquisition date</w:t>
      </w:r>
      <w:r>
        <w:rPr>
          <w:sz w:val="20"/>
          <w:szCs w:val="20"/>
        </w:rPr>
        <w:t>:</w:t>
      </w:r>
    </w:p>
    <w:p w:rsidR="00000000" w:rsidRDefault="00477EE8">
      <w:pPr>
        <w:pStyle w:val="a3"/>
        <w:spacing w:before="0" w:beforeAutospacing="0" w:after="0" w:afterAutospacing="0"/>
        <w:ind w:firstLine="555"/>
        <w:divId w:val="1263874408"/>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879"/>
        <w:gridCol w:w="160"/>
        <w:gridCol w:w="1125"/>
        <w:gridCol w:w="142"/>
      </w:tblGrid>
      <w:tr w:rsidR="00000000">
        <w:trPr>
          <w:divId w:val="1263874408"/>
          <w:tblCellSpacing w:w="15" w:type="dxa"/>
        </w:trPr>
        <w:tc>
          <w:tcPr>
            <w:tcW w:w="4208"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691"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divId w:val="1263874408"/>
          <w:trHeight w:val="160"/>
          <w:tblCellSpacing w:w="15" w:type="dxa"/>
        </w:trPr>
        <w:tc>
          <w:tcPr>
            <w:tcW w:w="0" w:type="auto"/>
            <w:vAlign w:val="bottom"/>
            <w:hideMark/>
          </w:tcPr>
          <w:p w:rsidR="00000000" w:rsidRDefault="00477EE8">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Amount</w:t>
            </w:r>
            <w:r>
              <w:rPr>
                <w:b/>
                <w:bCs/>
                <w:sz w:val="16"/>
                <w:szCs w:val="16"/>
              </w:rPr>
              <w:t>s</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263874408"/>
          <w:trHeight w:val="160"/>
          <w:tblCellSpacing w:w="15" w:type="dxa"/>
        </w:trPr>
        <w:tc>
          <w:tcPr>
            <w:tcW w:w="0" w:type="auto"/>
            <w:vAlign w:val="bottom"/>
            <w:hideMark/>
          </w:tcPr>
          <w:p w:rsidR="00000000" w:rsidRDefault="00477EE8">
            <w:pPr>
              <w:pStyle w:val="a3"/>
              <w:spacing w:before="0" w:beforeAutospacing="0" w:after="0" w:afterAutospacing="0"/>
              <w:rPr>
                <w:sz w:val="22"/>
                <w:szCs w:val="22"/>
              </w:rPr>
            </w:pPr>
            <w:r>
              <w:rPr>
                <w:sz w:val="22"/>
                <w:szCs w:val="22"/>
              </w:rPr>
              <w:t> </w:t>
            </w:r>
          </w:p>
        </w:tc>
        <w:tc>
          <w:tcPr>
            <w:tcW w:w="0" w:type="auto"/>
            <w:gridSpan w:val="2"/>
            <w:hideMark/>
          </w:tcPr>
          <w:p w:rsidR="00000000" w:rsidRDefault="00477EE8">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263874408"/>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Consideration</w:t>
            </w:r>
            <w:r>
              <w:rPr>
                <w:sz w:val="20"/>
                <w:szCs w:val="20"/>
              </w:rPr>
              <w:t>s</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r>
      <w:tr w:rsidR="00000000">
        <w:trPr>
          <w:divId w:val="1263874408"/>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Cash, net of cash receive</w:t>
            </w:r>
            <w:r>
              <w:rPr>
                <w:sz w:val="20"/>
                <w:szCs w:val="20"/>
              </w:rPr>
              <w:t>d</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39,92</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63874408"/>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Stoc</w:t>
            </w:r>
            <w:r>
              <w:rPr>
                <w:sz w:val="20"/>
                <w:szCs w:val="20"/>
              </w:rPr>
              <w:t>k</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28,11</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63874408"/>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Total consideration</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68,03</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63874408"/>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r>
      <w:tr w:rsidR="00000000">
        <w:trPr>
          <w:divId w:val="1263874408"/>
          <w:trHeight w:val="200"/>
          <w:tblCellSpacing w:w="15" w:type="dxa"/>
        </w:trPr>
        <w:tc>
          <w:tcPr>
            <w:tcW w:w="0" w:type="auto"/>
            <w:hideMark/>
          </w:tcPr>
          <w:p w:rsidR="00000000" w:rsidRDefault="00477EE8">
            <w:pPr>
              <w:pStyle w:val="a3"/>
              <w:spacing w:before="0" w:beforeAutospacing="0" w:after="0" w:afterAutospacing="0"/>
              <w:rPr>
                <w:sz w:val="20"/>
                <w:szCs w:val="20"/>
              </w:rPr>
            </w:pPr>
            <w:r>
              <w:rPr>
                <w:b/>
                <w:bCs/>
                <w:sz w:val="20"/>
                <w:szCs w:val="20"/>
              </w:rPr>
              <w:t>Recognized amounts of identifiable assets acquired and liabilities assume</w:t>
            </w:r>
            <w:r>
              <w:rPr>
                <w:b/>
                <w:bCs/>
                <w:sz w:val="20"/>
                <w:szCs w:val="20"/>
              </w:rPr>
              <w:t>d</w:t>
            </w:r>
          </w:p>
        </w:tc>
        <w:tc>
          <w:tcPr>
            <w:tcW w:w="0" w:type="auto"/>
            <w:gridSpan w:val="2"/>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r>
      <w:tr w:rsidR="00000000">
        <w:trPr>
          <w:divId w:val="1263874408"/>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Debt-free net working capita</w:t>
            </w:r>
            <w:r>
              <w:rPr>
                <w:sz w:val="20"/>
                <w:szCs w:val="20"/>
              </w:rPr>
              <w:t>l</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3,67</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1263874408"/>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Restricted cas</w:t>
            </w:r>
            <w:r>
              <w:rPr>
                <w:sz w:val="20"/>
                <w:szCs w:val="20"/>
              </w:rPr>
              <w:t>h</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5,00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63874408"/>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Fixed asset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1,31</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63874408"/>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Identifiable intangible asset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64,59</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63874408"/>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Deferred tax liabilitie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16,17</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1263874408"/>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Long-term or non-operating liabilitie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5,06</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1263874408"/>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Recognized amounts of identifiable assets acquired and liabilities assumed, ne</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45,98</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63874408"/>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Goodwil</w:t>
            </w:r>
            <w:r>
              <w:rPr>
                <w:sz w:val="20"/>
                <w:szCs w:val="20"/>
              </w:rPr>
              <w:t>l</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22,05</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263874408"/>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Tota</w:t>
            </w:r>
            <w:r>
              <w:rPr>
                <w:sz w:val="20"/>
                <w:szCs w:val="20"/>
              </w:rPr>
              <w:t>l</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68,03</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240" w:beforeAutospacing="0" w:after="0" w:afterAutospacing="0"/>
        <w:ind w:firstLine="555"/>
        <w:divId w:val="13969962"/>
        <w:rPr>
          <w:sz w:val="20"/>
          <w:szCs w:val="20"/>
        </w:rPr>
      </w:pPr>
      <w:r>
        <w:rPr>
          <w:sz w:val="20"/>
          <w:szCs w:val="20"/>
        </w:rPr>
        <w:t xml:space="preserve">The goodwill of </w:t>
      </w:r>
      <w:r>
        <w:rPr>
          <w:sz w:val="20"/>
          <w:szCs w:val="20"/>
        </w:rPr>
        <w:t>$</w:t>
      </w:r>
      <w:r>
        <w:rPr>
          <w:sz w:val="20"/>
          <w:szCs w:val="20"/>
        </w:rPr>
        <w:t>22.</w:t>
      </w:r>
      <w:r>
        <w:rPr>
          <w:sz w:val="20"/>
          <w:szCs w:val="20"/>
        </w:rPr>
        <w:t>1</w:t>
      </w:r>
      <w:r>
        <w:rPr>
          <w:sz w:val="20"/>
          <w:szCs w:val="20"/>
        </w:rPr>
        <w:t xml:space="preserve"> </w:t>
      </w:r>
      <w:r>
        <w:rPr>
          <w:sz w:val="20"/>
          <w:szCs w:val="20"/>
        </w:rPr>
        <w:t>million arising from the acquisition is attributed to Fulgent Pharma's rights to intellectual property, expected synergies, assembled workforce, and other benefits that will potentially be generated from the combination and deferred tax. The goodwill recog</w:t>
      </w:r>
      <w:r>
        <w:rPr>
          <w:sz w:val="20"/>
          <w:szCs w:val="20"/>
        </w:rPr>
        <w:t>nized is not deductible for tax purposes</w:t>
      </w:r>
      <w:r>
        <w:rPr>
          <w:sz w:val="20"/>
          <w:szCs w:val="20"/>
        </w:rPr>
        <w:t>.</w:t>
      </w:r>
    </w:p>
    <w:p w:rsidR="00000000" w:rsidRDefault="00477EE8">
      <w:pPr>
        <w:pStyle w:val="a3"/>
        <w:spacing w:before="240" w:beforeAutospacing="0" w:after="0" w:afterAutospacing="0"/>
        <w:ind w:firstLine="555"/>
        <w:divId w:val="13969962"/>
        <w:rPr>
          <w:sz w:val="20"/>
          <w:szCs w:val="20"/>
        </w:rPr>
      </w:pPr>
      <w:r>
        <w:rPr>
          <w:sz w:val="20"/>
          <w:szCs w:val="20"/>
        </w:rPr>
        <w:t xml:space="preserve">The identified intangible assets acquired consisted of </w:t>
      </w:r>
      <w:r>
        <w:rPr>
          <w:sz w:val="20"/>
          <w:szCs w:val="20"/>
        </w:rPr>
        <w:t>$</w:t>
      </w:r>
      <w:r>
        <w:rPr>
          <w:sz w:val="20"/>
          <w:szCs w:val="20"/>
        </w:rPr>
        <w:t>64.</w:t>
      </w:r>
      <w:r>
        <w:rPr>
          <w:sz w:val="20"/>
          <w:szCs w:val="20"/>
        </w:rPr>
        <w:t>6</w:t>
      </w:r>
      <w:r>
        <w:rPr>
          <w:sz w:val="20"/>
          <w:szCs w:val="20"/>
        </w:rPr>
        <w:t xml:space="preserve"> million in IPR&amp;D. Fulgent Pharma has developed a novel nanoencapsulation and targeted therapy platform, which is designed to improve the therapeutic wind</w:t>
      </w:r>
      <w:r>
        <w:rPr>
          <w:sz w:val="20"/>
          <w:szCs w:val="20"/>
        </w:rPr>
        <w:t>ow and pharmacokinetic profile of new and existing cancer drugs. The lead drug candidate, FID-007, has achieved proof-of-concept in preliminary human clinical trials for the treatment of various cancer types, including head and neck, ampullary, pancreatic,</w:t>
      </w:r>
      <w:r>
        <w:rPr>
          <w:sz w:val="20"/>
          <w:szCs w:val="20"/>
        </w:rPr>
        <w:t xml:space="preserve"> </w:t>
      </w:r>
      <w:r>
        <w:rPr>
          <w:sz w:val="20"/>
          <w:szCs w:val="20"/>
        </w:rPr>
        <w:t>non-small cell lung cance</w:t>
      </w:r>
      <w:r>
        <w:rPr>
          <w:sz w:val="20"/>
          <w:szCs w:val="20"/>
        </w:rPr>
        <w:t>r</w:t>
      </w:r>
      <w:r>
        <w:rPr>
          <w:sz w:val="20"/>
          <w:szCs w:val="20"/>
        </w:rPr>
        <w:t>, and breast. The fair value of the IPR&amp;D was estimated using MPEEM. The method involves forecasting after-tax operating income from existing clients, subtracting the portions attributable to a contributory asset, and discounting</w:t>
      </w:r>
      <w:r>
        <w:rPr>
          <w:sz w:val="20"/>
          <w:szCs w:val="20"/>
        </w:rPr>
        <w:t xml:space="preserve"> the remaining earnings to present value. The useful life of IPR&amp;D is indefinite</w:t>
      </w:r>
      <w:r>
        <w:rPr>
          <w:sz w:val="20"/>
          <w:szCs w:val="20"/>
        </w:rPr>
        <w:t>.</w:t>
      </w:r>
    </w:p>
    <w:p w:rsidR="00000000" w:rsidRDefault="00477EE8">
      <w:pPr>
        <w:pStyle w:val="a3"/>
        <w:spacing w:before="240" w:beforeAutospacing="0" w:after="0" w:afterAutospacing="0"/>
        <w:jc w:val="center"/>
        <w:divId w:val="13969962"/>
        <w:rPr>
          <w:sz w:val="20"/>
          <w:szCs w:val="20"/>
        </w:rPr>
      </w:pPr>
      <w:r>
        <w:rPr>
          <w:sz w:val="20"/>
          <w:szCs w:val="20"/>
        </w:rPr>
        <w:t>F</w:t>
      </w:r>
      <w:r>
        <w:rPr>
          <w:sz w:val="20"/>
          <w:szCs w:val="20"/>
        </w:rPr>
        <w:t>-</w:t>
      </w:r>
      <w:r>
        <w:rPr>
          <w:sz w:val="20"/>
          <w:szCs w:val="20"/>
        </w:rPr>
        <w:t>3</w:t>
      </w:r>
      <w:r>
        <w:rPr>
          <w:sz w:val="20"/>
          <w:szCs w:val="20"/>
        </w:rPr>
        <w:t>3</w:t>
      </w:r>
    </w:p>
    <w:p w:rsidR="00000000" w:rsidRDefault="00477EE8">
      <w:pPr>
        <w:divId w:val="13969962"/>
        <w:rPr>
          <w:rFonts w:eastAsia="Times New Roman"/>
        </w:rPr>
      </w:pPr>
      <w:r>
        <w:rPr>
          <w:rFonts w:eastAsia="Times New Roman"/>
        </w:rPr>
        <w:pict>
          <v:rect id="_x0000_i1144" style="width:0;height:1.5pt" o:hralign="center" o:hrstd="t" o:hr="t" fillcolor="#a0a0a0" stroked="f"/>
        </w:pict>
      </w:r>
    </w:p>
    <w:p w:rsidR="00000000" w:rsidRDefault="00477EE8">
      <w:pPr>
        <w:pStyle w:val="a3"/>
        <w:spacing w:before="240" w:beforeAutospacing="0" w:after="0" w:afterAutospacing="0"/>
        <w:ind w:firstLine="555"/>
        <w:divId w:val="13969962"/>
        <w:rPr>
          <w:sz w:val="20"/>
          <w:szCs w:val="20"/>
        </w:rPr>
      </w:pPr>
      <w:r>
        <w:rPr>
          <w:sz w:val="20"/>
          <w:szCs w:val="20"/>
        </w:rPr>
        <w:t>Revenue and operating loss from the Fulgent Pharma acquisition since the acquisition date are</w:t>
      </w:r>
      <w:r>
        <w:rPr>
          <w:sz w:val="20"/>
          <w:szCs w:val="20"/>
        </w:rPr>
        <w:t xml:space="preserve"> </w:t>
      </w:r>
      <w:r>
        <w:rPr>
          <w:sz w:val="20"/>
          <w:szCs w:val="20"/>
        </w:rPr>
        <w:t>zer</w:t>
      </w:r>
      <w:r>
        <w:rPr>
          <w:sz w:val="20"/>
          <w:szCs w:val="20"/>
        </w:rPr>
        <w:t>o</w:t>
      </w:r>
      <w:r>
        <w:rPr>
          <w:sz w:val="20"/>
          <w:szCs w:val="20"/>
        </w:rPr>
        <w:t xml:space="preserve"> and </w:t>
      </w:r>
      <w:r>
        <w:rPr>
          <w:sz w:val="20"/>
          <w:szCs w:val="20"/>
        </w:rPr>
        <w:t>$</w:t>
      </w:r>
      <w:r>
        <w:rPr>
          <w:sz w:val="20"/>
          <w:szCs w:val="20"/>
        </w:rPr>
        <w:t>816,00</w:t>
      </w:r>
      <w:r>
        <w:rPr>
          <w:sz w:val="20"/>
          <w:szCs w:val="20"/>
        </w:rPr>
        <w:t>0</w:t>
      </w:r>
      <w:r>
        <w:rPr>
          <w:sz w:val="20"/>
          <w:szCs w:val="20"/>
        </w:rPr>
        <w:t>, respectively, which</w:t>
      </w:r>
      <w:r>
        <w:rPr>
          <w:sz w:val="20"/>
          <w:szCs w:val="20"/>
        </w:rPr>
        <w:t xml:space="preserve"> are included in the accompanying Consolidated Statements of Income</w:t>
      </w:r>
      <w:r>
        <w:rPr>
          <w:sz w:val="20"/>
          <w:szCs w:val="20"/>
        </w:rPr>
        <w:t>.</w:t>
      </w:r>
    </w:p>
    <w:p w:rsidR="00000000" w:rsidRDefault="00477EE8">
      <w:pPr>
        <w:pStyle w:val="a3"/>
        <w:spacing w:before="240" w:beforeAutospacing="0" w:after="0" w:afterAutospacing="0"/>
        <w:ind w:firstLine="555"/>
        <w:divId w:val="13969962"/>
        <w:rPr>
          <w:sz w:val="20"/>
          <w:szCs w:val="20"/>
        </w:rPr>
      </w:pPr>
      <w:r>
        <w:rPr>
          <w:sz w:val="20"/>
          <w:szCs w:val="20"/>
        </w:rPr>
        <w:t xml:space="preserve">The transaction costs associated with the acquisition of Pharma consisted primarily of legal, regulatory and financial advisory fees of approximately </w:t>
      </w:r>
      <w:r>
        <w:rPr>
          <w:sz w:val="20"/>
          <w:szCs w:val="20"/>
        </w:rPr>
        <w:t>$</w:t>
      </w:r>
      <w:r>
        <w:rPr>
          <w:sz w:val="20"/>
          <w:szCs w:val="20"/>
        </w:rPr>
        <w:t>1.</w:t>
      </w:r>
      <w:r>
        <w:rPr>
          <w:sz w:val="20"/>
          <w:szCs w:val="20"/>
        </w:rPr>
        <w:t>4</w:t>
      </w:r>
      <w:r>
        <w:rPr>
          <w:sz w:val="20"/>
          <w:szCs w:val="20"/>
        </w:rPr>
        <w:t xml:space="preserve"> million for the year ended Decem</w:t>
      </w:r>
      <w:r>
        <w:rPr>
          <w:sz w:val="20"/>
          <w:szCs w:val="20"/>
        </w:rPr>
        <w:t>ber 31, 2022. These transaction costs were expensed as incurred as general and administrative expense in the respective period</w:t>
      </w:r>
      <w:r>
        <w:rPr>
          <w:sz w:val="20"/>
          <w:szCs w:val="20"/>
        </w:rPr>
        <w:t>.</w:t>
      </w:r>
    </w:p>
    <w:p w:rsidR="00000000" w:rsidRDefault="00477EE8">
      <w:pPr>
        <w:pStyle w:val="a3"/>
        <w:spacing w:before="240" w:beforeAutospacing="0" w:after="0" w:afterAutospacing="0"/>
        <w:ind w:firstLine="555"/>
        <w:divId w:val="13969962"/>
        <w:rPr>
          <w:sz w:val="20"/>
          <w:szCs w:val="20"/>
        </w:rPr>
      </w:pPr>
      <w:r>
        <w:rPr>
          <w:sz w:val="20"/>
          <w:szCs w:val="20"/>
        </w:rPr>
        <w:t xml:space="preserve">The </w:t>
      </w:r>
      <w:r>
        <w:rPr>
          <w:sz w:val="20"/>
          <w:szCs w:val="20"/>
        </w:rPr>
        <w:t>$</w:t>
      </w:r>
      <w:r>
        <w:rPr>
          <w:sz w:val="20"/>
          <w:szCs w:val="20"/>
        </w:rPr>
        <w:t>5.</w:t>
      </w:r>
      <w:r>
        <w:rPr>
          <w:sz w:val="20"/>
          <w:szCs w:val="20"/>
        </w:rPr>
        <w:t>0</w:t>
      </w:r>
      <w:r>
        <w:rPr>
          <w:sz w:val="20"/>
          <w:szCs w:val="20"/>
        </w:rPr>
        <w:t xml:space="preserve"> million restricted cash received represents cash consideration payable pursuant to the share transfer agreement Fulgent</w:t>
      </w:r>
      <w:r>
        <w:rPr>
          <w:sz w:val="20"/>
          <w:szCs w:val="20"/>
        </w:rPr>
        <w:t xml:space="preserve"> Pharma entered prior to Fulgent Pharma acquisition date. The cash consideration was not paid as of Fulgent Pharma acquisition date and was included in noncurrent or non-operating liabilities in above table</w:t>
      </w:r>
      <w:r>
        <w:rPr>
          <w:sz w:val="20"/>
          <w:szCs w:val="20"/>
        </w:rPr>
        <w:t>.</w:t>
      </w:r>
    </w:p>
    <w:p w:rsidR="00000000" w:rsidRDefault="00477EE8">
      <w:pPr>
        <w:pStyle w:val="a3"/>
        <w:spacing w:before="360" w:beforeAutospacing="0" w:after="0" w:afterAutospacing="0"/>
        <w:divId w:val="879436122"/>
        <w:rPr>
          <w:sz w:val="20"/>
          <w:szCs w:val="20"/>
        </w:rPr>
      </w:pPr>
      <w:r>
        <w:rPr>
          <w:b/>
          <w:bCs/>
          <w:sz w:val="20"/>
          <w:szCs w:val="20"/>
        </w:rPr>
        <w:t>Note 16. Stock Repurchase Progra</w:t>
      </w:r>
      <w:r>
        <w:rPr>
          <w:b/>
          <w:bCs/>
          <w:sz w:val="20"/>
          <w:szCs w:val="20"/>
        </w:rPr>
        <w:t>m</w:t>
      </w:r>
    </w:p>
    <w:p w:rsidR="00000000" w:rsidRDefault="00477EE8">
      <w:pPr>
        <w:pStyle w:val="a3"/>
        <w:spacing w:before="120" w:beforeAutospacing="0" w:after="0" w:afterAutospacing="0"/>
        <w:ind w:firstLine="555"/>
        <w:divId w:val="879436122"/>
        <w:rPr>
          <w:sz w:val="20"/>
          <w:szCs w:val="20"/>
        </w:rPr>
      </w:pPr>
      <w:r>
        <w:rPr>
          <w:sz w:val="20"/>
          <w:szCs w:val="20"/>
        </w:rPr>
        <w:t>In March 2022,</w:t>
      </w:r>
      <w:r>
        <w:rPr>
          <w:sz w:val="20"/>
          <w:szCs w:val="20"/>
        </w:rPr>
        <w:t xml:space="preserve"> the Company's Board authorized a </w:t>
      </w:r>
      <w:r>
        <w:rPr>
          <w:sz w:val="20"/>
          <w:szCs w:val="20"/>
        </w:rPr>
        <w:t>$</w:t>
      </w:r>
      <w:r>
        <w:rPr>
          <w:sz w:val="20"/>
          <w:szCs w:val="20"/>
        </w:rPr>
        <w:t>250.</w:t>
      </w:r>
      <w:r>
        <w:rPr>
          <w:sz w:val="20"/>
          <w:szCs w:val="20"/>
        </w:rPr>
        <w:t>0</w:t>
      </w:r>
      <w:r>
        <w:rPr>
          <w:sz w:val="20"/>
          <w:szCs w:val="20"/>
        </w:rPr>
        <w:t xml:space="preserve"> million stock repurchase program. Under the stock repurchase program, the Company may repurchase shares from time to time in the open market or in privately negotiated transactions. The stock repurchase program has </w:t>
      </w:r>
      <w:r>
        <w:rPr>
          <w:sz w:val="20"/>
          <w:szCs w:val="20"/>
        </w:rPr>
        <w:t>no expiration from the date of authorization. During the year ended December 31, 2022, the Company repurchased</w:t>
      </w:r>
      <w:r>
        <w:rPr>
          <w:sz w:val="20"/>
          <w:szCs w:val="20"/>
        </w:rPr>
        <w:t xml:space="preserve"> </w:t>
      </w:r>
      <w:r>
        <w:rPr>
          <w:sz w:val="20"/>
          <w:szCs w:val="20"/>
        </w:rPr>
        <w:t>1.</w:t>
      </w:r>
      <w:r>
        <w:rPr>
          <w:sz w:val="20"/>
          <w:szCs w:val="20"/>
        </w:rPr>
        <w:t>8</w:t>
      </w:r>
      <w:r>
        <w:rPr>
          <w:sz w:val="20"/>
          <w:szCs w:val="20"/>
        </w:rPr>
        <w:t xml:space="preserve"> million shares of its common stock at an aggregate cost of </w:t>
      </w:r>
      <w:r>
        <w:rPr>
          <w:sz w:val="20"/>
          <w:szCs w:val="20"/>
        </w:rPr>
        <w:t>$</w:t>
      </w:r>
      <w:r>
        <w:rPr>
          <w:sz w:val="20"/>
          <w:szCs w:val="20"/>
        </w:rPr>
        <w:t>74.</w:t>
      </w:r>
      <w:r>
        <w:rPr>
          <w:sz w:val="20"/>
          <w:szCs w:val="20"/>
        </w:rPr>
        <w:t>3</w:t>
      </w:r>
      <w:r>
        <w:rPr>
          <w:sz w:val="20"/>
          <w:szCs w:val="20"/>
        </w:rPr>
        <w:t xml:space="preserve"> million under the stock repurchase program. As of December 31, 2022, a total</w:t>
      </w:r>
      <w:r>
        <w:rPr>
          <w:sz w:val="20"/>
          <w:szCs w:val="20"/>
        </w:rPr>
        <w:t xml:space="preserve"> of approximately </w:t>
      </w:r>
      <w:r>
        <w:rPr>
          <w:sz w:val="20"/>
          <w:szCs w:val="20"/>
        </w:rPr>
        <w:t>$</w:t>
      </w:r>
      <w:r>
        <w:rPr>
          <w:sz w:val="20"/>
          <w:szCs w:val="20"/>
        </w:rPr>
        <w:t>175.</w:t>
      </w:r>
      <w:r>
        <w:rPr>
          <w:sz w:val="20"/>
          <w:szCs w:val="20"/>
        </w:rPr>
        <w:t>7</w:t>
      </w:r>
      <w:r>
        <w:rPr>
          <w:sz w:val="20"/>
          <w:szCs w:val="20"/>
        </w:rPr>
        <w:t xml:space="preserve"> million remained available for future repurchases of its common stock under the stock repurchase program</w:t>
      </w:r>
      <w:r>
        <w:rPr>
          <w:sz w:val="20"/>
          <w:szCs w:val="20"/>
        </w:rPr>
        <w:t>.</w:t>
      </w:r>
    </w:p>
    <w:p w:rsidR="00000000" w:rsidRDefault="00477EE8">
      <w:pPr>
        <w:pStyle w:val="a3"/>
        <w:spacing w:before="360" w:beforeAutospacing="0" w:after="0" w:afterAutospacing="0"/>
        <w:divId w:val="1584800186"/>
        <w:rPr>
          <w:sz w:val="20"/>
          <w:szCs w:val="20"/>
        </w:rPr>
      </w:pPr>
      <w:r>
        <w:rPr>
          <w:b/>
          <w:bCs/>
          <w:sz w:val="20"/>
          <w:szCs w:val="20"/>
        </w:rPr>
        <w:t>Note 17. Goodwill and Intangible Asset</w:t>
      </w:r>
      <w:r>
        <w:rPr>
          <w:b/>
          <w:bCs/>
          <w:sz w:val="20"/>
          <w:szCs w:val="20"/>
        </w:rPr>
        <w:t>s</w:t>
      </w:r>
    </w:p>
    <w:p w:rsidR="00000000" w:rsidRDefault="00477EE8">
      <w:pPr>
        <w:pStyle w:val="a3"/>
        <w:spacing w:before="120" w:beforeAutospacing="0" w:after="0" w:afterAutospacing="0"/>
        <w:ind w:firstLine="555"/>
        <w:divId w:val="411124462"/>
        <w:rPr>
          <w:sz w:val="20"/>
          <w:szCs w:val="20"/>
        </w:rPr>
      </w:pPr>
      <w:r>
        <w:rPr>
          <w:sz w:val="20"/>
          <w:szCs w:val="20"/>
        </w:rPr>
        <w:t>Summaries of goodwill and intangible assets balances as of December 31, 2022 and 2021 were as follows</w:t>
      </w:r>
      <w:r>
        <w:rPr>
          <w:sz w:val="20"/>
          <w:szCs w:val="20"/>
        </w:rPr>
        <w:t>:</w:t>
      </w:r>
    </w:p>
    <w:p w:rsidR="00000000" w:rsidRDefault="00477EE8">
      <w:pPr>
        <w:pStyle w:val="a3"/>
        <w:spacing w:before="0" w:beforeAutospacing="0" w:after="0" w:afterAutospacing="0"/>
        <w:divId w:val="411124462"/>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75"/>
        <w:gridCol w:w="2639"/>
        <w:gridCol w:w="160"/>
        <w:gridCol w:w="1121"/>
        <w:gridCol w:w="127"/>
        <w:gridCol w:w="130"/>
        <w:gridCol w:w="160"/>
        <w:gridCol w:w="952"/>
        <w:gridCol w:w="142"/>
      </w:tblGrid>
      <w:tr w:rsidR="00000000">
        <w:trPr>
          <w:divId w:val="411124462"/>
          <w:tblCellSpacing w:w="15" w:type="dxa"/>
        </w:trPr>
        <w:tc>
          <w:tcPr>
            <w:tcW w:w="1783" w:type="pct"/>
            <w:vAlign w:val="center"/>
            <w:hideMark/>
          </w:tcPr>
          <w:p w:rsidR="00000000" w:rsidRDefault="00477EE8">
            <w:pPr>
              <w:rPr>
                <w:sz w:val="20"/>
                <w:szCs w:val="20"/>
              </w:rPr>
            </w:pPr>
          </w:p>
        </w:tc>
        <w:tc>
          <w:tcPr>
            <w:tcW w:w="1645"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698"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79"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592"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divId w:val="411124462"/>
          <w:trHeight w:val="160"/>
          <w:tblCellSpacing w:w="15" w:type="dxa"/>
        </w:trPr>
        <w:tc>
          <w:tcPr>
            <w:tcW w:w="0" w:type="auto"/>
            <w:vAlign w:val="bottom"/>
            <w:hideMark/>
          </w:tcPr>
          <w:p w:rsidR="00000000" w:rsidRDefault="00477EE8">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477EE8">
            <w:pPr>
              <w:pStyle w:val="a3"/>
              <w:spacing w:before="0" w:beforeAutospacing="0" w:after="0" w:afterAutospacing="0"/>
              <w:rPr>
                <w:sz w:val="16"/>
                <w:szCs w:val="16"/>
              </w:rPr>
            </w:pPr>
            <w:r>
              <w:rPr>
                <w:rFonts w:ascii="Calibri" w:hAnsi="Calibri" w:cs="Calibri"/>
                <w:sz w:val="16"/>
                <w:szCs w:val="16"/>
              </w:rPr>
              <w:t> </w:t>
            </w:r>
          </w:p>
        </w:tc>
        <w:tc>
          <w:tcPr>
            <w:tcW w:w="0" w:type="auto"/>
            <w:gridSpan w:val="6"/>
            <w:vAlign w:val="bottom"/>
            <w:hideMark/>
          </w:tcPr>
          <w:p w:rsidR="00000000" w:rsidRDefault="00477EE8">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411124462"/>
          <w:trHeight w:val="160"/>
          <w:tblCellSpacing w:w="15" w:type="dxa"/>
        </w:trPr>
        <w:tc>
          <w:tcPr>
            <w:tcW w:w="0" w:type="auto"/>
            <w:vAlign w:val="bottom"/>
            <w:hideMark/>
          </w:tcPr>
          <w:p w:rsidR="00000000" w:rsidRDefault="00477EE8">
            <w:pPr>
              <w:pStyle w:val="a3"/>
              <w:spacing w:before="0" w:beforeAutospacing="0" w:after="0" w:afterAutospacing="0"/>
              <w:rPr>
                <w:sz w:val="22"/>
                <w:szCs w:val="22"/>
              </w:rPr>
            </w:pPr>
            <w:r>
              <w:rPr>
                <w:rFonts w:ascii="Calibri" w:hAnsi="Calibri" w:cs="Calibri"/>
                <w:sz w:val="22"/>
                <w:szCs w:val="22"/>
              </w:rPr>
              <w:t> </w:t>
            </w:r>
          </w:p>
        </w:tc>
        <w:tc>
          <w:tcPr>
            <w:tcW w:w="0" w:type="auto"/>
            <w:hideMark/>
          </w:tcPr>
          <w:p w:rsidR="00000000" w:rsidRDefault="00477EE8">
            <w:pPr>
              <w:pStyle w:val="a3"/>
              <w:spacing w:before="0" w:beforeAutospacing="0" w:after="0" w:afterAutospacing="0"/>
              <w:jc w:val="center"/>
              <w:rPr>
                <w:sz w:val="16"/>
                <w:szCs w:val="16"/>
              </w:rPr>
            </w:pPr>
            <w:r>
              <w:rPr>
                <w:b/>
                <w:bCs/>
                <w:sz w:val="16"/>
                <w:szCs w:val="16"/>
              </w:rPr>
              <w:t>Weighted-Average Amortization Perio</w:t>
            </w:r>
            <w:r>
              <w:rPr>
                <w:b/>
                <w:bCs/>
                <w:sz w:val="16"/>
                <w:szCs w:val="16"/>
              </w:rPr>
              <w:t>d</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411124462"/>
          <w:trHeight w:val="160"/>
          <w:tblCellSpacing w:w="15" w:type="dxa"/>
        </w:trPr>
        <w:tc>
          <w:tcPr>
            <w:tcW w:w="0" w:type="auto"/>
            <w:vAlign w:val="bottom"/>
            <w:hideMark/>
          </w:tcPr>
          <w:p w:rsidR="00000000" w:rsidRDefault="00477EE8">
            <w:pPr>
              <w:pStyle w:val="a3"/>
              <w:spacing w:before="0" w:beforeAutospacing="0" w:after="0" w:afterAutospacing="0"/>
              <w:rPr>
                <w:sz w:val="22"/>
                <w:szCs w:val="22"/>
              </w:rPr>
            </w:pPr>
            <w:r>
              <w:rPr>
                <w:rFonts w:ascii="Calibri" w:hAnsi="Calibri" w:cs="Calibri"/>
                <w:sz w:val="22"/>
                <w:szCs w:val="22"/>
              </w:rPr>
              <w:t> </w:t>
            </w:r>
          </w:p>
        </w:tc>
        <w:tc>
          <w:tcPr>
            <w:tcW w:w="0" w:type="auto"/>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6"/>
            <w:hideMark/>
          </w:tcPr>
          <w:p w:rsidR="00000000" w:rsidRDefault="00477EE8">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411124462"/>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Goodwil</w:t>
            </w:r>
            <w:r>
              <w:rPr>
                <w:sz w:val="20"/>
                <w:szCs w:val="20"/>
              </w:rPr>
              <w:t>l</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143,02</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50,89</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411124462"/>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411124462"/>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In-process research &amp; developmen</w:t>
            </w:r>
            <w:r>
              <w:rPr>
                <w:sz w:val="20"/>
                <w:szCs w:val="20"/>
              </w:rPr>
              <w:t>t</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n/</w:t>
            </w:r>
            <w:r>
              <w:rPr>
                <w:sz w:val="20"/>
                <w:szCs w:val="20"/>
              </w:rPr>
              <w:t>a</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64,59</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411124462"/>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411124462"/>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Royalty-free technolog</w:t>
            </w:r>
            <w:r>
              <w:rPr>
                <w:sz w:val="20"/>
                <w:szCs w:val="20"/>
              </w:rPr>
              <w:t>y</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1</w:t>
            </w:r>
            <w:r>
              <w:rPr>
                <w:sz w:val="20"/>
                <w:szCs w:val="20"/>
              </w:rPr>
              <w:t>0</w:t>
            </w:r>
            <w:r>
              <w:rPr>
                <w:sz w:val="20"/>
                <w:szCs w:val="20"/>
              </w:rPr>
              <w:t> Year</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5,36</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5,80</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411124462"/>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Less: accumulated amortizatio</w:t>
            </w:r>
            <w:r>
              <w:rPr>
                <w:sz w:val="20"/>
                <w:szCs w:val="20"/>
              </w:rPr>
              <w:t>n</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89</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38</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411124462"/>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Royalty-free technology, ne</w:t>
            </w:r>
            <w:r>
              <w:rPr>
                <w:sz w:val="20"/>
                <w:szCs w:val="20"/>
              </w:rPr>
              <w:t>t</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4,47</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5,41</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411124462"/>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411124462"/>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Customer relationship</w:t>
            </w:r>
            <w:r>
              <w:rPr>
                <w:sz w:val="20"/>
                <w:szCs w:val="20"/>
              </w:rPr>
              <w:t>s</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1</w:t>
            </w:r>
            <w:r>
              <w:rPr>
                <w:sz w:val="20"/>
                <w:szCs w:val="20"/>
              </w:rPr>
              <w:t>3</w:t>
            </w:r>
            <w:r>
              <w:rPr>
                <w:sz w:val="20"/>
                <w:szCs w:val="20"/>
              </w:rPr>
              <w:t> Year</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82,75</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28,84</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411124462"/>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Less: accumulated amortizatio</w:t>
            </w:r>
            <w:r>
              <w:rPr>
                <w:sz w:val="20"/>
                <w:szCs w:val="20"/>
              </w:rPr>
              <w:t>n</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6,21</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1,12</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411124462"/>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Customer relationships, ne</w:t>
            </w:r>
            <w:r>
              <w:rPr>
                <w:sz w:val="20"/>
                <w:szCs w:val="20"/>
              </w:rPr>
              <w:t>t</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76,53</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27,72</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411124462"/>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411124462"/>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Trade nam</w:t>
            </w:r>
            <w:r>
              <w:rPr>
                <w:sz w:val="20"/>
                <w:szCs w:val="20"/>
              </w:rPr>
              <w:t>e</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8</w:t>
            </w:r>
            <w:r>
              <w:rPr>
                <w:sz w:val="20"/>
                <w:szCs w:val="20"/>
              </w:rPr>
              <w:t> Year</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3,79</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1,09</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411124462"/>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Less: accumulated amortizatio</w:t>
            </w:r>
            <w:r>
              <w:rPr>
                <w:sz w:val="20"/>
                <w:szCs w:val="20"/>
              </w:rPr>
              <w:t>n</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41</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4</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411124462"/>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Trade name, ne</w:t>
            </w:r>
            <w:r>
              <w:rPr>
                <w:sz w:val="20"/>
                <w:szCs w:val="20"/>
              </w:rPr>
              <w:t>t</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3,37</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1,04</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411124462"/>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411124462"/>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In-place lease intangible asset</w:t>
            </w:r>
            <w:r>
              <w:rPr>
                <w:sz w:val="20"/>
                <w:szCs w:val="20"/>
              </w:rPr>
              <w:t>s</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5</w:t>
            </w:r>
            <w:r>
              <w:rPr>
                <w:sz w:val="20"/>
                <w:szCs w:val="20"/>
              </w:rPr>
              <w:t> Year</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36</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411124462"/>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Less: accumulated amortizatio</w:t>
            </w:r>
            <w:r>
              <w:rPr>
                <w:sz w:val="20"/>
                <w:szCs w:val="20"/>
              </w:rPr>
              <w:t>n</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4</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411124462"/>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In-place lease intangible assets, ne</w:t>
            </w:r>
            <w:r>
              <w:rPr>
                <w:sz w:val="20"/>
                <w:szCs w:val="20"/>
              </w:rPr>
              <w:t>t</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31</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411124462"/>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411124462"/>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Laboratory information system platfor</w:t>
            </w:r>
            <w:r>
              <w:rPr>
                <w:sz w:val="20"/>
                <w:szCs w:val="20"/>
              </w:rPr>
              <w:t>m</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5</w:t>
            </w:r>
            <w:r>
              <w:rPr>
                <w:sz w:val="20"/>
                <w:szCs w:val="20"/>
              </w:rPr>
              <w:t> Year</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1,86</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1,86</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411124462"/>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Less: accumulated amortizatio</w:t>
            </w:r>
            <w:r>
              <w:rPr>
                <w:sz w:val="20"/>
                <w:szCs w:val="20"/>
              </w:rPr>
              <w:t>n</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52</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15</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411124462"/>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Laboratory information system platform, ne</w:t>
            </w:r>
            <w:r>
              <w:rPr>
                <w:sz w:val="20"/>
                <w:szCs w:val="20"/>
              </w:rPr>
              <w:t>t</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1,33</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1,70</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411124462"/>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411124462"/>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Purchased paten</w:t>
            </w:r>
            <w:r>
              <w:rPr>
                <w:sz w:val="20"/>
                <w:szCs w:val="20"/>
              </w:rPr>
              <w:t>t</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1</w:t>
            </w:r>
            <w:r>
              <w:rPr>
                <w:sz w:val="20"/>
                <w:szCs w:val="20"/>
              </w:rPr>
              <w:t>0</w:t>
            </w:r>
            <w:r>
              <w:rPr>
                <w:sz w:val="20"/>
                <w:szCs w:val="20"/>
              </w:rPr>
              <w:t> Year</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411124462"/>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Less: accumulated amortizatio</w:t>
            </w:r>
            <w:r>
              <w:rPr>
                <w:sz w:val="20"/>
                <w:szCs w:val="20"/>
              </w:rPr>
              <w:t>n</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r>
      <w:tr w:rsidR="00000000">
        <w:trPr>
          <w:divId w:val="411124462"/>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Purchased patent, ne</w:t>
            </w:r>
            <w:r>
              <w:rPr>
                <w:sz w:val="20"/>
                <w:szCs w:val="20"/>
              </w:rPr>
              <w:t>t</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411124462"/>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Total intangible assets, ne</w:t>
            </w:r>
            <w:r>
              <w:rPr>
                <w:sz w:val="20"/>
                <w:szCs w:val="20"/>
              </w:rPr>
              <w:t>t</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150,64</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35,91</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240" w:beforeAutospacing="0" w:after="0" w:afterAutospacing="0"/>
        <w:ind w:firstLine="555"/>
        <w:divId w:val="1584800186"/>
        <w:rPr>
          <w:sz w:val="20"/>
          <w:szCs w:val="20"/>
        </w:rPr>
      </w:pPr>
      <w:r>
        <w:rPr>
          <w:sz w:val="20"/>
          <w:szCs w:val="20"/>
        </w:rPr>
        <w:t>Acquisition-related intangibles included in the above tables are generally finite-lived and are carried at cost less accumulated amortization, except for IPR&amp;D, which is related to our 2022 acquisition of Fulgent Pharma and has an indefinite life until res</w:t>
      </w:r>
      <w:r>
        <w:rPr>
          <w:sz w:val="20"/>
          <w:szCs w:val="20"/>
        </w:rPr>
        <w:t>earc</w:t>
      </w:r>
      <w:r>
        <w:rPr>
          <w:sz w:val="20"/>
          <w:szCs w:val="20"/>
        </w:rPr>
        <w:t>h</w:t>
      </w:r>
      <w:r>
        <w:rPr>
          <w:sz w:val="20"/>
          <w:szCs w:val="20"/>
        </w:rPr>
        <w:t xml:space="preserve"> </w:t>
      </w:r>
    </w:p>
    <w:p w:rsidR="00000000" w:rsidRDefault="00477EE8">
      <w:pPr>
        <w:pStyle w:val="a3"/>
        <w:spacing w:before="240" w:beforeAutospacing="0" w:after="0" w:afterAutospacing="0"/>
        <w:jc w:val="center"/>
        <w:divId w:val="1584800186"/>
        <w:rPr>
          <w:sz w:val="20"/>
          <w:szCs w:val="20"/>
        </w:rPr>
      </w:pPr>
      <w:r>
        <w:rPr>
          <w:sz w:val="20"/>
          <w:szCs w:val="20"/>
        </w:rPr>
        <w:t>F</w:t>
      </w:r>
      <w:r>
        <w:rPr>
          <w:sz w:val="20"/>
          <w:szCs w:val="20"/>
        </w:rPr>
        <w:t>-</w:t>
      </w:r>
      <w:r>
        <w:rPr>
          <w:sz w:val="20"/>
          <w:szCs w:val="20"/>
        </w:rPr>
        <w:t>3</w:t>
      </w:r>
      <w:r>
        <w:rPr>
          <w:sz w:val="20"/>
          <w:szCs w:val="20"/>
        </w:rPr>
        <w:t>4</w:t>
      </w:r>
    </w:p>
    <w:p w:rsidR="00000000" w:rsidRDefault="00477EE8">
      <w:pPr>
        <w:divId w:val="1584800186"/>
        <w:rPr>
          <w:rFonts w:eastAsia="Times New Roman"/>
          <w:sz w:val="20"/>
          <w:szCs w:val="20"/>
        </w:rPr>
      </w:pPr>
      <w:r>
        <w:rPr>
          <w:rFonts w:eastAsia="Times New Roman"/>
          <w:sz w:val="20"/>
          <w:szCs w:val="20"/>
        </w:rPr>
        <w:pict>
          <v:rect id="_x0000_i1145" style="width:0;height:1.5pt" o:hralign="center" o:hrstd="t" o:hr="t" fillcolor="#a0a0a0" stroked="f"/>
        </w:pict>
      </w:r>
    </w:p>
    <w:p w:rsidR="00000000" w:rsidRDefault="00477EE8">
      <w:pPr>
        <w:pStyle w:val="a3"/>
        <w:spacing w:before="240" w:beforeAutospacing="0" w:after="0" w:afterAutospacing="0"/>
        <w:divId w:val="1584800186"/>
        <w:rPr>
          <w:sz w:val="20"/>
          <w:szCs w:val="20"/>
        </w:rPr>
      </w:pPr>
      <w:r>
        <w:rPr>
          <w:sz w:val="20"/>
          <w:szCs w:val="20"/>
        </w:rPr>
        <w:t>and development efforts are completed or abandoned. All other finite-lived acquisition-related intangibles related to the business combinations in 2022 and 2021 are amortized on a straight-line basis over the</w:t>
      </w:r>
      <w:r>
        <w:rPr>
          <w:sz w:val="20"/>
          <w:szCs w:val="20"/>
        </w:rPr>
        <w:t>ir estimated lives, which approximates the pattern in which the economic benefits of the intangible assets are expected to be realized</w:t>
      </w:r>
      <w:r>
        <w:rPr>
          <w:sz w:val="20"/>
          <w:szCs w:val="20"/>
        </w:rPr>
        <w:t>.</w:t>
      </w:r>
    </w:p>
    <w:p w:rsidR="00000000" w:rsidRDefault="00477EE8">
      <w:pPr>
        <w:pStyle w:val="a3"/>
        <w:spacing w:before="240" w:beforeAutospacing="0" w:after="0" w:afterAutospacing="0"/>
        <w:ind w:firstLine="555"/>
        <w:divId w:val="2015565847"/>
        <w:rPr>
          <w:sz w:val="20"/>
          <w:szCs w:val="20"/>
        </w:rPr>
      </w:pPr>
      <w:r>
        <w:rPr>
          <w:sz w:val="20"/>
          <w:szCs w:val="20"/>
        </w:rPr>
        <w:t>Changes in the carrying amount of goodwill for the year ended December 31, 2022 and 2021 are as follows</w:t>
      </w:r>
      <w:r>
        <w:rPr>
          <w:sz w:val="20"/>
          <w:szCs w:val="20"/>
        </w:rPr>
        <w:t>:</w:t>
      </w:r>
    </w:p>
    <w:p w:rsidR="00000000" w:rsidRDefault="00477EE8">
      <w:pPr>
        <w:pStyle w:val="a3"/>
        <w:spacing w:before="0" w:beforeAutospacing="0" w:after="0" w:afterAutospacing="0"/>
        <w:ind w:firstLine="555"/>
        <w:divId w:val="2015565847"/>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12"/>
        <w:gridCol w:w="160"/>
        <w:gridCol w:w="1710"/>
        <w:gridCol w:w="127"/>
        <w:gridCol w:w="180"/>
        <w:gridCol w:w="160"/>
        <w:gridCol w:w="1327"/>
        <w:gridCol w:w="130"/>
      </w:tblGrid>
      <w:tr w:rsidR="00000000">
        <w:trPr>
          <w:divId w:val="2015565847"/>
          <w:tblCellSpacing w:w="15" w:type="dxa"/>
        </w:trPr>
        <w:tc>
          <w:tcPr>
            <w:tcW w:w="2797"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1064"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112"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825"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divId w:val="2015565847"/>
          <w:trHeight w:val="160"/>
          <w:tblCellSpacing w:w="15" w:type="dxa"/>
        </w:trPr>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2015565847"/>
          <w:trHeight w:val="160"/>
          <w:tblCellSpacing w:w="15" w:type="dxa"/>
        </w:trPr>
        <w:tc>
          <w:tcPr>
            <w:tcW w:w="0" w:type="auto"/>
            <w:vAlign w:val="bottom"/>
            <w:hideMark/>
          </w:tcPr>
          <w:p w:rsidR="00000000" w:rsidRDefault="00477EE8">
            <w:pPr>
              <w:pStyle w:val="a3"/>
              <w:spacing w:before="0" w:beforeAutospacing="0" w:after="0" w:afterAutospacing="0"/>
              <w:rPr>
                <w:sz w:val="16"/>
                <w:szCs w:val="16"/>
              </w:rPr>
            </w:pPr>
            <w:r>
              <w:rPr>
                <w:sz w:val="16"/>
                <w:szCs w:val="16"/>
              </w:rPr>
              <w:t> </w:t>
            </w:r>
          </w:p>
        </w:tc>
        <w:tc>
          <w:tcPr>
            <w:tcW w:w="0" w:type="auto"/>
            <w:gridSpan w:val="6"/>
            <w:vAlign w:val="center"/>
            <w:hideMark/>
          </w:tcPr>
          <w:p w:rsidR="00000000" w:rsidRDefault="00477EE8">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center"/>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2015565847"/>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Balance as of January 1</w:t>
            </w:r>
            <w:r>
              <w:rPr>
                <w:sz w:val="20"/>
                <w:szCs w:val="20"/>
              </w:rPr>
              <w:t>,</w:t>
            </w:r>
          </w:p>
        </w:tc>
        <w:tc>
          <w:tcPr>
            <w:tcW w:w="0" w:type="auto"/>
            <w:gridSpan w:val="2"/>
            <w:hideMark/>
          </w:tcPr>
          <w:p w:rsidR="00000000" w:rsidRDefault="00477EE8">
            <w:pPr>
              <w:pStyle w:val="a3"/>
              <w:spacing w:before="0" w:beforeAutospacing="0" w:after="0" w:afterAutospacing="0"/>
              <w:jc w:val="center"/>
              <w:rPr>
                <w:sz w:val="20"/>
                <w:szCs w:val="20"/>
              </w:rPr>
            </w:pPr>
            <w:r>
              <w:rPr>
                <w:sz w:val="20"/>
                <w:szCs w:val="20"/>
              </w:rPr>
              <w:t> </w:t>
            </w:r>
          </w:p>
        </w:tc>
        <w:tc>
          <w:tcPr>
            <w:tcW w:w="0" w:type="auto"/>
            <w:hideMark/>
          </w:tcPr>
          <w:p w:rsidR="00000000" w:rsidRDefault="00477EE8">
            <w:pPr>
              <w:pStyle w:val="a3"/>
              <w:spacing w:before="0" w:beforeAutospacing="0" w:after="0" w:afterAutospacing="0"/>
              <w:jc w:val="center"/>
              <w:rPr>
                <w:sz w:val="20"/>
                <w:szCs w:val="20"/>
              </w:rPr>
            </w:pPr>
            <w:r>
              <w:rPr>
                <w:sz w:val="20"/>
                <w:szCs w:val="20"/>
              </w:rPr>
              <w:t> </w:t>
            </w:r>
          </w:p>
        </w:tc>
        <w:tc>
          <w:tcPr>
            <w:tcW w:w="0" w:type="auto"/>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hideMark/>
          </w:tcPr>
          <w:p w:rsidR="00000000" w:rsidRDefault="00477EE8">
            <w:pPr>
              <w:pStyle w:val="a3"/>
              <w:spacing w:before="0" w:beforeAutospacing="0" w:after="0" w:afterAutospacing="0"/>
              <w:jc w:val="center"/>
              <w:rPr>
                <w:sz w:val="20"/>
                <w:szCs w:val="20"/>
              </w:rPr>
            </w:pPr>
            <w:r>
              <w:rPr>
                <w:sz w:val="20"/>
                <w:szCs w:val="20"/>
              </w:rPr>
              <w:t> </w:t>
            </w:r>
          </w:p>
        </w:tc>
        <w:tc>
          <w:tcPr>
            <w:tcW w:w="0" w:type="auto"/>
            <w:hideMark/>
          </w:tcPr>
          <w:p w:rsidR="00000000" w:rsidRDefault="00477EE8">
            <w:pPr>
              <w:pStyle w:val="a3"/>
              <w:spacing w:before="0" w:beforeAutospacing="0" w:after="0" w:afterAutospacing="0"/>
              <w:jc w:val="center"/>
              <w:rPr>
                <w:sz w:val="20"/>
                <w:szCs w:val="20"/>
              </w:rPr>
            </w:pPr>
            <w:r>
              <w:rPr>
                <w:sz w:val="20"/>
                <w:szCs w:val="20"/>
              </w:rPr>
              <w:t> </w:t>
            </w:r>
          </w:p>
        </w:tc>
      </w:tr>
      <w:tr w:rsidR="00000000">
        <w:trPr>
          <w:divId w:val="2015565847"/>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Goodwil</w:t>
            </w:r>
            <w:r>
              <w:rPr>
                <w:sz w:val="20"/>
                <w:szCs w:val="20"/>
              </w:rPr>
              <w:t>l</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50,89</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15565847"/>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Accumulated impairment losse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15565847"/>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50,89</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15565847"/>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Goodwill acquired during yea</w:t>
            </w:r>
            <w:r>
              <w:rPr>
                <w:sz w:val="20"/>
                <w:szCs w:val="20"/>
              </w:rPr>
              <w:t>r</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15565847"/>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Inform Diagnostic</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71,84</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15565847"/>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Fulgent Pharm</w:t>
            </w:r>
            <w:r>
              <w:rPr>
                <w:sz w:val="20"/>
                <w:szCs w:val="20"/>
              </w:rPr>
              <w:t>a</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22,05</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15565847"/>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CS</w:t>
            </w:r>
            <w:r>
              <w:rPr>
                <w:sz w:val="20"/>
                <w:szCs w:val="20"/>
              </w:rPr>
              <w:t>I</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27,48</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15565847"/>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FF Gene Biotec</w:t>
            </w:r>
            <w:r>
              <w:rPr>
                <w:sz w:val="20"/>
                <w:szCs w:val="20"/>
              </w:rPr>
              <w:t>h</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23,08</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15565847"/>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93,90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50,56</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15565847"/>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15565847"/>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Net exchange difference</w:t>
            </w:r>
            <w:r>
              <w:rPr>
                <w:sz w:val="20"/>
                <w:szCs w:val="20"/>
              </w:rPr>
              <w:t>s</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15565847"/>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FF Gene Biotec</w:t>
            </w:r>
            <w:r>
              <w:rPr>
                <w:sz w:val="20"/>
                <w:szCs w:val="20"/>
              </w:rPr>
              <w:t>h</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1,77</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33</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15565847"/>
          <w:tblCellSpacing w:w="15" w:type="dxa"/>
        </w:trPr>
        <w:tc>
          <w:tcPr>
            <w:tcW w:w="0" w:type="auto"/>
            <w:vAlign w:val="bottom"/>
            <w:hideMark/>
          </w:tcPr>
          <w:p w:rsidR="00000000" w:rsidRDefault="00477EE8">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477EE8">
            <w:pPr>
              <w:pStyle w:val="a3"/>
              <w:spacing w:before="0" w:beforeAutospacing="0" w:after="0" w:afterAutospacing="0"/>
              <w:rPr>
                <w:sz w:val="22"/>
                <w:szCs w:val="22"/>
              </w:rPr>
            </w:pPr>
            <w:r>
              <w:rPr>
                <w:sz w:val="22"/>
                <w:szCs w:val="22"/>
              </w:rPr>
              <w:t> </w:t>
            </w:r>
          </w:p>
        </w:tc>
        <w:tc>
          <w:tcPr>
            <w:tcW w:w="0" w:type="auto"/>
            <w:vAlign w:val="bottom"/>
            <w:hideMark/>
          </w:tcPr>
          <w:p w:rsidR="00000000" w:rsidRDefault="00477EE8">
            <w:pPr>
              <w:pStyle w:val="a3"/>
              <w:spacing w:before="0" w:beforeAutospacing="0" w:after="0" w:afterAutospacing="0"/>
              <w:rPr>
                <w:sz w:val="22"/>
                <w:szCs w:val="22"/>
              </w:rPr>
            </w:pPr>
            <w:r>
              <w:rPr>
                <w:sz w:val="22"/>
                <w:szCs w:val="22"/>
              </w:rPr>
              <w:t> </w:t>
            </w:r>
          </w:p>
        </w:tc>
        <w:tc>
          <w:tcPr>
            <w:tcW w:w="0" w:type="auto"/>
            <w:vAlign w:val="bottom"/>
            <w:hideMark/>
          </w:tcPr>
          <w:p w:rsidR="00000000" w:rsidRDefault="00477EE8">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477EE8">
            <w:pPr>
              <w:pStyle w:val="a3"/>
              <w:spacing w:before="0" w:beforeAutospacing="0" w:after="0" w:afterAutospacing="0"/>
              <w:rPr>
                <w:sz w:val="22"/>
                <w:szCs w:val="22"/>
              </w:rPr>
            </w:pPr>
            <w:r>
              <w:rPr>
                <w:sz w:val="22"/>
                <w:szCs w:val="22"/>
              </w:rPr>
              <w:t> </w:t>
            </w:r>
          </w:p>
        </w:tc>
        <w:tc>
          <w:tcPr>
            <w:tcW w:w="0" w:type="auto"/>
            <w:vAlign w:val="bottom"/>
            <w:hideMark/>
          </w:tcPr>
          <w:p w:rsidR="00000000" w:rsidRDefault="00477EE8">
            <w:pPr>
              <w:pStyle w:val="a3"/>
              <w:spacing w:before="0" w:beforeAutospacing="0" w:after="0" w:afterAutospacing="0"/>
              <w:rPr>
                <w:sz w:val="22"/>
                <w:szCs w:val="22"/>
              </w:rPr>
            </w:pPr>
            <w:r>
              <w:rPr>
                <w:sz w:val="22"/>
                <w:szCs w:val="22"/>
              </w:rPr>
              <w:t> </w:t>
            </w:r>
          </w:p>
        </w:tc>
      </w:tr>
      <w:tr w:rsidR="00000000">
        <w:trPr>
          <w:divId w:val="2015565847"/>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Balance as of December 31</w:t>
            </w:r>
            <w:r>
              <w:rPr>
                <w:sz w:val="20"/>
                <w:szCs w:val="20"/>
              </w:rPr>
              <w:t>,</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15565847"/>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Goodwil</w:t>
            </w:r>
            <w:r>
              <w:rPr>
                <w:sz w:val="20"/>
                <w:szCs w:val="20"/>
              </w:rPr>
              <w:t>l</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143,02</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50,89</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15565847"/>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Accumulated impairment losse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2015565847"/>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143,02</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50,89</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240" w:beforeAutospacing="0" w:after="0" w:afterAutospacing="0"/>
        <w:ind w:firstLine="555"/>
        <w:divId w:val="597064451"/>
        <w:rPr>
          <w:sz w:val="20"/>
          <w:szCs w:val="20"/>
        </w:rPr>
      </w:pPr>
      <w:r>
        <w:rPr>
          <w:sz w:val="20"/>
          <w:szCs w:val="20"/>
        </w:rPr>
        <w:t>Based on the carrying value of intangible assets recorded as of December 31, 2022, and assuming no subsequent impairment of the underlying assets, the annual amortization expense for intangible assets is expected to be as follows</w:t>
      </w:r>
      <w:r>
        <w:rPr>
          <w:sz w:val="20"/>
          <w:szCs w:val="20"/>
        </w:rPr>
        <w:t>:</w:t>
      </w:r>
    </w:p>
    <w:p w:rsidR="00000000" w:rsidRDefault="00477EE8">
      <w:pPr>
        <w:pStyle w:val="a3"/>
        <w:spacing w:before="0" w:beforeAutospacing="0" w:after="0" w:afterAutospacing="0"/>
        <w:ind w:firstLine="620"/>
        <w:divId w:val="597064451"/>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97"/>
        <w:gridCol w:w="161"/>
        <w:gridCol w:w="2523"/>
        <w:gridCol w:w="125"/>
      </w:tblGrid>
      <w:tr w:rsidR="00000000">
        <w:trPr>
          <w:divId w:val="597064451"/>
          <w:tblCellSpacing w:w="15" w:type="dxa"/>
        </w:trPr>
        <w:tc>
          <w:tcPr>
            <w:tcW w:w="3356"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1543"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divId w:val="597064451"/>
          <w:trHeight w:val="160"/>
          <w:tblCellSpacing w:w="15" w:type="dxa"/>
        </w:trPr>
        <w:tc>
          <w:tcPr>
            <w:tcW w:w="0" w:type="auto"/>
            <w:vAlign w:val="bottom"/>
            <w:hideMark/>
          </w:tcPr>
          <w:p w:rsidR="00000000" w:rsidRDefault="00477EE8">
            <w:pPr>
              <w:pStyle w:val="a3"/>
              <w:spacing w:before="0" w:beforeAutospacing="0" w:after="0" w:afterAutospacing="0"/>
              <w:rPr>
                <w:sz w:val="22"/>
                <w:szCs w:val="22"/>
              </w:rPr>
            </w:pPr>
            <w:r>
              <w:rPr>
                <w:rFonts w:ascii="Calibri" w:hAnsi="Calibri" w:cs="Calibri"/>
                <w:sz w:val="22"/>
                <w:szCs w:val="22"/>
              </w:rPr>
              <w:t> </w:t>
            </w:r>
          </w:p>
        </w:tc>
        <w:tc>
          <w:tcPr>
            <w:tcW w:w="0" w:type="auto"/>
            <w:gridSpan w:val="2"/>
            <w:hideMark/>
          </w:tcPr>
          <w:p w:rsidR="00000000" w:rsidRDefault="00477EE8">
            <w:pPr>
              <w:pStyle w:val="a3"/>
              <w:spacing w:before="0" w:beforeAutospacing="0" w:after="0" w:afterAutospacing="0"/>
              <w:jc w:val="center"/>
              <w:rPr>
                <w:sz w:val="16"/>
                <w:szCs w:val="16"/>
              </w:rPr>
            </w:pPr>
            <w:r>
              <w:rPr>
                <w:b/>
                <w:bCs/>
                <w:sz w:val="16"/>
                <w:szCs w:val="16"/>
              </w:rPr>
              <w:t>Amount</w:t>
            </w:r>
            <w:r>
              <w:rPr>
                <w:b/>
                <w:bCs/>
                <w:sz w:val="16"/>
                <w:szCs w:val="16"/>
              </w:rPr>
              <w:t>s</w:t>
            </w:r>
          </w:p>
        </w:tc>
        <w:tc>
          <w:tcPr>
            <w:tcW w:w="0" w:type="auto"/>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597064451"/>
          <w:trHeight w:val="160"/>
          <w:tblCellSpacing w:w="15" w:type="dxa"/>
        </w:trPr>
        <w:tc>
          <w:tcPr>
            <w:tcW w:w="0" w:type="auto"/>
            <w:vAlign w:val="bottom"/>
            <w:hideMark/>
          </w:tcPr>
          <w:p w:rsidR="00000000" w:rsidRDefault="00477EE8">
            <w:pPr>
              <w:pStyle w:val="a3"/>
              <w:spacing w:before="0" w:beforeAutospacing="0" w:after="0" w:afterAutospacing="0"/>
              <w:rPr>
                <w:sz w:val="22"/>
                <w:szCs w:val="22"/>
              </w:rPr>
            </w:pPr>
            <w:r>
              <w:rPr>
                <w:rFonts w:ascii="Calibri" w:hAnsi="Calibri" w:cs="Calibri"/>
                <w:sz w:val="22"/>
                <w:szCs w:val="22"/>
              </w:rPr>
              <w:t> </w:t>
            </w:r>
          </w:p>
        </w:tc>
        <w:tc>
          <w:tcPr>
            <w:tcW w:w="0" w:type="auto"/>
            <w:gridSpan w:val="2"/>
            <w:hideMark/>
          </w:tcPr>
          <w:p w:rsidR="00000000" w:rsidRDefault="00477EE8">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597064451"/>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202</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7,86</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97064451"/>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202</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7,86</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97064451"/>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202</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7,86</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97064451"/>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202</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7,55</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97064451"/>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202</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7,22</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97064451"/>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Thereafte</w:t>
            </w:r>
            <w:r>
              <w:rPr>
                <w:sz w:val="20"/>
                <w:szCs w:val="20"/>
              </w:rPr>
              <w:t>r</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47,68</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597064451"/>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Tota</w:t>
            </w:r>
            <w:r>
              <w:rPr>
                <w:sz w:val="20"/>
                <w:szCs w:val="20"/>
              </w:rPr>
              <w:t>l</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86,05</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0" w:beforeAutospacing="0" w:after="0" w:afterAutospacing="0"/>
        <w:divId w:val="597064451"/>
        <w:rPr>
          <w:sz w:val="20"/>
          <w:szCs w:val="20"/>
        </w:rPr>
      </w:pPr>
      <w:r>
        <w:rPr>
          <w:sz w:val="20"/>
          <w:szCs w:val="20"/>
        </w:rPr>
        <w:t> </w:t>
      </w:r>
    </w:p>
    <w:p w:rsidR="00000000" w:rsidRDefault="00477EE8">
      <w:pPr>
        <w:pStyle w:val="a3"/>
        <w:spacing w:before="240" w:beforeAutospacing="0" w:after="0" w:afterAutospacing="0"/>
        <w:jc w:val="center"/>
        <w:divId w:val="597064451"/>
        <w:rPr>
          <w:sz w:val="20"/>
          <w:szCs w:val="20"/>
        </w:rPr>
      </w:pPr>
      <w:r>
        <w:rPr>
          <w:sz w:val="20"/>
          <w:szCs w:val="20"/>
        </w:rPr>
        <w:t>F</w:t>
      </w:r>
      <w:r>
        <w:rPr>
          <w:sz w:val="20"/>
          <w:szCs w:val="20"/>
        </w:rPr>
        <w:t>-</w:t>
      </w:r>
      <w:r>
        <w:rPr>
          <w:sz w:val="20"/>
          <w:szCs w:val="20"/>
        </w:rPr>
        <w:t>3</w:t>
      </w:r>
      <w:r>
        <w:rPr>
          <w:sz w:val="20"/>
          <w:szCs w:val="20"/>
        </w:rPr>
        <w:t>5</w:t>
      </w:r>
    </w:p>
    <w:p w:rsidR="00000000" w:rsidRDefault="00477EE8">
      <w:pPr>
        <w:divId w:val="597064451"/>
        <w:rPr>
          <w:rFonts w:ascii="Calibri" w:eastAsia="Times New Roman" w:hAnsi="Calibri" w:cs="Calibri"/>
          <w:sz w:val="22"/>
          <w:szCs w:val="22"/>
        </w:rPr>
      </w:pPr>
      <w:r>
        <w:rPr>
          <w:rFonts w:ascii="Calibri" w:eastAsia="Times New Roman" w:hAnsi="Calibri" w:cs="Calibri"/>
          <w:sz w:val="22"/>
          <w:szCs w:val="22"/>
        </w:rPr>
        <w:pict>
          <v:rect id="_x0000_i1146" style="width:0;height:1.5pt" o:hralign="center" o:hrstd="t" o:hr="t" fillcolor="#a0a0a0" stroked="f"/>
        </w:pict>
      </w:r>
    </w:p>
    <w:p w:rsidR="00000000" w:rsidRDefault="00477EE8">
      <w:pPr>
        <w:pStyle w:val="a3"/>
        <w:spacing w:before="0" w:beforeAutospacing="0" w:after="0" w:afterAutospacing="0"/>
        <w:rPr>
          <w:sz w:val="20"/>
          <w:szCs w:val="20"/>
        </w:rPr>
      </w:pPr>
      <w:r>
        <w:rPr>
          <w:sz w:val="18"/>
          <w:szCs w:val="18"/>
        </w:rPr>
        <w:t> </w:t>
      </w:r>
    </w:p>
    <w:p w:rsidR="00000000" w:rsidRDefault="00477EE8">
      <w:pPr>
        <w:pStyle w:val="a3"/>
        <w:spacing w:before="360" w:beforeAutospacing="0" w:after="0" w:afterAutospacing="0"/>
        <w:divId w:val="1646617512"/>
        <w:rPr>
          <w:sz w:val="20"/>
          <w:szCs w:val="20"/>
        </w:rPr>
      </w:pPr>
      <w:r>
        <w:rPr>
          <w:b/>
          <w:bCs/>
          <w:sz w:val="20"/>
          <w:szCs w:val="20"/>
        </w:rPr>
        <w:t>Note 18. Selected Quarterly Financial Data (Unaudited</w:t>
      </w:r>
      <w:r>
        <w:rPr>
          <w:b/>
          <w:bCs/>
          <w:sz w:val="20"/>
          <w:szCs w:val="20"/>
        </w:rPr>
        <w:t>)</w:t>
      </w:r>
    </w:p>
    <w:p w:rsidR="00000000" w:rsidRDefault="00477EE8">
      <w:pPr>
        <w:pStyle w:val="a3"/>
        <w:spacing w:before="120" w:beforeAutospacing="0" w:after="0" w:afterAutospacing="0"/>
        <w:ind w:firstLine="555"/>
        <w:divId w:val="1646617512"/>
        <w:rPr>
          <w:sz w:val="20"/>
          <w:szCs w:val="20"/>
        </w:rPr>
      </w:pPr>
      <w:r>
        <w:rPr>
          <w:sz w:val="20"/>
          <w:szCs w:val="20"/>
        </w:rPr>
        <w:t>The tables below set forth the Company’</w:t>
      </w:r>
      <w:r>
        <w:rPr>
          <w:sz w:val="20"/>
          <w:szCs w:val="20"/>
        </w:rPr>
        <w:t>s quarterly Consolidated Statements of Income data for the eight quarters ended December 31, 2022</w:t>
      </w:r>
      <w:r>
        <w:rPr>
          <w:sz w:val="20"/>
          <w:szCs w:val="20"/>
        </w:rPr>
        <w:t>.</w:t>
      </w:r>
      <w:r>
        <w:rPr>
          <w:sz w:val="20"/>
          <w:szCs w:val="20"/>
        </w:rPr>
        <w:t xml:space="preserve"> In the opinion of management, this quarterly data has been prepared on the same basis as the accompanying consolidated financial statements and includes all </w:t>
      </w:r>
      <w:r>
        <w:rPr>
          <w:sz w:val="20"/>
          <w:szCs w:val="20"/>
        </w:rPr>
        <w:t>adjustments, consisting of normal recurring adjustments, necessary for a fair presentation of the results of operations for the periods presented. See Item 7. “Management’s Discussion and Analysis of Financial Condition and Results of Operations,” in the r</w:t>
      </w:r>
      <w:r>
        <w:rPr>
          <w:sz w:val="20"/>
          <w:szCs w:val="20"/>
        </w:rPr>
        <w:t>eport in which these consolidated financial statements are included for descriptions of the effects of any extraordinary, unusual or infrequently occurring items recognized in any of the periods covered by this data. The results for any one quarter are not</w:t>
      </w:r>
      <w:r>
        <w:rPr>
          <w:sz w:val="20"/>
          <w:szCs w:val="20"/>
        </w:rPr>
        <w:t xml:space="preserve"> indicative of the results to be expected in the current period or any future period</w:t>
      </w:r>
      <w:r>
        <w:rPr>
          <w:sz w:val="20"/>
          <w:szCs w:val="20"/>
        </w:rPr>
        <w:t>.</w:t>
      </w:r>
      <w:r>
        <w:rPr>
          <w:sz w:val="20"/>
          <w:szCs w:val="20"/>
        </w:rPr>
        <w:t xml:space="preserve"> </w:t>
      </w:r>
    </w:p>
    <w:p w:rsidR="00000000" w:rsidRDefault="00477EE8">
      <w:pPr>
        <w:pStyle w:val="a3"/>
        <w:spacing w:before="0" w:beforeAutospacing="0" w:after="0" w:afterAutospacing="0"/>
        <w:divId w:val="1083720087"/>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20"/>
        <w:gridCol w:w="160"/>
        <w:gridCol w:w="677"/>
        <w:gridCol w:w="127"/>
        <w:gridCol w:w="110"/>
        <w:gridCol w:w="160"/>
        <w:gridCol w:w="710"/>
        <w:gridCol w:w="110"/>
        <w:gridCol w:w="110"/>
        <w:gridCol w:w="160"/>
        <w:gridCol w:w="710"/>
        <w:gridCol w:w="110"/>
        <w:gridCol w:w="110"/>
        <w:gridCol w:w="160"/>
        <w:gridCol w:w="710"/>
        <w:gridCol w:w="110"/>
        <w:gridCol w:w="110"/>
        <w:gridCol w:w="160"/>
        <w:gridCol w:w="710"/>
        <w:gridCol w:w="127"/>
        <w:gridCol w:w="110"/>
        <w:gridCol w:w="160"/>
        <w:gridCol w:w="710"/>
        <w:gridCol w:w="110"/>
        <w:gridCol w:w="110"/>
        <w:gridCol w:w="160"/>
        <w:gridCol w:w="710"/>
        <w:gridCol w:w="110"/>
        <w:gridCol w:w="110"/>
        <w:gridCol w:w="160"/>
        <w:gridCol w:w="710"/>
        <w:gridCol w:w="125"/>
      </w:tblGrid>
      <w:tr w:rsidR="00000000">
        <w:trPr>
          <w:divId w:val="1083720087"/>
          <w:tblCellSpacing w:w="15" w:type="dxa"/>
        </w:trPr>
        <w:tc>
          <w:tcPr>
            <w:tcW w:w="1597" w:type="pct"/>
            <w:vAlign w:val="center"/>
            <w:hideMark/>
          </w:tcPr>
          <w:p w:rsidR="00000000" w:rsidRDefault="00477EE8">
            <w:pPr>
              <w:rPr>
                <w:sz w:val="20"/>
                <w:szCs w:val="20"/>
              </w:rPr>
            </w:pPr>
          </w:p>
        </w:tc>
        <w:tc>
          <w:tcPr>
            <w:tcW w:w="50" w:type="pct"/>
            <w:vAlign w:val="center"/>
            <w:hideMark/>
          </w:tcPr>
          <w:p w:rsidR="00000000" w:rsidRDefault="00477EE8">
            <w:pPr>
              <w:rPr>
                <w:rFonts w:eastAsia="Times New Roman"/>
                <w:sz w:val="20"/>
                <w:szCs w:val="20"/>
              </w:rPr>
            </w:pPr>
          </w:p>
        </w:tc>
        <w:tc>
          <w:tcPr>
            <w:tcW w:w="278"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46"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283"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46"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283"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46"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283"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46"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293"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46"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283"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46"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283"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46"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c>
          <w:tcPr>
            <w:tcW w:w="287" w:type="pct"/>
            <w:vAlign w:val="center"/>
            <w:hideMark/>
          </w:tcPr>
          <w:p w:rsidR="00000000" w:rsidRDefault="00477EE8">
            <w:pPr>
              <w:rPr>
                <w:rFonts w:eastAsia="Times New Roman"/>
                <w:sz w:val="20"/>
                <w:szCs w:val="20"/>
              </w:rPr>
            </w:pPr>
          </w:p>
        </w:tc>
        <w:tc>
          <w:tcPr>
            <w:tcW w:w="50" w:type="pct"/>
            <w:vAlign w:val="center"/>
            <w:hideMark/>
          </w:tcPr>
          <w:p w:rsidR="00000000" w:rsidRDefault="00477EE8">
            <w:pPr>
              <w:rPr>
                <w:rFonts w:eastAsia="Times New Roman"/>
                <w:sz w:val="20"/>
                <w:szCs w:val="20"/>
              </w:rPr>
            </w:pPr>
          </w:p>
        </w:tc>
      </w:tr>
      <w:tr w:rsidR="00000000">
        <w:trPr>
          <w:divId w:val="1083720087"/>
          <w:trHeight w:val="16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30"/>
            <w:vAlign w:val="bottom"/>
            <w:hideMark/>
          </w:tcPr>
          <w:p w:rsidR="00000000" w:rsidRDefault="00477EE8">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083720087"/>
          <w:trHeight w:val="160"/>
          <w:tblCellSpacing w:w="15" w:type="dxa"/>
        </w:trPr>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Dec. 31,</w:t>
            </w:r>
            <w:r>
              <w:rPr>
                <w:b/>
                <w:bCs/>
                <w:sz w:val="16"/>
                <w:szCs w:val="16"/>
              </w:rPr>
              <w:br/>
              <w:t>202</w:t>
            </w:r>
            <w:r>
              <w:rPr>
                <w:b/>
                <w:bCs/>
                <w:sz w:val="16"/>
                <w:szCs w:val="16"/>
              </w:rPr>
              <w:t>2</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Sept. 30,</w:t>
            </w:r>
            <w:r>
              <w:rPr>
                <w:b/>
                <w:bCs/>
                <w:sz w:val="16"/>
                <w:szCs w:val="16"/>
              </w:rPr>
              <w:br/>
              <w:t>202</w:t>
            </w:r>
            <w:r>
              <w:rPr>
                <w:b/>
                <w:bCs/>
                <w:sz w:val="16"/>
                <w:szCs w:val="16"/>
              </w:rPr>
              <w:t>2</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June 30,</w:t>
            </w:r>
            <w:r>
              <w:rPr>
                <w:b/>
                <w:bCs/>
                <w:sz w:val="16"/>
                <w:szCs w:val="16"/>
              </w:rPr>
              <w:br/>
              <w:t>202</w:t>
            </w:r>
            <w:r>
              <w:rPr>
                <w:b/>
                <w:bCs/>
                <w:sz w:val="16"/>
                <w:szCs w:val="16"/>
              </w:rPr>
              <w:t>2</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Mar. 31,</w:t>
            </w:r>
            <w:r>
              <w:rPr>
                <w:b/>
                <w:bCs/>
                <w:sz w:val="16"/>
                <w:szCs w:val="16"/>
              </w:rPr>
              <w:br/>
              <w:t>202</w:t>
            </w:r>
            <w:r>
              <w:rPr>
                <w:b/>
                <w:bCs/>
                <w:sz w:val="16"/>
                <w:szCs w:val="16"/>
              </w:rPr>
              <w:t>2</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Dec. 31,</w:t>
            </w:r>
            <w:r>
              <w:rPr>
                <w:b/>
                <w:bCs/>
                <w:sz w:val="16"/>
                <w:szCs w:val="16"/>
              </w:rPr>
              <w:br/>
              <w:t>202</w:t>
            </w:r>
            <w:r>
              <w:rPr>
                <w:b/>
                <w:bCs/>
                <w:sz w:val="16"/>
                <w:szCs w:val="16"/>
              </w:rPr>
              <w:t>1</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Sept. 30,</w:t>
            </w:r>
            <w:r>
              <w:rPr>
                <w:b/>
                <w:bCs/>
                <w:sz w:val="16"/>
                <w:szCs w:val="16"/>
              </w:rPr>
              <w:br/>
              <w:t>202</w:t>
            </w:r>
            <w:r>
              <w:rPr>
                <w:b/>
                <w:bCs/>
                <w:sz w:val="16"/>
                <w:szCs w:val="16"/>
              </w:rPr>
              <w:t>1</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June 30,</w:t>
            </w:r>
            <w:r>
              <w:rPr>
                <w:b/>
                <w:bCs/>
                <w:sz w:val="16"/>
                <w:szCs w:val="16"/>
              </w:rPr>
              <w:br/>
              <w:t>202</w:t>
            </w:r>
            <w:r>
              <w:rPr>
                <w:b/>
                <w:bCs/>
                <w:sz w:val="16"/>
                <w:szCs w:val="16"/>
              </w:rPr>
              <w:t>1</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77EE8">
            <w:pPr>
              <w:pStyle w:val="a3"/>
              <w:spacing w:before="0" w:beforeAutospacing="0" w:after="0" w:afterAutospacing="0"/>
              <w:jc w:val="center"/>
              <w:rPr>
                <w:sz w:val="16"/>
                <w:szCs w:val="16"/>
              </w:rPr>
            </w:pPr>
            <w:r>
              <w:rPr>
                <w:b/>
                <w:bCs/>
                <w:sz w:val="16"/>
                <w:szCs w:val="16"/>
              </w:rPr>
              <w:t>Mar. 31,</w:t>
            </w:r>
            <w:r>
              <w:rPr>
                <w:b/>
                <w:bCs/>
                <w:sz w:val="16"/>
                <w:szCs w:val="16"/>
              </w:rPr>
              <w:br/>
              <w:t>202</w:t>
            </w:r>
            <w:r>
              <w:rPr>
                <w:b/>
                <w:bCs/>
                <w:sz w:val="16"/>
                <w:szCs w:val="16"/>
              </w:rPr>
              <w:t>1</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083720087"/>
          <w:trHeight w:val="160"/>
          <w:tblCellSpacing w:w="15" w:type="dxa"/>
        </w:trPr>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30"/>
            <w:vAlign w:val="bottom"/>
            <w:hideMark/>
          </w:tcPr>
          <w:p w:rsidR="00000000" w:rsidRDefault="00477EE8">
            <w:pPr>
              <w:pStyle w:val="a3"/>
              <w:spacing w:before="0" w:beforeAutospacing="0" w:after="0" w:afterAutospacing="0"/>
              <w:jc w:val="center"/>
              <w:rPr>
                <w:sz w:val="16"/>
                <w:szCs w:val="16"/>
              </w:rPr>
            </w:pPr>
            <w:r>
              <w:rPr>
                <w:b/>
                <w:bCs/>
                <w:sz w:val="16"/>
                <w:szCs w:val="16"/>
              </w:rPr>
              <w:t>(dollars in thousands, except per share data</w:t>
            </w:r>
            <w:r>
              <w:rPr>
                <w:b/>
                <w:bCs/>
                <w:sz w:val="16"/>
                <w:szCs w:val="16"/>
              </w:rPr>
              <w:t>)</w:t>
            </w:r>
          </w:p>
        </w:tc>
        <w:tc>
          <w:tcPr>
            <w:tcW w:w="0" w:type="auto"/>
            <w:vAlign w:val="bottom"/>
            <w:hideMark/>
          </w:tcPr>
          <w:p w:rsidR="00000000" w:rsidRDefault="00477EE8">
            <w:pPr>
              <w:pStyle w:val="a3"/>
              <w:spacing w:before="0" w:beforeAutospacing="0" w:after="0" w:afterAutospacing="0"/>
              <w:jc w:val="center"/>
              <w:rPr>
                <w:sz w:val="16"/>
                <w:szCs w:val="16"/>
              </w:rPr>
            </w:pPr>
            <w:r>
              <w:rPr>
                <w:sz w:val="16"/>
                <w:szCs w:val="16"/>
              </w:rPr>
              <w:t> </w:t>
            </w:r>
          </w:p>
        </w:tc>
      </w:tr>
      <w:tr w:rsidR="00000000">
        <w:trPr>
          <w:divId w:val="1083720087"/>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b/>
                <w:bCs/>
                <w:sz w:val="20"/>
                <w:szCs w:val="20"/>
              </w:rPr>
              <w:t>Statement of Operations Data</w:t>
            </w:r>
            <w:r>
              <w:rPr>
                <w:b/>
                <w:bCs/>
                <w:sz w:val="20"/>
                <w:szCs w:val="20"/>
              </w:rPr>
              <w:t>:</w:t>
            </w:r>
          </w:p>
        </w:tc>
        <w:tc>
          <w:tcPr>
            <w:tcW w:w="0" w:type="auto"/>
            <w:gridSpan w:val="2"/>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center"/>
              <w:rPr>
                <w:sz w:val="20"/>
                <w:szCs w:val="20"/>
              </w:rPr>
            </w:pPr>
            <w:r>
              <w:rPr>
                <w:sz w:val="20"/>
                <w:szCs w:val="20"/>
              </w:rPr>
              <w:t> </w:t>
            </w:r>
          </w:p>
        </w:tc>
      </w:tr>
      <w:tr w:rsidR="00000000">
        <w:trPr>
          <w:divId w:val="1083720087"/>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Revenu</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67,70</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105,65</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125,34</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320,26</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251,67</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227,86</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153,61</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359,42</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083720087"/>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Cost of revenu</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54,71</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59,56</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60,06</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77,72</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62,13</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43,46</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35,85</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74,07</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083720087"/>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Gross profi</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12,98</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46,09</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65,27</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242,54</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189,53</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184,40</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117,75</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285,35</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083720087"/>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Operating expenses</w:t>
            </w:r>
            <w:r>
              <w:rPr>
                <w:sz w:val="20"/>
                <w:szCs w:val="20"/>
              </w:rPr>
              <w:t>:</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083720087"/>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Research and developmen</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8,50</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7,50</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6,90</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5,98</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7,46</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6,02</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5,31</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5,42</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083720087"/>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Selling and marketin</w:t>
            </w:r>
            <w:r>
              <w:rPr>
                <w:sz w:val="20"/>
                <w:szCs w:val="20"/>
              </w:rPr>
              <w:t>g</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10,25</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9,85</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10,86</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7,94</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8,20</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6,01</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5,21</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5,00</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083720087"/>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28,79</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26,26</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30,24</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25,77</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22,10</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12,29</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8,32</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8,00</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083720087"/>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Amortization of intangible asset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2,01</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2,00</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1,57</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90</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91</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79</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083720087"/>
          <w:trHeight w:val="200"/>
          <w:tblCellSpacing w:w="15" w:type="dxa"/>
        </w:trPr>
        <w:tc>
          <w:tcPr>
            <w:tcW w:w="0" w:type="auto"/>
            <w:hideMark/>
          </w:tcPr>
          <w:p w:rsidR="00000000" w:rsidRDefault="00477EE8">
            <w:pPr>
              <w:pStyle w:val="a3"/>
              <w:spacing w:before="0" w:beforeAutospacing="0" w:after="0" w:afterAutospacing="0"/>
              <w:ind w:left="200"/>
              <w:rPr>
                <w:sz w:val="20"/>
                <w:szCs w:val="20"/>
              </w:rPr>
            </w:pPr>
            <w:r>
              <w:rPr>
                <w:sz w:val="20"/>
                <w:szCs w:val="20"/>
              </w:rPr>
              <w:t>Restructuring cost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2</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10</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2,89</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083720087"/>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Total operating expense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49,53</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45,74</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52,48</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40,61</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38,67</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25,12</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18,86</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18,43</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083720087"/>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Operating (loss) incom</w:t>
            </w:r>
            <w:r>
              <w:rPr>
                <w:sz w:val="20"/>
                <w:szCs w:val="20"/>
              </w:rPr>
              <w:t>e</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36,55</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35</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12,79</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201,93</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150,86</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159,27</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98,89</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266,92</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083720087"/>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Interest and other income (expense), ne</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3,09</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1,40</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95</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3</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49</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60</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28</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083720087"/>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(Loss) income before income taxes and gain on equity method investmen</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33,46</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1,75</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13,75</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201,97</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150,82</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159,76</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99,50</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267,20</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083720087"/>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(Benefit from) provision for income taxe</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9,38</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41</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2,65</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48,42</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47,14</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37,54</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23,58</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66,51</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083720087"/>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(Loss) income before gain on equity method investmen</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24,07</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1,34</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11,09</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153,55</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103,67</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122,22</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75,91</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200,69</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083720087"/>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Gain on equity method investmen</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jc w:val="right"/>
              <w:rPr>
                <w:sz w:val="20"/>
                <w:szCs w:val="20"/>
              </w:rPr>
            </w:pPr>
            <w:r>
              <w:rPr>
                <w:sz w:val="20"/>
                <w:szCs w:val="20"/>
              </w:rPr>
              <w:t>3,73</w:t>
            </w:r>
            <w:r>
              <w:rPr>
                <w:sz w:val="20"/>
                <w:szCs w:val="20"/>
              </w:rPr>
              <w:t>4</w:t>
            </w:r>
          </w:p>
        </w:tc>
        <w:tc>
          <w:tcPr>
            <w:tcW w:w="0" w:type="auto"/>
            <w:noWrap/>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hideMark/>
          </w:tcPr>
          <w:p w:rsidR="00000000" w:rsidRDefault="00477EE8">
            <w:pPr>
              <w:pStyle w:val="a3"/>
              <w:spacing w:before="0" w:beforeAutospacing="0" w:after="0" w:afterAutospacing="0"/>
              <w:rPr>
                <w:sz w:val="20"/>
                <w:szCs w:val="20"/>
              </w:rPr>
            </w:pPr>
            <w:r>
              <w:rPr>
                <w:sz w:val="20"/>
                <w:szCs w:val="20"/>
              </w:rPr>
              <w:t> </w:t>
            </w:r>
          </w:p>
        </w:tc>
        <w:tc>
          <w:tcPr>
            <w:tcW w:w="0" w:type="auto"/>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hideMark/>
          </w:tcPr>
          <w:p w:rsidR="00000000" w:rsidRDefault="00477EE8">
            <w:pPr>
              <w:pStyle w:val="a3"/>
              <w:spacing w:before="0" w:beforeAutospacing="0" w:after="0" w:afterAutospacing="0"/>
              <w:rPr>
                <w:sz w:val="20"/>
                <w:szCs w:val="20"/>
              </w:rPr>
            </w:pPr>
            <w:r>
              <w:rPr>
                <w:sz w:val="20"/>
                <w:szCs w:val="20"/>
              </w:rPr>
              <w:t> </w:t>
            </w:r>
          </w:p>
        </w:tc>
      </w:tr>
      <w:tr w:rsidR="00000000">
        <w:trPr>
          <w:divId w:val="1083720087"/>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Net (loss) income from consolidated operation</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24,07</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1,34</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11,09</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153,55</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103,67</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122,22</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79,64</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200,69</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083720087"/>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Net loss attributable to noncontrolling interest</w:t>
            </w:r>
            <w:r>
              <w:rPr>
                <w:sz w:val="20"/>
                <w:szCs w:val="20"/>
              </w:rPr>
              <w:t>s</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24</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37</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43</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42</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66</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29</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16</w:t>
            </w:r>
            <w:r>
              <w:rPr>
                <w:sz w:val="20"/>
                <w:szCs w:val="20"/>
              </w:rPr>
              <w:t>5</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083720087"/>
          <w:trHeight w:val="200"/>
          <w:tblCellSpacing w:w="15" w:type="dxa"/>
        </w:trPr>
        <w:tc>
          <w:tcPr>
            <w:tcW w:w="0" w:type="auto"/>
            <w:hideMark/>
          </w:tcPr>
          <w:p w:rsidR="00000000" w:rsidRDefault="00477EE8">
            <w:pPr>
              <w:pStyle w:val="a3"/>
              <w:spacing w:before="0" w:beforeAutospacing="0" w:after="0" w:afterAutospacing="0"/>
              <w:rPr>
                <w:sz w:val="20"/>
                <w:szCs w:val="20"/>
              </w:rPr>
            </w:pPr>
            <w:r>
              <w:rPr>
                <w:sz w:val="20"/>
                <w:szCs w:val="20"/>
              </w:rPr>
              <w:t>Net (loss) income attributable to Fulgen</w:t>
            </w:r>
            <w:r>
              <w:rPr>
                <w:sz w:val="20"/>
                <w:szCs w:val="20"/>
              </w:rPr>
              <w:t>t</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23,83</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1,71</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11,53</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153,97</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104,33</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122,52</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79,81</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200,69</w:t>
            </w:r>
            <w:r>
              <w:rPr>
                <w:sz w:val="20"/>
                <w:szCs w:val="20"/>
              </w:rPr>
              <w:t>1</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083720087"/>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083720087"/>
          <w:trHeight w:val="200"/>
          <w:tblCellSpacing w:w="15" w:type="dxa"/>
        </w:trPr>
        <w:tc>
          <w:tcPr>
            <w:tcW w:w="0" w:type="auto"/>
            <w:vAlign w:val="bottom"/>
            <w:hideMark/>
          </w:tcPr>
          <w:p w:rsidR="00000000" w:rsidRDefault="00477EE8">
            <w:pPr>
              <w:pStyle w:val="a3"/>
              <w:spacing w:before="0" w:beforeAutospacing="0" w:after="0" w:afterAutospacing="0"/>
              <w:rPr>
                <w:sz w:val="20"/>
                <w:szCs w:val="20"/>
              </w:rPr>
            </w:pPr>
            <w:r>
              <w:rPr>
                <w:sz w:val="20"/>
                <w:szCs w:val="20"/>
              </w:rPr>
              <w:t>Net (loss) income per common share attributable to Fulgent</w:t>
            </w:r>
            <w:r>
              <w:rPr>
                <w:sz w:val="20"/>
                <w:szCs w:val="20"/>
              </w:rPr>
              <w:t>:</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083720087"/>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Basi</w:t>
            </w:r>
            <w:r>
              <w:rPr>
                <w:sz w:val="20"/>
                <w:szCs w:val="20"/>
              </w:rPr>
              <w:t>c</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0.8</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0.0</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0.3</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5.0</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3.4</w:t>
            </w:r>
            <w:r>
              <w:rPr>
                <w:sz w:val="20"/>
                <w:szCs w:val="20"/>
              </w:rPr>
              <w:t>8</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4.1</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2.7</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6.9</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r w:rsidR="00000000">
        <w:trPr>
          <w:divId w:val="1083720087"/>
          <w:trHeight w:val="200"/>
          <w:tblCellSpacing w:w="15" w:type="dxa"/>
        </w:trPr>
        <w:tc>
          <w:tcPr>
            <w:tcW w:w="0" w:type="auto"/>
            <w:vAlign w:val="bottom"/>
            <w:hideMark/>
          </w:tcPr>
          <w:p w:rsidR="00000000" w:rsidRDefault="00477EE8">
            <w:pPr>
              <w:pStyle w:val="a3"/>
              <w:spacing w:before="0" w:beforeAutospacing="0" w:after="0" w:afterAutospacing="0"/>
              <w:ind w:left="200"/>
              <w:rPr>
                <w:sz w:val="20"/>
                <w:szCs w:val="20"/>
              </w:rPr>
            </w:pPr>
            <w:r>
              <w:rPr>
                <w:sz w:val="20"/>
                <w:szCs w:val="20"/>
              </w:rPr>
              <w:t>Dilute</w:t>
            </w:r>
            <w:r>
              <w:rPr>
                <w:sz w:val="20"/>
                <w:szCs w:val="20"/>
              </w:rPr>
              <w:t>d</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w:t>
            </w:r>
            <w:r>
              <w:rPr>
                <w:sz w:val="20"/>
                <w:szCs w:val="20"/>
              </w:rPr>
              <w:t>0.8</w:t>
            </w:r>
            <w:r>
              <w:rPr>
                <w:sz w:val="20"/>
                <w:szCs w:val="20"/>
              </w:rPr>
              <w:t>0</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0.0</w:t>
            </w:r>
            <w:r>
              <w:rPr>
                <w:sz w:val="20"/>
                <w:szCs w:val="20"/>
              </w:rPr>
              <w:t>6</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0.3</w:t>
            </w:r>
            <w:r>
              <w:rPr>
                <w:sz w:val="20"/>
                <w:szCs w:val="20"/>
              </w:rPr>
              <w:t>7</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4.9</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3.3</w:t>
            </w:r>
            <w:r>
              <w:rPr>
                <w:sz w:val="20"/>
                <w:szCs w:val="20"/>
              </w:rPr>
              <w:t>4</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3.9</w:t>
            </w:r>
            <w:r>
              <w:rPr>
                <w:sz w:val="20"/>
                <w:szCs w:val="20"/>
              </w:rPr>
              <w:t>3</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2.5</w:t>
            </w:r>
            <w:r>
              <w:rPr>
                <w:sz w:val="20"/>
                <w:szCs w:val="20"/>
              </w:rPr>
              <w:t>9</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vAlign w:val="bottom"/>
            <w:hideMark/>
          </w:tcPr>
          <w:p w:rsidR="00000000" w:rsidRDefault="00477EE8">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w:t>
            </w:r>
          </w:p>
        </w:tc>
        <w:tc>
          <w:tcPr>
            <w:tcW w:w="0" w:type="auto"/>
            <w:vAlign w:val="bottom"/>
            <w:hideMark/>
          </w:tcPr>
          <w:p w:rsidR="00000000" w:rsidRDefault="00477EE8">
            <w:pPr>
              <w:pStyle w:val="a3"/>
              <w:spacing w:before="0" w:beforeAutospacing="0" w:after="0" w:afterAutospacing="0"/>
              <w:jc w:val="right"/>
              <w:rPr>
                <w:sz w:val="20"/>
                <w:szCs w:val="20"/>
              </w:rPr>
            </w:pPr>
            <w:r>
              <w:rPr>
                <w:sz w:val="20"/>
                <w:szCs w:val="20"/>
              </w:rPr>
              <w:t>6.5</w:t>
            </w:r>
            <w:r>
              <w:rPr>
                <w:sz w:val="20"/>
                <w:szCs w:val="20"/>
              </w:rPr>
              <w:t>2</w:t>
            </w:r>
          </w:p>
        </w:tc>
        <w:tc>
          <w:tcPr>
            <w:tcW w:w="0" w:type="auto"/>
            <w:noWrap/>
            <w:vAlign w:val="bottom"/>
            <w:hideMark/>
          </w:tcPr>
          <w:p w:rsidR="00000000" w:rsidRDefault="00477EE8">
            <w:pPr>
              <w:pStyle w:val="a3"/>
              <w:spacing w:before="0" w:beforeAutospacing="0" w:after="0" w:afterAutospacing="0"/>
              <w:rPr>
                <w:sz w:val="20"/>
                <w:szCs w:val="20"/>
              </w:rPr>
            </w:pPr>
            <w:r>
              <w:rPr>
                <w:sz w:val="20"/>
                <w:szCs w:val="20"/>
              </w:rPr>
              <w:t> </w:t>
            </w:r>
          </w:p>
        </w:tc>
      </w:tr>
    </w:tbl>
    <w:p w:rsidR="00000000" w:rsidRDefault="00477EE8">
      <w:pPr>
        <w:pStyle w:val="a3"/>
        <w:spacing w:before="0" w:beforeAutospacing="0" w:after="0" w:afterAutospacing="0"/>
        <w:rPr>
          <w:sz w:val="20"/>
          <w:szCs w:val="20"/>
        </w:rPr>
      </w:pPr>
      <w:r>
        <w:rPr>
          <w:sz w:val="20"/>
          <w:szCs w:val="20"/>
        </w:rPr>
        <w:t> </w:t>
      </w:r>
    </w:p>
    <w:p w:rsidR="00000000" w:rsidRDefault="00477EE8">
      <w:pPr>
        <w:pStyle w:val="a3"/>
        <w:spacing w:before="360" w:beforeAutospacing="0" w:after="0" w:afterAutospacing="0"/>
        <w:divId w:val="1333024067"/>
        <w:rPr>
          <w:sz w:val="20"/>
          <w:szCs w:val="20"/>
        </w:rPr>
      </w:pPr>
      <w:r>
        <w:rPr>
          <w:b/>
          <w:bCs/>
          <w:sz w:val="20"/>
          <w:szCs w:val="20"/>
        </w:rPr>
        <w:t>Note 19. Subsequent Even</w:t>
      </w:r>
      <w:r>
        <w:rPr>
          <w:b/>
          <w:bCs/>
          <w:sz w:val="20"/>
          <w:szCs w:val="20"/>
        </w:rPr>
        <w:t>t</w:t>
      </w:r>
    </w:p>
    <w:p w:rsidR="00000000" w:rsidRDefault="00477EE8">
      <w:pPr>
        <w:pStyle w:val="a3"/>
        <w:spacing w:before="120" w:beforeAutospacing="0" w:after="0" w:afterAutospacing="0"/>
        <w:ind w:firstLine="555"/>
        <w:divId w:val="1333024067"/>
        <w:rPr>
          <w:sz w:val="20"/>
          <w:szCs w:val="20"/>
        </w:rPr>
      </w:pPr>
      <w:r>
        <w:rPr>
          <w:sz w:val="20"/>
          <w:szCs w:val="20"/>
        </w:rPr>
        <w:t>As of February 27, 2023, no subsequent events are being reported</w:t>
      </w:r>
      <w:r>
        <w:rPr>
          <w:sz w:val="20"/>
          <w:szCs w:val="20"/>
        </w:rPr>
        <w:t>.</w:t>
      </w:r>
    </w:p>
    <w:p w:rsidR="00000000" w:rsidRDefault="00477EE8">
      <w:pPr>
        <w:pStyle w:val="a3"/>
        <w:spacing w:before="240" w:beforeAutospacing="0" w:after="0" w:afterAutospacing="0"/>
        <w:jc w:val="center"/>
        <w:rPr>
          <w:sz w:val="20"/>
          <w:szCs w:val="20"/>
        </w:rPr>
      </w:pPr>
      <w:r>
        <w:rPr>
          <w:sz w:val="20"/>
          <w:szCs w:val="20"/>
        </w:rPr>
        <w:t>F</w:t>
      </w:r>
      <w:r>
        <w:rPr>
          <w:sz w:val="20"/>
          <w:szCs w:val="20"/>
        </w:rPr>
        <w:t>-</w:t>
      </w:r>
      <w:r>
        <w:rPr>
          <w:sz w:val="20"/>
          <w:szCs w:val="20"/>
        </w:rPr>
        <w:t>3</w:t>
      </w:r>
      <w:r>
        <w:rPr>
          <w:sz w:val="20"/>
          <w:szCs w:val="20"/>
        </w:rPr>
        <w:t>6</w:t>
      </w:r>
    </w:p>
    <w:p w:rsidR="00477EE8" w:rsidRDefault="00477EE8">
      <w:pPr>
        <w:rPr>
          <w:rFonts w:eastAsia="Times New Roman"/>
        </w:rPr>
      </w:pPr>
      <w:r>
        <w:rPr>
          <w:rFonts w:eastAsia="Times New Roman"/>
        </w:rPr>
        <w:pict>
          <v:rect id="_x0000_i1147" style="width:0;height:1.5pt" o:hralign="center" o:hrstd="t" o:hr="t" fillcolor="#a0a0a0" stroked="f"/>
        </w:pict>
      </w:r>
    </w:p>
    <w:sectPr w:rsidR="00477EE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77EE8"/>
    <w:rsid w:val="00477EE8"/>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xbrl.sec.gov/dei/2022"/>
  <w:attachedSchema w:val="http://xbrl.sec.gov/stpr/2022"/>
  <w:attachedSchema w:val="http://fasb.org/us-gaap/2022"/>
  <w:attachedSchema w:val="http://www.xbrl.org/2003/iso4217"/>
  <w:attachedSchema w:val="http://xbrl.org/2020/extensible-enumerations-2.0"/>
  <w:attachedSchema w:val="http://www.xbrl.org/dtr/type/2020-01-21"/>
  <w:attachedSchema w:val="http://xbrl.sec.gov/country/2022"/>
  <w:attachedSchema w:val="http://fulgentdiagnostics.com/20221231"/>
  <w:attachedSchema w:val="http://fasb.org/srt/2022"/>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9962">
      <w:marLeft w:val="0"/>
      <w:marRight w:val="0"/>
      <w:marTop w:val="0"/>
      <w:marBottom w:val="0"/>
      <w:divBdr>
        <w:top w:val="none" w:sz="0" w:space="0" w:color="auto"/>
        <w:left w:val="none" w:sz="0" w:space="0" w:color="auto"/>
        <w:bottom w:val="none" w:sz="0" w:space="0" w:color="auto"/>
        <w:right w:val="none" w:sz="0" w:space="0" w:color="auto"/>
      </w:divBdr>
      <w:divsChild>
        <w:div w:id="840389634">
          <w:marLeft w:val="0"/>
          <w:marRight w:val="0"/>
          <w:marTop w:val="0"/>
          <w:marBottom w:val="0"/>
          <w:divBdr>
            <w:top w:val="none" w:sz="0" w:space="0" w:color="auto"/>
            <w:left w:val="none" w:sz="0" w:space="0" w:color="auto"/>
            <w:bottom w:val="none" w:sz="0" w:space="0" w:color="auto"/>
            <w:right w:val="none" w:sz="0" w:space="0" w:color="auto"/>
          </w:divBdr>
        </w:div>
        <w:div w:id="27681425">
          <w:marLeft w:val="0"/>
          <w:marRight w:val="0"/>
          <w:marTop w:val="0"/>
          <w:marBottom w:val="0"/>
          <w:divBdr>
            <w:top w:val="none" w:sz="0" w:space="0" w:color="auto"/>
            <w:left w:val="none" w:sz="0" w:space="0" w:color="auto"/>
            <w:bottom w:val="none" w:sz="0" w:space="0" w:color="auto"/>
            <w:right w:val="none" w:sz="0" w:space="0" w:color="auto"/>
          </w:divBdr>
        </w:div>
        <w:div w:id="1215199025">
          <w:marLeft w:val="0"/>
          <w:marRight w:val="0"/>
          <w:marTop w:val="0"/>
          <w:marBottom w:val="0"/>
          <w:divBdr>
            <w:top w:val="none" w:sz="0" w:space="0" w:color="auto"/>
            <w:left w:val="none" w:sz="0" w:space="0" w:color="auto"/>
            <w:bottom w:val="none" w:sz="0" w:space="0" w:color="auto"/>
            <w:right w:val="none" w:sz="0" w:space="0" w:color="auto"/>
          </w:divBdr>
        </w:div>
        <w:div w:id="1263874408">
          <w:marLeft w:val="0"/>
          <w:marRight w:val="0"/>
          <w:marTop w:val="0"/>
          <w:marBottom w:val="0"/>
          <w:divBdr>
            <w:top w:val="none" w:sz="0" w:space="0" w:color="auto"/>
            <w:left w:val="none" w:sz="0" w:space="0" w:color="auto"/>
            <w:bottom w:val="none" w:sz="0" w:space="0" w:color="auto"/>
            <w:right w:val="none" w:sz="0" w:space="0" w:color="auto"/>
          </w:divBdr>
        </w:div>
      </w:divsChild>
    </w:div>
    <w:div w:id="35131218">
      <w:marLeft w:val="0"/>
      <w:marRight w:val="0"/>
      <w:marTop w:val="0"/>
      <w:marBottom w:val="0"/>
      <w:divBdr>
        <w:top w:val="none" w:sz="0" w:space="0" w:color="auto"/>
        <w:left w:val="none" w:sz="0" w:space="0" w:color="auto"/>
        <w:bottom w:val="none" w:sz="0" w:space="0" w:color="auto"/>
        <w:right w:val="none" w:sz="0" w:space="0" w:color="auto"/>
      </w:divBdr>
      <w:divsChild>
        <w:div w:id="532575697">
          <w:marLeft w:val="0"/>
          <w:marRight w:val="0"/>
          <w:marTop w:val="0"/>
          <w:marBottom w:val="0"/>
          <w:divBdr>
            <w:top w:val="none" w:sz="0" w:space="0" w:color="auto"/>
            <w:left w:val="none" w:sz="0" w:space="0" w:color="auto"/>
            <w:bottom w:val="none" w:sz="0" w:space="0" w:color="auto"/>
            <w:right w:val="none" w:sz="0" w:space="0" w:color="auto"/>
          </w:divBdr>
        </w:div>
      </w:divsChild>
    </w:div>
    <w:div w:id="35590974">
      <w:marLeft w:val="4"/>
      <w:marRight w:val="0"/>
      <w:marTop w:val="0"/>
      <w:marBottom w:val="0"/>
      <w:divBdr>
        <w:top w:val="none" w:sz="0" w:space="0" w:color="auto"/>
        <w:left w:val="none" w:sz="0" w:space="0" w:color="auto"/>
        <w:bottom w:val="none" w:sz="0" w:space="0" w:color="auto"/>
        <w:right w:val="none" w:sz="0" w:space="0" w:color="auto"/>
      </w:divBdr>
      <w:divsChild>
        <w:div w:id="952513439">
          <w:marLeft w:val="0"/>
          <w:marRight w:val="0"/>
          <w:marTop w:val="0"/>
          <w:marBottom w:val="0"/>
          <w:divBdr>
            <w:top w:val="none" w:sz="0" w:space="0" w:color="auto"/>
            <w:left w:val="none" w:sz="0" w:space="0" w:color="auto"/>
            <w:bottom w:val="none" w:sz="0" w:space="0" w:color="auto"/>
            <w:right w:val="none" w:sz="0" w:space="0" w:color="auto"/>
          </w:divBdr>
        </w:div>
      </w:divsChild>
    </w:div>
    <w:div w:id="52125357">
      <w:marLeft w:val="4"/>
      <w:marRight w:val="0"/>
      <w:marTop w:val="120"/>
      <w:marBottom w:val="0"/>
      <w:divBdr>
        <w:top w:val="none" w:sz="0" w:space="0" w:color="auto"/>
        <w:left w:val="none" w:sz="0" w:space="0" w:color="auto"/>
        <w:bottom w:val="none" w:sz="0" w:space="0" w:color="auto"/>
        <w:right w:val="none" w:sz="0" w:space="0" w:color="auto"/>
      </w:divBdr>
      <w:divsChild>
        <w:div w:id="1558779522">
          <w:marLeft w:val="0"/>
          <w:marRight w:val="0"/>
          <w:marTop w:val="0"/>
          <w:marBottom w:val="0"/>
          <w:divBdr>
            <w:top w:val="none" w:sz="0" w:space="0" w:color="auto"/>
            <w:left w:val="none" w:sz="0" w:space="0" w:color="auto"/>
            <w:bottom w:val="none" w:sz="0" w:space="0" w:color="auto"/>
            <w:right w:val="none" w:sz="0" w:space="0" w:color="auto"/>
          </w:divBdr>
        </w:div>
      </w:divsChild>
    </w:div>
    <w:div w:id="53701400">
      <w:marLeft w:val="4"/>
      <w:marRight w:val="0"/>
      <w:marTop w:val="120"/>
      <w:marBottom w:val="0"/>
      <w:divBdr>
        <w:top w:val="none" w:sz="0" w:space="0" w:color="auto"/>
        <w:left w:val="none" w:sz="0" w:space="0" w:color="auto"/>
        <w:bottom w:val="none" w:sz="0" w:space="0" w:color="auto"/>
        <w:right w:val="none" w:sz="0" w:space="0" w:color="auto"/>
      </w:divBdr>
      <w:divsChild>
        <w:div w:id="654838191">
          <w:marLeft w:val="0"/>
          <w:marRight w:val="0"/>
          <w:marTop w:val="0"/>
          <w:marBottom w:val="0"/>
          <w:divBdr>
            <w:top w:val="none" w:sz="0" w:space="0" w:color="auto"/>
            <w:left w:val="none" w:sz="0" w:space="0" w:color="auto"/>
            <w:bottom w:val="none" w:sz="0" w:space="0" w:color="auto"/>
            <w:right w:val="none" w:sz="0" w:space="0" w:color="auto"/>
          </w:divBdr>
        </w:div>
      </w:divsChild>
    </w:div>
    <w:div w:id="53966706">
      <w:marLeft w:val="4"/>
      <w:marRight w:val="0"/>
      <w:marTop w:val="0"/>
      <w:marBottom w:val="0"/>
      <w:divBdr>
        <w:top w:val="none" w:sz="0" w:space="0" w:color="auto"/>
        <w:left w:val="none" w:sz="0" w:space="0" w:color="auto"/>
        <w:bottom w:val="none" w:sz="0" w:space="0" w:color="auto"/>
        <w:right w:val="none" w:sz="0" w:space="0" w:color="auto"/>
      </w:divBdr>
      <w:divsChild>
        <w:div w:id="2015108648">
          <w:marLeft w:val="0"/>
          <w:marRight w:val="0"/>
          <w:marTop w:val="0"/>
          <w:marBottom w:val="0"/>
          <w:divBdr>
            <w:top w:val="none" w:sz="0" w:space="0" w:color="auto"/>
            <w:left w:val="none" w:sz="0" w:space="0" w:color="auto"/>
            <w:bottom w:val="none" w:sz="0" w:space="0" w:color="auto"/>
            <w:right w:val="none" w:sz="0" w:space="0" w:color="auto"/>
          </w:divBdr>
        </w:div>
      </w:divsChild>
    </w:div>
    <w:div w:id="78061994">
      <w:marLeft w:val="4"/>
      <w:marRight w:val="0"/>
      <w:marTop w:val="0"/>
      <w:marBottom w:val="0"/>
      <w:divBdr>
        <w:top w:val="none" w:sz="0" w:space="0" w:color="auto"/>
        <w:left w:val="none" w:sz="0" w:space="0" w:color="auto"/>
        <w:bottom w:val="none" w:sz="0" w:space="0" w:color="auto"/>
        <w:right w:val="none" w:sz="0" w:space="0" w:color="auto"/>
      </w:divBdr>
      <w:divsChild>
        <w:div w:id="1758282707">
          <w:marLeft w:val="0"/>
          <w:marRight w:val="0"/>
          <w:marTop w:val="0"/>
          <w:marBottom w:val="0"/>
          <w:divBdr>
            <w:top w:val="none" w:sz="0" w:space="0" w:color="auto"/>
            <w:left w:val="none" w:sz="0" w:space="0" w:color="auto"/>
            <w:bottom w:val="none" w:sz="0" w:space="0" w:color="auto"/>
            <w:right w:val="none" w:sz="0" w:space="0" w:color="auto"/>
          </w:divBdr>
        </w:div>
      </w:divsChild>
    </w:div>
    <w:div w:id="94862096">
      <w:marLeft w:val="4"/>
      <w:marRight w:val="0"/>
      <w:marTop w:val="120"/>
      <w:marBottom w:val="0"/>
      <w:divBdr>
        <w:top w:val="none" w:sz="0" w:space="0" w:color="auto"/>
        <w:left w:val="none" w:sz="0" w:space="0" w:color="auto"/>
        <w:bottom w:val="none" w:sz="0" w:space="0" w:color="auto"/>
        <w:right w:val="none" w:sz="0" w:space="0" w:color="auto"/>
      </w:divBdr>
      <w:divsChild>
        <w:div w:id="4407344">
          <w:marLeft w:val="0"/>
          <w:marRight w:val="0"/>
          <w:marTop w:val="0"/>
          <w:marBottom w:val="0"/>
          <w:divBdr>
            <w:top w:val="none" w:sz="0" w:space="0" w:color="auto"/>
            <w:left w:val="none" w:sz="0" w:space="0" w:color="auto"/>
            <w:bottom w:val="none" w:sz="0" w:space="0" w:color="auto"/>
            <w:right w:val="none" w:sz="0" w:space="0" w:color="auto"/>
          </w:divBdr>
        </w:div>
      </w:divsChild>
    </w:div>
    <w:div w:id="102387128">
      <w:marLeft w:val="4"/>
      <w:marRight w:val="0"/>
      <w:marTop w:val="120"/>
      <w:marBottom w:val="0"/>
      <w:divBdr>
        <w:top w:val="none" w:sz="0" w:space="0" w:color="auto"/>
        <w:left w:val="none" w:sz="0" w:space="0" w:color="auto"/>
        <w:bottom w:val="none" w:sz="0" w:space="0" w:color="auto"/>
        <w:right w:val="none" w:sz="0" w:space="0" w:color="auto"/>
      </w:divBdr>
      <w:divsChild>
        <w:div w:id="716272371">
          <w:marLeft w:val="0"/>
          <w:marRight w:val="0"/>
          <w:marTop w:val="0"/>
          <w:marBottom w:val="0"/>
          <w:divBdr>
            <w:top w:val="none" w:sz="0" w:space="0" w:color="auto"/>
            <w:left w:val="none" w:sz="0" w:space="0" w:color="auto"/>
            <w:bottom w:val="none" w:sz="0" w:space="0" w:color="auto"/>
            <w:right w:val="none" w:sz="0" w:space="0" w:color="auto"/>
          </w:divBdr>
        </w:div>
      </w:divsChild>
    </w:div>
    <w:div w:id="107354575">
      <w:marLeft w:val="4"/>
      <w:marRight w:val="0"/>
      <w:marTop w:val="120"/>
      <w:marBottom w:val="0"/>
      <w:divBdr>
        <w:top w:val="none" w:sz="0" w:space="0" w:color="auto"/>
        <w:left w:val="none" w:sz="0" w:space="0" w:color="auto"/>
        <w:bottom w:val="none" w:sz="0" w:space="0" w:color="auto"/>
        <w:right w:val="none" w:sz="0" w:space="0" w:color="auto"/>
      </w:divBdr>
      <w:divsChild>
        <w:div w:id="1846701240">
          <w:marLeft w:val="0"/>
          <w:marRight w:val="0"/>
          <w:marTop w:val="0"/>
          <w:marBottom w:val="0"/>
          <w:divBdr>
            <w:top w:val="none" w:sz="0" w:space="0" w:color="auto"/>
            <w:left w:val="none" w:sz="0" w:space="0" w:color="auto"/>
            <w:bottom w:val="none" w:sz="0" w:space="0" w:color="auto"/>
            <w:right w:val="none" w:sz="0" w:space="0" w:color="auto"/>
          </w:divBdr>
        </w:div>
      </w:divsChild>
    </w:div>
    <w:div w:id="110515894">
      <w:marLeft w:val="4"/>
      <w:marRight w:val="0"/>
      <w:marTop w:val="120"/>
      <w:marBottom w:val="0"/>
      <w:divBdr>
        <w:top w:val="none" w:sz="0" w:space="0" w:color="auto"/>
        <w:left w:val="none" w:sz="0" w:space="0" w:color="auto"/>
        <w:bottom w:val="none" w:sz="0" w:space="0" w:color="auto"/>
        <w:right w:val="none" w:sz="0" w:space="0" w:color="auto"/>
      </w:divBdr>
      <w:divsChild>
        <w:div w:id="351805552">
          <w:marLeft w:val="0"/>
          <w:marRight w:val="0"/>
          <w:marTop w:val="0"/>
          <w:marBottom w:val="0"/>
          <w:divBdr>
            <w:top w:val="none" w:sz="0" w:space="0" w:color="auto"/>
            <w:left w:val="none" w:sz="0" w:space="0" w:color="auto"/>
            <w:bottom w:val="none" w:sz="0" w:space="0" w:color="auto"/>
            <w:right w:val="none" w:sz="0" w:space="0" w:color="auto"/>
          </w:divBdr>
        </w:div>
      </w:divsChild>
    </w:div>
    <w:div w:id="113406843">
      <w:marLeft w:val="6"/>
      <w:marRight w:val="0"/>
      <w:marTop w:val="0"/>
      <w:marBottom w:val="0"/>
      <w:divBdr>
        <w:top w:val="none" w:sz="0" w:space="0" w:color="auto"/>
        <w:left w:val="none" w:sz="0" w:space="0" w:color="auto"/>
        <w:bottom w:val="none" w:sz="0" w:space="0" w:color="auto"/>
        <w:right w:val="none" w:sz="0" w:space="0" w:color="auto"/>
      </w:divBdr>
      <w:divsChild>
        <w:div w:id="1130050927">
          <w:marLeft w:val="0"/>
          <w:marRight w:val="0"/>
          <w:marTop w:val="0"/>
          <w:marBottom w:val="0"/>
          <w:divBdr>
            <w:top w:val="none" w:sz="0" w:space="0" w:color="auto"/>
            <w:left w:val="none" w:sz="0" w:space="0" w:color="auto"/>
            <w:bottom w:val="none" w:sz="0" w:space="0" w:color="auto"/>
            <w:right w:val="none" w:sz="0" w:space="0" w:color="auto"/>
          </w:divBdr>
        </w:div>
      </w:divsChild>
    </w:div>
    <w:div w:id="123238706">
      <w:marLeft w:val="4"/>
      <w:marRight w:val="0"/>
      <w:marTop w:val="120"/>
      <w:marBottom w:val="0"/>
      <w:divBdr>
        <w:top w:val="none" w:sz="0" w:space="0" w:color="auto"/>
        <w:left w:val="none" w:sz="0" w:space="0" w:color="auto"/>
        <w:bottom w:val="none" w:sz="0" w:space="0" w:color="auto"/>
        <w:right w:val="none" w:sz="0" w:space="0" w:color="auto"/>
      </w:divBdr>
      <w:divsChild>
        <w:div w:id="1348018996">
          <w:marLeft w:val="0"/>
          <w:marRight w:val="0"/>
          <w:marTop w:val="0"/>
          <w:marBottom w:val="0"/>
          <w:divBdr>
            <w:top w:val="none" w:sz="0" w:space="0" w:color="auto"/>
            <w:left w:val="none" w:sz="0" w:space="0" w:color="auto"/>
            <w:bottom w:val="none" w:sz="0" w:space="0" w:color="auto"/>
            <w:right w:val="none" w:sz="0" w:space="0" w:color="auto"/>
          </w:divBdr>
        </w:div>
      </w:divsChild>
    </w:div>
    <w:div w:id="147209511">
      <w:marLeft w:val="4"/>
      <w:marRight w:val="0"/>
      <w:marTop w:val="120"/>
      <w:marBottom w:val="0"/>
      <w:divBdr>
        <w:top w:val="none" w:sz="0" w:space="0" w:color="auto"/>
        <w:left w:val="none" w:sz="0" w:space="0" w:color="auto"/>
        <w:bottom w:val="none" w:sz="0" w:space="0" w:color="auto"/>
        <w:right w:val="none" w:sz="0" w:space="0" w:color="auto"/>
      </w:divBdr>
      <w:divsChild>
        <w:div w:id="707800060">
          <w:marLeft w:val="0"/>
          <w:marRight w:val="0"/>
          <w:marTop w:val="0"/>
          <w:marBottom w:val="0"/>
          <w:divBdr>
            <w:top w:val="none" w:sz="0" w:space="0" w:color="auto"/>
            <w:left w:val="none" w:sz="0" w:space="0" w:color="auto"/>
            <w:bottom w:val="none" w:sz="0" w:space="0" w:color="auto"/>
            <w:right w:val="none" w:sz="0" w:space="0" w:color="auto"/>
          </w:divBdr>
        </w:div>
      </w:divsChild>
    </w:div>
    <w:div w:id="152987856">
      <w:marLeft w:val="6"/>
      <w:marRight w:val="0"/>
      <w:marTop w:val="120"/>
      <w:marBottom w:val="0"/>
      <w:divBdr>
        <w:top w:val="none" w:sz="0" w:space="0" w:color="auto"/>
        <w:left w:val="none" w:sz="0" w:space="0" w:color="auto"/>
        <w:bottom w:val="none" w:sz="0" w:space="0" w:color="auto"/>
        <w:right w:val="none" w:sz="0" w:space="0" w:color="auto"/>
      </w:divBdr>
      <w:divsChild>
        <w:div w:id="1649242740">
          <w:marLeft w:val="0"/>
          <w:marRight w:val="0"/>
          <w:marTop w:val="0"/>
          <w:marBottom w:val="0"/>
          <w:divBdr>
            <w:top w:val="none" w:sz="0" w:space="0" w:color="auto"/>
            <w:left w:val="none" w:sz="0" w:space="0" w:color="auto"/>
            <w:bottom w:val="none" w:sz="0" w:space="0" w:color="auto"/>
            <w:right w:val="none" w:sz="0" w:space="0" w:color="auto"/>
          </w:divBdr>
        </w:div>
      </w:divsChild>
    </w:div>
    <w:div w:id="156574681">
      <w:marLeft w:val="6"/>
      <w:marRight w:val="0"/>
      <w:marTop w:val="120"/>
      <w:marBottom w:val="0"/>
      <w:divBdr>
        <w:top w:val="none" w:sz="0" w:space="0" w:color="auto"/>
        <w:left w:val="none" w:sz="0" w:space="0" w:color="auto"/>
        <w:bottom w:val="none" w:sz="0" w:space="0" w:color="auto"/>
        <w:right w:val="none" w:sz="0" w:space="0" w:color="auto"/>
      </w:divBdr>
      <w:divsChild>
        <w:div w:id="1705671078">
          <w:marLeft w:val="0"/>
          <w:marRight w:val="0"/>
          <w:marTop w:val="0"/>
          <w:marBottom w:val="0"/>
          <w:divBdr>
            <w:top w:val="none" w:sz="0" w:space="0" w:color="auto"/>
            <w:left w:val="none" w:sz="0" w:space="0" w:color="auto"/>
            <w:bottom w:val="none" w:sz="0" w:space="0" w:color="auto"/>
            <w:right w:val="none" w:sz="0" w:space="0" w:color="auto"/>
          </w:divBdr>
        </w:div>
      </w:divsChild>
    </w:div>
    <w:div w:id="158009355">
      <w:marLeft w:val="4"/>
      <w:marRight w:val="0"/>
      <w:marTop w:val="120"/>
      <w:marBottom w:val="0"/>
      <w:divBdr>
        <w:top w:val="none" w:sz="0" w:space="0" w:color="auto"/>
        <w:left w:val="none" w:sz="0" w:space="0" w:color="auto"/>
        <w:bottom w:val="none" w:sz="0" w:space="0" w:color="auto"/>
        <w:right w:val="none" w:sz="0" w:space="0" w:color="auto"/>
      </w:divBdr>
      <w:divsChild>
        <w:div w:id="662200347">
          <w:marLeft w:val="0"/>
          <w:marRight w:val="0"/>
          <w:marTop w:val="0"/>
          <w:marBottom w:val="0"/>
          <w:divBdr>
            <w:top w:val="none" w:sz="0" w:space="0" w:color="auto"/>
            <w:left w:val="none" w:sz="0" w:space="0" w:color="auto"/>
            <w:bottom w:val="none" w:sz="0" w:space="0" w:color="auto"/>
            <w:right w:val="none" w:sz="0" w:space="0" w:color="auto"/>
          </w:divBdr>
        </w:div>
      </w:divsChild>
    </w:div>
    <w:div w:id="167213618">
      <w:marLeft w:val="4"/>
      <w:marRight w:val="0"/>
      <w:marTop w:val="120"/>
      <w:marBottom w:val="0"/>
      <w:divBdr>
        <w:top w:val="none" w:sz="0" w:space="0" w:color="auto"/>
        <w:left w:val="none" w:sz="0" w:space="0" w:color="auto"/>
        <w:bottom w:val="none" w:sz="0" w:space="0" w:color="auto"/>
        <w:right w:val="none" w:sz="0" w:space="0" w:color="auto"/>
      </w:divBdr>
      <w:divsChild>
        <w:div w:id="1153445641">
          <w:marLeft w:val="0"/>
          <w:marRight w:val="0"/>
          <w:marTop w:val="0"/>
          <w:marBottom w:val="0"/>
          <w:divBdr>
            <w:top w:val="none" w:sz="0" w:space="0" w:color="auto"/>
            <w:left w:val="none" w:sz="0" w:space="0" w:color="auto"/>
            <w:bottom w:val="none" w:sz="0" w:space="0" w:color="auto"/>
            <w:right w:val="none" w:sz="0" w:space="0" w:color="auto"/>
          </w:divBdr>
        </w:div>
      </w:divsChild>
    </w:div>
    <w:div w:id="187376184">
      <w:marLeft w:val="0"/>
      <w:marRight w:val="0"/>
      <w:marTop w:val="0"/>
      <w:marBottom w:val="0"/>
      <w:divBdr>
        <w:top w:val="none" w:sz="0" w:space="0" w:color="auto"/>
        <w:left w:val="none" w:sz="0" w:space="0" w:color="auto"/>
        <w:bottom w:val="none" w:sz="0" w:space="0" w:color="auto"/>
        <w:right w:val="none" w:sz="0" w:space="0" w:color="auto"/>
      </w:divBdr>
      <w:divsChild>
        <w:div w:id="1554461196">
          <w:marLeft w:val="0"/>
          <w:marRight w:val="0"/>
          <w:marTop w:val="0"/>
          <w:marBottom w:val="0"/>
          <w:divBdr>
            <w:top w:val="none" w:sz="0" w:space="0" w:color="auto"/>
            <w:left w:val="none" w:sz="0" w:space="0" w:color="auto"/>
            <w:bottom w:val="none" w:sz="0" w:space="0" w:color="auto"/>
            <w:right w:val="none" w:sz="0" w:space="0" w:color="auto"/>
          </w:divBdr>
        </w:div>
        <w:div w:id="720524211">
          <w:marLeft w:val="0"/>
          <w:marRight w:val="0"/>
          <w:marTop w:val="0"/>
          <w:marBottom w:val="0"/>
          <w:divBdr>
            <w:top w:val="none" w:sz="0" w:space="0" w:color="auto"/>
            <w:left w:val="none" w:sz="0" w:space="0" w:color="auto"/>
            <w:bottom w:val="none" w:sz="0" w:space="0" w:color="auto"/>
            <w:right w:val="none" w:sz="0" w:space="0" w:color="auto"/>
          </w:divBdr>
        </w:div>
        <w:div w:id="1191183115">
          <w:marLeft w:val="0"/>
          <w:marRight w:val="0"/>
          <w:marTop w:val="0"/>
          <w:marBottom w:val="0"/>
          <w:divBdr>
            <w:top w:val="none" w:sz="0" w:space="0" w:color="auto"/>
            <w:left w:val="none" w:sz="0" w:space="0" w:color="auto"/>
            <w:bottom w:val="none" w:sz="0" w:space="0" w:color="auto"/>
            <w:right w:val="none" w:sz="0" w:space="0" w:color="auto"/>
          </w:divBdr>
        </w:div>
        <w:div w:id="1019549189">
          <w:marLeft w:val="0"/>
          <w:marRight w:val="0"/>
          <w:marTop w:val="0"/>
          <w:marBottom w:val="0"/>
          <w:divBdr>
            <w:top w:val="none" w:sz="0" w:space="0" w:color="auto"/>
            <w:left w:val="none" w:sz="0" w:space="0" w:color="auto"/>
            <w:bottom w:val="none" w:sz="0" w:space="0" w:color="auto"/>
            <w:right w:val="none" w:sz="0" w:space="0" w:color="auto"/>
          </w:divBdr>
        </w:div>
        <w:div w:id="144275766">
          <w:marLeft w:val="0"/>
          <w:marRight w:val="0"/>
          <w:marTop w:val="0"/>
          <w:marBottom w:val="0"/>
          <w:divBdr>
            <w:top w:val="none" w:sz="0" w:space="0" w:color="auto"/>
            <w:left w:val="none" w:sz="0" w:space="0" w:color="auto"/>
            <w:bottom w:val="none" w:sz="0" w:space="0" w:color="auto"/>
            <w:right w:val="none" w:sz="0" w:space="0" w:color="auto"/>
          </w:divBdr>
        </w:div>
        <w:div w:id="838083783">
          <w:marLeft w:val="0"/>
          <w:marRight w:val="0"/>
          <w:marTop w:val="0"/>
          <w:marBottom w:val="0"/>
          <w:divBdr>
            <w:top w:val="none" w:sz="0" w:space="0" w:color="auto"/>
            <w:left w:val="none" w:sz="0" w:space="0" w:color="auto"/>
            <w:bottom w:val="none" w:sz="0" w:space="0" w:color="auto"/>
            <w:right w:val="none" w:sz="0" w:space="0" w:color="auto"/>
          </w:divBdr>
        </w:div>
      </w:divsChild>
    </w:div>
    <w:div w:id="192035163">
      <w:marLeft w:val="6"/>
      <w:marRight w:val="0"/>
      <w:marTop w:val="0"/>
      <w:marBottom w:val="0"/>
      <w:divBdr>
        <w:top w:val="none" w:sz="0" w:space="0" w:color="auto"/>
        <w:left w:val="none" w:sz="0" w:space="0" w:color="auto"/>
        <w:bottom w:val="none" w:sz="0" w:space="0" w:color="auto"/>
        <w:right w:val="none" w:sz="0" w:space="0" w:color="auto"/>
      </w:divBdr>
      <w:divsChild>
        <w:div w:id="444278477">
          <w:marLeft w:val="0"/>
          <w:marRight w:val="0"/>
          <w:marTop w:val="0"/>
          <w:marBottom w:val="0"/>
          <w:divBdr>
            <w:top w:val="none" w:sz="0" w:space="0" w:color="auto"/>
            <w:left w:val="none" w:sz="0" w:space="0" w:color="auto"/>
            <w:bottom w:val="none" w:sz="0" w:space="0" w:color="auto"/>
            <w:right w:val="none" w:sz="0" w:space="0" w:color="auto"/>
          </w:divBdr>
        </w:div>
      </w:divsChild>
    </w:div>
    <w:div w:id="195893938">
      <w:marLeft w:val="6"/>
      <w:marRight w:val="0"/>
      <w:marTop w:val="0"/>
      <w:marBottom w:val="0"/>
      <w:divBdr>
        <w:top w:val="none" w:sz="0" w:space="0" w:color="auto"/>
        <w:left w:val="none" w:sz="0" w:space="0" w:color="auto"/>
        <w:bottom w:val="none" w:sz="0" w:space="0" w:color="auto"/>
        <w:right w:val="none" w:sz="0" w:space="0" w:color="auto"/>
      </w:divBdr>
      <w:divsChild>
        <w:div w:id="753472684">
          <w:marLeft w:val="0"/>
          <w:marRight w:val="0"/>
          <w:marTop w:val="0"/>
          <w:marBottom w:val="0"/>
          <w:divBdr>
            <w:top w:val="none" w:sz="0" w:space="0" w:color="auto"/>
            <w:left w:val="none" w:sz="0" w:space="0" w:color="auto"/>
            <w:bottom w:val="none" w:sz="0" w:space="0" w:color="auto"/>
            <w:right w:val="none" w:sz="0" w:space="0" w:color="auto"/>
          </w:divBdr>
        </w:div>
      </w:divsChild>
    </w:div>
    <w:div w:id="202139466">
      <w:marLeft w:val="4"/>
      <w:marRight w:val="0"/>
      <w:marTop w:val="120"/>
      <w:marBottom w:val="0"/>
      <w:divBdr>
        <w:top w:val="none" w:sz="0" w:space="0" w:color="auto"/>
        <w:left w:val="none" w:sz="0" w:space="0" w:color="auto"/>
        <w:bottom w:val="none" w:sz="0" w:space="0" w:color="auto"/>
        <w:right w:val="none" w:sz="0" w:space="0" w:color="auto"/>
      </w:divBdr>
      <w:divsChild>
        <w:div w:id="206455249">
          <w:marLeft w:val="0"/>
          <w:marRight w:val="0"/>
          <w:marTop w:val="0"/>
          <w:marBottom w:val="0"/>
          <w:divBdr>
            <w:top w:val="none" w:sz="0" w:space="0" w:color="auto"/>
            <w:left w:val="none" w:sz="0" w:space="0" w:color="auto"/>
            <w:bottom w:val="none" w:sz="0" w:space="0" w:color="auto"/>
            <w:right w:val="none" w:sz="0" w:space="0" w:color="auto"/>
          </w:divBdr>
        </w:div>
      </w:divsChild>
    </w:div>
    <w:div w:id="216673899">
      <w:marLeft w:val="4"/>
      <w:marRight w:val="0"/>
      <w:marTop w:val="0"/>
      <w:marBottom w:val="0"/>
      <w:divBdr>
        <w:top w:val="none" w:sz="0" w:space="0" w:color="auto"/>
        <w:left w:val="none" w:sz="0" w:space="0" w:color="auto"/>
        <w:bottom w:val="none" w:sz="0" w:space="0" w:color="auto"/>
        <w:right w:val="none" w:sz="0" w:space="0" w:color="auto"/>
      </w:divBdr>
      <w:divsChild>
        <w:div w:id="568075630">
          <w:marLeft w:val="0"/>
          <w:marRight w:val="0"/>
          <w:marTop w:val="0"/>
          <w:marBottom w:val="0"/>
          <w:divBdr>
            <w:top w:val="none" w:sz="0" w:space="0" w:color="auto"/>
            <w:left w:val="none" w:sz="0" w:space="0" w:color="auto"/>
            <w:bottom w:val="none" w:sz="0" w:space="0" w:color="auto"/>
            <w:right w:val="none" w:sz="0" w:space="0" w:color="auto"/>
          </w:divBdr>
        </w:div>
      </w:divsChild>
    </w:div>
    <w:div w:id="255097127">
      <w:marLeft w:val="4"/>
      <w:marRight w:val="0"/>
      <w:marTop w:val="120"/>
      <w:marBottom w:val="0"/>
      <w:divBdr>
        <w:top w:val="none" w:sz="0" w:space="0" w:color="auto"/>
        <w:left w:val="none" w:sz="0" w:space="0" w:color="auto"/>
        <w:bottom w:val="none" w:sz="0" w:space="0" w:color="auto"/>
        <w:right w:val="none" w:sz="0" w:space="0" w:color="auto"/>
      </w:divBdr>
      <w:divsChild>
        <w:div w:id="809053301">
          <w:marLeft w:val="0"/>
          <w:marRight w:val="0"/>
          <w:marTop w:val="0"/>
          <w:marBottom w:val="0"/>
          <w:divBdr>
            <w:top w:val="none" w:sz="0" w:space="0" w:color="auto"/>
            <w:left w:val="none" w:sz="0" w:space="0" w:color="auto"/>
            <w:bottom w:val="none" w:sz="0" w:space="0" w:color="auto"/>
            <w:right w:val="none" w:sz="0" w:space="0" w:color="auto"/>
          </w:divBdr>
        </w:div>
      </w:divsChild>
    </w:div>
    <w:div w:id="282227652">
      <w:marLeft w:val="4"/>
      <w:marRight w:val="0"/>
      <w:marTop w:val="120"/>
      <w:marBottom w:val="0"/>
      <w:divBdr>
        <w:top w:val="none" w:sz="0" w:space="0" w:color="auto"/>
        <w:left w:val="none" w:sz="0" w:space="0" w:color="auto"/>
        <w:bottom w:val="none" w:sz="0" w:space="0" w:color="auto"/>
        <w:right w:val="none" w:sz="0" w:space="0" w:color="auto"/>
      </w:divBdr>
      <w:divsChild>
        <w:div w:id="1083332201">
          <w:marLeft w:val="0"/>
          <w:marRight w:val="0"/>
          <w:marTop w:val="0"/>
          <w:marBottom w:val="0"/>
          <w:divBdr>
            <w:top w:val="none" w:sz="0" w:space="0" w:color="auto"/>
            <w:left w:val="none" w:sz="0" w:space="0" w:color="auto"/>
            <w:bottom w:val="none" w:sz="0" w:space="0" w:color="auto"/>
            <w:right w:val="none" w:sz="0" w:space="0" w:color="auto"/>
          </w:divBdr>
        </w:div>
      </w:divsChild>
    </w:div>
    <w:div w:id="304821367">
      <w:marLeft w:val="0"/>
      <w:marRight w:val="0"/>
      <w:marTop w:val="120"/>
      <w:marBottom w:val="0"/>
      <w:divBdr>
        <w:top w:val="none" w:sz="0" w:space="0" w:color="auto"/>
        <w:left w:val="none" w:sz="0" w:space="0" w:color="auto"/>
        <w:bottom w:val="none" w:sz="0" w:space="0" w:color="auto"/>
        <w:right w:val="none" w:sz="0" w:space="0" w:color="auto"/>
      </w:divBdr>
      <w:divsChild>
        <w:div w:id="2130706766">
          <w:marLeft w:val="0"/>
          <w:marRight w:val="0"/>
          <w:marTop w:val="0"/>
          <w:marBottom w:val="0"/>
          <w:divBdr>
            <w:top w:val="none" w:sz="0" w:space="0" w:color="auto"/>
            <w:left w:val="none" w:sz="0" w:space="0" w:color="auto"/>
            <w:bottom w:val="none" w:sz="0" w:space="0" w:color="auto"/>
            <w:right w:val="none" w:sz="0" w:space="0" w:color="auto"/>
          </w:divBdr>
        </w:div>
      </w:divsChild>
    </w:div>
    <w:div w:id="307054370">
      <w:marLeft w:val="4"/>
      <w:marRight w:val="0"/>
      <w:marTop w:val="0"/>
      <w:marBottom w:val="0"/>
      <w:divBdr>
        <w:top w:val="none" w:sz="0" w:space="0" w:color="auto"/>
        <w:left w:val="none" w:sz="0" w:space="0" w:color="auto"/>
        <w:bottom w:val="none" w:sz="0" w:space="0" w:color="auto"/>
        <w:right w:val="none" w:sz="0" w:space="0" w:color="auto"/>
      </w:divBdr>
      <w:divsChild>
        <w:div w:id="912861871">
          <w:marLeft w:val="0"/>
          <w:marRight w:val="0"/>
          <w:marTop w:val="0"/>
          <w:marBottom w:val="0"/>
          <w:divBdr>
            <w:top w:val="none" w:sz="0" w:space="0" w:color="auto"/>
            <w:left w:val="none" w:sz="0" w:space="0" w:color="auto"/>
            <w:bottom w:val="none" w:sz="0" w:space="0" w:color="auto"/>
            <w:right w:val="none" w:sz="0" w:space="0" w:color="auto"/>
          </w:divBdr>
        </w:div>
      </w:divsChild>
    </w:div>
    <w:div w:id="312566412">
      <w:marLeft w:val="0"/>
      <w:marRight w:val="0"/>
      <w:marTop w:val="0"/>
      <w:marBottom w:val="0"/>
      <w:divBdr>
        <w:top w:val="none" w:sz="0" w:space="0" w:color="auto"/>
        <w:left w:val="none" w:sz="0" w:space="0" w:color="auto"/>
        <w:bottom w:val="none" w:sz="0" w:space="0" w:color="auto"/>
        <w:right w:val="none" w:sz="0" w:space="0" w:color="auto"/>
      </w:divBdr>
    </w:div>
    <w:div w:id="315107165">
      <w:marLeft w:val="4"/>
      <w:marRight w:val="0"/>
      <w:marTop w:val="120"/>
      <w:marBottom w:val="0"/>
      <w:divBdr>
        <w:top w:val="none" w:sz="0" w:space="0" w:color="auto"/>
        <w:left w:val="none" w:sz="0" w:space="0" w:color="auto"/>
        <w:bottom w:val="none" w:sz="0" w:space="0" w:color="auto"/>
        <w:right w:val="none" w:sz="0" w:space="0" w:color="auto"/>
      </w:divBdr>
      <w:divsChild>
        <w:div w:id="1575435032">
          <w:marLeft w:val="0"/>
          <w:marRight w:val="0"/>
          <w:marTop w:val="0"/>
          <w:marBottom w:val="0"/>
          <w:divBdr>
            <w:top w:val="none" w:sz="0" w:space="0" w:color="auto"/>
            <w:left w:val="none" w:sz="0" w:space="0" w:color="auto"/>
            <w:bottom w:val="none" w:sz="0" w:space="0" w:color="auto"/>
            <w:right w:val="none" w:sz="0" w:space="0" w:color="auto"/>
          </w:divBdr>
        </w:div>
      </w:divsChild>
    </w:div>
    <w:div w:id="316346508">
      <w:marLeft w:val="4"/>
      <w:marRight w:val="0"/>
      <w:marTop w:val="120"/>
      <w:marBottom w:val="0"/>
      <w:divBdr>
        <w:top w:val="none" w:sz="0" w:space="0" w:color="auto"/>
        <w:left w:val="none" w:sz="0" w:space="0" w:color="auto"/>
        <w:bottom w:val="none" w:sz="0" w:space="0" w:color="auto"/>
        <w:right w:val="none" w:sz="0" w:space="0" w:color="auto"/>
      </w:divBdr>
      <w:divsChild>
        <w:div w:id="113641560">
          <w:marLeft w:val="0"/>
          <w:marRight w:val="0"/>
          <w:marTop w:val="0"/>
          <w:marBottom w:val="0"/>
          <w:divBdr>
            <w:top w:val="none" w:sz="0" w:space="0" w:color="auto"/>
            <w:left w:val="none" w:sz="0" w:space="0" w:color="auto"/>
            <w:bottom w:val="none" w:sz="0" w:space="0" w:color="auto"/>
            <w:right w:val="none" w:sz="0" w:space="0" w:color="auto"/>
          </w:divBdr>
        </w:div>
      </w:divsChild>
    </w:div>
    <w:div w:id="316736314">
      <w:marLeft w:val="4"/>
      <w:marRight w:val="0"/>
      <w:marTop w:val="120"/>
      <w:marBottom w:val="0"/>
      <w:divBdr>
        <w:top w:val="none" w:sz="0" w:space="0" w:color="auto"/>
        <w:left w:val="none" w:sz="0" w:space="0" w:color="auto"/>
        <w:bottom w:val="none" w:sz="0" w:space="0" w:color="auto"/>
        <w:right w:val="none" w:sz="0" w:space="0" w:color="auto"/>
      </w:divBdr>
      <w:divsChild>
        <w:div w:id="695471542">
          <w:marLeft w:val="0"/>
          <w:marRight w:val="0"/>
          <w:marTop w:val="0"/>
          <w:marBottom w:val="0"/>
          <w:divBdr>
            <w:top w:val="none" w:sz="0" w:space="0" w:color="auto"/>
            <w:left w:val="none" w:sz="0" w:space="0" w:color="auto"/>
            <w:bottom w:val="none" w:sz="0" w:space="0" w:color="auto"/>
            <w:right w:val="none" w:sz="0" w:space="0" w:color="auto"/>
          </w:divBdr>
        </w:div>
      </w:divsChild>
    </w:div>
    <w:div w:id="325018515">
      <w:marLeft w:val="4"/>
      <w:marRight w:val="0"/>
      <w:marTop w:val="120"/>
      <w:marBottom w:val="0"/>
      <w:divBdr>
        <w:top w:val="none" w:sz="0" w:space="0" w:color="auto"/>
        <w:left w:val="none" w:sz="0" w:space="0" w:color="auto"/>
        <w:bottom w:val="none" w:sz="0" w:space="0" w:color="auto"/>
        <w:right w:val="none" w:sz="0" w:space="0" w:color="auto"/>
      </w:divBdr>
      <w:divsChild>
        <w:div w:id="283007416">
          <w:marLeft w:val="0"/>
          <w:marRight w:val="0"/>
          <w:marTop w:val="0"/>
          <w:marBottom w:val="0"/>
          <w:divBdr>
            <w:top w:val="none" w:sz="0" w:space="0" w:color="auto"/>
            <w:left w:val="none" w:sz="0" w:space="0" w:color="auto"/>
            <w:bottom w:val="none" w:sz="0" w:space="0" w:color="auto"/>
            <w:right w:val="none" w:sz="0" w:space="0" w:color="auto"/>
          </w:divBdr>
        </w:div>
      </w:divsChild>
    </w:div>
    <w:div w:id="332925760">
      <w:marLeft w:val="4"/>
      <w:marRight w:val="0"/>
      <w:marTop w:val="120"/>
      <w:marBottom w:val="0"/>
      <w:divBdr>
        <w:top w:val="none" w:sz="0" w:space="0" w:color="auto"/>
        <w:left w:val="none" w:sz="0" w:space="0" w:color="auto"/>
        <w:bottom w:val="none" w:sz="0" w:space="0" w:color="auto"/>
        <w:right w:val="none" w:sz="0" w:space="0" w:color="auto"/>
      </w:divBdr>
      <w:divsChild>
        <w:div w:id="1643387423">
          <w:marLeft w:val="0"/>
          <w:marRight w:val="0"/>
          <w:marTop w:val="0"/>
          <w:marBottom w:val="0"/>
          <w:divBdr>
            <w:top w:val="none" w:sz="0" w:space="0" w:color="auto"/>
            <w:left w:val="none" w:sz="0" w:space="0" w:color="auto"/>
            <w:bottom w:val="none" w:sz="0" w:space="0" w:color="auto"/>
            <w:right w:val="none" w:sz="0" w:space="0" w:color="auto"/>
          </w:divBdr>
        </w:div>
      </w:divsChild>
    </w:div>
    <w:div w:id="345375049">
      <w:marLeft w:val="4"/>
      <w:marRight w:val="0"/>
      <w:marTop w:val="120"/>
      <w:marBottom w:val="0"/>
      <w:divBdr>
        <w:top w:val="none" w:sz="0" w:space="0" w:color="auto"/>
        <w:left w:val="none" w:sz="0" w:space="0" w:color="auto"/>
        <w:bottom w:val="none" w:sz="0" w:space="0" w:color="auto"/>
        <w:right w:val="none" w:sz="0" w:space="0" w:color="auto"/>
      </w:divBdr>
      <w:divsChild>
        <w:div w:id="361907886">
          <w:marLeft w:val="0"/>
          <w:marRight w:val="0"/>
          <w:marTop w:val="0"/>
          <w:marBottom w:val="0"/>
          <w:divBdr>
            <w:top w:val="none" w:sz="0" w:space="0" w:color="auto"/>
            <w:left w:val="none" w:sz="0" w:space="0" w:color="auto"/>
            <w:bottom w:val="none" w:sz="0" w:space="0" w:color="auto"/>
            <w:right w:val="none" w:sz="0" w:space="0" w:color="auto"/>
          </w:divBdr>
        </w:div>
      </w:divsChild>
    </w:div>
    <w:div w:id="352728716">
      <w:marLeft w:val="4"/>
      <w:marRight w:val="0"/>
      <w:marTop w:val="120"/>
      <w:marBottom w:val="0"/>
      <w:divBdr>
        <w:top w:val="none" w:sz="0" w:space="0" w:color="auto"/>
        <w:left w:val="none" w:sz="0" w:space="0" w:color="auto"/>
        <w:bottom w:val="none" w:sz="0" w:space="0" w:color="auto"/>
        <w:right w:val="none" w:sz="0" w:space="0" w:color="auto"/>
      </w:divBdr>
      <w:divsChild>
        <w:div w:id="153566163">
          <w:marLeft w:val="0"/>
          <w:marRight w:val="0"/>
          <w:marTop w:val="0"/>
          <w:marBottom w:val="0"/>
          <w:divBdr>
            <w:top w:val="none" w:sz="0" w:space="0" w:color="auto"/>
            <w:left w:val="none" w:sz="0" w:space="0" w:color="auto"/>
            <w:bottom w:val="none" w:sz="0" w:space="0" w:color="auto"/>
            <w:right w:val="none" w:sz="0" w:space="0" w:color="auto"/>
          </w:divBdr>
        </w:div>
      </w:divsChild>
    </w:div>
    <w:div w:id="357971701">
      <w:marLeft w:val="6"/>
      <w:marRight w:val="0"/>
      <w:marTop w:val="0"/>
      <w:marBottom w:val="0"/>
      <w:divBdr>
        <w:top w:val="none" w:sz="0" w:space="0" w:color="auto"/>
        <w:left w:val="none" w:sz="0" w:space="0" w:color="auto"/>
        <w:bottom w:val="none" w:sz="0" w:space="0" w:color="auto"/>
        <w:right w:val="none" w:sz="0" w:space="0" w:color="auto"/>
      </w:divBdr>
      <w:divsChild>
        <w:div w:id="1140417240">
          <w:marLeft w:val="0"/>
          <w:marRight w:val="0"/>
          <w:marTop w:val="0"/>
          <w:marBottom w:val="0"/>
          <w:divBdr>
            <w:top w:val="none" w:sz="0" w:space="0" w:color="auto"/>
            <w:left w:val="none" w:sz="0" w:space="0" w:color="auto"/>
            <w:bottom w:val="none" w:sz="0" w:space="0" w:color="auto"/>
            <w:right w:val="none" w:sz="0" w:space="0" w:color="auto"/>
          </w:divBdr>
        </w:div>
      </w:divsChild>
    </w:div>
    <w:div w:id="364982780">
      <w:marLeft w:val="0"/>
      <w:marRight w:val="0"/>
      <w:marTop w:val="0"/>
      <w:marBottom w:val="0"/>
      <w:divBdr>
        <w:top w:val="none" w:sz="0" w:space="0" w:color="auto"/>
        <w:left w:val="none" w:sz="0" w:space="0" w:color="auto"/>
        <w:bottom w:val="none" w:sz="0" w:space="0" w:color="auto"/>
        <w:right w:val="none" w:sz="0" w:space="0" w:color="auto"/>
      </w:divBdr>
      <w:divsChild>
        <w:div w:id="1781338086">
          <w:marLeft w:val="0"/>
          <w:marRight w:val="0"/>
          <w:marTop w:val="0"/>
          <w:marBottom w:val="0"/>
          <w:divBdr>
            <w:top w:val="none" w:sz="0" w:space="0" w:color="auto"/>
            <w:left w:val="none" w:sz="0" w:space="0" w:color="auto"/>
            <w:bottom w:val="none" w:sz="0" w:space="0" w:color="auto"/>
            <w:right w:val="none" w:sz="0" w:space="0" w:color="auto"/>
          </w:divBdr>
        </w:div>
        <w:div w:id="1258904894">
          <w:marLeft w:val="0"/>
          <w:marRight w:val="0"/>
          <w:marTop w:val="0"/>
          <w:marBottom w:val="0"/>
          <w:divBdr>
            <w:top w:val="none" w:sz="0" w:space="0" w:color="auto"/>
            <w:left w:val="none" w:sz="0" w:space="0" w:color="auto"/>
            <w:bottom w:val="none" w:sz="0" w:space="0" w:color="auto"/>
            <w:right w:val="none" w:sz="0" w:space="0" w:color="auto"/>
          </w:divBdr>
        </w:div>
        <w:div w:id="1398437579">
          <w:marLeft w:val="0"/>
          <w:marRight w:val="0"/>
          <w:marTop w:val="0"/>
          <w:marBottom w:val="0"/>
          <w:divBdr>
            <w:top w:val="none" w:sz="0" w:space="0" w:color="auto"/>
            <w:left w:val="none" w:sz="0" w:space="0" w:color="auto"/>
            <w:bottom w:val="none" w:sz="0" w:space="0" w:color="auto"/>
            <w:right w:val="none" w:sz="0" w:space="0" w:color="auto"/>
          </w:divBdr>
        </w:div>
        <w:div w:id="2031644830">
          <w:marLeft w:val="0"/>
          <w:marRight w:val="0"/>
          <w:marTop w:val="0"/>
          <w:marBottom w:val="0"/>
          <w:divBdr>
            <w:top w:val="none" w:sz="0" w:space="0" w:color="auto"/>
            <w:left w:val="none" w:sz="0" w:space="0" w:color="auto"/>
            <w:bottom w:val="none" w:sz="0" w:space="0" w:color="auto"/>
            <w:right w:val="none" w:sz="0" w:space="0" w:color="auto"/>
          </w:divBdr>
        </w:div>
        <w:div w:id="1811363297">
          <w:marLeft w:val="0"/>
          <w:marRight w:val="0"/>
          <w:marTop w:val="0"/>
          <w:marBottom w:val="0"/>
          <w:divBdr>
            <w:top w:val="none" w:sz="0" w:space="0" w:color="auto"/>
            <w:left w:val="none" w:sz="0" w:space="0" w:color="auto"/>
            <w:bottom w:val="none" w:sz="0" w:space="0" w:color="auto"/>
            <w:right w:val="none" w:sz="0" w:space="0" w:color="auto"/>
          </w:divBdr>
        </w:div>
      </w:divsChild>
    </w:div>
    <w:div w:id="375080529">
      <w:marLeft w:val="4"/>
      <w:marRight w:val="0"/>
      <w:marTop w:val="120"/>
      <w:marBottom w:val="0"/>
      <w:divBdr>
        <w:top w:val="none" w:sz="0" w:space="0" w:color="auto"/>
        <w:left w:val="none" w:sz="0" w:space="0" w:color="auto"/>
        <w:bottom w:val="none" w:sz="0" w:space="0" w:color="auto"/>
        <w:right w:val="none" w:sz="0" w:space="0" w:color="auto"/>
      </w:divBdr>
      <w:divsChild>
        <w:div w:id="1117913329">
          <w:marLeft w:val="0"/>
          <w:marRight w:val="0"/>
          <w:marTop w:val="0"/>
          <w:marBottom w:val="0"/>
          <w:divBdr>
            <w:top w:val="none" w:sz="0" w:space="0" w:color="auto"/>
            <w:left w:val="none" w:sz="0" w:space="0" w:color="auto"/>
            <w:bottom w:val="none" w:sz="0" w:space="0" w:color="auto"/>
            <w:right w:val="none" w:sz="0" w:space="0" w:color="auto"/>
          </w:divBdr>
        </w:div>
      </w:divsChild>
    </w:div>
    <w:div w:id="398094100">
      <w:marLeft w:val="4"/>
      <w:marRight w:val="0"/>
      <w:marTop w:val="120"/>
      <w:marBottom w:val="0"/>
      <w:divBdr>
        <w:top w:val="none" w:sz="0" w:space="0" w:color="auto"/>
        <w:left w:val="none" w:sz="0" w:space="0" w:color="auto"/>
        <w:bottom w:val="none" w:sz="0" w:space="0" w:color="auto"/>
        <w:right w:val="none" w:sz="0" w:space="0" w:color="auto"/>
      </w:divBdr>
      <w:divsChild>
        <w:div w:id="1781878700">
          <w:marLeft w:val="0"/>
          <w:marRight w:val="0"/>
          <w:marTop w:val="0"/>
          <w:marBottom w:val="0"/>
          <w:divBdr>
            <w:top w:val="none" w:sz="0" w:space="0" w:color="auto"/>
            <w:left w:val="none" w:sz="0" w:space="0" w:color="auto"/>
            <w:bottom w:val="none" w:sz="0" w:space="0" w:color="auto"/>
            <w:right w:val="none" w:sz="0" w:space="0" w:color="auto"/>
          </w:divBdr>
        </w:div>
      </w:divsChild>
    </w:div>
    <w:div w:id="403650779">
      <w:marLeft w:val="4"/>
      <w:marRight w:val="0"/>
      <w:marTop w:val="120"/>
      <w:marBottom w:val="0"/>
      <w:divBdr>
        <w:top w:val="none" w:sz="0" w:space="0" w:color="auto"/>
        <w:left w:val="none" w:sz="0" w:space="0" w:color="auto"/>
        <w:bottom w:val="none" w:sz="0" w:space="0" w:color="auto"/>
        <w:right w:val="none" w:sz="0" w:space="0" w:color="auto"/>
      </w:divBdr>
      <w:divsChild>
        <w:div w:id="1134441483">
          <w:marLeft w:val="0"/>
          <w:marRight w:val="0"/>
          <w:marTop w:val="0"/>
          <w:marBottom w:val="0"/>
          <w:divBdr>
            <w:top w:val="none" w:sz="0" w:space="0" w:color="auto"/>
            <w:left w:val="none" w:sz="0" w:space="0" w:color="auto"/>
            <w:bottom w:val="none" w:sz="0" w:space="0" w:color="auto"/>
            <w:right w:val="none" w:sz="0" w:space="0" w:color="auto"/>
          </w:divBdr>
        </w:div>
      </w:divsChild>
    </w:div>
    <w:div w:id="406339256">
      <w:marLeft w:val="0"/>
      <w:marRight w:val="0"/>
      <w:marTop w:val="0"/>
      <w:marBottom w:val="0"/>
      <w:divBdr>
        <w:top w:val="none" w:sz="0" w:space="0" w:color="auto"/>
        <w:left w:val="none" w:sz="0" w:space="0" w:color="auto"/>
        <w:bottom w:val="none" w:sz="0" w:space="0" w:color="auto"/>
        <w:right w:val="none" w:sz="0" w:space="0" w:color="auto"/>
      </w:divBdr>
      <w:divsChild>
        <w:div w:id="219291180">
          <w:marLeft w:val="0"/>
          <w:marRight w:val="0"/>
          <w:marTop w:val="0"/>
          <w:marBottom w:val="0"/>
          <w:divBdr>
            <w:top w:val="none" w:sz="0" w:space="0" w:color="auto"/>
            <w:left w:val="none" w:sz="0" w:space="0" w:color="auto"/>
            <w:bottom w:val="none" w:sz="0" w:space="0" w:color="auto"/>
            <w:right w:val="none" w:sz="0" w:space="0" w:color="auto"/>
          </w:divBdr>
        </w:div>
      </w:divsChild>
    </w:div>
    <w:div w:id="433210078">
      <w:marLeft w:val="0"/>
      <w:marRight w:val="0"/>
      <w:marTop w:val="0"/>
      <w:marBottom w:val="0"/>
      <w:divBdr>
        <w:top w:val="none" w:sz="0" w:space="0" w:color="auto"/>
        <w:left w:val="none" w:sz="0" w:space="0" w:color="auto"/>
        <w:bottom w:val="none" w:sz="0" w:space="0" w:color="auto"/>
        <w:right w:val="none" w:sz="0" w:space="0" w:color="auto"/>
      </w:divBdr>
      <w:divsChild>
        <w:div w:id="417411141">
          <w:marLeft w:val="0"/>
          <w:marRight w:val="0"/>
          <w:marTop w:val="0"/>
          <w:marBottom w:val="0"/>
          <w:divBdr>
            <w:top w:val="none" w:sz="0" w:space="0" w:color="auto"/>
            <w:left w:val="none" w:sz="0" w:space="0" w:color="auto"/>
            <w:bottom w:val="none" w:sz="0" w:space="0" w:color="auto"/>
            <w:right w:val="none" w:sz="0" w:space="0" w:color="auto"/>
          </w:divBdr>
        </w:div>
        <w:div w:id="1652714380">
          <w:marLeft w:val="0"/>
          <w:marRight w:val="0"/>
          <w:marTop w:val="0"/>
          <w:marBottom w:val="0"/>
          <w:divBdr>
            <w:top w:val="none" w:sz="0" w:space="0" w:color="auto"/>
            <w:left w:val="none" w:sz="0" w:space="0" w:color="auto"/>
            <w:bottom w:val="none" w:sz="0" w:space="0" w:color="auto"/>
            <w:right w:val="none" w:sz="0" w:space="0" w:color="auto"/>
          </w:divBdr>
        </w:div>
        <w:div w:id="37122300">
          <w:marLeft w:val="0"/>
          <w:marRight w:val="0"/>
          <w:marTop w:val="0"/>
          <w:marBottom w:val="0"/>
          <w:divBdr>
            <w:top w:val="none" w:sz="0" w:space="0" w:color="auto"/>
            <w:left w:val="none" w:sz="0" w:space="0" w:color="auto"/>
            <w:bottom w:val="none" w:sz="0" w:space="0" w:color="auto"/>
            <w:right w:val="none" w:sz="0" w:space="0" w:color="auto"/>
          </w:divBdr>
        </w:div>
        <w:div w:id="344595304">
          <w:marLeft w:val="0"/>
          <w:marRight w:val="0"/>
          <w:marTop w:val="0"/>
          <w:marBottom w:val="0"/>
          <w:divBdr>
            <w:top w:val="none" w:sz="0" w:space="0" w:color="auto"/>
            <w:left w:val="none" w:sz="0" w:space="0" w:color="auto"/>
            <w:bottom w:val="none" w:sz="0" w:space="0" w:color="auto"/>
            <w:right w:val="none" w:sz="0" w:space="0" w:color="auto"/>
          </w:divBdr>
        </w:div>
        <w:div w:id="1183279186">
          <w:marLeft w:val="0"/>
          <w:marRight w:val="0"/>
          <w:marTop w:val="0"/>
          <w:marBottom w:val="0"/>
          <w:divBdr>
            <w:top w:val="none" w:sz="0" w:space="0" w:color="auto"/>
            <w:left w:val="none" w:sz="0" w:space="0" w:color="auto"/>
            <w:bottom w:val="none" w:sz="0" w:space="0" w:color="auto"/>
            <w:right w:val="none" w:sz="0" w:space="0" w:color="auto"/>
          </w:divBdr>
          <w:divsChild>
            <w:div w:id="1999844334">
              <w:marLeft w:val="0"/>
              <w:marRight w:val="0"/>
              <w:marTop w:val="0"/>
              <w:marBottom w:val="0"/>
              <w:divBdr>
                <w:top w:val="none" w:sz="0" w:space="0" w:color="auto"/>
                <w:left w:val="none" w:sz="0" w:space="0" w:color="auto"/>
                <w:bottom w:val="none" w:sz="0" w:space="0" w:color="auto"/>
                <w:right w:val="none" w:sz="0" w:space="0" w:color="auto"/>
              </w:divBdr>
            </w:div>
          </w:divsChild>
        </w:div>
        <w:div w:id="885992080">
          <w:marLeft w:val="0"/>
          <w:marRight w:val="0"/>
          <w:marTop w:val="0"/>
          <w:marBottom w:val="0"/>
          <w:divBdr>
            <w:top w:val="none" w:sz="0" w:space="0" w:color="auto"/>
            <w:left w:val="none" w:sz="0" w:space="0" w:color="auto"/>
            <w:bottom w:val="none" w:sz="0" w:space="0" w:color="auto"/>
            <w:right w:val="none" w:sz="0" w:space="0" w:color="auto"/>
          </w:divBdr>
        </w:div>
        <w:div w:id="1650088956">
          <w:marLeft w:val="0"/>
          <w:marRight w:val="0"/>
          <w:marTop w:val="0"/>
          <w:marBottom w:val="0"/>
          <w:divBdr>
            <w:top w:val="none" w:sz="0" w:space="0" w:color="auto"/>
            <w:left w:val="none" w:sz="0" w:space="0" w:color="auto"/>
            <w:bottom w:val="none" w:sz="0" w:space="0" w:color="auto"/>
            <w:right w:val="none" w:sz="0" w:space="0" w:color="auto"/>
          </w:divBdr>
        </w:div>
        <w:div w:id="1975478489">
          <w:marLeft w:val="0"/>
          <w:marRight w:val="0"/>
          <w:marTop w:val="0"/>
          <w:marBottom w:val="0"/>
          <w:divBdr>
            <w:top w:val="none" w:sz="0" w:space="0" w:color="auto"/>
            <w:left w:val="none" w:sz="0" w:space="0" w:color="auto"/>
            <w:bottom w:val="none" w:sz="0" w:space="0" w:color="auto"/>
            <w:right w:val="none" w:sz="0" w:space="0" w:color="auto"/>
          </w:divBdr>
        </w:div>
        <w:div w:id="1996102291">
          <w:marLeft w:val="0"/>
          <w:marRight w:val="0"/>
          <w:marTop w:val="0"/>
          <w:marBottom w:val="0"/>
          <w:divBdr>
            <w:top w:val="none" w:sz="0" w:space="0" w:color="auto"/>
            <w:left w:val="none" w:sz="0" w:space="0" w:color="auto"/>
            <w:bottom w:val="none" w:sz="0" w:space="0" w:color="auto"/>
            <w:right w:val="none" w:sz="0" w:space="0" w:color="auto"/>
          </w:divBdr>
        </w:div>
        <w:div w:id="2133863786">
          <w:marLeft w:val="0"/>
          <w:marRight w:val="0"/>
          <w:marTop w:val="0"/>
          <w:marBottom w:val="0"/>
          <w:divBdr>
            <w:top w:val="none" w:sz="0" w:space="0" w:color="auto"/>
            <w:left w:val="none" w:sz="0" w:space="0" w:color="auto"/>
            <w:bottom w:val="none" w:sz="0" w:space="0" w:color="auto"/>
            <w:right w:val="none" w:sz="0" w:space="0" w:color="auto"/>
          </w:divBdr>
        </w:div>
        <w:div w:id="1223907667">
          <w:marLeft w:val="0"/>
          <w:marRight w:val="0"/>
          <w:marTop w:val="0"/>
          <w:marBottom w:val="0"/>
          <w:divBdr>
            <w:top w:val="none" w:sz="0" w:space="0" w:color="auto"/>
            <w:left w:val="none" w:sz="0" w:space="0" w:color="auto"/>
            <w:bottom w:val="none" w:sz="0" w:space="0" w:color="auto"/>
            <w:right w:val="none" w:sz="0" w:space="0" w:color="auto"/>
          </w:divBdr>
        </w:div>
        <w:div w:id="1614707043">
          <w:marLeft w:val="0"/>
          <w:marRight w:val="0"/>
          <w:marTop w:val="0"/>
          <w:marBottom w:val="0"/>
          <w:divBdr>
            <w:top w:val="none" w:sz="0" w:space="0" w:color="auto"/>
            <w:left w:val="none" w:sz="0" w:space="0" w:color="auto"/>
            <w:bottom w:val="none" w:sz="0" w:space="0" w:color="auto"/>
            <w:right w:val="none" w:sz="0" w:space="0" w:color="auto"/>
          </w:divBdr>
        </w:div>
        <w:div w:id="60753891">
          <w:marLeft w:val="0"/>
          <w:marRight w:val="0"/>
          <w:marTop w:val="0"/>
          <w:marBottom w:val="0"/>
          <w:divBdr>
            <w:top w:val="none" w:sz="0" w:space="0" w:color="auto"/>
            <w:left w:val="none" w:sz="0" w:space="0" w:color="auto"/>
            <w:bottom w:val="none" w:sz="0" w:space="0" w:color="auto"/>
            <w:right w:val="none" w:sz="0" w:space="0" w:color="auto"/>
          </w:divBdr>
        </w:div>
        <w:div w:id="521090424">
          <w:marLeft w:val="0"/>
          <w:marRight w:val="0"/>
          <w:marTop w:val="0"/>
          <w:marBottom w:val="0"/>
          <w:divBdr>
            <w:top w:val="none" w:sz="0" w:space="0" w:color="auto"/>
            <w:left w:val="none" w:sz="0" w:space="0" w:color="auto"/>
            <w:bottom w:val="none" w:sz="0" w:space="0" w:color="auto"/>
            <w:right w:val="none" w:sz="0" w:space="0" w:color="auto"/>
          </w:divBdr>
        </w:div>
        <w:div w:id="1151026013">
          <w:marLeft w:val="0"/>
          <w:marRight w:val="0"/>
          <w:marTop w:val="0"/>
          <w:marBottom w:val="0"/>
          <w:divBdr>
            <w:top w:val="none" w:sz="0" w:space="0" w:color="auto"/>
            <w:left w:val="none" w:sz="0" w:space="0" w:color="auto"/>
            <w:bottom w:val="none" w:sz="0" w:space="0" w:color="auto"/>
            <w:right w:val="none" w:sz="0" w:space="0" w:color="auto"/>
          </w:divBdr>
        </w:div>
        <w:div w:id="1563786317">
          <w:marLeft w:val="0"/>
          <w:marRight w:val="0"/>
          <w:marTop w:val="0"/>
          <w:marBottom w:val="0"/>
          <w:divBdr>
            <w:top w:val="none" w:sz="0" w:space="0" w:color="auto"/>
            <w:left w:val="none" w:sz="0" w:space="0" w:color="auto"/>
            <w:bottom w:val="none" w:sz="0" w:space="0" w:color="auto"/>
            <w:right w:val="none" w:sz="0" w:space="0" w:color="auto"/>
          </w:divBdr>
        </w:div>
        <w:div w:id="1007708626">
          <w:marLeft w:val="0"/>
          <w:marRight w:val="0"/>
          <w:marTop w:val="0"/>
          <w:marBottom w:val="0"/>
          <w:divBdr>
            <w:top w:val="none" w:sz="0" w:space="0" w:color="auto"/>
            <w:left w:val="none" w:sz="0" w:space="0" w:color="auto"/>
            <w:bottom w:val="none" w:sz="0" w:space="0" w:color="auto"/>
            <w:right w:val="none" w:sz="0" w:space="0" w:color="auto"/>
          </w:divBdr>
        </w:div>
        <w:div w:id="1281300072">
          <w:marLeft w:val="0"/>
          <w:marRight w:val="0"/>
          <w:marTop w:val="0"/>
          <w:marBottom w:val="0"/>
          <w:divBdr>
            <w:top w:val="none" w:sz="0" w:space="0" w:color="auto"/>
            <w:left w:val="none" w:sz="0" w:space="0" w:color="auto"/>
            <w:bottom w:val="none" w:sz="0" w:space="0" w:color="auto"/>
            <w:right w:val="none" w:sz="0" w:space="0" w:color="auto"/>
          </w:divBdr>
        </w:div>
        <w:div w:id="635260007">
          <w:marLeft w:val="0"/>
          <w:marRight w:val="0"/>
          <w:marTop w:val="0"/>
          <w:marBottom w:val="0"/>
          <w:divBdr>
            <w:top w:val="none" w:sz="0" w:space="0" w:color="auto"/>
            <w:left w:val="none" w:sz="0" w:space="0" w:color="auto"/>
            <w:bottom w:val="none" w:sz="0" w:space="0" w:color="auto"/>
            <w:right w:val="none" w:sz="0" w:space="0" w:color="auto"/>
          </w:divBdr>
        </w:div>
        <w:div w:id="864444852">
          <w:marLeft w:val="0"/>
          <w:marRight w:val="0"/>
          <w:marTop w:val="0"/>
          <w:marBottom w:val="0"/>
          <w:divBdr>
            <w:top w:val="none" w:sz="0" w:space="0" w:color="auto"/>
            <w:left w:val="none" w:sz="0" w:space="0" w:color="auto"/>
            <w:bottom w:val="none" w:sz="0" w:space="0" w:color="auto"/>
            <w:right w:val="none" w:sz="0" w:space="0" w:color="auto"/>
          </w:divBdr>
        </w:div>
        <w:div w:id="1706174900">
          <w:marLeft w:val="0"/>
          <w:marRight w:val="0"/>
          <w:marTop w:val="0"/>
          <w:marBottom w:val="0"/>
          <w:divBdr>
            <w:top w:val="none" w:sz="0" w:space="0" w:color="auto"/>
            <w:left w:val="none" w:sz="0" w:space="0" w:color="auto"/>
            <w:bottom w:val="none" w:sz="0" w:space="0" w:color="auto"/>
            <w:right w:val="none" w:sz="0" w:space="0" w:color="auto"/>
          </w:divBdr>
        </w:div>
        <w:div w:id="2036156688">
          <w:marLeft w:val="0"/>
          <w:marRight w:val="0"/>
          <w:marTop w:val="0"/>
          <w:marBottom w:val="0"/>
          <w:divBdr>
            <w:top w:val="none" w:sz="0" w:space="0" w:color="auto"/>
            <w:left w:val="none" w:sz="0" w:space="0" w:color="auto"/>
            <w:bottom w:val="none" w:sz="0" w:space="0" w:color="auto"/>
            <w:right w:val="none" w:sz="0" w:space="0" w:color="auto"/>
          </w:divBdr>
        </w:div>
        <w:div w:id="396443400">
          <w:marLeft w:val="0"/>
          <w:marRight w:val="0"/>
          <w:marTop w:val="0"/>
          <w:marBottom w:val="0"/>
          <w:divBdr>
            <w:top w:val="none" w:sz="0" w:space="0" w:color="auto"/>
            <w:left w:val="none" w:sz="0" w:space="0" w:color="auto"/>
            <w:bottom w:val="none" w:sz="0" w:space="0" w:color="auto"/>
            <w:right w:val="none" w:sz="0" w:space="0" w:color="auto"/>
          </w:divBdr>
        </w:div>
        <w:div w:id="959333899">
          <w:marLeft w:val="0"/>
          <w:marRight w:val="0"/>
          <w:marTop w:val="0"/>
          <w:marBottom w:val="0"/>
          <w:divBdr>
            <w:top w:val="none" w:sz="0" w:space="0" w:color="auto"/>
            <w:left w:val="none" w:sz="0" w:space="0" w:color="auto"/>
            <w:bottom w:val="none" w:sz="0" w:space="0" w:color="auto"/>
            <w:right w:val="none" w:sz="0" w:space="0" w:color="auto"/>
          </w:divBdr>
        </w:div>
        <w:div w:id="541676983">
          <w:marLeft w:val="0"/>
          <w:marRight w:val="0"/>
          <w:marTop w:val="0"/>
          <w:marBottom w:val="0"/>
          <w:divBdr>
            <w:top w:val="none" w:sz="0" w:space="0" w:color="auto"/>
            <w:left w:val="none" w:sz="0" w:space="0" w:color="auto"/>
            <w:bottom w:val="none" w:sz="0" w:space="0" w:color="auto"/>
            <w:right w:val="none" w:sz="0" w:space="0" w:color="auto"/>
          </w:divBdr>
        </w:div>
        <w:div w:id="1755663299">
          <w:marLeft w:val="0"/>
          <w:marRight w:val="0"/>
          <w:marTop w:val="0"/>
          <w:marBottom w:val="0"/>
          <w:divBdr>
            <w:top w:val="none" w:sz="0" w:space="0" w:color="auto"/>
            <w:left w:val="none" w:sz="0" w:space="0" w:color="auto"/>
            <w:bottom w:val="none" w:sz="0" w:space="0" w:color="auto"/>
            <w:right w:val="none" w:sz="0" w:space="0" w:color="auto"/>
          </w:divBdr>
        </w:div>
        <w:div w:id="287856835">
          <w:marLeft w:val="0"/>
          <w:marRight w:val="0"/>
          <w:marTop w:val="0"/>
          <w:marBottom w:val="0"/>
          <w:divBdr>
            <w:top w:val="none" w:sz="0" w:space="0" w:color="auto"/>
            <w:left w:val="none" w:sz="0" w:space="0" w:color="auto"/>
            <w:bottom w:val="none" w:sz="0" w:space="0" w:color="auto"/>
            <w:right w:val="none" w:sz="0" w:space="0" w:color="auto"/>
          </w:divBdr>
        </w:div>
        <w:div w:id="1522160753">
          <w:marLeft w:val="0"/>
          <w:marRight w:val="0"/>
          <w:marTop w:val="0"/>
          <w:marBottom w:val="0"/>
          <w:divBdr>
            <w:top w:val="none" w:sz="0" w:space="0" w:color="auto"/>
            <w:left w:val="none" w:sz="0" w:space="0" w:color="auto"/>
            <w:bottom w:val="none" w:sz="0" w:space="0" w:color="auto"/>
            <w:right w:val="none" w:sz="0" w:space="0" w:color="auto"/>
          </w:divBdr>
        </w:div>
        <w:div w:id="552618248">
          <w:marLeft w:val="0"/>
          <w:marRight w:val="0"/>
          <w:marTop w:val="0"/>
          <w:marBottom w:val="0"/>
          <w:divBdr>
            <w:top w:val="none" w:sz="0" w:space="0" w:color="auto"/>
            <w:left w:val="none" w:sz="0" w:space="0" w:color="auto"/>
            <w:bottom w:val="none" w:sz="0" w:space="0" w:color="auto"/>
            <w:right w:val="none" w:sz="0" w:space="0" w:color="auto"/>
          </w:divBdr>
        </w:div>
        <w:div w:id="1126587909">
          <w:marLeft w:val="0"/>
          <w:marRight w:val="0"/>
          <w:marTop w:val="0"/>
          <w:marBottom w:val="0"/>
          <w:divBdr>
            <w:top w:val="none" w:sz="0" w:space="0" w:color="auto"/>
            <w:left w:val="none" w:sz="0" w:space="0" w:color="auto"/>
            <w:bottom w:val="none" w:sz="0" w:space="0" w:color="auto"/>
            <w:right w:val="none" w:sz="0" w:space="0" w:color="auto"/>
          </w:divBdr>
        </w:div>
        <w:div w:id="400059605">
          <w:marLeft w:val="0"/>
          <w:marRight w:val="0"/>
          <w:marTop w:val="0"/>
          <w:marBottom w:val="0"/>
          <w:divBdr>
            <w:top w:val="none" w:sz="0" w:space="0" w:color="auto"/>
            <w:left w:val="none" w:sz="0" w:space="0" w:color="auto"/>
            <w:bottom w:val="none" w:sz="0" w:space="0" w:color="auto"/>
            <w:right w:val="none" w:sz="0" w:space="0" w:color="auto"/>
          </w:divBdr>
        </w:div>
        <w:div w:id="1413429710">
          <w:marLeft w:val="0"/>
          <w:marRight w:val="0"/>
          <w:marTop w:val="0"/>
          <w:marBottom w:val="0"/>
          <w:divBdr>
            <w:top w:val="none" w:sz="0" w:space="0" w:color="auto"/>
            <w:left w:val="none" w:sz="0" w:space="0" w:color="auto"/>
            <w:bottom w:val="none" w:sz="0" w:space="0" w:color="auto"/>
            <w:right w:val="none" w:sz="0" w:space="0" w:color="auto"/>
          </w:divBdr>
        </w:div>
        <w:div w:id="863523485">
          <w:marLeft w:val="0"/>
          <w:marRight w:val="0"/>
          <w:marTop w:val="0"/>
          <w:marBottom w:val="0"/>
          <w:divBdr>
            <w:top w:val="none" w:sz="0" w:space="0" w:color="auto"/>
            <w:left w:val="none" w:sz="0" w:space="0" w:color="auto"/>
            <w:bottom w:val="none" w:sz="0" w:space="0" w:color="auto"/>
            <w:right w:val="none" w:sz="0" w:space="0" w:color="auto"/>
          </w:divBdr>
          <w:divsChild>
            <w:div w:id="1065226346">
              <w:marLeft w:val="0"/>
              <w:marRight w:val="0"/>
              <w:marTop w:val="0"/>
              <w:marBottom w:val="0"/>
              <w:divBdr>
                <w:top w:val="none" w:sz="0" w:space="0" w:color="auto"/>
                <w:left w:val="none" w:sz="0" w:space="0" w:color="auto"/>
                <w:bottom w:val="none" w:sz="0" w:space="0" w:color="auto"/>
                <w:right w:val="none" w:sz="0" w:space="0" w:color="auto"/>
              </w:divBdr>
            </w:div>
          </w:divsChild>
        </w:div>
        <w:div w:id="1831017414">
          <w:marLeft w:val="0"/>
          <w:marRight w:val="0"/>
          <w:marTop w:val="0"/>
          <w:marBottom w:val="0"/>
          <w:divBdr>
            <w:top w:val="none" w:sz="0" w:space="0" w:color="auto"/>
            <w:left w:val="none" w:sz="0" w:space="0" w:color="auto"/>
            <w:bottom w:val="none" w:sz="0" w:space="0" w:color="auto"/>
            <w:right w:val="none" w:sz="0" w:space="0" w:color="auto"/>
          </w:divBdr>
        </w:div>
      </w:divsChild>
    </w:div>
    <w:div w:id="435949635">
      <w:marLeft w:val="4"/>
      <w:marRight w:val="0"/>
      <w:marTop w:val="120"/>
      <w:marBottom w:val="0"/>
      <w:divBdr>
        <w:top w:val="none" w:sz="0" w:space="0" w:color="auto"/>
        <w:left w:val="none" w:sz="0" w:space="0" w:color="auto"/>
        <w:bottom w:val="none" w:sz="0" w:space="0" w:color="auto"/>
        <w:right w:val="none" w:sz="0" w:space="0" w:color="auto"/>
      </w:divBdr>
      <w:divsChild>
        <w:div w:id="1408959132">
          <w:marLeft w:val="0"/>
          <w:marRight w:val="0"/>
          <w:marTop w:val="0"/>
          <w:marBottom w:val="0"/>
          <w:divBdr>
            <w:top w:val="none" w:sz="0" w:space="0" w:color="auto"/>
            <w:left w:val="none" w:sz="0" w:space="0" w:color="auto"/>
            <w:bottom w:val="none" w:sz="0" w:space="0" w:color="auto"/>
            <w:right w:val="none" w:sz="0" w:space="0" w:color="auto"/>
          </w:divBdr>
        </w:div>
      </w:divsChild>
    </w:div>
    <w:div w:id="442042228">
      <w:marLeft w:val="4"/>
      <w:marRight w:val="0"/>
      <w:marTop w:val="120"/>
      <w:marBottom w:val="0"/>
      <w:divBdr>
        <w:top w:val="none" w:sz="0" w:space="0" w:color="auto"/>
        <w:left w:val="none" w:sz="0" w:space="0" w:color="auto"/>
        <w:bottom w:val="none" w:sz="0" w:space="0" w:color="auto"/>
        <w:right w:val="none" w:sz="0" w:space="0" w:color="auto"/>
      </w:divBdr>
      <w:divsChild>
        <w:div w:id="1570845310">
          <w:marLeft w:val="0"/>
          <w:marRight w:val="0"/>
          <w:marTop w:val="0"/>
          <w:marBottom w:val="0"/>
          <w:divBdr>
            <w:top w:val="none" w:sz="0" w:space="0" w:color="auto"/>
            <w:left w:val="none" w:sz="0" w:space="0" w:color="auto"/>
            <w:bottom w:val="none" w:sz="0" w:space="0" w:color="auto"/>
            <w:right w:val="none" w:sz="0" w:space="0" w:color="auto"/>
          </w:divBdr>
        </w:div>
      </w:divsChild>
    </w:div>
    <w:div w:id="486557400">
      <w:marLeft w:val="4"/>
      <w:marRight w:val="0"/>
      <w:marTop w:val="120"/>
      <w:marBottom w:val="0"/>
      <w:divBdr>
        <w:top w:val="none" w:sz="0" w:space="0" w:color="auto"/>
        <w:left w:val="none" w:sz="0" w:space="0" w:color="auto"/>
        <w:bottom w:val="none" w:sz="0" w:space="0" w:color="auto"/>
        <w:right w:val="none" w:sz="0" w:space="0" w:color="auto"/>
      </w:divBdr>
      <w:divsChild>
        <w:div w:id="1507744572">
          <w:marLeft w:val="0"/>
          <w:marRight w:val="0"/>
          <w:marTop w:val="0"/>
          <w:marBottom w:val="0"/>
          <w:divBdr>
            <w:top w:val="none" w:sz="0" w:space="0" w:color="auto"/>
            <w:left w:val="none" w:sz="0" w:space="0" w:color="auto"/>
            <w:bottom w:val="none" w:sz="0" w:space="0" w:color="auto"/>
            <w:right w:val="none" w:sz="0" w:space="0" w:color="auto"/>
          </w:divBdr>
        </w:div>
      </w:divsChild>
    </w:div>
    <w:div w:id="489103229">
      <w:marLeft w:val="4"/>
      <w:marRight w:val="0"/>
      <w:marTop w:val="120"/>
      <w:marBottom w:val="0"/>
      <w:divBdr>
        <w:top w:val="none" w:sz="0" w:space="0" w:color="auto"/>
        <w:left w:val="none" w:sz="0" w:space="0" w:color="auto"/>
        <w:bottom w:val="none" w:sz="0" w:space="0" w:color="auto"/>
        <w:right w:val="none" w:sz="0" w:space="0" w:color="auto"/>
      </w:divBdr>
      <w:divsChild>
        <w:div w:id="452016086">
          <w:marLeft w:val="0"/>
          <w:marRight w:val="0"/>
          <w:marTop w:val="0"/>
          <w:marBottom w:val="0"/>
          <w:divBdr>
            <w:top w:val="none" w:sz="0" w:space="0" w:color="auto"/>
            <w:left w:val="none" w:sz="0" w:space="0" w:color="auto"/>
            <w:bottom w:val="none" w:sz="0" w:space="0" w:color="auto"/>
            <w:right w:val="none" w:sz="0" w:space="0" w:color="auto"/>
          </w:divBdr>
        </w:div>
      </w:divsChild>
    </w:div>
    <w:div w:id="523179780">
      <w:marLeft w:val="4"/>
      <w:marRight w:val="0"/>
      <w:marTop w:val="0"/>
      <w:marBottom w:val="0"/>
      <w:divBdr>
        <w:top w:val="none" w:sz="0" w:space="0" w:color="auto"/>
        <w:left w:val="none" w:sz="0" w:space="0" w:color="auto"/>
        <w:bottom w:val="none" w:sz="0" w:space="0" w:color="auto"/>
        <w:right w:val="none" w:sz="0" w:space="0" w:color="auto"/>
      </w:divBdr>
      <w:divsChild>
        <w:div w:id="867135760">
          <w:marLeft w:val="0"/>
          <w:marRight w:val="0"/>
          <w:marTop w:val="0"/>
          <w:marBottom w:val="0"/>
          <w:divBdr>
            <w:top w:val="none" w:sz="0" w:space="0" w:color="auto"/>
            <w:left w:val="none" w:sz="0" w:space="0" w:color="auto"/>
            <w:bottom w:val="none" w:sz="0" w:space="0" w:color="auto"/>
            <w:right w:val="none" w:sz="0" w:space="0" w:color="auto"/>
          </w:divBdr>
        </w:div>
      </w:divsChild>
    </w:div>
    <w:div w:id="568728158">
      <w:marLeft w:val="0"/>
      <w:marRight w:val="0"/>
      <w:marTop w:val="0"/>
      <w:marBottom w:val="0"/>
      <w:divBdr>
        <w:top w:val="none" w:sz="0" w:space="0" w:color="auto"/>
        <w:left w:val="none" w:sz="0" w:space="0" w:color="auto"/>
        <w:bottom w:val="none" w:sz="0" w:space="0" w:color="auto"/>
        <w:right w:val="none" w:sz="0" w:space="0" w:color="auto"/>
      </w:divBdr>
    </w:div>
    <w:div w:id="611087476">
      <w:marLeft w:val="4"/>
      <w:marRight w:val="0"/>
      <w:marTop w:val="0"/>
      <w:marBottom w:val="0"/>
      <w:divBdr>
        <w:top w:val="none" w:sz="0" w:space="0" w:color="auto"/>
        <w:left w:val="none" w:sz="0" w:space="0" w:color="auto"/>
        <w:bottom w:val="none" w:sz="0" w:space="0" w:color="auto"/>
        <w:right w:val="none" w:sz="0" w:space="0" w:color="auto"/>
      </w:divBdr>
      <w:divsChild>
        <w:div w:id="750272354">
          <w:marLeft w:val="0"/>
          <w:marRight w:val="0"/>
          <w:marTop w:val="0"/>
          <w:marBottom w:val="0"/>
          <w:divBdr>
            <w:top w:val="none" w:sz="0" w:space="0" w:color="auto"/>
            <w:left w:val="none" w:sz="0" w:space="0" w:color="auto"/>
            <w:bottom w:val="none" w:sz="0" w:space="0" w:color="auto"/>
            <w:right w:val="none" w:sz="0" w:space="0" w:color="auto"/>
          </w:divBdr>
        </w:div>
      </w:divsChild>
    </w:div>
    <w:div w:id="611862306">
      <w:marLeft w:val="0"/>
      <w:marRight w:val="0"/>
      <w:marTop w:val="0"/>
      <w:marBottom w:val="0"/>
      <w:divBdr>
        <w:top w:val="none" w:sz="0" w:space="0" w:color="auto"/>
        <w:left w:val="none" w:sz="0" w:space="0" w:color="auto"/>
        <w:bottom w:val="none" w:sz="0" w:space="0" w:color="auto"/>
        <w:right w:val="none" w:sz="0" w:space="0" w:color="auto"/>
      </w:divBdr>
    </w:div>
    <w:div w:id="666709067">
      <w:marLeft w:val="4"/>
      <w:marRight w:val="0"/>
      <w:marTop w:val="120"/>
      <w:marBottom w:val="0"/>
      <w:divBdr>
        <w:top w:val="none" w:sz="0" w:space="0" w:color="auto"/>
        <w:left w:val="none" w:sz="0" w:space="0" w:color="auto"/>
        <w:bottom w:val="none" w:sz="0" w:space="0" w:color="auto"/>
        <w:right w:val="none" w:sz="0" w:space="0" w:color="auto"/>
      </w:divBdr>
      <w:divsChild>
        <w:div w:id="1121457648">
          <w:marLeft w:val="0"/>
          <w:marRight w:val="0"/>
          <w:marTop w:val="0"/>
          <w:marBottom w:val="0"/>
          <w:divBdr>
            <w:top w:val="none" w:sz="0" w:space="0" w:color="auto"/>
            <w:left w:val="none" w:sz="0" w:space="0" w:color="auto"/>
            <w:bottom w:val="none" w:sz="0" w:space="0" w:color="auto"/>
            <w:right w:val="none" w:sz="0" w:space="0" w:color="auto"/>
          </w:divBdr>
        </w:div>
      </w:divsChild>
    </w:div>
    <w:div w:id="680741233">
      <w:marLeft w:val="0"/>
      <w:marRight w:val="0"/>
      <w:marTop w:val="0"/>
      <w:marBottom w:val="0"/>
      <w:divBdr>
        <w:top w:val="none" w:sz="0" w:space="0" w:color="auto"/>
        <w:left w:val="none" w:sz="0" w:space="0" w:color="auto"/>
        <w:bottom w:val="none" w:sz="0" w:space="0" w:color="auto"/>
        <w:right w:val="none" w:sz="0" w:space="0" w:color="auto"/>
      </w:divBdr>
    </w:div>
    <w:div w:id="685136937">
      <w:marLeft w:val="4"/>
      <w:marRight w:val="0"/>
      <w:marTop w:val="0"/>
      <w:marBottom w:val="0"/>
      <w:divBdr>
        <w:top w:val="none" w:sz="0" w:space="0" w:color="auto"/>
        <w:left w:val="none" w:sz="0" w:space="0" w:color="auto"/>
        <w:bottom w:val="none" w:sz="0" w:space="0" w:color="auto"/>
        <w:right w:val="none" w:sz="0" w:space="0" w:color="auto"/>
      </w:divBdr>
      <w:divsChild>
        <w:div w:id="302004883">
          <w:marLeft w:val="0"/>
          <w:marRight w:val="0"/>
          <w:marTop w:val="0"/>
          <w:marBottom w:val="0"/>
          <w:divBdr>
            <w:top w:val="none" w:sz="0" w:space="0" w:color="auto"/>
            <w:left w:val="none" w:sz="0" w:space="0" w:color="auto"/>
            <w:bottom w:val="none" w:sz="0" w:space="0" w:color="auto"/>
            <w:right w:val="none" w:sz="0" w:space="0" w:color="auto"/>
          </w:divBdr>
        </w:div>
      </w:divsChild>
    </w:div>
    <w:div w:id="691692426">
      <w:marLeft w:val="4"/>
      <w:marRight w:val="0"/>
      <w:marTop w:val="120"/>
      <w:marBottom w:val="0"/>
      <w:divBdr>
        <w:top w:val="none" w:sz="0" w:space="0" w:color="auto"/>
        <w:left w:val="none" w:sz="0" w:space="0" w:color="auto"/>
        <w:bottom w:val="none" w:sz="0" w:space="0" w:color="auto"/>
        <w:right w:val="none" w:sz="0" w:space="0" w:color="auto"/>
      </w:divBdr>
      <w:divsChild>
        <w:div w:id="1641615032">
          <w:marLeft w:val="0"/>
          <w:marRight w:val="0"/>
          <w:marTop w:val="0"/>
          <w:marBottom w:val="0"/>
          <w:divBdr>
            <w:top w:val="none" w:sz="0" w:space="0" w:color="auto"/>
            <w:left w:val="none" w:sz="0" w:space="0" w:color="auto"/>
            <w:bottom w:val="none" w:sz="0" w:space="0" w:color="auto"/>
            <w:right w:val="none" w:sz="0" w:space="0" w:color="auto"/>
          </w:divBdr>
        </w:div>
      </w:divsChild>
    </w:div>
    <w:div w:id="715544523">
      <w:marLeft w:val="4"/>
      <w:marRight w:val="0"/>
      <w:marTop w:val="0"/>
      <w:marBottom w:val="0"/>
      <w:divBdr>
        <w:top w:val="none" w:sz="0" w:space="0" w:color="auto"/>
        <w:left w:val="none" w:sz="0" w:space="0" w:color="auto"/>
        <w:bottom w:val="none" w:sz="0" w:space="0" w:color="auto"/>
        <w:right w:val="none" w:sz="0" w:space="0" w:color="auto"/>
      </w:divBdr>
      <w:divsChild>
        <w:div w:id="1075669484">
          <w:marLeft w:val="0"/>
          <w:marRight w:val="0"/>
          <w:marTop w:val="0"/>
          <w:marBottom w:val="0"/>
          <w:divBdr>
            <w:top w:val="none" w:sz="0" w:space="0" w:color="auto"/>
            <w:left w:val="none" w:sz="0" w:space="0" w:color="auto"/>
            <w:bottom w:val="none" w:sz="0" w:space="0" w:color="auto"/>
            <w:right w:val="none" w:sz="0" w:space="0" w:color="auto"/>
          </w:divBdr>
        </w:div>
      </w:divsChild>
    </w:div>
    <w:div w:id="727848964">
      <w:marLeft w:val="4"/>
      <w:marRight w:val="0"/>
      <w:marTop w:val="120"/>
      <w:marBottom w:val="0"/>
      <w:divBdr>
        <w:top w:val="none" w:sz="0" w:space="0" w:color="auto"/>
        <w:left w:val="none" w:sz="0" w:space="0" w:color="auto"/>
        <w:bottom w:val="none" w:sz="0" w:space="0" w:color="auto"/>
        <w:right w:val="none" w:sz="0" w:space="0" w:color="auto"/>
      </w:divBdr>
      <w:divsChild>
        <w:div w:id="15543851">
          <w:marLeft w:val="0"/>
          <w:marRight w:val="0"/>
          <w:marTop w:val="0"/>
          <w:marBottom w:val="0"/>
          <w:divBdr>
            <w:top w:val="none" w:sz="0" w:space="0" w:color="auto"/>
            <w:left w:val="none" w:sz="0" w:space="0" w:color="auto"/>
            <w:bottom w:val="none" w:sz="0" w:space="0" w:color="auto"/>
            <w:right w:val="none" w:sz="0" w:space="0" w:color="auto"/>
          </w:divBdr>
        </w:div>
      </w:divsChild>
    </w:div>
    <w:div w:id="768428360">
      <w:marLeft w:val="4"/>
      <w:marRight w:val="0"/>
      <w:marTop w:val="120"/>
      <w:marBottom w:val="0"/>
      <w:divBdr>
        <w:top w:val="none" w:sz="0" w:space="0" w:color="auto"/>
        <w:left w:val="none" w:sz="0" w:space="0" w:color="auto"/>
        <w:bottom w:val="none" w:sz="0" w:space="0" w:color="auto"/>
        <w:right w:val="none" w:sz="0" w:space="0" w:color="auto"/>
      </w:divBdr>
      <w:divsChild>
        <w:div w:id="1685860954">
          <w:marLeft w:val="0"/>
          <w:marRight w:val="0"/>
          <w:marTop w:val="0"/>
          <w:marBottom w:val="0"/>
          <w:divBdr>
            <w:top w:val="none" w:sz="0" w:space="0" w:color="auto"/>
            <w:left w:val="none" w:sz="0" w:space="0" w:color="auto"/>
            <w:bottom w:val="none" w:sz="0" w:space="0" w:color="auto"/>
            <w:right w:val="none" w:sz="0" w:space="0" w:color="auto"/>
          </w:divBdr>
        </w:div>
      </w:divsChild>
    </w:div>
    <w:div w:id="772163745">
      <w:marLeft w:val="4"/>
      <w:marRight w:val="0"/>
      <w:marTop w:val="120"/>
      <w:marBottom w:val="0"/>
      <w:divBdr>
        <w:top w:val="none" w:sz="0" w:space="0" w:color="auto"/>
        <w:left w:val="none" w:sz="0" w:space="0" w:color="auto"/>
        <w:bottom w:val="none" w:sz="0" w:space="0" w:color="auto"/>
        <w:right w:val="none" w:sz="0" w:space="0" w:color="auto"/>
      </w:divBdr>
      <w:divsChild>
        <w:div w:id="25568096">
          <w:marLeft w:val="0"/>
          <w:marRight w:val="0"/>
          <w:marTop w:val="0"/>
          <w:marBottom w:val="0"/>
          <w:divBdr>
            <w:top w:val="none" w:sz="0" w:space="0" w:color="auto"/>
            <w:left w:val="none" w:sz="0" w:space="0" w:color="auto"/>
            <w:bottom w:val="none" w:sz="0" w:space="0" w:color="auto"/>
            <w:right w:val="none" w:sz="0" w:space="0" w:color="auto"/>
          </w:divBdr>
        </w:div>
      </w:divsChild>
    </w:div>
    <w:div w:id="784925615">
      <w:marLeft w:val="4"/>
      <w:marRight w:val="0"/>
      <w:marTop w:val="120"/>
      <w:marBottom w:val="0"/>
      <w:divBdr>
        <w:top w:val="none" w:sz="0" w:space="0" w:color="auto"/>
        <w:left w:val="none" w:sz="0" w:space="0" w:color="auto"/>
        <w:bottom w:val="none" w:sz="0" w:space="0" w:color="auto"/>
        <w:right w:val="none" w:sz="0" w:space="0" w:color="auto"/>
      </w:divBdr>
      <w:divsChild>
        <w:div w:id="354968107">
          <w:marLeft w:val="0"/>
          <w:marRight w:val="0"/>
          <w:marTop w:val="0"/>
          <w:marBottom w:val="0"/>
          <w:divBdr>
            <w:top w:val="none" w:sz="0" w:space="0" w:color="auto"/>
            <w:left w:val="none" w:sz="0" w:space="0" w:color="auto"/>
            <w:bottom w:val="none" w:sz="0" w:space="0" w:color="auto"/>
            <w:right w:val="none" w:sz="0" w:space="0" w:color="auto"/>
          </w:divBdr>
        </w:div>
      </w:divsChild>
    </w:div>
    <w:div w:id="824735271">
      <w:marLeft w:val="4"/>
      <w:marRight w:val="0"/>
      <w:marTop w:val="120"/>
      <w:marBottom w:val="0"/>
      <w:divBdr>
        <w:top w:val="none" w:sz="0" w:space="0" w:color="auto"/>
        <w:left w:val="none" w:sz="0" w:space="0" w:color="auto"/>
        <w:bottom w:val="none" w:sz="0" w:space="0" w:color="auto"/>
        <w:right w:val="none" w:sz="0" w:space="0" w:color="auto"/>
      </w:divBdr>
      <w:divsChild>
        <w:div w:id="591859351">
          <w:marLeft w:val="0"/>
          <w:marRight w:val="0"/>
          <w:marTop w:val="0"/>
          <w:marBottom w:val="0"/>
          <w:divBdr>
            <w:top w:val="none" w:sz="0" w:space="0" w:color="auto"/>
            <w:left w:val="none" w:sz="0" w:space="0" w:color="auto"/>
            <w:bottom w:val="none" w:sz="0" w:space="0" w:color="auto"/>
            <w:right w:val="none" w:sz="0" w:space="0" w:color="auto"/>
          </w:divBdr>
        </w:div>
      </w:divsChild>
    </w:div>
    <w:div w:id="833225827">
      <w:marLeft w:val="4"/>
      <w:marRight w:val="0"/>
      <w:marTop w:val="0"/>
      <w:marBottom w:val="0"/>
      <w:divBdr>
        <w:top w:val="none" w:sz="0" w:space="0" w:color="auto"/>
        <w:left w:val="none" w:sz="0" w:space="0" w:color="auto"/>
        <w:bottom w:val="none" w:sz="0" w:space="0" w:color="auto"/>
        <w:right w:val="none" w:sz="0" w:space="0" w:color="auto"/>
      </w:divBdr>
      <w:divsChild>
        <w:div w:id="1761486885">
          <w:marLeft w:val="0"/>
          <w:marRight w:val="0"/>
          <w:marTop w:val="0"/>
          <w:marBottom w:val="0"/>
          <w:divBdr>
            <w:top w:val="none" w:sz="0" w:space="0" w:color="auto"/>
            <w:left w:val="none" w:sz="0" w:space="0" w:color="auto"/>
            <w:bottom w:val="none" w:sz="0" w:space="0" w:color="auto"/>
            <w:right w:val="none" w:sz="0" w:space="0" w:color="auto"/>
          </w:divBdr>
        </w:div>
      </w:divsChild>
    </w:div>
    <w:div w:id="838276573">
      <w:marLeft w:val="4"/>
      <w:marRight w:val="0"/>
      <w:marTop w:val="120"/>
      <w:marBottom w:val="0"/>
      <w:divBdr>
        <w:top w:val="none" w:sz="0" w:space="0" w:color="auto"/>
        <w:left w:val="none" w:sz="0" w:space="0" w:color="auto"/>
        <w:bottom w:val="none" w:sz="0" w:space="0" w:color="auto"/>
        <w:right w:val="none" w:sz="0" w:space="0" w:color="auto"/>
      </w:divBdr>
      <w:divsChild>
        <w:div w:id="1084379933">
          <w:marLeft w:val="0"/>
          <w:marRight w:val="0"/>
          <w:marTop w:val="0"/>
          <w:marBottom w:val="0"/>
          <w:divBdr>
            <w:top w:val="none" w:sz="0" w:space="0" w:color="auto"/>
            <w:left w:val="none" w:sz="0" w:space="0" w:color="auto"/>
            <w:bottom w:val="none" w:sz="0" w:space="0" w:color="auto"/>
            <w:right w:val="none" w:sz="0" w:space="0" w:color="auto"/>
          </w:divBdr>
        </w:div>
      </w:divsChild>
    </w:div>
    <w:div w:id="838664955">
      <w:marLeft w:val="4"/>
      <w:marRight w:val="0"/>
      <w:marTop w:val="0"/>
      <w:marBottom w:val="0"/>
      <w:divBdr>
        <w:top w:val="none" w:sz="0" w:space="0" w:color="auto"/>
        <w:left w:val="none" w:sz="0" w:space="0" w:color="auto"/>
        <w:bottom w:val="none" w:sz="0" w:space="0" w:color="auto"/>
        <w:right w:val="none" w:sz="0" w:space="0" w:color="auto"/>
      </w:divBdr>
      <w:divsChild>
        <w:div w:id="71003001">
          <w:marLeft w:val="0"/>
          <w:marRight w:val="0"/>
          <w:marTop w:val="0"/>
          <w:marBottom w:val="0"/>
          <w:divBdr>
            <w:top w:val="none" w:sz="0" w:space="0" w:color="auto"/>
            <w:left w:val="none" w:sz="0" w:space="0" w:color="auto"/>
            <w:bottom w:val="none" w:sz="0" w:space="0" w:color="auto"/>
            <w:right w:val="none" w:sz="0" w:space="0" w:color="auto"/>
          </w:divBdr>
        </w:div>
      </w:divsChild>
    </w:div>
    <w:div w:id="840239469">
      <w:marLeft w:val="4"/>
      <w:marRight w:val="0"/>
      <w:marTop w:val="0"/>
      <w:marBottom w:val="0"/>
      <w:divBdr>
        <w:top w:val="none" w:sz="0" w:space="0" w:color="auto"/>
        <w:left w:val="none" w:sz="0" w:space="0" w:color="auto"/>
        <w:bottom w:val="none" w:sz="0" w:space="0" w:color="auto"/>
        <w:right w:val="none" w:sz="0" w:space="0" w:color="auto"/>
      </w:divBdr>
      <w:divsChild>
        <w:div w:id="1869636019">
          <w:marLeft w:val="0"/>
          <w:marRight w:val="0"/>
          <w:marTop w:val="0"/>
          <w:marBottom w:val="0"/>
          <w:divBdr>
            <w:top w:val="none" w:sz="0" w:space="0" w:color="auto"/>
            <w:left w:val="none" w:sz="0" w:space="0" w:color="auto"/>
            <w:bottom w:val="none" w:sz="0" w:space="0" w:color="auto"/>
            <w:right w:val="none" w:sz="0" w:space="0" w:color="auto"/>
          </w:divBdr>
        </w:div>
      </w:divsChild>
    </w:div>
    <w:div w:id="861480417">
      <w:marLeft w:val="4"/>
      <w:marRight w:val="0"/>
      <w:marTop w:val="120"/>
      <w:marBottom w:val="0"/>
      <w:divBdr>
        <w:top w:val="none" w:sz="0" w:space="0" w:color="auto"/>
        <w:left w:val="none" w:sz="0" w:space="0" w:color="auto"/>
        <w:bottom w:val="none" w:sz="0" w:space="0" w:color="auto"/>
        <w:right w:val="none" w:sz="0" w:space="0" w:color="auto"/>
      </w:divBdr>
      <w:divsChild>
        <w:div w:id="1831021709">
          <w:marLeft w:val="0"/>
          <w:marRight w:val="0"/>
          <w:marTop w:val="0"/>
          <w:marBottom w:val="0"/>
          <w:divBdr>
            <w:top w:val="none" w:sz="0" w:space="0" w:color="auto"/>
            <w:left w:val="none" w:sz="0" w:space="0" w:color="auto"/>
            <w:bottom w:val="none" w:sz="0" w:space="0" w:color="auto"/>
            <w:right w:val="none" w:sz="0" w:space="0" w:color="auto"/>
          </w:divBdr>
        </w:div>
      </w:divsChild>
    </w:div>
    <w:div w:id="876622454">
      <w:marLeft w:val="4"/>
      <w:marRight w:val="0"/>
      <w:marTop w:val="120"/>
      <w:marBottom w:val="0"/>
      <w:divBdr>
        <w:top w:val="none" w:sz="0" w:space="0" w:color="auto"/>
        <w:left w:val="none" w:sz="0" w:space="0" w:color="auto"/>
        <w:bottom w:val="none" w:sz="0" w:space="0" w:color="auto"/>
        <w:right w:val="none" w:sz="0" w:space="0" w:color="auto"/>
      </w:divBdr>
      <w:divsChild>
        <w:div w:id="898784841">
          <w:marLeft w:val="0"/>
          <w:marRight w:val="0"/>
          <w:marTop w:val="0"/>
          <w:marBottom w:val="0"/>
          <w:divBdr>
            <w:top w:val="none" w:sz="0" w:space="0" w:color="auto"/>
            <w:left w:val="none" w:sz="0" w:space="0" w:color="auto"/>
            <w:bottom w:val="none" w:sz="0" w:space="0" w:color="auto"/>
            <w:right w:val="none" w:sz="0" w:space="0" w:color="auto"/>
          </w:divBdr>
        </w:div>
      </w:divsChild>
    </w:div>
    <w:div w:id="879436122">
      <w:marLeft w:val="0"/>
      <w:marRight w:val="0"/>
      <w:marTop w:val="0"/>
      <w:marBottom w:val="0"/>
      <w:divBdr>
        <w:top w:val="none" w:sz="0" w:space="0" w:color="auto"/>
        <w:left w:val="none" w:sz="0" w:space="0" w:color="auto"/>
        <w:bottom w:val="none" w:sz="0" w:space="0" w:color="auto"/>
        <w:right w:val="none" w:sz="0" w:space="0" w:color="auto"/>
      </w:divBdr>
    </w:div>
    <w:div w:id="889192978">
      <w:marLeft w:val="4"/>
      <w:marRight w:val="0"/>
      <w:marTop w:val="0"/>
      <w:marBottom w:val="0"/>
      <w:divBdr>
        <w:top w:val="none" w:sz="0" w:space="0" w:color="auto"/>
        <w:left w:val="none" w:sz="0" w:space="0" w:color="auto"/>
        <w:bottom w:val="none" w:sz="0" w:space="0" w:color="auto"/>
        <w:right w:val="none" w:sz="0" w:space="0" w:color="auto"/>
      </w:divBdr>
      <w:divsChild>
        <w:div w:id="1699314227">
          <w:marLeft w:val="0"/>
          <w:marRight w:val="0"/>
          <w:marTop w:val="0"/>
          <w:marBottom w:val="0"/>
          <w:divBdr>
            <w:top w:val="none" w:sz="0" w:space="0" w:color="auto"/>
            <w:left w:val="none" w:sz="0" w:space="0" w:color="auto"/>
            <w:bottom w:val="none" w:sz="0" w:space="0" w:color="auto"/>
            <w:right w:val="none" w:sz="0" w:space="0" w:color="auto"/>
          </w:divBdr>
        </w:div>
      </w:divsChild>
    </w:div>
    <w:div w:id="919825732">
      <w:marLeft w:val="4"/>
      <w:marRight w:val="0"/>
      <w:marTop w:val="120"/>
      <w:marBottom w:val="0"/>
      <w:divBdr>
        <w:top w:val="none" w:sz="0" w:space="0" w:color="auto"/>
        <w:left w:val="none" w:sz="0" w:space="0" w:color="auto"/>
        <w:bottom w:val="none" w:sz="0" w:space="0" w:color="auto"/>
        <w:right w:val="none" w:sz="0" w:space="0" w:color="auto"/>
      </w:divBdr>
      <w:divsChild>
        <w:div w:id="1409186796">
          <w:marLeft w:val="0"/>
          <w:marRight w:val="0"/>
          <w:marTop w:val="0"/>
          <w:marBottom w:val="0"/>
          <w:divBdr>
            <w:top w:val="none" w:sz="0" w:space="0" w:color="auto"/>
            <w:left w:val="none" w:sz="0" w:space="0" w:color="auto"/>
            <w:bottom w:val="none" w:sz="0" w:space="0" w:color="auto"/>
            <w:right w:val="none" w:sz="0" w:space="0" w:color="auto"/>
          </w:divBdr>
        </w:div>
      </w:divsChild>
    </w:div>
    <w:div w:id="926961579">
      <w:marLeft w:val="4"/>
      <w:marRight w:val="0"/>
      <w:marTop w:val="0"/>
      <w:marBottom w:val="0"/>
      <w:divBdr>
        <w:top w:val="none" w:sz="0" w:space="0" w:color="auto"/>
        <w:left w:val="none" w:sz="0" w:space="0" w:color="auto"/>
        <w:bottom w:val="none" w:sz="0" w:space="0" w:color="auto"/>
        <w:right w:val="none" w:sz="0" w:space="0" w:color="auto"/>
      </w:divBdr>
      <w:divsChild>
        <w:div w:id="589582433">
          <w:marLeft w:val="0"/>
          <w:marRight w:val="0"/>
          <w:marTop w:val="0"/>
          <w:marBottom w:val="0"/>
          <w:divBdr>
            <w:top w:val="none" w:sz="0" w:space="0" w:color="auto"/>
            <w:left w:val="none" w:sz="0" w:space="0" w:color="auto"/>
            <w:bottom w:val="none" w:sz="0" w:space="0" w:color="auto"/>
            <w:right w:val="none" w:sz="0" w:space="0" w:color="auto"/>
          </w:divBdr>
        </w:div>
      </w:divsChild>
    </w:div>
    <w:div w:id="930746833">
      <w:marLeft w:val="4"/>
      <w:marRight w:val="0"/>
      <w:marTop w:val="120"/>
      <w:marBottom w:val="0"/>
      <w:divBdr>
        <w:top w:val="none" w:sz="0" w:space="0" w:color="auto"/>
        <w:left w:val="none" w:sz="0" w:space="0" w:color="auto"/>
        <w:bottom w:val="none" w:sz="0" w:space="0" w:color="auto"/>
        <w:right w:val="none" w:sz="0" w:space="0" w:color="auto"/>
      </w:divBdr>
      <w:divsChild>
        <w:div w:id="547689084">
          <w:marLeft w:val="0"/>
          <w:marRight w:val="0"/>
          <w:marTop w:val="0"/>
          <w:marBottom w:val="0"/>
          <w:divBdr>
            <w:top w:val="none" w:sz="0" w:space="0" w:color="auto"/>
            <w:left w:val="none" w:sz="0" w:space="0" w:color="auto"/>
            <w:bottom w:val="none" w:sz="0" w:space="0" w:color="auto"/>
            <w:right w:val="none" w:sz="0" w:space="0" w:color="auto"/>
          </w:divBdr>
        </w:div>
      </w:divsChild>
    </w:div>
    <w:div w:id="939918985">
      <w:marLeft w:val="4"/>
      <w:marRight w:val="0"/>
      <w:marTop w:val="120"/>
      <w:marBottom w:val="0"/>
      <w:divBdr>
        <w:top w:val="none" w:sz="0" w:space="0" w:color="auto"/>
        <w:left w:val="none" w:sz="0" w:space="0" w:color="auto"/>
        <w:bottom w:val="none" w:sz="0" w:space="0" w:color="auto"/>
        <w:right w:val="none" w:sz="0" w:space="0" w:color="auto"/>
      </w:divBdr>
      <w:divsChild>
        <w:div w:id="154958975">
          <w:marLeft w:val="0"/>
          <w:marRight w:val="0"/>
          <w:marTop w:val="0"/>
          <w:marBottom w:val="0"/>
          <w:divBdr>
            <w:top w:val="none" w:sz="0" w:space="0" w:color="auto"/>
            <w:left w:val="none" w:sz="0" w:space="0" w:color="auto"/>
            <w:bottom w:val="none" w:sz="0" w:space="0" w:color="auto"/>
            <w:right w:val="none" w:sz="0" w:space="0" w:color="auto"/>
          </w:divBdr>
        </w:div>
      </w:divsChild>
    </w:div>
    <w:div w:id="951976991">
      <w:marLeft w:val="4"/>
      <w:marRight w:val="0"/>
      <w:marTop w:val="0"/>
      <w:marBottom w:val="0"/>
      <w:divBdr>
        <w:top w:val="none" w:sz="0" w:space="0" w:color="auto"/>
        <w:left w:val="none" w:sz="0" w:space="0" w:color="auto"/>
        <w:bottom w:val="none" w:sz="0" w:space="0" w:color="auto"/>
        <w:right w:val="none" w:sz="0" w:space="0" w:color="auto"/>
      </w:divBdr>
      <w:divsChild>
        <w:div w:id="950434706">
          <w:marLeft w:val="0"/>
          <w:marRight w:val="0"/>
          <w:marTop w:val="0"/>
          <w:marBottom w:val="0"/>
          <w:divBdr>
            <w:top w:val="none" w:sz="0" w:space="0" w:color="auto"/>
            <w:left w:val="none" w:sz="0" w:space="0" w:color="auto"/>
            <w:bottom w:val="none" w:sz="0" w:space="0" w:color="auto"/>
            <w:right w:val="none" w:sz="0" w:space="0" w:color="auto"/>
          </w:divBdr>
        </w:div>
      </w:divsChild>
    </w:div>
    <w:div w:id="955140856">
      <w:marLeft w:val="4"/>
      <w:marRight w:val="0"/>
      <w:marTop w:val="120"/>
      <w:marBottom w:val="0"/>
      <w:divBdr>
        <w:top w:val="none" w:sz="0" w:space="0" w:color="auto"/>
        <w:left w:val="none" w:sz="0" w:space="0" w:color="auto"/>
        <w:bottom w:val="none" w:sz="0" w:space="0" w:color="auto"/>
        <w:right w:val="none" w:sz="0" w:space="0" w:color="auto"/>
      </w:divBdr>
      <w:divsChild>
        <w:div w:id="1786346943">
          <w:marLeft w:val="0"/>
          <w:marRight w:val="0"/>
          <w:marTop w:val="0"/>
          <w:marBottom w:val="0"/>
          <w:divBdr>
            <w:top w:val="none" w:sz="0" w:space="0" w:color="auto"/>
            <w:left w:val="none" w:sz="0" w:space="0" w:color="auto"/>
            <w:bottom w:val="none" w:sz="0" w:space="0" w:color="auto"/>
            <w:right w:val="none" w:sz="0" w:space="0" w:color="auto"/>
          </w:divBdr>
        </w:div>
      </w:divsChild>
    </w:div>
    <w:div w:id="956721763">
      <w:marLeft w:val="6"/>
      <w:marRight w:val="0"/>
      <w:marTop w:val="0"/>
      <w:marBottom w:val="0"/>
      <w:divBdr>
        <w:top w:val="none" w:sz="0" w:space="0" w:color="auto"/>
        <w:left w:val="none" w:sz="0" w:space="0" w:color="auto"/>
        <w:bottom w:val="none" w:sz="0" w:space="0" w:color="auto"/>
        <w:right w:val="none" w:sz="0" w:space="0" w:color="auto"/>
      </w:divBdr>
      <w:divsChild>
        <w:div w:id="1321081265">
          <w:marLeft w:val="0"/>
          <w:marRight w:val="0"/>
          <w:marTop w:val="0"/>
          <w:marBottom w:val="0"/>
          <w:divBdr>
            <w:top w:val="none" w:sz="0" w:space="0" w:color="auto"/>
            <w:left w:val="none" w:sz="0" w:space="0" w:color="auto"/>
            <w:bottom w:val="none" w:sz="0" w:space="0" w:color="auto"/>
            <w:right w:val="none" w:sz="0" w:space="0" w:color="auto"/>
          </w:divBdr>
        </w:div>
      </w:divsChild>
    </w:div>
    <w:div w:id="958222660">
      <w:marLeft w:val="4"/>
      <w:marRight w:val="0"/>
      <w:marTop w:val="120"/>
      <w:marBottom w:val="0"/>
      <w:divBdr>
        <w:top w:val="none" w:sz="0" w:space="0" w:color="auto"/>
        <w:left w:val="none" w:sz="0" w:space="0" w:color="auto"/>
        <w:bottom w:val="none" w:sz="0" w:space="0" w:color="auto"/>
        <w:right w:val="none" w:sz="0" w:space="0" w:color="auto"/>
      </w:divBdr>
      <w:divsChild>
        <w:div w:id="1147554669">
          <w:marLeft w:val="0"/>
          <w:marRight w:val="0"/>
          <w:marTop w:val="0"/>
          <w:marBottom w:val="0"/>
          <w:divBdr>
            <w:top w:val="none" w:sz="0" w:space="0" w:color="auto"/>
            <w:left w:val="none" w:sz="0" w:space="0" w:color="auto"/>
            <w:bottom w:val="none" w:sz="0" w:space="0" w:color="auto"/>
            <w:right w:val="none" w:sz="0" w:space="0" w:color="auto"/>
          </w:divBdr>
        </w:div>
      </w:divsChild>
    </w:div>
    <w:div w:id="993024052">
      <w:marLeft w:val="4"/>
      <w:marRight w:val="0"/>
      <w:marTop w:val="120"/>
      <w:marBottom w:val="0"/>
      <w:divBdr>
        <w:top w:val="none" w:sz="0" w:space="0" w:color="auto"/>
        <w:left w:val="none" w:sz="0" w:space="0" w:color="auto"/>
        <w:bottom w:val="none" w:sz="0" w:space="0" w:color="auto"/>
        <w:right w:val="none" w:sz="0" w:space="0" w:color="auto"/>
      </w:divBdr>
      <w:divsChild>
        <w:div w:id="686640558">
          <w:marLeft w:val="0"/>
          <w:marRight w:val="0"/>
          <w:marTop w:val="0"/>
          <w:marBottom w:val="0"/>
          <w:divBdr>
            <w:top w:val="none" w:sz="0" w:space="0" w:color="auto"/>
            <w:left w:val="none" w:sz="0" w:space="0" w:color="auto"/>
            <w:bottom w:val="none" w:sz="0" w:space="0" w:color="auto"/>
            <w:right w:val="none" w:sz="0" w:space="0" w:color="auto"/>
          </w:divBdr>
        </w:div>
      </w:divsChild>
    </w:div>
    <w:div w:id="995377904">
      <w:marLeft w:val="4"/>
      <w:marRight w:val="0"/>
      <w:marTop w:val="120"/>
      <w:marBottom w:val="0"/>
      <w:divBdr>
        <w:top w:val="none" w:sz="0" w:space="0" w:color="auto"/>
        <w:left w:val="none" w:sz="0" w:space="0" w:color="auto"/>
        <w:bottom w:val="none" w:sz="0" w:space="0" w:color="auto"/>
        <w:right w:val="none" w:sz="0" w:space="0" w:color="auto"/>
      </w:divBdr>
      <w:divsChild>
        <w:div w:id="1615020101">
          <w:marLeft w:val="0"/>
          <w:marRight w:val="0"/>
          <w:marTop w:val="0"/>
          <w:marBottom w:val="0"/>
          <w:divBdr>
            <w:top w:val="none" w:sz="0" w:space="0" w:color="auto"/>
            <w:left w:val="none" w:sz="0" w:space="0" w:color="auto"/>
            <w:bottom w:val="none" w:sz="0" w:space="0" w:color="auto"/>
            <w:right w:val="none" w:sz="0" w:space="0" w:color="auto"/>
          </w:divBdr>
        </w:div>
      </w:divsChild>
    </w:div>
    <w:div w:id="1033965774">
      <w:marLeft w:val="6"/>
      <w:marRight w:val="0"/>
      <w:marTop w:val="0"/>
      <w:marBottom w:val="0"/>
      <w:divBdr>
        <w:top w:val="none" w:sz="0" w:space="0" w:color="auto"/>
        <w:left w:val="none" w:sz="0" w:space="0" w:color="auto"/>
        <w:bottom w:val="none" w:sz="0" w:space="0" w:color="auto"/>
        <w:right w:val="none" w:sz="0" w:space="0" w:color="auto"/>
      </w:divBdr>
      <w:divsChild>
        <w:div w:id="1968509748">
          <w:marLeft w:val="0"/>
          <w:marRight w:val="0"/>
          <w:marTop w:val="0"/>
          <w:marBottom w:val="0"/>
          <w:divBdr>
            <w:top w:val="none" w:sz="0" w:space="0" w:color="auto"/>
            <w:left w:val="none" w:sz="0" w:space="0" w:color="auto"/>
            <w:bottom w:val="none" w:sz="0" w:space="0" w:color="auto"/>
            <w:right w:val="none" w:sz="0" w:space="0" w:color="auto"/>
          </w:divBdr>
        </w:div>
      </w:divsChild>
    </w:div>
    <w:div w:id="1037776476">
      <w:marLeft w:val="4"/>
      <w:marRight w:val="0"/>
      <w:marTop w:val="120"/>
      <w:marBottom w:val="0"/>
      <w:divBdr>
        <w:top w:val="none" w:sz="0" w:space="0" w:color="auto"/>
        <w:left w:val="none" w:sz="0" w:space="0" w:color="auto"/>
        <w:bottom w:val="none" w:sz="0" w:space="0" w:color="auto"/>
        <w:right w:val="none" w:sz="0" w:space="0" w:color="auto"/>
      </w:divBdr>
      <w:divsChild>
        <w:div w:id="558250673">
          <w:marLeft w:val="0"/>
          <w:marRight w:val="0"/>
          <w:marTop w:val="0"/>
          <w:marBottom w:val="0"/>
          <w:divBdr>
            <w:top w:val="none" w:sz="0" w:space="0" w:color="auto"/>
            <w:left w:val="none" w:sz="0" w:space="0" w:color="auto"/>
            <w:bottom w:val="none" w:sz="0" w:space="0" w:color="auto"/>
            <w:right w:val="none" w:sz="0" w:space="0" w:color="auto"/>
          </w:divBdr>
        </w:div>
      </w:divsChild>
    </w:div>
    <w:div w:id="1038820505">
      <w:marLeft w:val="4"/>
      <w:marRight w:val="0"/>
      <w:marTop w:val="120"/>
      <w:marBottom w:val="0"/>
      <w:divBdr>
        <w:top w:val="none" w:sz="0" w:space="0" w:color="auto"/>
        <w:left w:val="none" w:sz="0" w:space="0" w:color="auto"/>
        <w:bottom w:val="none" w:sz="0" w:space="0" w:color="auto"/>
        <w:right w:val="none" w:sz="0" w:space="0" w:color="auto"/>
      </w:divBdr>
      <w:divsChild>
        <w:div w:id="190925647">
          <w:marLeft w:val="0"/>
          <w:marRight w:val="0"/>
          <w:marTop w:val="0"/>
          <w:marBottom w:val="0"/>
          <w:divBdr>
            <w:top w:val="none" w:sz="0" w:space="0" w:color="auto"/>
            <w:left w:val="none" w:sz="0" w:space="0" w:color="auto"/>
            <w:bottom w:val="none" w:sz="0" w:space="0" w:color="auto"/>
            <w:right w:val="none" w:sz="0" w:space="0" w:color="auto"/>
          </w:divBdr>
        </w:div>
      </w:divsChild>
    </w:div>
    <w:div w:id="1039010391">
      <w:marLeft w:val="4"/>
      <w:marRight w:val="0"/>
      <w:marTop w:val="0"/>
      <w:marBottom w:val="0"/>
      <w:divBdr>
        <w:top w:val="none" w:sz="0" w:space="0" w:color="auto"/>
        <w:left w:val="none" w:sz="0" w:space="0" w:color="auto"/>
        <w:bottom w:val="none" w:sz="0" w:space="0" w:color="auto"/>
        <w:right w:val="none" w:sz="0" w:space="0" w:color="auto"/>
      </w:divBdr>
      <w:divsChild>
        <w:div w:id="1436511698">
          <w:marLeft w:val="0"/>
          <w:marRight w:val="0"/>
          <w:marTop w:val="0"/>
          <w:marBottom w:val="0"/>
          <w:divBdr>
            <w:top w:val="none" w:sz="0" w:space="0" w:color="auto"/>
            <w:left w:val="none" w:sz="0" w:space="0" w:color="auto"/>
            <w:bottom w:val="none" w:sz="0" w:space="0" w:color="auto"/>
            <w:right w:val="none" w:sz="0" w:space="0" w:color="auto"/>
          </w:divBdr>
        </w:div>
      </w:divsChild>
    </w:div>
    <w:div w:id="1049375408">
      <w:marLeft w:val="4"/>
      <w:marRight w:val="0"/>
      <w:marTop w:val="120"/>
      <w:marBottom w:val="0"/>
      <w:divBdr>
        <w:top w:val="none" w:sz="0" w:space="0" w:color="auto"/>
        <w:left w:val="none" w:sz="0" w:space="0" w:color="auto"/>
        <w:bottom w:val="none" w:sz="0" w:space="0" w:color="auto"/>
        <w:right w:val="none" w:sz="0" w:space="0" w:color="auto"/>
      </w:divBdr>
      <w:divsChild>
        <w:div w:id="1077895069">
          <w:marLeft w:val="0"/>
          <w:marRight w:val="0"/>
          <w:marTop w:val="0"/>
          <w:marBottom w:val="0"/>
          <w:divBdr>
            <w:top w:val="none" w:sz="0" w:space="0" w:color="auto"/>
            <w:left w:val="none" w:sz="0" w:space="0" w:color="auto"/>
            <w:bottom w:val="none" w:sz="0" w:space="0" w:color="auto"/>
            <w:right w:val="none" w:sz="0" w:space="0" w:color="auto"/>
          </w:divBdr>
        </w:div>
      </w:divsChild>
    </w:div>
    <w:div w:id="1067845443">
      <w:marLeft w:val="4"/>
      <w:marRight w:val="0"/>
      <w:marTop w:val="120"/>
      <w:marBottom w:val="0"/>
      <w:divBdr>
        <w:top w:val="none" w:sz="0" w:space="0" w:color="auto"/>
        <w:left w:val="none" w:sz="0" w:space="0" w:color="auto"/>
        <w:bottom w:val="none" w:sz="0" w:space="0" w:color="auto"/>
        <w:right w:val="none" w:sz="0" w:space="0" w:color="auto"/>
      </w:divBdr>
      <w:divsChild>
        <w:div w:id="708146332">
          <w:marLeft w:val="0"/>
          <w:marRight w:val="0"/>
          <w:marTop w:val="0"/>
          <w:marBottom w:val="0"/>
          <w:divBdr>
            <w:top w:val="none" w:sz="0" w:space="0" w:color="auto"/>
            <w:left w:val="none" w:sz="0" w:space="0" w:color="auto"/>
            <w:bottom w:val="none" w:sz="0" w:space="0" w:color="auto"/>
            <w:right w:val="none" w:sz="0" w:space="0" w:color="auto"/>
          </w:divBdr>
        </w:div>
      </w:divsChild>
    </w:div>
    <w:div w:id="1076778529">
      <w:marLeft w:val="4"/>
      <w:marRight w:val="0"/>
      <w:marTop w:val="120"/>
      <w:marBottom w:val="0"/>
      <w:divBdr>
        <w:top w:val="none" w:sz="0" w:space="0" w:color="auto"/>
        <w:left w:val="none" w:sz="0" w:space="0" w:color="auto"/>
        <w:bottom w:val="none" w:sz="0" w:space="0" w:color="auto"/>
        <w:right w:val="none" w:sz="0" w:space="0" w:color="auto"/>
      </w:divBdr>
      <w:divsChild>
        <w:div w:id="1697152220">
          <w:marLeft w:val="0"/>
          <w:marRight w:val="0"/>
          <w:marTop w:val="0"/>
          <w:marBottom w:val="0"/>
          <w:divBdr>
            <w:top w:val="none" w:sz="0" w:space="0" w:color="auto"/>
            <w:left w:val="none" w:sz="0" w:space="0" w:color="auto"/>
            <w:bottom w:val="none" w:sz="0" w:space="0" w:color="auto"/>
            <w:right w:val="none" w:sz="0" w:space="0" w:color="auto"/>
          </w:divBdr>
        </w:div>
      </w:divsChild>
    </w:div>
    <w:div w:id="1088230450">
      <w:marLeft w:val="4"/>
      <w:marRight w:val="0"/>
      <w:marTop w:val="120"/>
      <w:marBottom w:val="0"/>
      <w:divBdr>
        <w:top w:val="none" w:sz="0" w:space="0" w:color="auto"/>
        <w:left w:val="none" w:sz="0" w:space="0" w:color="auto"/>
        <w:bottom w:val="none" w:sz="0" w:space="0" w:color="auto"/>
        <w:right w:val="none" w:sz="0" w:space="0" w:color="auto"/>
      </w:divBdr>
      <w:divsChild>
        <w:div w:id="1541238260">
          <w:marLeft w:val="0"/>
          <w:marRight w:val="0"/>
          <w:marTop w:val="0"/>
          <w:marBottom w:val="0"/>
          <w:divBdr>
            <w:top w:val="none" w:sz="0" w:space="0" w:color="auto"/>
            <w:left w:val="none" w:sz="0" w:space="0" w:color="auto"/>
            <w:bottom w:val="none" w:sz="0" w:space="0" w:color="auto"/>
            <w:right w:val="none" w:sz="0" w:space="0" w:color="auto"/>
          </w:divBdr>
        </w:div>
      </w:divsChild>
    </w:div>
    <w:div w:id="1091391133">
      <w:marLeft w:val="4"/>
      <w:marRight w:val="0"/>
      <w:marTop w:val="120"/>
      <w:marBottom w:val="0"/>
      <w:divBdr>
        <w:top w:val="none" w:sz="0" w:space="0" w:color="auto"/>
        <w:left w:val="none" w:sz="0" w:space="0" w:color="auto"/>
        <w:bottom w:val="none" w:sz="0" w:space="0" w:color="auto"/>
        <w:right w:val="none" w:sz="0" w:space="0" w:color="auto"/>
      </w:divBdr>
      <w:divsChild>
        <w:div w:id="1284772620">
          <w:marLeft w:val="0"/>
          <w:marRight w:val="0"/>
          <w:marTop w:val="0"/>
          <w:marBottom w:val="0"/>
          <w:divBdr>
            <w:top w:val="none" w:sz="0" w:space="0" w:color="auto"/>
            <w:left w:val="none" w:sz="0" w:space="0" w:color="auto"/>
            <w:bottom w:val="none" w:sz="0" w:space="0" w:color="auto"/>
            <w:right w:val="none" w:sz="0" w:space="0" w:color="auto"/>
          </w:divBdr>
        </w:div>
      </w:divsChild>
    </w:div>
    <w:div w:id="1112015803">
      <w:marLeft w:val="6"/>
      <w:marRight w:val="0"/>
      <w:marTop w:val="120"/>
      <w:marBottom w:val="0"/>
      <w:divBdr>
        <w:top w:val="none" w:sz="0" w:space="0" w:color="auto"/>
        <w:left w:val="none" w:sz="0" w:space="0" w:color="auto"/>
        <w:bottom w:val="none" w:sz="0" w:space="0" w:color="auto"/>
        <w:right w:val="none" w:sz="0" w:space="0" w:color="auto"/>
      </w:divBdr>
      <w:divsChild>
        <w:div w:id="685904008">
          <w:marLeft w:val="0"/>
          <w:marRight w:val="0"/>
          <w:marTop w:val="0"/>
          <w:marBottom w:val="0"/>
          <w:divBdr>
            <w:top w:val="none" w:sz="0" w:space="0" w:color="auto"/>
            <w:left w:val="none" w:sz="0" w:space="0" w:color="auto"/>
            <w:bottom w:val="none" w:sz="0" w:space="0" w:color="auto"/>
            <w:right w:val="none" w:sz="0" w:space="0" w:color="auto"/>
          </w:divBdr>
        </w:div>
      </w:divsChild>
    </w:div>
    <w:div w:id="1126050049">
      <w:marLeft w:val="4"/>
      <w:marRight w:val="0"/>
      <w:marTop w:val="120"/>
      <w:marBottom w:val="0"/>
      <w:divBdr>
        <w:top w:val="none" w:sz="0" w:space="0" w:color="auto"/>
        <w:left w:val="none" w:sz="0" w:space="0" w:color="auto"/>
        <w:bottom w:val="none" w:sz="0" w:space="0" w:color="auto"/>
        <w:right w:val="none" w:sz="0" w:space="0" w:color="auto"/>
      </w:divBdr>
      <w:divsChild>
        <w:div w:id="31465099">
          <w:marLeft w:val="0"/>
          <w:marRight w:val="0"/>
          <w:marTop w:val="0"/>
          <w:marBottom w:val="0"/>
          <w:divBdr>
            <w:top w:val="none" w:sz="0" w:space="0" w:color="auto"/>
            <w:left w:val="none" w:sz="0" w:space="0" w:color="auto"/>
            <w:bottom w:val="none" w:sz="0" w:space="0" w:color="auto"/>
            <w:right w:val="none" w:sz="0" w:space="0" w:color="auto"/>
          </w:divBdr>
        </w:div>
      </w:divsChild>
    </w:div>
    <w:div w:id="1135297770">
      <w:marLeft w:val="0"/>
      <w:marRight w:val="0"/>
      <w:marTop w:val="0"/>
      <w:marBottom w:val="0"/>
      <w:divBdr>
        <w:top w:val="none" w:sz="0" w:space="0" w:color="auto"/>
        <w:left w:val="none" w:sz="0" w:space="0" w:color="auto"/>
        <w:bottom w:val="none" w:sz="0" w:space="0" w:color="auto"/>
        <w:right w:val="none" w:sz="0" w:space="0" w:color="auto"/>
      </w:divBdr>
      <w:divsChild>
        <w:div w:id="1225141536">
          <w:marLeft w:val="0"/>
          <w:marRight w:val="0"/>
          <w:marTop w:val="0"/>
          <w:marBottom w:val="0"/>
          <w:divBdr>
            <w:top w:val="none" w:sz="0" w:space="0" w:color="auto"/>
            <w:left w:val="none" w:sz="0" w:space="0" w:color="auto"/>
            <w:bottom w:val="none" w:sz="0" w:space="0" w:color="auto"/>
            <w:right w:val="none" w:sz="0" w:space="0" w:color="auto"/>
          </w:divBdr>
        </w:div>
      </w:divsChild>
    </w:div>
    <w:div w:id="1136218498">
      <w:marLeft w:val="4"/>
      <w:marRight w:val="0"/>
      <w:marTop w:val="0"/>
      <w:marBottom w:val="0"/>
      <w:divBdr>
        <w:top w:val="none" w:sz="0" w:space="0" w:color="auto"/>
        <w:left w:val="none" w:sz="0" w:space="0" w:color="auto"/>
        <w:bottom w:val="none" w:sz="0" w:space="0" w:color="auto"/>
        <w:right w:val="none" w:sz="0" w:space="0" w:color="auto"/>
      </w:divBdr>
      <w:divsChild>
        <w:div w:id="1614896236">
          <w:marLeft w:val="0"/>
          <w:marRight w:val="0"/>
          <w:marTop w:val="0"/>
          <w:marBottom w:val="0"/>
          <w:divBdr>
            <w:top w:val="none" w:sz="0" w:space="0" w:color="auto"/>
            <w:left w:val="none" w:sz="0" w:space="0" w:color="auto"/>
            <w:bottom w:val="none" w:sz="0" w:space="0" w:color="auto"/>
            <w:right w:val="none" w:sz="0" w:space="0" w:color="auto"/>
          </w:divBdr>
        </w:div>
      </w:divsChild>
    </w:div>
    <w:div w:id="1159811938">
      <w:marLeft w:val="6"/>
      <w:marRight w:val="0"/>
      <w:marTop w:val="0"/>
      <w:marBottom w:val="0"/>
      <w:divBdr>
        <w:top w:val="none" w:sz="0" w:space="0" w:color="auto"/>
        <w:left w:val="none" w:sz="0" w:space="0" w:color="auto"/>
        <w:bottom w:val="none" w:sz="0" w:space="0" w:color="auto"/>
        <w:right w:val="none" w:sz="0" w:space="0" w:color="auto"/>
      </w:divBdr>
      <w:divsChild>
        <w:div w:id="959412121">
          <w:marLeft w:val="0"/>
          <w:marRight w:val="0"/>
          <w:marTop w:val="0"/>
          <w:marBottom w:val="0"/>
          <w:divBdr>
            <w:top w:val="none" w:sz="0" w:space="0" w:color="auto"/>
            <w:left w:val="none" w:sz="0" w:space="0" w:color="auto"/>
            <w:bottom w:val="none" w:sz="0" w:space="0" w:color="auto"/>
            <w:right w:val="none" w:sz="0" w:space="0" w:color="auto"/>
          </w:divBdr>
        </w:div>
      </w:divsChild>
    </w:div>
    <w:div w:id="1167787560">
      <w:marLeft w:val="4"/>
      <w:marRight w:val="0"/>
      <w:marTop w:val="120"/>
      <w:marBottom w:val="0"/>
      <w:divBdr>
        <w:top w:val="none" w:sz="0" w:space="0" w:color="auto"/>
        <w:left w:val="none" w:sz="0" w:space="0" w:color="auto"/>
        <w:bottom w:val="none" w:sz="0" w:space="0" w:color="auto"/>
        <w:right w:val="none" w:sz="0" w:space="0" w:color="auto"/>
      </w:divBdr>
      <w:divsChild>
        <w:div w:id="274212108">
          <w:marLeft w:val="0"/>
          <w:marRight w:val="0"/>
          <w:marTop w:val="0"/>
          <w:marBottom w:val="0"/>
          <w:divBdr>
            <w:top w:val="none" w:sz="0" w:space="0" w:color="auto"/>
            <w:left w:val="none" w:sz="0" w:space="0" w:color="auto"/>
            <w:bottom w:val="none" w:sz="0" w:space="0" w:color="auto"/>
            <w:right w:val="none" w:sz="0" w:space="0" w:color="auto"/>
          </w:divBdr>
        </w:div>
      </w:divsChild>
    </w:div>
    <w:div w:id="1169253120">
      <w:marLeft w:val="4"/>
      <w:marRight w:val="0"/>
      <w:marTop w:val="120"/>
      <w:marBottom w:val="0"/>
      <w:divBdr>
        <w:top w:val="none" w:sz="0" w:space="0" w:color="auto"/>
        <w:left w:val="none" w:sz="0" w:space="0" w:color="auto"/>
        <w:bottom w:val="none" w:sz="0" w:space="0" w:color="auto"/>
        <w:right w:val="none" w:sz="0" w:space="0" w:color="auto"/>
      </w:divBdr>
      <w:divsChild>
        <w:div w:id="213007863">
          <w:marLeft w:val="0"/>
          <w:marRight w:val="0"/>
          <w:marTop w:val="0"/>
          <w:marBottom w:val="0"/>
          <w:divBdr>
            <w:top w:val="none" w:sz="0" w:space="0" w:color="auto"/>
            <w:left w:val="none" w:sz="0" w:space="0" w:color="auto"/>
            <w:bottom w:val="none" w:sz="0" w:space="0" w:color="auto"/>
            <w:right w:val="none" w:sz="0" w:space="0" w:color="auto"/>
          </w:divBdr>
        </w:div>
      </w:divsChild>
    </w:div>
    <w:div w:id="1173304068">
      <w:marLeft w:val="4"/>
      <w:marRight w:val="0"/>
      <w:marTop w:val="120"/>
      <w:marBottom w:val="0"/>
      <w:divBdr>
        <w:top w:val="none" w:sz="0" w:space="0" w:color="auto"/>
        <w:left w:val="none" w:sz="0" w:space="0" w:color="auto"/>
        <w:bottom w:val="none" w:sz="0" w:space="0" w:color="auto"/>
        <w:right w:val="none" w:sz="0" w:space="0" w:color="auto"/>
      </w:divBdr>
      <w:divsChild>
        <w:div w:id="838500109">
          <w:marLeft w:val="0"/>
          <w:marRight w:val="0"/>
          <w:marTop w:val="0"/>
          <w:marBottom w:val="0"/>
          <w:divBdr>
            <w:top w:val="none" w:sz="0" w:space="0" w:color="auto"/>
            <w:left w:val="none" w:sz="0" w:space="0" w:color="auto"/>
            <w:bottom w:val="none" w:sz="0" w:space="0" w:color="auto"/>
            <w:right w:val="none" w:sz="0" w:space="0" w:color="auto"/>
          </w:divBdr>
        </w:div>
      </w:divsChild>
    </w:div>
    <w:div w:id="1181548758">
      <w:marLeft w:val="4"/>
      <w:marRight w:val="0"/>
      <w:marTop w:val="120"/>
      <w:marBottom w:val="0"/>
      <w:divBdr>
        <w:top w:val="none" w:sz="0" w:space="0" w:color="auto"/>
        <w:left w:val="none" w:sz="0" w:space="0" w:color="auto"/>
        <w:bottom w:val="none" w:sz="0" w:space="0" w:color="auto"/>
        <w:right w:val="none" w:sz="0" w:space="0" w:color="auto"/>
      </w:divBdr>
      <w:divsChild>
        <w:div w:id="1360935915">
          <w:marLeft w:val="0"/>
          <w:marRight w:val="0"/>
          <w:marTop w:val="0"/>
          <w:marBottom w:val="0"/>
          <w:divBdr>
            <w:top w:val="none" w:sz="0" w:space="0" w:color="auto"/>
            <w:left w:val="none" w:sz="0" w:space="0" w:color="auto"/>
            <w:bottom w:val="none" w:sz="0" w:space="0" w:color="auto"/>
            <w:right w:val="none" w:sz="0" w:space="0" w:color="auto"/>
          </w:divBdr>
        </w:div>
      </w:divsChild>
    </w:div>
    <w:div w:id="1188327089">
      <w:marLeft w:val="4"/>
      <w:marRight w:val="0"/>
      <w:marTop w:val="120"/>
      <w:marBottom w:val="0"/>
      <w:divBdr>
        <w:top w:val="none" w:sz="0" w:space="0" w:color="auto"/>
        <w:left w:val="none" w:sz="0" w:space="0" w:color="auto"/>
        <w:bottom w:val="none" w:sz="0" w:space="0" w:color="auto"/>
        <w:right w:val="none" w:sz="0" w:space="0" w:color="auto"/>
      </w:divBdr>
      <w:divsChild>
        <w:div w:id="335621445">
          <w:marLeft w:val="0"/>
          <w:marRight w:val="0"/>
          <w:marTop w:val="0"/>
          <w:marBottom w:val="0"/>
          <w:divBdr>
            <w:top w:val="none" w:sz="0" w:space="0" w:color="auto"/>
            <w:left w:val="none" w:sz="0" w:space="0" w:color="auto"/>
            <w:bottom w:val="none" w:sz="0" w:space="0" w:color="auto"/>
            <w:right w:val="none" w:sz="0" w:space="0" w:color="auto"/>
          </w:divBdr>
        </w:div>
      </w:divsChild>
    </w:div>
    <w:div w:id="1200625128">
      <w:marLeft w:val="4"/>
      <w:marRight w:val="0"/>
      <w:marTop w:val="120"/>
      <w:marBottom w:val="0"/>
      <w:divBdr>
        <w:top w:val="none" w:sz="0" w:space="0" w:color="auto"/>
        <w:left w:val="none" w:sz="0" w:space="0" w:color="auto"/>
        <w:bottom w:val="none" w:sz="0" w:space="0" w:color="auto"/>
        <w:right w:val="none" w:sz="0" w:space="0" w:color="auto"/>
      </w:divBdr>
      <w:divsChild>
        <w:div w:id="1162625621">
          <w:marLeft w:val="0"/>
          <w:marRight w:val="0"/>
          <w:marTop w:val="0"/>
          <w:marBottom w:val="0"/>
          <w:divBdr>
            <w:top w:val="none" w:sz="0" w:space="0" w:color="auto"/>
            <w:left w:val="none" w:sz="0" w:space="0" w:color="auto"/>
            <w:bottom w:val="none" w:sz="0" w:space="0" w:color="auto"/>
            <w:right w:val="none" w:sz="0" w:space="0" w:color="auto"/>
          </w:divBdr>
        </w:div>
      </w:divsChild>
    </w:div>
    <w:div w:id="1214152450">
      <w:marLeft w:val="6"/>
      <w:marRight w:val="0"/>
      <w:marTop w:val="0"/>
      <w:marBottom w:val="0"/>
      <w:divBdr>
        <w:top w:val="none" w:sz="0" w:space="0" w:color="auto"/>
        <w:left w:val="none" w:sz="0" w:space="0" w:color="auto"/>
        <w:bottom w:val="none" w:sz="0" w:space="0" w:color="auto"/>
        <w:right w:val="none" w:sz="0" w:space="0" w:color="auto"/>
      </w:divBdr>
      <w:divsChild>
        <w:div w:id="1854415236">
          <w:marLeft w:val="0"/>
          <w:marRight w:val="0"/>
          <w:marTop w:val="0"/>
          <w:marBottom w:val="0"/>
          <w:divBdr>
            <w:top w:val="none" w:sz="0" w:space="0" w:color="auto"/>
            <w:left w:val="none" w:sz="0" w:space="0" w:color="auto"/>
            <w:bottom w:val="none" w:sz="0" w:space="0" w:color="auto"/>
            <w:right w:val="none" w:sz="0" w:space="0" w:color="auto"/>
          </w:divBdr>
        </w:div>
      </w:divsChild>
    </w:div>
    <w:div w:id="1217623348">
      <w:marLeft w:val="4"/>
      <w:marRight w:val="0"/>
      <w:marTop w:val="120"/>
      <w:marBottom w:val="0"/>
      <w:divBdr>
        <w:top w:val="none" w:sz="0" w:space="0" w:color="auto"/>
        <w:left w:val="none" w:sz="0" w:space="0" w:color="auto"/>
        <w:bottom w:val="none" w:sz="0" w:space="0" w:color="auto"/>
        <w:right w:val="none" w:sz="0" w:space="0" w:color="auto"/>
      </w:divBdr>
      <w:divsChild>
        <w:div w:id="1406103845">
          <w:marLeft w:val="0"/>
          <w:marRight w:val="0"/>
          <w:marTop w:val="0"/>
          <w:marBottom w:val="0"/>
          <w:divBdr>
            <w:top w:val="none" w:sz="0" w:space="0" w:color="auto"/>
            <w:left w:val="none" w:sz="0" w:space="0" w:color="auto"/>
            <w:bottom w:val="none" w:sz="0" w:space="0" w:color="auto"/>
            <w:right w:val="none" w:sz="0" w:space="0" w:color="auto"/>
          </w:divBdr>
        </w:div>
      </w:divsChild>
    </w:div>
    <w:div w:id="1226989625">
      <w:marLeft w:val="4"/>
      <w:marRight w:val="0"/>
      <w:marTop w:val="120"/>
      <w:marBottom w:val="0"/>
      <w:divBdr>
        <w:top w:val="none" w:sz="0" w:space="0" w:color="auto"/>
        <w:left w:val="none" w:sz="0" w:space="0" w:color="auto"/>
        <w:bottom w:val="none" w:sz="0" w:space="0" w:color="auto"/>
        <w:right w:val="none" w:sz="0" w:space="0" w:color="auto"/>
      </w:divBdr>
      <w:divsChild>
        <w:div w:id="757558461">
          <w:marLeft w:val="0"/>
          <w:marRight w:val="0"/>
          <w:marTop w:val="0"/>
          <w:marBottom w:val="0"/>
          <w:divBdr>
            <w:top w:val="none" w:sz="0" w:space="0" w:color="auto"/>
            <w:left w:val="none" w:sz="0" w:space="0" w:color="auto"/>
            <w:bottom w:val="none" w:sz="0" w:space="0" w:color="auto"/>
            <w:right w:val="none" w:sz="0" w:space="0" w:color="auto"/>
          </w:divBdr>
        </w:div>
      </w:divsChild>
    </w:div>
    <w:div w:id="1230112747">
      <w:marLeft w:val="4"/>
      <w:marRight w:val="0"/>
      <w:marTop w:val="120"/>
      <w:marBottom w:val="0"/>
      <w:divBdr>
        <w:top w:val="none" w:sz="0" w:space="0" w:color="auto"/>
        <w:left w:val="none" w:sz="0" w:space="0" w:color="auto"/>
        <w:bottom w:val="none" w:sz="0" w:space="0" w:color="auto"/>
        <w:right w:val="none" w:sz="0" w:space="0" w:color="auto"/>
      </w:divBdr>
      <w:divsChild>
        <w:div w:id="475682714">
          <w:marLeft w:val="0"/>
          <w:marRight w:val="0"/>
          <w:marTop w:val="0"/>
          <w:marBottom w:val="0"/>
          <w:divBdr>
            <w:top w:val="none" w:sz="0" w:space="0" w:color="auto"/>
            <w:left w:val="none" w:sz="0" w:space="0" w:color="auto"/>
            <w:bottom w:val="none" w:sz="0" w:space="0" w:color="auto"/>
            <w:right w:val="none" w:sz="0" w:space="0" w:color="auto"/>
          </w:divBdr>
        </w:div>
      </w:divsChild>
    </w:div>
    <w:div w:id="1256203896">
      <w:marLeft w:val="4"/>
      <w:marRight w:val="0"/>
      <w:marTop w:val="120"/>
      <w:marBottom w:val="0"/>
      <w:divBdr>
        <w:top w:val="none" w:sz="0" w:space="0" w:color="auto"/>
        <w:left w:val="none" w:sz="0" w:space="0" w:color="auto"/>
        <w:bottom w:val="none" w:sz="0" w:space="0" w:color="auto"/>
        <w:right w:val="none" w:sz="0" w:space="0" w:color="auto"/>
      </w:divBdr>
      <w:divsChild>
        <w:div w:id="955865620">
          <w:marLeft w:val="0"/>
          <w:marRight w:val="0"/>
          <w:marTop w:val="0"/>
          <w:marBottom w:val="0"/>
          <w:divBdr>
            <w:top w:val="none" w:sz="0" w:space="0" w:color="auto"/>
            <w:left w:val="none" w:sz="0" w:space="0" w:color="auto"/>
            <w:bottom w:val="none" w:sz="0" w:space="0" w:color="auto"/>
            <w:right w:val="none" w:sz="0" w:space="0" w:color="auto"/>
          </w:divBdr>
        </w:div>
      </w:divsChild>
    </w:div>
    <w:div w:id="1272518526">
      <w:marLeft w:val="6"/>
      <w:marRight w:val="0"/>
      <w:marTop w:val="0"/>
      <w:marBottom w:val="0"/>
      <w:divBdr>
        <w:top w:val="none" w:sz="0" w:space="0" w:color="auto"/>
        <w:left w:val="none" w:sz="0" w:space="0" w:color="auto"/>
        <w:bottom w:val="none" w:sz="0" w:space="0" w:color="auto"/>
        <w:right w:val="none" w:sz="0" w:space="0" w:color="auto"/>
      </w:divBdr>
      <w:divsChild>
        <w:div w:id="1385719377">
          <w:marLeft w:val="0"/>
          <w:marRight w:val="0"/>
          <w:marTop w:val="0"/>
          <w:marBottom w:val="0"/>
          <w:divBdr>
            <w:top w:val="none" w:sz="0" w:space="0" w:color="auto"/>
            <w:left w:val="none" w:sz="0" w:space="0" w:color="auto"/>
            <w:bottom w:val="none" w:sz="0" w:space="0" w:color="auto"/>
            <w:right w:val="none" w:sz="0" w:space="0" w:color="auto"/>
          </w:divBdr>
        </w:div>
      </w:divsChild>
    </w:div>
    <w:div w:id="1290937590">
      <w:marLeft w:val="4"/>
      <w:marRight w:val="0"/>
      <w:marTop w:val="0"/>
      <w:marBottom w:val="0"/>
      <w:divBdr>
        <w:top w:val="none" w:sz="0" w:space="0" w:color="auto"/>
        <w:left w:val="none" w:sz="0" w:space="0" w:color="auto"/>
        <w:bottom w:val="none" w:sz="0" w:space="0" w:color="auto"/>
        <w:right w:val="none" w:sz="0" w:space="0" w:color="auto"/>
      </w:divBdr>
      <w:divsChild>
        <w:div w:id="639459844">
          <w:marLeft w:val="0"/>
          <w:marRight w:val="0"/>
          <w:marTop w:val="0"/>
          <w:marBottom w:val="0"/>
          <w:divBdr>
            <w:top w:val="none" w:sz="0" w:space="0" w:color="auto"/>
            <w:left w:val="none" w:sz="0" w:space="0" w:color="auto"/>
            <w:bottom w:val="none" w:sz="0" w:space="0" w:color="auto"/>
            <w:right w:val="none" w:sz="0" w:space="0" w:color="auto"/>
          </w:divBdr>
        </w:div>
      </w:divsChild>
    </w:div>
    <w:div w:id="1321153078">
      <w:marLeft w:val="6"/>
      <w:marRight w:val="0"/>
      <w:marTop w:val="0"/>
      <w:marBottom w:val="0"/>
      <w:divBdr>
        <w:top w:val="none" w:sz="0" w:space="0" w:color="auto"/>
        <w:left w:val="none" w:sz="0" w:space="0" w:color="auto"/>
        <w:bottom w:val="none" w:sz="0" w:space="0" w:color="auto"/>
        <w:right w:val="none" w:sz="0" w:space="0" w:color="auto"/>
      </w:divBdr>
      <w:divsChild>
        <w:div w:id="988244694">
          <w:marLeft w:val="0"/>
          <w:marRight w:val="0"/>
          <w:marTop w:val="0"/>
          <w:marBottom w:val="0"/>
          <w:divBdr>
            <w:top w:val="none" w:sz="0" w:space="0" w:color="auto"/>
            <w:left w:val="none" w:sz="0" w:space="0" w:color="auto"/>
            <w:bottom w:val="none" w:sz="0" w:space="0" w:color="auto"/>
            <w:right w:val="none" w:sz="0" w:space="0" w:color="auto"/>
          </w:divBdr>
        </w:div>
      </w:divsChild>
    </w:div>
    <w:div w:id="1327201978">
      <w:marLeft w:val="4"/>
      <w:marRight w:val="0"/>
      <w:marTop w:val="120"/>
      <w:marBottom w:val="0"/>
      <w:divBdr>
        <w:top w:val="none" w:sz="0" w:space="0" w:color="auto"/>
        <w:left w:val="none" w:sz="0" w:space="0" w:color="auto"/>
        <w:bottom w:val="none" w:sz="0" w:space="0" w:color="auto"/>
        <w:right w:val="none" w:sz="0" w:space="0" w:color="auto"/>
      </w:divBdr>
      <w:divsChild>
        <w:div w:id="1861507380">
          <w:marLeft w:val="0"/>
          <w:marRight w:val="0"/>
          <w:marTop w:val="0"/>
          <w:marBottom w:val="0"/>
          <w:divBdr>
            <w:top w:val="none" w:sz="0" w:space="0" w:color="auto"/>
            <w:left w:val="none" w:sz="0" w:space="0" w:color="auto"/>
            <w:bottom w:val="none" w:sz="0" w:space="0" w:color="auto"/>
            <w:right w:val="none" w:sz="0" w:space="0" w:color="auto"/>
          </w:divBdr>
        </w:div>
      </w:divsChild>
    </w:div>
    <w:div w:id="1333024067">
      <w:marLeft w:val="0"/>
      <w:marRight w:val="0"/>
      <w:marTop w:val="0"/>
      <w:marBottom w:val="0"/>
      <w:divBdr>
        <w:top w:val="none" w:sz="0" w:space="0" w:color="auto"/>
        <w:left w:val="none" w:sz="0" w:space="0" w:color="auto"/>
        <w:bottom w:val="none" w:sz="0" w:space="0" w:color="auto"/>
        <w:right w:val="none" w:sz="0" w:space="0" w:color="auto"/>
      </w:divBdr>
    </w:div>
    <w:div w:id="1336883471">
      <w:marLeft w:val="4"/>
      <w:marRight w:val="0"/>
      <w:marTop w:val="120"/>
      <w:marBottom w:val="0"/>
      <w:divBdr>
        <w:top w:val="none" w:sz="0" w:space="0" w:color="auto"/>
        <w:left w:val="none" w:sz="0" w:space="0" w:color="auto"/>
        <w:bottom w:val="none" w:sz="0" w:space="0" w:color="auto"/>
        <w:right w:val="none" w:sz="0" w:space="0" w:color="auto"/>
      </w:divBdr>
      <w:divsChild>
        <w:div w:id="1866672653">
          <w:marLeft w:val="0"/>
          <w:marRight w:val="0"/>
          <w:marTop w:val="0"/>
          <w:marBottom w:val="0"/>
          <w:divBdr>
            <w:top w:val="none" w:sz="0" w:space="0" w:color="auto"/>
            <w:left w:val="none" w:sz="0" w:space="0" w:color="auto"/>
            <w:bottom w:val="none" w:sz="0" w:space="0" w:color="auto"/>
            <w:right w:val="none" w:sz="0" w:space="0" w:color="auto"/>
          </w:divBdr>
        </w:div>
      </w:divsChild>
    </w:div>
    <w:div w:id="1355425043">
      <w:marLeft w:val="4"/>
      <w:marRight w:val="0"/>
      <w:marTop w:val="120"/>
      <w:marBottom w:val="0"/>
      <w:divBdr>
        <w:top w:val="none" w:sz="0" w:space="0" w:color="auto"/>
        <w:left w:val="none" w:sz="0" w:space="0" w:color="auto"/>
        <w:bottom w:val="none" w:sz="0" w:space="0" w:color="auto"/>
        <w:right w:val="none" w:sz="0" w:space="0" w:color="auto"/>
      </w:divBdr>
      <w:divsChild>
        <w:div w:id="1953126171">
          <w:marLeft w:val="0"/>
          <w:marRight w:val="0"/>
          <w:marTop w:val="0"/>
          <w:marBottom w:val="0"/>
          <w:divBdr>
            <w:top w:val="none" w:sz="0" w:space="0" w:color="auto"/>
            <w:left w:val="none" w:sz="0" w:space="0" w:color="auto"/>
            <w:bottom w:val="none" w:sz="0" w:space="0" w:color="auto"/>
            <w:right w:val="none" w:sz="0" w:space="0" w:color="auto"/>
          </w:divBdr>
        </w:div>
      </w:divsChild>
    </w:div>
    <w:div w:id="1357657060">
      <w:marLeft w:val="4"/>
      <w:marRight w:val="0"/>
      <w:marTop w:val="120"/>
      <w:marBottom w:val="0"/>
      <w:divBdr>
        <w:top w:val="none" w:sz="0" w:space="0" w:color="auto"/>
        <w:left w:val="none" w:sz="0" w:space="0" w:color="auto"/>
        <w:bottom w:val="none" w:sz="0" w:space="0" w:color="auto"/>
        <w:right w:val="none" w:sz="0" w:space="0" w:color="auto"/>
      </w:divBdr>
      <w:divsChild>
        <w:div w:id="678236033">
          <w:marLeft w:val="0"/>
          <w:marRight w:val="0"/>
          <w:marTop w:val="0"/>
          <w:marBottom w:val="0"/>
          <w:divBdr>
            <w:top w:val="none" w:sz="0" w:space="0" w:color="auto"/>
            <w:left w:val="none" w:sz="0" w:space="0" w:color="auto"/>
            <w:bottom w:val="none" w:sz="0" w:space="0" w:color="auto"/>
            <w:right w:val="none" w:sz="0" w:space="0" w:color="auto"/>
          </w:divBdr>
        </w:div>
      </w:divsChild>
    </w:div>
    <w:div w:id="1367637813">
      <w:marLeft w:val="4"/>
      <w:marRight w:val="0"/>
      <w:marTop w:val="120"/>
      <w:marBottom w:val="0"/>
      <w:divBdr>
        <w:top w:val="none" w:sz="0" w:space="0" w:color="auto"/>
        <w:left w:val="none" w:sz="0" w:space="0" w:color="auto"/>
        <w:bottom w:val="none" w:sz="0" w:space="0" w:color="auto"/>
        <w:right w:val="none" w:sz="0" w:space="0" w:color="auto"/>
      </w:divBdr>
      <w:divsChild>
        <w:div w:id="845170862">
          <w:marLeft w:val="0"/>
          <w:marRight w:val="0"/>
          <w:marTop w:val="0"/>
          <w:marBottom w:val="0"/>
          <w:divBdr>
            <w:top w:val="none" w:sz="0" w:space="0" w:color="auto"/>
            <w:left w:val="none" w:sz="0" w:space="0" w:color="auto"/>
            <w:bottom w:val="none" w:sz="0" w:space="0" w:color="auto"/>
            <w:right w:val="none" w:sz="0" w:space="0" w:color="auto"/>
          </w:divBdr>
        </w:div>
      </w:divsChild>
    </w:div>
    <w:div w:id="1368875929">
      <w:marLeft w:val="6"/>
      <w:marRight w:val="0"/>
      <w:marTop w:val="0"/>
      <w:marBottom w:val="0"/>
      <w:divBdr>
        <w:top w:val="none" w:sz="0" w:space="0" w:color="auto"/>
        <w:left w:val="none" w:sz="0" w:space="0" w:color="auto"/>
        <w:bottom w:val="none" w:sz="0" w:space="0" w:color="auto"/>
        <w:right w:val="none" w:sz="0" w:space="0" w:color="auto"/>
      </w:divBdr>
      <w:divsChild>
        <w:div w:id="1846826642">
          <w:marLeft w:val="0"/>
          <w:marRight w:val="0"/>
          <w:marTop w:val="0"/>
          <w:marBottom w:val="0"/>
          <w:divBdr>
            <w:top w:val="none" w:sz="0" w:space="0" w:color="auto"/>
            <w:left w:val="none" w:sz="0" w:space="0" w:color="auto"/>
            <w:bottom w:val="none" w:sz="0" w:space="0" w:color="auto"/>
            <w:right w:val="none" w:sz="0" w:space="0" w:color="auto"/>
          </w:divBdr>
        </w:div>
      </w:divsChild>
    </w:div>
    <w:div w:id="1370688385">
      <w:marLeft w:val="6"/>
      <w:marRight w:val="0"/>
      <w:marTop w:val="0"/>
      <w:marBottom w:val="0"/>
      <w:divBdr>
        <w:top w:val="none" w:sz="0" w:space="0" w:color="auto"/>
        <w:left w:val="none" w:sz="0" w:space="0" w:color="auto"/>
        <w:bottom w:val="none" w:sz="0" w:space="0" w:color="auto"/>
        <w:right w:val="none" w:sz="0" w:space="0" w:color="auto"/>
      </w:divBdr>
      <w:divsChild>
        <w:div w:id="1366171535">
          <w:marLeft w:val="0"/>
          <w:marRight w:val="0"/>
          <w:marTop w:val="0"/>
          <w:marBottom w:val="0"/>
          <w:divBdr>
            <w:top w:val="none" w:sz="0" w:space="0" w:color="auto"/>
            <w:left w:val="none" w:sz="0" w:space="0" w:color="auto"/>
            <w:bottom w:val="none" w:sz="0" w:space="0" w:color="auto"/>
            <w:right w:val="none" w:sz="0" w:space="0" w:color="auto"/>
          </w:divBdr>
        </w:div>
      </w:divsChild>
    </w:div>
    <w:div w:id="1374961880">
      <w:marLeft w:val="4"/>
      <w:marRight w:val="0"/>
      <w:marTop w:val="120"/>
      <w:marBottom w:val="0"/>
      <w:divBdr>
        <w:top w:val="none" w:sz="0" w:space="0" w:color="auto"/>
        <w:left w:val="none" w:sz="0" w:space="0" w:color="auto"/>
        <w:bottom w:val="none" w:sz="0" w:space="0" w:color="auto"/>
        <w:right w:val="none" w:sz="0" w:space="0" w:color="auto"/>
      </w:divBdr>
      <w:divsChild>
        <w:div w:id="475613151">
          <w:marLeft w:val="0"/>
          <w:marRight w:val="0"/>
          <w:marTop w:val="0"/>
          <w:marBottom w:val="0"/>
          <w:divBdr>
            <w:top w:val="none" w:sz="0" w:space="0" w:color="auto"/>
            <w:left w:val="none" w:sz="0" w:space="0" w:color="auto"/>
            <w:bottom w:val="none" w:sz="0" w:space="0" w:color="auto"/>
            <w:right w:val="none" w:sz="0" w:space="0" w:color="auto"/>
          </w:divBdr>
        </w:div>
      </w:divsChild>
    </w:div>
    <w:div w:id="1388644634">
      <w:marLeft w:val="4"/>
      <w:marRight w:val="0"/>
      <w:marTop w:val="0"/>
      <w:marBottom w:val="0"/>
      <w:divBdr>
        <w:top w:val="none" w:sz="0" w:space="0" w:color="auto"/>
        <w:left w:val="none" w:sz="0" w:space="0" w:color="auto"/>
        <w:bottom w:val="none" w:sz="0" w:space="0" w:color="auto"/>
        <w:right w:val="none" w:sz="0" w:space="0" w:color="auto"/>
      </w:divBdr>
      <w:divsChild>
        <w:div w:id="1315573036">
          <w:marLeft w:val="0"/>
          <w:marRight w:val="0"/>
          <w:marTop w:val="0"/>
          <w:marBottom w:val="0"/>
          <w:divBdr>
            <w:top w:val="none" w:sz="0" w:space="0" w:color="auto"/>
            <w:left w:val="none" w:sz="0" w:space="0" w:color="auto"/>
            <w:bottom w:val="none" w:sz="0" w:space="0" w:color="auto"/>
            <w:right w:val="none" w:sz="0" w:space="0" w:color="auto"/>
          </w:divBdr>
        </w:div>
      </w:divsChild>
    </w:div>
    <w:div w:id="1403717393">
      <w:marLeft w:val="4"/>
      <w:marRight w:val="0"/>
      <w:marTop w:val="120"/>
      <w:marBottom w:val="0"/>
      <w:divBdr>
        <w:top w:val="none" w:sz="0" w:space="0" w:color="auto"/>
        <w:left w:val="none" w:sz="0" w:space="0" w:color="auto"/>
        <w:bottom w:val="none" w:sz="0" w:space="0" w:color="auto"/>
        <w:right w:val="none" w:sz="0" w:space="0" w:color="auto"/>
      </w:divBdr>
      <w:divsChild>
        <w:div w:id="733548857">
          <w:marLeft w:val="0"/>
          <w:marRight w:val="0"/>
          <w:marTop w:val="0"/>
          <w:marBottom w:val="0"/>
          <w:divBdr>
            <w:top w:val="none" w:sz="0" w:space="0" w:color="auto"/>
            <w:left w:val="none" w:sz="0" w:space="0" w:color="auto"/>
            <w:bottom w:val="none" w:sz="0" w:space="0" w:color="auto"/>
            <w:right w:val="none" w:sz="0" w:space="0" w:color="auto"/>
          </w:divBdr>
        </w:div>
      </w:divsChild>
    </w:div>
    <w:div w:id="1405227274">
      <w:marLeft w:val="4"/>
      <w:marRight w:val="0"/>
      <w:marTop w:val="120"/>
      <w:marBottom w:val="0"/>
      <w:divBdr>
        <w:top w:val="none" w:sz="0" w:space="0" w:color="auto"/>
        <w:left w:val="none" w:sz="0" w:space="0" w:color="auto"/>
        <w:bottom w:val="none" w:sz="0" w:space="0" w:color="auto"/>
        <w:right w:val="none" w:sz="0" w:space="0" w:color="auto"/>
      </w:divBdr>
      <w:divsChild>
        <w:div w:id="1648977899">
          <w:marLeft w:val="0"/>
          <w:marRight w:val="0"/>
          <w:marTop w:val="0"/>
          <w:marBottom w:val="0"/>
          <w:divBdr>
            <w:top w:val="none" w:sz="0" w:space="0" w:color="auto"/>
            <w:left w:val="none" w:sz="0" w:space="0" w:color="auto"/>
            <w:bottom w:val="none" w:sz="0" w:space="0" w:color="auto"/>
            <w:right w:val="none" w:sz="0" w:space="0" w:color="auto"/>
          </w:divBdr>
        </w:div>
      </w:divsChild>
    </w:div>
    <w:div w:id="1406605299">
      <w:marLeft w:val="4"/>
      <w:marRight w:val="0"/>
      <w:marTop w:val="120"/>
      <w:marBottom w:val="0"/>
      <w:divBdr>
        <w:top w:val="none" w:sz="0" w:space="0" w:color="auto"/>
        <w:left w:val="none" w:sz="0" w:space="0" w:color="auto"/>
        <w:bottom w:val="none" w:sz="0" w:space="0" w:color="auto"/>
        <w:right w:val="none" w:sz="0" w:space="0" w:color="auto"/>
      </w:divBdr>
      <w:divsChild>
        <w:div w:id="1113594670">
          <w:marLeft w:val="0"/>
          <w:marRight w:val="0"/>
          <w:marTop w:val="0"/>
          <w:marBottom w:val="0"/>
          <w:divBdr>
            <w:top w:val="none" w:sz="0" w:space="0" w:color="auto"/>
            <w:left w:val="none" w:sz="0" w:space="0" w:color="auto"/>
            <w:bottom w:val="none" w:sz="0" w:space="0" w:color="auto"/>
            <w:right w:val="none" w:sz="0" w:space="0" w:color="auto"/>
          </w:divBdr>
        </w:div>
      </w:divsChild>
    </w:div>
    <w:div w:id="1420977882">
      <w:marLeft w:val="4"/>
      <w:marRight w:val="0"/>
      <w:marTop w:val="0"/>
      <w:marBottom w:val="0"/>
      <w:divBdr>
        <w:top w:val="none" w:sz="0" w:space="0" w:color="auto"/>
        <w:left w:val="none" w:sz="0" w:space="0" w:color="auto"/>
        <w:bottom w:val="none" w:sz="0" w:space="0" w:color="auto"/>
        <w:right w:val="none" w:sz="0" w:space="0" w:color="auto"/>
      </w:divBdr>
      <w:divsChild>
        <w:div w:id="2101442767">
          <w:marLeft w:val="0"/>
          <w:marRight w:val="0"/>
          <w:marTop w:val="0"/>
          <w:marBottom w:val="0"/>
          <w:divBdr>
            <w:top w:val="none" w:sz="0" w:space="0" w:color="auto"/>
            <w:left w:val="none" w:sz="0" w:space="0" w:color="auto"/>
            <w:bottom w:val="none" w:sz="0" w:space="0" w:color="auto"/>
            <w:right w:val="none" w:sz="0" w:space="0" w:color="auto"/>
          </w:divBdr>
        </w:div>
      </w:divsChild>
    </w:div>
    <w:div w:id="1427531200">
      <w:marLeft w:val="0"/>
      <w:marRight w:val="0"/>
      <w:marTop w:val="0"/>
      <w:marBottom w:val="0"/>
      <w:divBdr>
        <w:top w:val="none" w:sz="0" w:space="0" w:color="auto"/>
        <w:left w:val="none" w:sz="0" w:space="0" w:color="auto"/>
        <w:bottom w:val="none" w:sz="0" w:space="0" w:color="auto"/>
        <w:right w:val="none" w:sz="0" w:space="0" w:color="auto"/>
      </w:divBdr>
    </w:div>
    <w:div w:id="1443109718">
      <w:marLeft w:val="4"/>
      <w:marRight w:val="0"/>
      <w:marTop w:val="120"/>
      <w:marBottom w:val="0"/>
      <w:divBdr>
        <w:top w:val="none" w:sz="0" w:space="0" w:color="auto"/>
        <w:left w:val="none" w:sz="0" w:space="0" w:color="auto"/>
        <w:bottom w:val="none" w:sz="0" w:space="0" w:color="auto"/>
        <w:right w:val="none" w:sz="0" w:space="0" w:color="auto"/>
      </w:divBdr>
      <w:divsChild>
        <w:div w:id="558782459">
          <w:marLeft w:val="0"/>
          <w:marRight w:val="0"/>
          <w:marTop w:val="0"/>
          <w:marBottom w:val="0"/>
          <w:divBdr>
            <w:top w:val="none" w:sz="0" w:space="0" w:color="auto"/>
            <w:left w:val="none" w:sz="0" w:space="0" w:color="auto"/>
            <w:bottom w:val="none" w:sz="0" w:space="0" w:color="auto"/>
            <w:right w:val="none" w:sz="0" w:space="0" w:color="auto"/>
          </w:divBdr>
        </w:div>
      </w:divsChild>
    </w:div>
    <w:div w:id="1443644883">
      <w:marLeft w:val="6"/>
      <w:marRight w:val="0"/>
      <w:marTop w:val="120"/>
      <w:marBottom w:val="0"/>
      <w:divBdr>
        <w:top w:val="none" w:sz="0" w:space="0" w:color="auto"/>
        <w:left w:val="none" w:sz="0" w:space="0" w:color="auto"/>
        <w:bottom w:val="none" w:sz="0" w:space="0" w:color="auto"/>
        <w:right w:val="none" w:sz="0" w:space="0" w:color="auto"/>
      </w:divBdr>
      <w:divsChild>
        <w:div w:id="237176724">
          <w:marLeft w:val="0"/>
          <w:marRight w:val="0"/>
          <w:marTop w:val="0"/>
          <w:marBottom w:val="0"/>
          <w:divBdr>
            <w:top w:val="none" w:sz="0" w:space="0" w:color="auto"/>
            <w:left w:val="none" w:sz="0" w:space="0" w:color="auto"/>
            <w:bottom w:val="none" w:sz="0" w:space="0" w:color="auto"/>
            <w:right w:val="none" w:sz="0" w:space="0" w:color="auto"/>
          </w:divBdr>
        </w:div>
      </w:divsChild>
    </w:div>
    <w:div w:id="1452019184">
      <w:marLeft w:val="4"/>
      <w:marRight w:val="0"/>
      <w:marTop w:val="120"/>
      <w:marBottom w:val="0"/>
      <w:divBdr>
        <w:top w:val="none" w:sz="0" w:space="0" w:color="auto"/>
        <w:left w:val="none" w:sz="0" w:space="0" w:color="auto"/>
        <w:bottom w:val="none" w:sz="0" w:space="0" w:color="auto"/>
        <w:right w:val="none" w:sz="0" w:space="0" w:color="auto"/>
      </w:divBdr>
      <w:divsChild>
        <w:div w:id="791826830">
          <w:marLeft w:val="0"/>
          <w:marRight w:val="0"/>
          <w:marTop w:val="0"/>
          <w:marBottom w:val="0"/>
          <w:divBdr>
            <w:top w:val="none" w:sz="0" w:space="0" w:color="auto"/>
            <w:left w:val="none" w:sz="0" w:space="0" w:color="auto"/>
            <w:bottom w:val="none" w:sz="0" w:space="0" w:color="auto"/>
            <w:right w:val="none" w:sz="0" w:space="0" w:color="auto"/>
          </w:divBdr>
        </w:div>
      </w:divsChild>
    </w:div>
    <w:div w:id="1484010653">
      <w:marLeft w:val="4"/>
      <w:marRight w:val="0"/>
      <w:marTop w:val="120"/>
      <w:marBottom w:val="0"/>
      <w:divBdr>
        <w:top w:val="none" w:sz="0" w:space="0" w:color="auto"/>
        <w:left w:val="none" w:sz="0" w:space="0" w:color="auto"/>
        <w:bottom w:val="none" w:sz="0" w:space="0" w:color="auto"/>
        <w:right w:val="none" w:sz="0" w:space="0" w:color="auto"/>
      </w:divBdr>
      <w:divsChild>
        <w:div w:id="2060279520">
          <w:marLeft w:val="0"/>
          <w:marRight w:val="0"/>
          <w:marTop w:val="0"/>
          <w:marBottom w:val="0"/>
          <w:divBdr>
            <w:top w:val="none" w:sz="0" w:space="0" w:color="auto"/>
            <w:left w:val="none" w:sz="0" w:space="0" w:color="auto"/>
            <w:bottom w:val="none" w:sz="0" w:space="0" w:color="auto"/>
            <w:right w:val="none" w:sz="0" w:space="0" w:color="auto"/>
          </w:divBdr>
        </w:div>
      </w:divsChild>
    </w:div>
    <w:div w:id="1484128546">
      <w:marLeft w:val="4"/>
      <w:marRight w:val="0"/>
      <w:marTop w:val="120"/>
      <w:marBottom w:val="0"/>
      <w:divBdr>
        <w:top w:val="none" w:sz="0" w:space="0" w:color="auto"/>
        <w:left w:val="none" w:sz="0" w:space="0" w:color="auto"/>
        <w:bottom w:val="none" w:sz="0" w:space="0" w:color="auto"/>
        <w:right w:val="none" w:sz="0" w:space="0" w:color="auto"/>
      </w:divBdr>
      <w:divsChild>
        <w:div w:id="76176783">
          <w:marLeft w:val="0"/>
          <w:marRight w:val="0"/>
          <w:marTop w:val="0"/>
          <w:marBottom w:val="0"/>
          <w:divBdr>
            <w:top w:val="none" w:sz="0" w:space="0" w:color="auto"/>
            <w:left w:val="none" w:sz="0" w:space="0" w:color="auto"/>
            <w:bottom w:val="none" w:sz="0" w:space="0" w:color="auto"/>
            <w:right w:val="none" w:sz="0" w:space="0" w:color="auto"/>
          </w:divBdr>
        </w:div>
      </w:divsChild>
    </w:div>
    <w:div w:id="1498840389">
      <w:marLeft w:val="4"/>
      <w:marRight w:val="0"/>
      <w:marTop w:val="120"/>
      <w:marBottom w:val="0"/>
      <w:divBdr>
        <w:top w:val="none" w:sz="0" w:space="0" w:color="auto"/>
        <w:left w:val="none" w:sz="0" w:space="0" w:color="auto"/>
        <w:bottom w:val="none" w:sz="0" w:space="0" w:color="auto"/>
        <w:right w:val="none" w:sz="0" w:space="0" w:color="auto"/>
      </w:divBdr>
      <w:divsChild>
        <w:div w:id="1158693758">
          <w:marLeft w:val="0"/>
          <w:marRight w:val="0"/>
          <w:marTop w:val="0"/>
          <w:marBottom w:val="0"/>
          <w:divBdr>
            <w:top w:val="none" w:sz="0" w:space="0" w:color="auto"/>
            <w:left w:val="none" w:sz="0" w:space="0" w:color="auto"/>
            <w:bottom w:val="none" w:sz="0" w:space="0" w:color="auto"/>
            <w:right w:val="none" w:sz="0" w:space="0" w:color="auto"/>
          </w:divBdr>
        </w:div>
      </w:divsChild>
    </w:div>
    <w:div w:id="1509825974">
      <w:marLeft w:val="4"/>
      <w:marRight w:val="0"/>
      <w:marTop w:val="120"/>
      <w:marBottom w:val="0"/>
      <w:divBdr>
        <w:top w:val="none" w:sz="0" w:space="0" w:color="auto"/>
        <w:left w:val="none" w:sz="0" w:space="0" w:color="auto"/>
        <w:bottom w:val="none" w:sz="0" w:space="0" w:color="auto"/>
        <w:right w:val="none" w:sz="0" w:space="0" w:color="auto"/>
      </w:divBdr>
      <w:divsChild>
        <w:div w:id="1448936564">
          <w:marLeft w:val="0"/>
          <w:marRight w:val="0"/>
          <w:marTop w:val="0"/>
          <w:marBottom w:val="0"/>
          <w:divBdr>
            <w:top w:val="none" w:sz="0" w:space="0" w:color="auto"/>
            <w:left w:val="none" w:sz="0" w:space="0" w:color="auto"/>
            <w:bottom w:val="none" w:sz="0" w:space="0" w:color="auto"/>
            <w:right w:val="none" w:sz="0" w:space="0" w:color="auto"/>
          </w:divBdr>
        </w:div>
      </w:divsChild>
    </w:div>
    <w:div w:id="1513182801">
      <w:marLeft w:val="4"/>
      <w:marRight w:val="0"/>
      <w:marTop w:val="120"/>
      <w:marBottom w:val="0"/>
      <w:divBdr>
        <w:top w:val="none" w:sz="0" w:space="0" w:color="auto"/>
        <w:left w:val="none" w:sz="0" w:space="0" w:color="auto"/>
        <w:bottom w:val="none" w:sz="0" w:space="0" w:color="auto"/>
        <w:right w:val="none" w:sz="0" w:space="0" w:color="auto"/>
      </w:divBdr>
      <w:divsChild>
        <w:div w:id="1345329469">
          <w:marLeft w:val="0"/>
          <w:marRight w:val="0"/>
          <w:marTop w:val="0"/>
          <w:marBottom w:val="0"/>
          <w:divBdr>
            <w:top w:val="none" w:sz="0" w:space="0" w:color="auto"/>
            <w:left w:val="none" w:sz="0" w:space="0" w:color="auto"/>
            <w:bottom w:val="none" w:sz="0" w:space="0" w:color="auto"/>
            <w:right w:val="none" w:sz="0" w:space="0" w:color="auto"/>
          </w:divBdr>
        </w:div>
      </w:divsChild>
    </w:div>
    <w:div w:id="1515027962">
      <w:marLeft w:val="6"/>
      <w:marRight w:val="0"/>
      <w:marTop w:val="0"/>
      <w:marBottom w:val="0"/>
      <w:divBdr>
        <w:top w:val="none" w:sz="0" w:space="0" w:color="auto"/>
        <w:left w:val="none" w:sz="0" w:space="0" w:color="auto"/>
        <w:bottom w:val="none" w:sz="0" w:space="0" w:color="auto"/>
        <w:right w:val="none" w:sz="0" w:space="0" w:color="auto"/>
      </w:divBdr>
      <w:divsChild>
        <w:div w:id="1523779610">
          <w:marLeft w:val="0"/>
          <w:marRight w:val="0"/>
          <w:marTop w:val="0"/>
          <w:marBottom w:val="0"/>
          <w:divBdr>
            <w:top w:val="none" w:sz="0" w:space="0" w:color="auto"/>
            <w:left w:val="none" w:sz="0" w:space="0" w:color="auto"/>
            <w:bottom w:val="none" w:sz="0" w:space="0" w:color="auto"/>
            <w:right w:val="none" w:sz="0" w:space="0" w:color="auto"/>
          </w:divBdr>
        </w:div>
      </w:divsChild>
    </w:div>
    <w:div w:id="1532189030">
      <w:marLeft w:val="4"/>
      <w:marRight w:val="0"/>
      <w:marTop w:val="0"/>
      <w:marBottom w:val="0"/>
      <w:divBdr>
        <w:top w:val="none" w:sz="0" w:space="0" w:color="auto"/>
        <w:left w:val="none" w:sz="0" w:space="0" w:color="auto"/>
        <w:bottom w:val="none" w:sz="0" w:space="0" w:color="auto"/>
        <w:right w:val="none" w:sz="0" w:space="0" w:color="auto"/>
      </w:divBdr>
      <w:divsChild>
        <w:div w:id="105085779">
          <w:marLeft w:val="0"/>
          <w:marRight w:val="0"/>
          <w:marTop w:val="0"/>
          <w:marBottom w:val="0"/>
          <w:divBdr>
            <w:top w:val="none" w:sz="0" w:space="0" w:color="auto"/>
            <w:left w:val="none" w:sz="0" w:space="0" w:color="auto"/>
            <w:bottom w:val="none" w:sz="0" w:space="0" w:color="auto"/>
            <w:right w:val="none" w:sz="0" w:space="0" w:color="auto"/>
          </w:divBdr>
        </w:div>
      </w:divsChild>
    </w:div>
    <w:div w:id="1546024201">
      <w:marLeft w:val="0"/>
      <w:marRight w:val="0"/>
      <w:marTop w:val="0"/>
      <w:marBottom w:val="0"/>
      <w:divBdr>
        <w:top w:val="none" w:sz="0" w:space="0" w:color="auto"/>
        <w:left w:val="none" w:sz="0" w:space="0" w:color="auto"/>
        <w:bottom w:val="none" w:sz="0" w:space="0" w:color="auto"/>
        <w:right w:val="none" w:sz="0" w:space="0" w:color="auto"/>
      </w:divBdr>
      <w:divsChild>
        <w:div w:id="1146312530">
          <w:marLeft w:val="0"/>
          <w:marRight w:val="0"/>
          <w:marTop w:val="0"/>
          <w:marBottom w:val="0"/>
          <w:divBdr>
            <w:top w:val="none" w:sz="0" w:space="0" w:color="auto"/>
            <w:left w:val="none" w:sz="0" w:space="0" w:color="auto"/>
            <w:bottom w:val="none" w:sz="0" w:space="0" w:color="auto"/>
            <w:right w:val="none" w:sz="0" w:space="0" w:color="auto"/>
          </w:divBdr>
        </w:div>
        <w:div w:id="34891467">
          <w:marLeft w:val="0"/>
          <w:marRight w:val="0"/>
          <w:marTop w:val="0"/>
          <w:marBottom w:val="0"/>
          <w:divBdr>
            <w:top w:val="none" w:sz="0" w:space="0" w:color="auto"/>
            <w:left w:val="none" w:sz="0" w:space="0" w:color="auto"/>
            <w:bottom w:val="none" w:sz="0" w:space="0" w:color="auto"/>
            <w:right w:val="none" w:sz="0" w:space="0" w:color="auto"/>
          </w:divBdr>
          <w:divsChild>
            <w:div w:id="1029256256">
              <w:marLeft w:val="0"/>
              <w:marRight w:val="0"/>
              <w:marTop w:val="0"/>
              <w:marBottom w:val="0"/>
              <w:divBdr>
                <w:top w:val="none" w:sz="0" w:space="0" w:color="auto"/>
                <w:left w:val="none" w:sz="0" w:space="0" w:color="auto"/>
                <w:bottom w:val="none" w:sz="0" w:space="0" w:color="auto"/>
                <w:right w:val="none" w:sz="0" w:space="0" w:color="auto"/>
              </w:divBdr>
            </w:div>
          </w:divsChild>
        </w:div>
        <w:div w:id="1242372332">
          <w:marLeft w:val="0"/>
          <w:marRight w:val="0"/>
          <w:marTop w:val="0"/>
          <w:marBottom w:val="0"/>
          <w:divBdr>
            <w:top w:val="none" w:sz="0" w:space="0" w:color="auto"/>
            <w:left w:val="none" w:sz="0" w:space="0" w:color="auto"/>
            <w:bottom w:val="none" w:sz="0" w:space="0" w:color="auto"/>
            <w:right w:val="none" w:sz="0" w:space="0" w:color="auto"/>
          </w:divBdr>
        </w:div>
        <w:div w:id="2047875684">
          <w:marLeft w:val="4"/>
          <w:marRight w:val="0"/>
          <w:marTop w:val="120"/>
          <w:marBottom w:val="0"/>
          <w:divBdr>
            <w:top w:val="none" w:sz="0" w:space="0" w:color="auto"/>
            <w:left w:val="none" w:sz="0" w:space="0" w:color="auto"/>
            <w:bottom w:val="none" w:sz="0" w:space="0" w:color="auto"/>
            <w:right w:val="none" w:sz="0" w:space="0" w:color="auto"/>
          </w:divBdr>
          <w:divsChild>
            <w:div w:id="750545680">
              <w:marLeft w:val="0"/>
              <w:marRight w:val="0"/>
              <w:marTop w:val="0"/>
              <w:marBottom w:val="0"/>
              <w:divBdr>
                <w:top w:val="none" w:sz="0" w:space="0" w:color="auto"/>
                <w:left w:val="none" w:sz="0" w:space="0" w:color="auto"/>
                <w:bottom w:val="none" w:sz="0" w:space="0" w:color="auto"/>
                <w:right w:val="none" w:sz="0" w:space="0" w:color="auto"/>
              </w:divBdr>
            </w:div>
          </w:divsChild>
        </w:div>
        <w:div w:id="7026367">
          <w:marLeft w:val="4"/>
          <w:marRight w:val="0"/>
          <w:marTop w:val="0"/>
          <w:marBottom w:val="0"/>
          <w:divBdr>
            <w:top w:val="none" w:sz="0" w:space="0" w:color="auto"/>
            <w:left w:val="none" w:sz="0" w:space="0" w:color="auto"/>
            <w:bottom w:val="none" w:sz="0" w:space="0" w:color="auto"/>
            <w:right w:val="none" w:sz="0" w:space="0" w:color="auto"/>
          </w:divBdr>
          <w:divsChild>
            <w:div w:id="89470506">
              <w:marLeft w:val="0"/>
              <w:marRight w:val="0"/>
              <w:marTop w:val="0"/>
              <w:marBottom w:val="0"/>
              <w:divBdr>
                <w:top w:val="none" w:sz="0" w:space="0" w:color="auto"/>
                <w:left w:val="none" w:sz="0" w:space="0" w:color="auto"/>
                <w:bottom w:val="none" w:sz="0" w:space="0" w:color="auto"/>
                <w:right w:val="none" w:sz="0" w:space="0" w:color="auto"/>
              </w:divBdr>
            </w:div>
          </w:divsChild>
        </w:div>
        <w:div w:id="1663662120">
          <w:marLeft w:val="4"/>
          <w:marRight w:val="0"/>
          <w:marTop w:val="0"/>
          <w:marBottom w:val="0"/>
          <w:divBdr>
            <w:top w:val="none" w:sz="0" w:space="0" w:color="auto"/>
            <w:left w:val="none" w:sz="0" w:space="0" w:color="auto"/>
            <w:bottom w:val="none" w:sz="0" w:space="0" w:color="auto"/>
            <w:right w:val="none" w:sz="0" w:space="0" w:color="auto"/>
          </w:divBdr>
          <w:divsChild>
            <w:div w:id="1713578809">
              <w:marLeft w:val="0"/>
              <w:marRight w:val="0"/>
              <w:marTop w:val="0"/>
              <w:marBottom w:val="0"/>
              <w:divBdr>
                <w:top w:val="none" w:sz="0" w:space="0" w:color="auto"/>
                <w:left w:val="none" w:sz="0" w:space="0" w:color="auto"/>
                <w:bottom w:val="none" w:sz="0" w:space="0" w:color="auto"/>
                <w:right w:val="none" w:sz="0" w:space="0" w:color="auto"/>
              </w:divBdr>
            </w:div>
          </w:divsChild>
        </w:div>
        <w:div w:id="16808516">
          <w:marLeft w:val="4"/>
          <w:marRight w:val="0"/>
          <w:marTop w:val="0"/>
          <w:marBottom w:val="0"/>
          <w:divBdr>
            <w:top w:val="none" w:sz="0" w:space="0" w:color="auto"/>
            <w:left w:val="none" w:sz="0" w:space="0" w:color="auto"/>
            <w:bottom w:val="none" w:sz="0" w:space="0" w:color="auto"/>
            <w:right w:val="none" w:sz="0" w:space="0" w:color="auto"/>
          </w:divBdr>
          <w:divsChild>
            <w:div w:id="926812794">
              <w:marLeft w:val="0"/>
              <w:marRight w:val="0"/>
              <w:marTop w:val="0"/>
              <w:marBottom w:val="0"/>
              <w:divBdr>
                <w:top w:val="none" w:sz="0" w:space="0" w:color="auto"/>
                <w:left w:val="none" w:sz="0" w:space="0" w:color="auto"/>
                <w:bottom w:val="none" w:sz="0" w:space="0" w:color="auto"/>
                <w:right w:val="none" w:sz="0" w:space="0" w:color="auto"/>
              </w:divBdr>
            </w:div>
          </w:divsChild>
        </w:div>
        <w:div w:id="431558207">
          <w:marLeft w:val="4"/>
          <w:marRight w:val="0"/>
          <w:marTop w:val="0"/>
          <w:marBottom w:val="0"/>
          <w:divBdr>
            <w:top w:val="none" w:sz="0" w:space="0" w:color="auto"/>
            <w:left w:val="none" w:sz="0" w:space="0" w:color="auto"/>
            <w:bottom w:val="none" w:sz="0" w:space="0" w:color="auto"/>
            <w:right w:val="none" w:sz="0" w:space="0" w:color="auto"/>
          </w:divBdr>
          <w:divsChild>
            <w:div w:id="838273796">
              <w:marLeft w:val="0"/>
              <w:marRight w:val="0"/>
              <w:marTop w:val="0"/>
              <w:marBottom w:val="0"/>
              <w:divBdr>
                <w:top w:val="none" w:sz="0" w:space="0" w:color="auto"/>
                <w:left w:val="none" w:sz="0" w:space="0" w:color="auto"/>
                <w:bottom w:val="none" w:sz="0" w:space="0" w:color="auto"/>
                <w:right w:val="none" w:sz="0" w:space="0" w:color="auto"/>
              </w:divBdr>
            </w:div>
          </w:divsChild>
        </w:div>
        <w:div w:id="99761952">
          <w:marLeft w:val="0"/>
          <w:marRight w:val="0"/>
          <w:marTop w:val="0"/>
          <w:marBottom w:val="0"/>
          <w:divBdr>
            <w:top w:val="none" w:sz="0" w:space="0" w:color="auto"/>
            <w:left w:val="none" w:sz="0" w:space="0" w:color="auto"/>
            <w:bottom w:val="none" w:sz="0" w:space="0" w:color="auto"/>
            <w:right w:val="none" w:sz="0" w:space="0" w:color="auto"/>
          </w:divBdr>
        </w:div>
      </w:divsChild>
    </w:div>
    <w:div w:id="1553614610">
      <w:marLeft w:val="4"/>
      <w:marRight w:val="0"/>
      <w:marTop w:val="0"/>
      <w:marBottom w:val="0"/>
      <w:divBdr>
        <w:top w:val="none" w:sz="0" w:space="0" w:color="auto"/>
        <w:left w:val="none" w:sz="0" w:space="0" w:color="auto"/>
        <w:bottom w:val="none" w:sz="0" w:space="0" w:color="auto"/>
        <w:right w:val="none" w:sz="0" w:space="0" w:color="auto"/>
      </w:divBdr>
      <w:divsChild>
        <w:div w:id="805244608">
          <w:marLeft w:val="0"/>
          <w:marRight w:val="0"/>
          <w:marTop w:val="0"/>
          <w:marBottom w:val="0"/>
          <w:divBdr>
            <w:top w:val="none" w:sz="0" w:space="0" w:color="auto"/>
            <w:left w:val="none" w:sz="0" w:space="0" w:color="auto"/>
            <w:bottom w:val="none" w:sz="0" w:space="0" w:color="auto"/>
            <w:right w:val="none" w:sz="0" w:space="0" w:color="auto"/>
          </w:divBdr>
        </w:div>
      </w:divsChild>
    </w:div>
    <w:div w:id="1554580609">
      <w:marLeft w:val="4"/>
      <w:marRight w:val="0"/>
      <w:marTop w:val="120"/>
      <w:marBottom w:val="0"/>
      <w:divBdr>
        <w:top w:val="none" w:sz="0" w:space="0" w:color="auto"/>
        <w:left w:val="none" w:sz="0" w:space="0" w:color="auto"/>
        <w:bottom w:val="none" w:sz="0" w:space="0" w:color="auto"/>
        <w:right w:val="none" w:sz="0" w:space="0" w:color="auto"/>
      </w:divBdr>
      <w:divsChild>
        <w:div w:id="91366899">
          <w:marLeft w:val="0"/>
          <w:marRight w:val="0"/>
          <w:marTop w:val="0"/>
          <w:marBottom w:val="0"/>
          <w:divBdr>
            <w:top w:val="none" w:sz="0" w:space="0" w:color="auto"/>
            <w:left w:val="none" w:sz="0" w:space="0" w:color="auto"/>
            <w:bottom w:val="none" w:sz="0" w:space="0" w:color="auto"/>
            <w:right w:val="none" w:sz="0" w:space="0" w:color="auto"/>
          </w:divBdr>
        </w:div>
      </w:divsChild>
    </w:div>
    <w:div w:id="1568951524">
      <w:marLeft w:val="4"/>
      <w:marRight w:val="0"/>
      <w:marTop w:val="120"/>
      <w:marBottom w:val="0"/>
      <w:divBdr>
        <w:top w:val="none" w:sz="0" w:space="0" w:color="auto"/>
        <w:left w:val="none" w:sz="0" w:space="0" w:color="auto"/>
        <w:bottom w:val="none" w:sz="0" w:space="0" w:color="auto"/>
        <w:right w:val="none" w:sz="0" w:space="0" w:color="auto"/>
      </w:divBdr>
      <w:divsChild>
        <w:div w:id="989093100">
          <w:marLeft w:val="0"/>
          <w:marRight w:val="0"/>
          <w:marTop w:val="0"/>
          <w:marBottom w:val="0"/>
          <w:divBdr>
            <w:top w:val="none" w:sz="0" w:space="0" w:color="auto"/>
            <w:left w:val="none" w:sz="0" w:space="0" w:color="auto"/>
            <w:bottom w:val="none" w:sz="0" w:space="0" w:color="auto"/>
            <w:right w:val="none" w:sz="0" w:space="0" w:color="auto"/>
          </w:divBdr>
        </w:div>
      </w:divsChild>
    </w:div>
    <w:div w:id="1584031159">
      <w:marLeft w:val="4"/>
      <w:marRight w:val="0"/>
      <w:marTop w:val="0"/>
      <w:marBottom w:val="0"/>
      <w:divBdr>
        <w:top w:val="none" w:sz="0" w:space="0" w:color="auto"/>
        <w:left w:val="none" w:sz="0" w:space="0" w:color="auto"/>
        <w:bottom w:val="none" w:sz="0" w:space="0" w:color="auto"/>
        <w:right w:val="none" w:sz="0" w:space="0" w:color="auto"/>
      </w:divBdr>
      <w:divsChild>
        <w:div w:id="1082721316">
          <w:marLeft w:val="0"/>
          <w:marRight w:val="0"/>
          <w:marTop w:val="0"/>
          <w:marBottom w:val="0"/>
          <w:divBdr>
            <w:top w:val="none" w:sz="0" w:space="0" w:color="auto"/>
            <w:left w:val="none" w:sz="0" w:space="0" w:color="auto"/>
            <w:bottom w:val="none" w:sz="0" w:space="0" w:color="auto"/>
            <w:right w:val="none" w:sz="0" w:space="0" w:color="auto"/>
          </w:divBdr>
        </w:div>
      </w:divsChild>
    </w:div>
    <w:div w:id="1584800186">
      <w:marLeft w:val="0"/>
      <w:marRight w:val="0"/>
      <w:marTop w:val="0"/>
      <w:marBottom w:val="0"/>
      <w:divBdr>
        <w:top w:val="none" w:sz="0" w:space="0" w:color="auto"/>
        <w:left w:val="none" w:sz="0" w:space="0" w:color="auto"/>
        <w:bottom w:val="none" w:sz="0" w:space="0" w:color="auto"/>
        <w:right w:val="none" w:sz="0" w:space="0" w:color="auto"/>
      </w:divBdr>
      <w:divsChild>
        <w:div w:id="411124462">
          <w:marLeft w:val="0"/>
          <w:marRight w:val="0"/>
          <w:marTop w:val="0"/>
          <w:marBottom w:val="0"/>
          <w:divBdr>
            <w:top w:val="none" w:sz="0" w:space="0" w:color="auto"/>
            <w:left w:val="none" w:sz="0" w:space="0" w:color="auto"/>
            <w:bottom w:val="none" w:sz="0" w:space="0" w:color="auto"/>
            <w:right w:val="none" w:sz="0" w:space="0" w:color="auto"/>
          </w:divBdr>
        </w:div>
        <w:div w:id="2015565847">
          <w:marLeft w:val="0"/>
          <w:marRight w:val="0"/>
          <w:marTop w:val="0"/>
          <w:marBottom w:val="0"/>
          <w:divBdr>
            <w:top w:val="none" w:sz="0" w:space="0" w:color="auto"/>
            <w:left w:val="none" w:sz="0" w:space="0" w:color="auto"/>
            <w:bottom w:val="none" w:sz="0" w:space="0" w:color="auto"/>
            <w:right w:val="none" w:sz="0" w:space="0" w:color="auto"/>
          </w:divBdr>
        </w:div>
        <w:div w:id="597064451">
          <w:marLeft w:val="0"/>
          <w:marRight w:val="0"/>
          <w:marTop w:val="0"/>
          <w:marBottom w:val="0"/>
          <w:divBdr>
            <w:top w:val="none" w:sz="0" w:space="0" w:color="auto"/>
            <w:left w:val="none" w:sz="0" w:space="0" w:color="auto"/>
            <w:bottom w:val="none" w:sz="0" w:space="0" w:color="auto"/>
            <w:right w:val="none" w:sz="0" w:space="0" w:color="auto"/>
          </w:divBdr>
        </w:div>
      </w:divsChild>
    </w:div>
    <w:div w:id="1585802763">
      <w:marLeft w:val="4"/>
      <w:marRight w:val="0"/>
      <w:marTop w:val="120"/>
      <w:marBottom w:val="0"/>
      <w:divBdr>
        <w:top w:val="none" w:sz="0" w:space="0" w:color="auto"/>
        <w:left w:val="none" w:sz="0" w:space="0" w:color="auto"/>
        <w:bottom w:val="none" w:sz="0" w:space="0" w:color="auto"/>
        <w:right w:val="none" w:sz="0" w:space="0" w:color="auto"/>
      </w:divBdr>
      <w:divsChild>
        <w:div w:id="330304418">
          <w:marLeft w:val="0"/>
          <w:marRight w:val="0"/>
          <w:marTop w:val="0"/>
          <w:marBottom w:val="0"/>
          <w:divBdr>
            <w:top w:val="none" w:sz="0" w:space="0" w:color="auto"/>
            <w:left w:val="none" w:sz="0" w:space="0" w:color="auto"/>
            <w:bottom w:val="none" w:sz="0" w:space="0" w:color="auto"/>
            <w:right w:val="none" w:sz="0" w:space="0" w:color="auto"/>
          </w:divBdr>
        </w:div>
      </w:divsChild>
    </w:div>
    <w:div w:id="1595896273">
      <w:marLeft w:val="4"/>
      <w:marRight w:val="0"/>
      <w:marTop w:val="120"/>
      <w:marBottom w:val="0"/>
      <w:divBdr>
        <w:top w:val="none" w:sz="0" w:space="0" w:color="auto"/>
        <w:left w:val="none" w:sz="0" w:space="0" w:color="auto"/>
        <w:bottom w:val="none" w:sz="0" w:space="0" w:color="auto"/>
        <w:right w:val="none" w:sz="0" w:space="0" w:color="auto"/>
      </w:divBdr>
      <w:divsChild>
        <w:div w:id="325522990">
          <w:marLeft w:val="0"/>
          <w:marRight w:val="0"/>
          <w:marTop w:val="0"/>
          <w:marBottom w:val="0"/>
          <w:divBdr>
            <w:top w:val="none" w:sz="0" w:space="0" w:color="auto"/>
            <w:left w:val="none" w:sz="0" w:space="0" w:color="auto"/>
            <w:bottom w:val="none" w:sz="0" w:space="0" w:color="auto"/>
            <w:right w:val="none" w:sz="0" w:space="0" w:color="auto"/>
          </w:divBdr>
        </w:div>
      </w:divsChild>
    </w:div>
    <w:div w:id="1600139991">
      <w:marLeft w:val="0"/>
      <w:marRight w:val="0"/>
      <w:marTop w:val="0"/>
      <w:marBottom w:val="0"/>
      <w:divBdr>
        <w:top w:val="none" w:sz="0" w:space="0" w:color="auto"/>
        <w:left w:val="none" w:sz="0" w:space="0" w:color="auto"/>
        <w:bottom w:val="none" w:sz="0" w:space="0" w:color="auto"/>
        <w:right w:val="none" w:sz="0" w:space="0" w:color="auto"/>
      </w:divBdr>
    </w:div>
    <w:div w:id="1609041722">
      <w:marLeft w:val="6"/>
      <w:marRight w:val="0"/>
      <w:marTop w:val="0"/>
      <w:marBottom w:val="0"/>
      <w:divBdr>
        <w:top w:val="none" w:sz="0" w:space="0" w:color="auto"/>
        <w:left w:val="none" w:sz="0" w:space="0" w:color="auto"/>
        <w:bottom w:val="none" w:sz="0" w:space="0" w:color="auto"/>
        <w:right w:val="none" w:sz="0" w:space="0" w:color="auto"/>
      </w:divBdr>
      <w:divsChild>
        <w:div w:id="476340934">
          <w:marLeft w:val="0"/>
          <w:marRight w:val="0"/>
          <w:marTop w:val="0"/>
          <w:marBottom w:val="0"/>
          <w:divBdr>
            <w:top w:val="none" w:sz="0" w:space="0" w:color="auto"/>
            <w:left w:val="none" w:sz="0" w:space="0" w:color="auto"/>
            <w:bottom w:val="none" w:sz="0" w:space="0" w:color="auto"/>
            <w:right w:val="none" w:sz="0" w:space="0" w:color="auto"/>
          </w:divBdr>
        </w:div>
      </w:divsChild>
    </w:div>
    <w:div w:id="1631666750">
      <w:marLeft w:val="6"/>
      <w:marRight w:val="0"/>
      <w:marTop w:val="0"/>
      <w:marBottom w:val="0"/>
      <w:divBdr>
        <w:top w:val="none" w:sz="0" w:space="0" w:color="auto"/>
        <w:left w:val="none" w:sz="0" w:space="0" w:color="auto"/>
        <w:bottom w:val="none" w:sz="0" w:space="0" w:color="auto"/>
        <w:right w:val="none" w:sz="0" w:space="0" w:color="auto"/>
      </w:divBdr>
      <w:divsChild>
        <w:div w:id="647704815">
          <w:marLeft w:val="0"/>
          <w:marRight w:val="0"/>
          <w:marTop w:val="0"/>
          <w:marBottom w:val="0"/>
          <w:divBdr>
            <w:top w:val="none" w:sz="0" w:space="0" w:color="auto"/>
            <w:left w:val="none" w:sz="0" w:space="0" w:color="auto"/>
            <w:bottom w:val="none" w:sz="0" w:space="0" w:color="auto"/>
            <w:right w:val="none" w:sz="0" w:space="0" w:color="auto"/>
          </w:divBdr>
        </w:div>
      </w:divsChild>
    </w:div>
    <w:div w:id="1636370515">
      <w:marLeft w:val="4"/>
      <w:marRight w:val="0"/>
      <w:marTop w:val="120"/>
      <w:marBottom w:val="0"/>
      <w:divBdr>
        <w:top w:val="none" w:sz="0" w:space="0" w:color="auto"/>
        <w:left w:val="none" w:sz="0" w:space="0" w:color="auto"/>
        <w:bottom w:val="none" w:sz="0" w:space="0" w:color="auto"/>
        <w:right w:val="none" w:sz="0" w:space="0" w:color="auto"/>
      </w:divBdr>
      <w:divsChild>
        <w:div w:id="1057894102">
          <w:marLeft w:val="0"/>
          <w:marRight w:val="0"/>
          <w:marTop w:val="0"/>
          <w:marBottom w:val="0"/>
          <w:divBdr>
            <w:top w:val="none" w:sz="0" w:space="0" w:color="auto"/>
            <w:left w:val="none" w:sz="0" w:space="0" w:color="auto"/>
            <w:bottom w:val="none" w:sz="0" w:space="0" w:color="auto"/>
            <w:right w:val="none" w:sz="0" w:space="0" w:color="auto"/>
          </w:divBdr>
        </w:div>
      </w:divsChild>
    </w:div>
    <w:div w:id="1644578897">
      <w:marLeft w:val="4"/>
      <w:marRight w:val="0"/>
      <w:marTop w:val="120"/>
      <w:marBottom w:val="0"/>
      <w:divBdr>
        <w:top w:val="none" w:sz="0" w:space="0" w:color="auto"/>
        <w:left w:val="none" w:sz="0" w:space="0" w:color="auto"/>
        <w:bottom w:val="none" w:sz="0" w:space="0" w:color="auto"/>
        <w:right w:val="none" w:sz="0" w:space="0" w:color="auto"/>
      </w:divBdr>
      <w:divsChild>
        <w:div w:id="1802765395">
          <w:marLeft w:val="0"/>
          <w:marRight w:val="0"/>
          <w:marTop w:val="0"/>
          <w:marBottom w:val="0"/>
          <w:divBdr>
            <w:top w:val="none" w:sz="0" w:space="0" w:color="auto"/>
            <w:left w:val="none" w:sz="0" w:space="0" w:color="auto"/>
            <w:bottom w:val="none" w:sz="0" w:space="0" w:color="auto"/>
            <w:right w:val="none" w:sz="0" w:space="0" w:color="auto"/>
          </w:divBdr>
        </w:div>
      </w:divsChild>
    </w:div>
    <w:div w:id="1646617512">
      <w:marLeft w:val="0"/>
      <w:marRight w:val="0"/>
      <w:marTop w:val="0"/>
      <w:marBottom w:val="0"/>
      <w:divBdr>
        <w:top w:val="none" w:sz="0" w:space="0" w:color="auto"/>
        <w:left w:val="none" w:sz="0" w:space="0" w:color="auto"/>
        <w:bottom w:val="none" w:sz="0" w:space="0" w:color="auto"/>
        <w:right w:val="none" w:sz="0" w:space="0" w:color="auto"/>
      </w:divBdr>
      <w:divsChild>
        <w:div w:id="1083720087">
          <w:marLeft w:val="0"/>
          <w:marRight w:val="0"/>
          <w:marTop w:val="0"/>
          <w:marBottom w:val="0"/>
          <w:divBdr>
            <w:top w:val="none" w:sz="0" w:space="0" w:color="auto"/>
            <w:left w:val="none" w:sz="0" w:space="0" w:color="auto"/>
            <w:bottom w:val="none" w:sz="0" w:space="0" w:color="auto"/>
            <w:right w:val="none" w:sz="0" w:space="0" w:color="auto"/>
          </w:divBdr>
        </w:div>
      </w:divsChild>
    </w:div>
    <w:div w:id="1648322361">
      <w:marLeft w:val="4"/>
      <w:marRight w:val="0"/>
      <w:marTop w:val="120"/>
      <w:marBottom w:val="0"/>
      <w:divBdr>
        <w:top w:val="none" w:sz="0" w:space="0" w:color="auto"/>
        <w:left w:val="none" w:sz="0" w:space="0" w:color="auto"/>
        <w:bottom w:val="none" w:sz="0" w:space="0" w:color="auto"/>
        <w:right w:val="none" w:sz="0" w:space="0" w:color="auto"/>
      </w:divBdr>
      <w:divsChild>
        <w:div w:id="138035327">
          <w:marLeft w:val="0"/>
          <w:marRight w:val="0"/>
          <w:marTop w:val="0"/>
          <w:marBottom w:val="0"/>
          <w:divBdr>
            <w:top w:val="none" w:sz="0" w:space="0" w:color="auto"/>
            <w:left w:val="none" w:sz="0" w:space="0" w:color="auto"/>
            <w:bottom w:val="none" w:sz="0" w:space="0" w:color="auto"/>
            <w:right w:val="none" w:sz="0" w:space="0" w:color="auto"/>
          </w:divBdr>
        </w:div>
      </w:divsChild>
    </w:div>
    <w:div w:id="1653681260">
      <w:marLeft w:val="4"/>
      <w:marRight w:val="0"/>
      <w:marTop w:val="120"/>
      <w:marBottom w:val="0"/>
      <w:divBdr>
        <w:top w:val="none" w:sz="0" w:space="0" w:color="auto"/>
        <w:left w:val="none" w:sz="0" w:space="0" w:color="auto"/>
        <w:bottom w:val="none" w:sz="0" w:space="0" w:color="auto"/>
        <w:right w:val="none" w:sz="0" w:space="0" w:color="auto"/>
      </w:divBdr>
      <w:divsChild>
        <w:div w:id="2065835794">
          <w:marLeft w:val="0"/>
          <w:marRight w:val="0"/>
          <w:marTop w:val="0"/>
          <w:marBottom w:val="0"/>
          <w:divBdr>
            <w:top w:val="none" w:sz="0" w:space="0" w:color="auto"/>
            <w:left w:val="none" w:sz="0" w:space="0" w:color="auto"/>
            <w:bottom w:val="none" w:sz="0" w:space="0" w:color="auto"/>
            <w:right w:val="none" w:sz="0" w:space="0" w:color="auto"/>
          </w:divBdr>
        </w:div>
      </w:divsChild>
    </w:div>
    <w:div w:id="1665011072">
      <w:marLeft w:val="4"/>
      <w:marRight w:val="0"/>
      <w:marTop w:val="120"/>
      <w:marBottom w:val="0"/>
      <w:divBdr>
        <w:top w:val="none" w:sz="0" w:space="0" w:color="auto"/>
        <w:left w:val="none" w:sz="0" w:space="0" w:color="auto"/>
        <w:bottom w:val="none" w:sz="0" w:space="0" w:color="auto"/>
        <w:right w:val="none" w:sz="0" w:space="0" w:color="auto"/>
      </w:divBdr>
      <w:divsChild>
        <w:div w:id="1804614072">
          <w:marLeft w:val="0"/>
          <w:marRight w:val="0"/>
          <w:marTop w:val="0"/>
          <w:marBottom w:val="0"/>
          <w:divBdr>
            <w:top w:val="none" w:sz="0" w:space="0" w:color="auto"/>
            <w:left w:val="none" w:sz="0" w:space="0" w:color="auto"/>
            <w:bottom w:val="none" w:sz="0" w:space="0" w:color="auto"/>
            <w:right w:val="none" w:sz="0" w:space="0" w:color="auto"/>
          </w:divBdr>
        </w:div>
      </w:divsChild>
    </w:div>
    <w:div w:id="1671055813">
      <w:marLeft w:val="6"/>
      <w:marRight w:val="0"/>
      <w:marTop w:val="0"/>
      <w:marBottom w:val="0"/>
      <w:divBdr>
        <w:top w:val="none" w:sz="0" w:space="0" w:color="auto"/>
        <w:left w:val="none" w:sz="0" w:space="0" w:color="auto"/>
        <w:bottom w:val="none" w:sz="0" w:space="0" w:color="auto"/>
        <w:right w:val="none" w:sz="0" w:space="0" w:color="auto"/>
      </w:divBdr>
      <w:divsChild>
        <w:div w:id="771709737">
          <w:marLeft w:val="0"/>
          <w:marRight w:val="0"/>
          <w:marTop w:val="0"/>
          <w:marBottom w:val="0"/>
          <w:divBdr>
            <w:top w:val="none" w:sz="0" w:space="0" w:color="auto"/>
            <w:left w:val="none" w:sz="0" w:space="0" w:color="auto"/>
            <w:bottom w:val="none" w:sz="0" w:space="0" w:color="auto"/>
            <w:right w:val="none" w:sz="0" w:space="0" w:color="auto"/>
          </w:divBdr>
        </w:div>
      </w:divsChild>
    </w:div>
    <w:div w:id="1678270170">
      <w:marLeft w:val="4"/>
      <w:marRight w:val="0"/>
      <w:marTop w:val="120"/>
      <w:marBottom w:val="0"/>
      <w:divBdr>
        <w:top w:val="none" w:sz="0" w:space="0" w:color="auto"/>
        <w:left w:val="none" w:sz="0" w:space="0" w:color="auto"/>
        <w:bottom w:val="none" w:sz="0" w:space="0" w:color="auto"/>
        <w:right w:val="none" w:sz="0" w:space="0" w:color="auto"/>
      </w:divBdr>
      <w:divsChild>
        <w:div w:id="1783912553">
          <w:marLeft w:val="0"/>
          <w:marRight w:val="0"/>
          <w:marTop w:val="0"/>
          <w:marBottom w:val="0"/>
          <w:divBdr>
            <w:top w:val="none" w:sz="0" w:space="0" w:color="auto"/>
            <w:left w:val="none" w:sz="0" w:space="0" w:color="auto"/>
            <w:bottom w:val="none" w:sz="0" w:space="0" w:color="auto"/>
            <w:right w:val="none" w:sz="0" w:space="0" w:color="auto"/>
          </w:divBdr>
        </w:div>
      </w:divsChild>
    </w:div>
    <w:div w:id="1682123436">
      <w:marLeft w:val="4"/>
      <w:marRight w:val="0"/>
      <w:marTop w:val="120"/>
      <w:marBottom w:val="0"/>
      <w:divBdr>
        <w:top w:val="none" w:sz="0" w:space="0" w:color="auto"/>
        <w:left w:val="none" w:sz="0" w:space="0" w:color="auto"/>
        <w:bottom w:val="none" w:sz="0" w:space="0" w:color="auto"/>
        <w:right w:val="none" w:sz="0" w:space="0" w:color="auto"/>
      </w:divBdr>
      <w:divsChild>
        <w:div w:id="283197977">
          <w:marLeft w:val="0"/>
          <w:marRight w:val="0"/>
          <w:marTop w:val="0"/>
          <w:marBottom w:val="0"/>
          <w:divBdr>
            <w:top w:val="none" w:sz="0" w:space="0" w:color="auto"/>
            <w:left w:val="none" w:sz="0" w:space="0" w:color="auto"/>
            <w:bottom w:val="none" w:sz="0" w:space="0" w:color="auto"/>
            <w:right w:val="none" w:sz="0" w:space="0" w:color="auto"/>
          </w:divBdr>
        </w:div>
      </w:divsChild>
    </w:div>
    <w:div w:id="1685549502">
      <w:marLeft w:val="4"/>
      <w:marRight w:val="0"/>
      <w:marTop w:val="0"/>
      <w:marBottom w:val="0"/>
      <w:divBdr>
        <w:top w:val="none" w:sz="0" w:space="0" w:color="auto"/>
        <w:left w:val="none" w:sz="0" w:space="0" w:color="auto"/>
        <w:bottom w:val="none" w:sz="0" w:space="0" w:color="auto"/>
        <w:right w:val="none" w:sz="0" w:space="0" w:color="auto"/>
      </w:divBdr>
      <w:divsChild>
        <w:div w:id="1234390621">
          <w:marLeft w:val="0"/>
          <w:marRight w:val="0"/>
          <w:marTop w:val="0"/>
          <w:marBottom w:val="0"/>
          <w:divBdr>
            <w:top w:val="none" w:sz="0" w:space="0" w:color="auto"/>
            <w:left w:val="none" w:sz="0" w:space="0" w:color="auto"/>
            <w:bottom w:val="none" w:sz="0" w:space="0" w:color="auto"/>
            <w:right w:val="none" w:sz="0" w:space="0" w:color="auto"/>
          </w:divBdr>
        </w:div>
      </w:divsChild>
    </w:div>
    <w:div w:id="1691294306">
      <w:marLeft w:val="4"/>
      <w:marRight w:val="0"/>
      <w:marTop w:val="120"/>
      <w:marBottom w:val="0"/>
      <w:divBdr>
        <w:top w:val="none" w:sz="0" w:space="0" w:color="auto"/>
        <w:left w:val="none" w:sz="0" w:space="0" w:color="auto"/>
        <w:bottom w:val="none" w:sz="0" w:space="0" w:color="auto"/>
        <w:right w:val="none" w:sz="0" w:space="0" w:color="auto"/>
      </w:divBdr>
      <w:divsChild>
        <w:div w:id="5638524">
          <w:marLeft w:val="0"/>
          <w:marRight w:val="0"/>
          <w:marTop w:val="0"/>
          <w:marBottom w:val="0"/>
          <w:divBdr>
            <w:top w:val="none" w:sz="0" w:space="0" w:color="auto"/>
            <w:left w:val="none" w:sz="0" w:space="0" w:color="auto"/>
            <w:bottom w:val="none" w:sz="0" w:space="0" w:color="auto"/>
            <w:right w:val="none" w:sz="0" w:space="0" w:color="auto"/>
          </w:divBdr>
        </w:div>
      </w:divsChild>
    </w:div>
    <w:div w:id="1698313768">
      <w:marLeft w:val="6"/>
      <w:marRight w:val="0"/>
      <w:marTop w:val="0"/>
      <w:marBottom w:val="0"/>
      <w:divBdr>
        <w:top w:val="none" w:sz="0" w:space="0" w:color="auto"/>
        <w:left w:val="none" w:sz="0" w:space="0" w:color="auto"/>
        <w:bottom w:val="none" w:sz="0" w:space="0" w:color="auto"/>
        <w:right w:val="none" w:sz="0" w:space="0" w:color="auto"/>
      </w:divBdr>
      <w:divsChild>
        <w:div w:id="2066878331">
          <w:marLeft w:val="0"/>
          <w:marRight w:val="0"/>
          <w:marTop w:val="0"/>
          <w:marBottom w:val="0"/>
          <w:divBdr>
            <w:top w:val="none" w:sz="0" w:space="0" w:color="auto"/>
            <w:left w:val="none" w:sz="0" w:space="0" w:color="auto"/>
            <w:bottom w:val="none" w:sz="0" w:space="0" w:color="auto"/>
            <w:right w:val="none" w:sz="0" w:space="0" w:color="auto"/>
          </w:divBdr>
        </w:div>
      </w:divsChild>
    </w:div>
    <w:div w:id="1717775632">
      <w:marLeft w:val="6"/>
      <w:marRight w:val="0"/>
      <w:marTop w:val="0"/>
      <w:marBottom w:val="0"/>
      <w:divBdr>
        <w:top w:val="none" w:sz="0" w:space="0" w:color="auto"/>
        <w:left w:val="none" w:sz="0" w:space="0" w:color="auto"/>
        <w:bottom w:val="none" w:sz="0" w:space="0" w:color="auto"/>
        <w:right w:val="none" w:sz="0" w:space="0" w:color="auto"/>
      </w:divBdr>
      <w:divsChild>
        <w:div w:id="1846508405">
          <w:marLeft w:val="0"/>
          <w:marRight w:val="0"/>
          <w:marTop w:val="0"/>
          <w:marBottom w:val="0"/>
          <w:divBdr>
            <w:top w:val="none" w:sz="0" w:space="0" w:color="auto"/>
            <w:left w:val="none" w:sz="0" w:space="0" w:color="auto"/>
            <w:bottom w:val="none" w:sz="0" w:space="0" w:color="auto"/>
            <w:right w:val="none" w:sz="0" w:space="0" w:color="auto"/>
          </w:divBdr>
        </w:div>
      </w:divsChild>
    </w:div>
    <w:div w:id="1755348269">
      <w:marLeft w:val="4"/>
      <w:marRight w:val="0"/>
      <w:marTop w:val="120"/>
      <w:marBottom w:val="0"/>
      <w:divBdr>
        <w:top w:val="none" w:sz="0" w:space="0" w:color="auto"/>
        <w:left w:val="none" w:sz="0" w:space="0" w:color="auto"/>
        <w:bottom w:val="none" w:sz="0" w:space="0" w:color="auto"/>
        <w:right w:val="none" w:sz="0" w:space="0" w:color="auto"/>
      </w:divBdr>
      <w:divsChild>
        <w:div w:id="735518985">
          <w:marLeft w:val="0"/>
          <w:marRight w:val="0"/>
          <w:marTop w:val="0"/>
          <w:marBottom w:val="0"/>
          <w:divBdr>
            <w:top w:val="none" w:sz="0" w:space="0" w:color="auto"/>
            <w:left w:val="none" w:sz="0" w:space="0" w:color="auto"/>
            <w:bottom w:val="none" w:sz="0" w:space="0" w:color="auto"/>
            <w:right w:val="none" w:sz="0" w:space="0" w:color="auto"/>
          </w:divBdr>
        </w:div>
      </w:divsChild>
    </w:div>
    <w:div w:id="1771466113">
      <w:marLeft w:val="4"/>
      <w:marRight w:val="0"/>
      <w:marTop w:val="120"/>
      <w:marBottom w:val="0"/>
      <w:divBdr>
        <w:top w:val="none" w:sz="0" w:space="0" w:color="auto"/>
        <w:left w:val="none" w:sz="0" w:space="0" w:color="auto"/>
        <w:bottom w:val="none" w:sz="0" w:space="0" w:color="auto"/>
        <w:right w:val="none" w:sz="0" w:space="0" w:color="auto"/>
      </w:divBdr>
      <w:divsChild>
        <w:div w:id="1613169110">
          <w:marLeft w:val="0"/>
          <w:marRight w:val="0"/>
          <w:marTop w:val="0"/>
          <w:marBottom w:val="0"/>
          <w:divBdr>
            <w:top w:val="none" w:sz="0" w:space="0" w:color="auto"/>
            <w:left w:val="none" w:sz="0" w:space="0" w:color="auto"/>
            <w:bottom w:val="none" w:sz="0" w:space="0" w:color="auto"/>
            <w:right w:val="none" w:sz="0" w:space="0" w:color="auto"/>
          </w:divBdr>
        </w:div>
      </w:divsChild>
    </w:div>
    <w:div w:id="1787694477">
      <w:marLeft w:val="4"/>
      <w:marRight w:val="0"/>
      <w:marTop w:val="120"/>
      <w:marBottom w:val="0"/>
      <w:divBdr>
        <w:top w:val="none" w:sz="0" w:space="0" w:color="auto"/>
        <w:left w:val="none" w:sz="0" w:space="0" w:color="auto"/>
        <w:bottom w:val="none" w:sz="0" w:space="0" w:color="auto"/>
        <w:right w:val="none" w:sz="0" w:space="0" w:color="auto"/>
      </w:divBdr>
      <w:divsChild>
        <w:div w:id="133449165">
          <w:marLeft w:val="0"/>
          <w:marRight w:val="0"/>
          <w:marTop w:val="0"/>
          <w:marBottom w:val="0"/>
          <w:divBdr>
            <w:top w:val="none" w:sz="0" w:space="0" w:color="auto"/>
            <w:left w:val="none" w:sz="0" w:space="0" w:color="auto"/>
            <w:bottom w:val="none" w:sz="0" w:space="0" w:color="auto"/>
            <w:right w:val="none" w:sz="0" w:space="0" w:color="auto"/>
          </w:divBdr>
        </w:div>
      </w:divsChild>
    </w:div>
    <w:div w:id="1802453764">
      <w:marLeft w:val="4"/>
      <w:marRight w:val="0"/>
      <w:marTop w:val="120"/>
      <w:marBottom w:val="0"/>
      <w:divBdr>
        <w:top w:val="none" w:sz="0" w:space="0" w:color="auto"/>
        <w:left w:val="none" w:sz="0" w:space="0" w:color="auto"/>
        <w:bottom w:val="none" w:sz="0" w:space="0" w:color="auto"/>
        <w:right w:val="none" w:sz="0" w:space="0" w:color="auto"/>
      </w:divBdr>
      <w:divsChild>
        <w:div w:id="1078138744">
          <w:marLeft w:val="0"/>
          <w:marRight w:val="0"/>
          <w:marTop w:val="0"/>
          <w:marBottom w:val="0"/>
          <w:divBdr>
            <w:top w:val="none" w:sz="0" w:space="0" w:color="auto"/>
            <w:left w:val="none" w:sz="0" w:space="0" w:color="auto"/>
            <w:bottom w:val="none" w:sz="0" w:space="0" w:color="auto"/>
            <w:right w:val="none" w:sz="0" w:space="0" w:color="auto"/>
          </w:divBdr>
        </w:div>
      </w:divsChild>
    </w:div>
    <w:div w:id="1868055539">
      <w:marLeft w:val="0"/>
      <w:marRight w:val="0"/>
      <w:marTop w:val="0"/>
      <w:marBottom w:val="0"/>
      <w:divBdr>
        <w:top w:val="none" w:sz="0" w:space="0" w:color="auto"/>
        <w:left w:val="none" w:sz="0" w:space="0" w:color="auto"/>
        <w:bottom w:val="none" w:sz="0" w:space="0" w:color="auto"/>
        <w:right w:val="none" w:sz="0" w:space="0" w:color="auto"/>
      </w:divBdr>
      <w:divsChild>
        <w:div w:id="2134202362">
          <w:marLeft w:val="0"/>
          <w:marRight w:val="0"/>
          <w:marTop w:val="0"/>
          <w:marBottom w:val="0"/>
          <w:divBdr>
            <w:top w:val="none" w:sz="0" w:space="0" w:color="auto"/>
            <w:left w:val="none" w:sz="0" w:space="0" w:color="auto"/>
            <w:bottom w:val="none" w:sz="0" w:space="0" w:color="auto"/>
            <w:right w:val="none" w:sz="0" w:space="0" w:color="auto"/>
          </w:divBdr>
        </w:div>
        <w:div w:id="63264570">
          <w:marLeft w:val="0"/>
          <w:marRight w:val="0"/>
          <w:marTop w:val="0"/>
          <w:marBottom w:val="0"/>
          <w:divBdr>
            <w:top w:val="none" w:sz="0" w:space="0" w:color="auto"/>
            <w:left w:val="none" w:sz="0" w:space="0" w:color="auto"/>
            <w:bottom w:val="none" w:sz="0" w:space="0" w:color="auto"/>
            <w:right w:val="none" w:sz="0" w:space="0" w:color="auto"/>
          </w:divBdr>
        </w:div>
      </w:divsChild>
    </w:div>
    <w:div w:id="1869831739">
      <w:marLeft w:val="4"/>
      <w:marRight w:val="0"/>
      <w:marTop w:val="120"/>
      <w:marBottom w:val="0"/>
      <w:divBdr>
        <w:top w:val="none" w:sz="0" w:space="0" w:color="auto"/>
        <w:left w:val="none" w:sz="0" w:space="0" w:color="auto"/>
        <w:bottom w:val="none" w:sz="0" w:space="0" w:color="auto"/>
        <w:right w:val="none" w:sz="0" w:space="0" w:color="auto"/>
      </w:divBdr>
      <w:divsChild>
        <w:div w:id="1046445401">
          <w:marLeft w:val="0"/>
          <w:marRight w:val="0"/>
          <w:marTop w:val="0"/>
          <w:marBottom w:val="0"/>
          <w:divBdr>
            <w:top w:val="none" w:sz="0" w:space="0" w:color="auto"/>
            <w:left w:val="none" w:sz="0" w:space="0" w:color="auto"/>
            <w:bottom w:val="none" w:sz="0" w:space="0" w:color="auto"/>
            <w:right w:val="none" w:sz="0" w:space="0" w:color="auto"/>
          </w:divBdr>
        </w:div>
      </w:divsChild>
    </w:div>
    <w:div w:id="1883250197">
      <w:marLeft w:val="6"/>
      <w:marRight w:val="0"/>
      <w:marTop w:val="0"/>
      <w:marBottom w:val="0"/>
      <w:divBdr>
        <w:top w:val="none" w:sz="0" w:space="0" w:color="auto"/>
        <w:left w:val="none" w:sz="0" w:space="0" w:color="auto"/>
        <w:bottom w:val="none" w:sz="0" w:space="0" w:color="auto"/>
        <w:right w:val="none" w:sz="0" w:space="0" w:color="auto"/>
      </w:divBdr>
      <w:divsChild>
        <w:div w:id="577247814">
          <w:marLeft w:val="0"/>
          <w:marRight w:val="0"/>
          <w:marTop w:val="0"/>
          <w:marBottom w:val="0"/>
          <w:divBdr>
            <w:top w:val="none" w:sz="0" w:space="0" w:color="auto"/>
            <w:left w:val="none" w:sz="0" w:space="0" w:color="auto"/>
            <w:bottom w:val="none" w:sz="0" w:space="0" w:color="auto"/>
            <w:right w:val="none" w:sz="0" w:space="0" w:color="auto"/>
          </w:divBdr>
        </w:div>
      </w:divsChild>
    </w:div>
    <w:div w:id="1886671703">
      <w:marLeft w:val="4"/>
      <w:marRight w:val="0"/>
      <w:marTop w:val="120"/>
      <w:marBottom w:val="0"/>
      <w:divBdr>
        <w:top w:val="none" w:sz="0" w:space="0" w:color="auto"/>
        <w:left w:val="none" w:sz="0" w:space="0" w:color="auto"/>
        <w:bottom w:val="none" w:sz="0" w:space="0" w:color="auto"/>
        <w:right w:val="none" w:sz="0" w:space="0" w:color="auto"/>
      </w:divBdr>
      <w:divsChild>
        <w:div w:id="1550653568">
          <w:marLeft w:val="0"/>
          <w:marRight w:val="0"/>
          <w:marTop w:val="0"/>
          <w:marBottom w:val="0"/>
          <w:divBdr>
            <w:top w:val="none" w:sz="0" w:space="0" w:color="auto"/>
            <w:left w:val="none" w:sz="0" w:space="0" w:color="auto"/>
            <w:bottom w:val="none" w:sz="0" w:space="0" w:color="auto"/>
            <w:right w:val="none" w:sz="0" w:space="0" w:color="auto"/>
          </w:divBdr>
        </w:div>
      </w:divsChild>
    </w:div>
    <w:div w:id="1891647717">
      <w:marLeft w:val="4"/>
      <w:marRight w:val="0"/>
      <w:marTop w:val="120"/>
      <w:marBottom w:val="0"/>
      <w:divBdr>
        <w:top w:val="none" w:sz="0" w:space="0" w:color="auto"/>
        <w:left w:val="none" w:sz="0" w:space="0" w:color="auto"/>
        <w:bottom w:val="none" w:sz="0" w:space="0" w:color="auto"/>
        <w:right w:val="none" w:sz="0" w:space="0" w:color="auto"/>
      </w:divBdr>
      <w:divsChild>
        <w:div w:id="472407890">
          <w:marLeft w:val="0"/>
          <w:marRight w:val="0"/>
          <w:marTop w:val="0"/>
          <w:marBottom w:val="0"/>
          <w:divBdr>
            <w:top w:val="none" w:sz="0" w:space="0" w:color="auto"/>
            <w:left w:val="none" w:sz="0" w:space="0" w:color="auto"/>
            <w:bottom w:val="none" w:sz="0" w:space="0" w:color="auto"/>
            <w:right w:val="none" w:sz="0" w:space="0" w:color="auto"/>
          </w:divBdr>
        </w:div>
      </w:divsChild>
    </w:div>
    <w:div w:id="1905145586">
      <w:marLeft w:val="4"/>
      <w:marRight w:val="0"/>
      <w:marTop w:val="120"/>
      <w:marBottom w:val="0"/>
      <w:divBdr>
        <w:top w:val="none" w:sz="0" w:space="0" w:color="auto"/>
        <w:left w:val="none" w:sz="0" w:space="0" w:color="auto"/>
        <w:bottom w:val="none" w:sz="0" w:space="0" w:color="auto"/>
        <w:right w:val="none" w:sz="0" w:space="0" w:color="auto"/>
      </w:divBdr>
      <w:divsChild>
        <w:div w:id="215360260">
          <w:marLeft w:val="0"/>
          <w:marRight w:val="0"/>
          <w:marTop w:val="0"/>
          <w:marBottom w:val="0"/>
          <w:divBdr>
            <w:top w:val="none" w:sz="0" w:space="0" w:color="auto"/>
            <w:left w:val="none" w:sz="0" w:space="0" w:color="auto"/>
            <w:bottom w:val="none" w:sz="0" w:space="0" w:color="auto"/>
            <w:right w:val="none" w:sz="0" w:space="0" w:color="auto"/>
          </w:divBdr>
        </w:div>
      </w:divsChild>
    </w:div>
    <w:div w:id="1906598903">
      <w:marLeft w:val="6"/>
      <w:marRight w:val="0"/>
      <w:marTop w:val="0"/>
      <w:marBottom w:val="0"/>
      <w:divBdr>
        <w:top w:val="none" w:sz="0" w:space="0" w:color="auto"/>
        <w:left w:val="none" w:sz="0" w:space="0" w:color="auto"/>
        <w:bottom w:val="none" w:sz="0" w:space="0" w:color="auto"/>
        <w:right w:val="none" w:sz="0" w:space="0" w:color="auto"/>
      </w:divBdr>
      <w:divsChild>
        <w:div w:id="206454378">
          <w:marLeft w:val="0"/>
          <w:marRight w:val="0"/>
          <w:marTop w:val="0"/>
          <w:marBottom w:val="0"/>
          <w:divBdr>
            <w:top w:val="none" w:sz="0" w:space="0" w:color="auto"/>
            <w:left w:val="none" w:sz="0" w:space="0" w:color="auto"/>
            <w:bottom w:val="none" w:sz="0" w:space="0" w:color="auto"/>
            <w:right w:val="none" w:sz="0" w:space="0" w:color="auto"/>
          </w:divBdr>
        </w:div>
      </w:divsChild>
    </w:div>
    <w:div w:id="1920285512">
      <w:marLeft w:val="4"/>
      <w:marRight w:val="0"/>
      <w:marTop w:val="120"/>
      <w:marBottom w:val="0"/>
      <w:divBdr>
        <w:top w:val="none" w:sz="0" w:space="0" w:color="auto"/>
        <w:left w:val="none" w:sz="0" w:space="0" w:color="auto"/>
        <w:bottom w:val="none" w:sz="0" w:space="0" w:color="auto"/>
        <w:right w:val="none" w:sz="0" w:space="0" w:color="auto"/>
      </w:divBdr>
      <w:divsChild>
        <w:div w:id="86124396">
          <w:marLeft w:val="0"/>
          <w:marRight w:val="0"/>
          <w:marTop w:val="0"/>
          <w:marBottom w:val="0"/>
          <w:divBdr>
            <w:top w:val="none" w:sz="0" w:space="0" w:color="auto"/>
            <w:left w:val="none" w:sz="0" w:space="0" w:color="auto"/>
            <w:bottom w:val="none" w:sz="0" w:space="0" w:color="auto"/>
            <w:right w:val="none" w:sz="0" w:space="0" w:color="auto"/>
          </w:divBdr>
        </w:div>
      </w:divsChild>
    </w:div>
    <w:div w:id="1948611941">
      <w:marLeft w:val="4"/>
      <w:marRight w:val="0"/>
      <w:marTop w:val="120"/>
      <w:marBottom w:val="0"/>
      <w:divBdr>
        <w:top w:val="none" w:sz="0" w:space="0" w:color="auto"/>
        <w:left w:val="none" w:sz="0" w:space="0" w:color="auto"/>
        <w:bottom w:val="none" w:sz="0" w:space="0" w:color="auto"/>
        <w:right w:val="none" w:sz="0" w:space="0" w:color="auto"/>
      </w:divBdr>
      <w:divsChild>
        <w:div w:id="516818961">
          <w:marLeft w:val="0"/>
          <w:marRight w:val="0"/>
          <w:marTop w:val="0"/>
          <w:marBottom w:val="0"/>
          <w:divBdr>
            <w:top w:val="none" w:sz="0" w:space="0" w:color="auto"/>
            <w:left w:val="none" w:sz="0" w:space="0" w:color="auto"/>
            <w:bottom w:val="none" w:sz="0" w:space="0" w:color="auto"/>
            <w:right w:val="none" w:sz="0" w:space="0" w:color="auto"/>
          </w:divBdr>
        </w:div>
      </w:divsChild>
    </w:div>
    <w:div w:id="1959221118">
      <w:marLeft w:val="4"/>
      <w:marRight w:val="0"/>
      <w:marTop w:val="120"/>
      <w:marBottom w:val="0"/>
      <w:divBdr>
        <w:top w:val="none" w:sz="0" w:space="0" w:color="auto"/>
        <w:left w:val="none" w:sz="0" w:space="0" w:color="auto"/>
        <w:bottom w:val="none" w:sz="0" w:space="0" w:color="auto"/>
        <w:right w:val="none" w:sz="0" w:space="0" w:color="auto"/>
      </w:divBdr>
      <w:divsChild>
        <w:div w:id="1744059179">
          <w:marLeft w:val="0"/>
          <w:marRight w:val="0"/>
          <w:marTop w:val="0"/>
          <w:marBottom w:val="0"/>
          <w:divBdr>
            <w:top w:val="none" w:sz="0" w:space="0" w:color="auto"/>
            <w:left w:val="none" w:sz="0" w:space="0" w:color="auto"/>
            <w:bottom w:val="none" w:sz="0" w:space="0" w:color="auto"/>
            <w:right w:val="none" w:sz="0" w:space="0" w:color="auto"/>
          </w:divBdr>
        </w:div>
      </w:divsChild>
    </w:div>
    <w:div w:id="1974289246">
      <w:marLeft w:val="4"/>
      <w:marRight w:val="0"/>
      <w:marTop w:val="120"/>
      <w:marBottom w:val="0"/>
      <w:divBdr>
        <w:top w:val="none" w:sz="0" w:space="0" w:color="auto"/>
        <w:left w:val="none" w:sz="0" w:space="0" w:color="auto"/>
        <w:bottom w:val="none" w:sz="0" w:space="0" w:color="auto"/>
        <w:right w:val="none" w:sz="0" w:space="0" w:color="auto"/>
      </w:divBdr>
      <w:divsChild>
        <w:div w:id="361977118">
          <w:marLeft w:val="0"/>
          <w:marRight w:val="0"/>
          <w:marTop w:val="0"/>
          <w:marBottom w:val="0"/>
          <w:divBdr>
            <w:top w:val="none" w:sz="0" w:space="0" w:color="auto"/>
            <w:left w:val="none" w:sz="0" w:space="0" w:color="auto"/>
            <w:bottom w:val="none" w:sz="0" w:space="0" w:color="auto"/>
            <w:right w:val="none" w:sz="0" w:space="0" w:color="auto"/>
          </w:divBdr>
        </w:div>
      </w:divsChild>
    </w:div>
    <w:div w:id="1992518754">
      <w:marLeft w:val="4"/>
      <w:marRight w:val="0"/>
      <w:marTop w:val="120"/>
      <w:marBottom w:val="0"/>
      <w:divBdr>
        <w:top w:val="none" w:sz="0" w:space="0" w:color="auto"/>
        <w:left w:val="none" w:sz="0" w:space="0" w:color="auto"/>
        <w:bottom w:val="none" w:sz="0" w:space="0" w:color="auto"/>
        <w:right w:val="none" w:sz="0" w:space="0" w:color="auto"/>
      </w:divBdr>
      <w:divsChild>
        <w:div w:id="1865828026">
          <w:marLeft w:val="0"/>
          <w:marRight w:val="0"/>
          <w:marTop w:val="0"/>
          <w:marBottom w:val="0"/>
          <w:divBdr>
            <w:top w:val="none" w:sz="0" w:space="0" w:color="auto"/>
            <w:left w:val="none" w:sz="0" w:space="0" w:color="auto"/>
            <w:bottom w:val="none" w:sz="0" w:space="0" w:color="auto"/>
            <w:right w:val="none" w:sz="0" w:space="0" w:color="auto"/>
          </w:divBdr>
        </w:div>
      </w:divsChild>
    </w:div>
    <w:div w:id="2000424149">
      <w:marLeft w:val="4"/>
      <w:marRight w:val="0"/>
      <w:marTop w:val="0"/>
      <w:marBottom w:val="0"/>
      <w:divBdr>
        <w:top w:val="none" w:sz="0" w:space="0" w:color="auto"/>
        <w:left w:val="none" w:sz="0" w:space="0" w:color="auto"/>
        <w:bottom w:val="none" w:sz="0" w:space="0" w:color="auto"/>
        <w:right w:val="none" w:sz="0" w:space="0" w:color="auto"/>
      </w:divBdr>
      <w:divsChild>
        <w:div w:id="1663464656">
          <w:marLeft w:val="0"/>
          <w:marRight w:val="0"/>
          <w:marTop w:val="0"/>
          <w:marBottom w:val="0"/>
          <w:divBdr>
            <w:top w:val="none" w:sz="0" w:space="0" w:color="auto"/>
            <w:left w:val="none" w:sz="0" w:space="0" w:color="auto"/>
            <w:bottom w:val="none" w:sz="0" w:space="0" w:color="auto"/>
            <w:right w:val="none" w:sz="0" w:space="0" w:color="auto"/>
          </w:divBdr>
        </w:div>
      </w:divsChild>
    </w:div>
    <w:div w:id="2005349948">
      <w:marLeft w:val="4"/>
      <w:marRight w:val="0"/>
      <w:marTop w:val="120"/>
      <w:marBottom w:val="0"/>
      <w:divBdr>
        <w:top w:val="none" w:sz="0" w:space="0" w:color="auto"/>
        <w:left w:val="none" w:sz="0" w:space="0" w:color="auto"/>
        <w:bottom w:val="none" w:sz="0" w:space="0" w:color="auto"/>
        <w:right w:val="none" w:sz="0" w:space="0" w:color="auto"/>
      </w:divBdr>
      <w:divsChild>
        <w:div w:id="873350522">
          <w:marLeft w:val="0"/>
          <w:marRight w:val="0"/>
          <w:marTop w:val="0"/>
          <w:marBottom w:val="0"/>
          <w:divBdr>
            <w:top w:val="none" w:sz="0" w:space="0" w:color="auto"/>
            <w:left w:val="none" w:sz="0" w:space="0" w:color="auto"/>
            <w:bottom w:val="none" w:sz="0" w:space="0" w:color="auto"/>
            <w:right w:val="none" w:sz="0" w:space="0" w:color="auto"/>
          </w:divBdr>
        </w:div>
      </w:divsChild>
    </w:div>
    <w:div w:id="2024743485">
      <w:marLeft w:val="4"/>
      <w:marRight w:val="0"/>
      <w:marTop w:val="0"/>
      <w:marBottom w:val="0"/>
      <w:divBdr>
        <w:top w:val="none" w:sz="0" w:space="0" w:color="auto"/>
        <w:left w:val="none" w:sz="0" w:space="0" w:color="auto"/>
        <w:bottom w:val="none" w:sz="0" w:space="0" w:color="auto"/>
        <w:right w:val="none" w:sz="0" w:space="0" w:color="auto"/>
      </w:divBdr>
      <w:divsChild>
        <w:div w:id="1915429967">
          <w:marLeft w:val="0"/>
          <w:marRight w:val="0"/>
          <w:marTop w:val="0"/>
          <w:marBottom w:val="0"/>
          <w:divBdr>
            <w:top w:val="none" w:sz="0" w:space="0" w:color="auto"/>
            <w:left w:val="none" w:sz="0" w:space="0" w:color="auto"/>
            <w:bottom w:val="none" w:sz="0" w:space="0" w:color="auto"/>
            <w:right w:val="none" w:sz="0" w:space="0" w:color="auto"/>
          </w:divBdr>
        </w:div>
      </w:divsChild>
    </w:div>
    <w:div w:id="2046443053">
      <w:marLeft w:val="4"/>
      <w:marRight w:val="0"/>
      <w:marTop w:val="120"/>
      <w:marBottom w:val="0"/>
      <w:divBdr>
        <w:top w:val="none" w:sz="0" w:space="0" w:color="auto"/>
        <w:left w:val="none" w:sz="0" w:space="0" w:color="auto"/>
        <w:bottom w:val="none" w:sz="0" w:space="0" w:color="auto"/>
        <w:right w:val="none" w:sz="0" w:space="0" w:color="auto"/>
      </w:divBdr>
      <w:divsChild>
        <w:div w:id="939751512">
          <w:marLeft w:val="0"/>
          <w:marRight w:val="0"/>
          <w:marTop w:val="0"/>
          <w:marBottom w:val="0"/>
          <w:divBdr>
            <w:top w:val="none" w:sz="0" w:space="0" w:color="auto"/>
            <w:left w:val="none" w:sz="0" w:space="0" w:color="auto"/>
            <w:bottom w:val="none" w:sz="0" w:space="0" w:color="auto"/>
            <w:right w:val="none" w:sz="0" w:space="0" w:color="auto"/>
          </w:divBdr>
        </w:div>
      </w:divsChild>
    </w:div>
    <w:div w:id="2046902376">
      <w:marLeft w:val="6"/>
      <w:marRight w:val="0"/>
      <w:marTop w:val="120"/>
      <w:marBottom w:val="0"/>
      <w:divBdr>
        <w:top w:val="none" w:sz="0" w:space="0" w:color="auto"/>
        <w:left w:val="none" w:sz="0" w:space="0" w:color="auto"/>
        <w:bottom w:val="none" w:sz="0" w:space="0" w:color="auto"/>
        <w:right w:val="none" w:sz="0" w:space="0" w:color="auto"/>
      </w:divBdr>
      <w:divsChild>
        <w:div w:id="1405227950">
          <w:marLeft w:val="0"/>
          <w:marRight w:val="0"/>
          <w:marTop w:val="0"/>
          <w:marBottom w:val="0"/>
          <w:divBdr>
            <w:top w:val="none" w:sz="0" w:space="0" w:color="auto"/>
            <w:left w:val="none" w:sz="0" w:space="0" w:color="auto"/>
            <w:bottom w:val="none" w:sz="0" w:space="0" w:color="auto"/>
            <w:right w:val="none" w:sz="0" w:space="0" w:color="auto"/>
          </w:divBdr>
        </w:div>
      </w:divsChild>
    </w:div>
    <w:div w:id="2049522375">
      <w:marLeft w:val="4"/>
      <w:marRight w:val="0"/>
      <w:marTop w:val="0"/>
      <w:marBottom w:val="0"/>
      <w:divBdr>
        <w:top w:val="none" w:sz="0" w:space="0" w:color="auto"/>
        <w:left w:val="none" w:sz="0" w:space="0" w:color="auto"/>
        <w:bottom w:val="none" w:sz="0" w:space="0" w:color="auto"/>
        <w:right w:val="none" w:sz="0" w:space="0" w:color="auto"/>
      </w:divBdr>
      <w:divsChild>
        <w:div w:id="522717708">
          <w:marLeft w:val="0"/>
          <w:marRight w:val="0"/>
          <w:marTop w:val="0"/>
          <w:marBottom w:val="0"/>
          <w:divBdr>
            <w:top w:val="none" w:sz="0" w:space="0" w:color="auto"/>
            <w:left w:val="none" w:sz="0" w:space="0" w:color="auto"/>
            <w:bottom w:val="none" w:sz="0" w:space="0" w:color="auto"/>
            <w:right w:val="none" w:sz="0" w:space="0" w:color="auto"/>
          </w:divBdr>
        </w:div>
      </w:divsChild>
    </w:div>
    <w:div w:id="2072926433">
      <w:marLeft w:val="0"/>
      <w:marRight w:val="0"/>
      <w:marTop w:val="0"/>
      <w:marBottom w:val="0"/>
      <w:divBdr>
        <w:top w:val="none" w:sz="0" w:space="0" w:color="auto"/>
        <w:left w:val="none" w:sz="0" w:space="0" w:color="auto"/>
        <w:bottom w:val="none" w:sz="0" w:space="0" w:color="auto"/>
        <w:right w:val="none" w:sz="0" w:space="0" w:color="auto"/>
      </w:divBdr>
    </w:div>
    <w:div w:id="2076973718">
      <w:marLeft w:val="4"/>
      <w:marRight w:val="0"/>
      <w:marTop w:val="120"/>
      <w:marBottom w:val="0"/>
      <w:divBdr>
        <w:top w:val="none" w:sz="0" w:space="0" w:color="auto"/>
        <w:left w:val="none" w:sz="0" w:space="0" w:color="auto"/>
        <w:bottom w:val="none" w:sz="0" w:space="0" w:color="auto"/>
        <w:right w:val="none" w:sz="0" w:space="0" w:color="auto"/>
      </w:divBdr>
      <w:divsChild>
        <w:div w:id="2083142116">
          <w:marLeft w:val="0"/>
          <w:marRight w:val="0"/>
          <w:marTop w:val="0"/>
          <w:marBottom w:val="0"/>
          <w:divBdr>
            <w:top w:val="none" w:sz="0" w:space="0" w:color="auto"/>
            <w:left w:val="none" w:sz="0" w:space="0" w:color="auto"/>
            <w:bottom w:val="none" w:sz="0" w:space="0" w:color="auto"/>
            <w:right w:val="none" w:sz="0" w:space="0" w:color="auto"/>
          </w:divBdr>
        </w:div>
      </w:divsChild>
    </w:div>
    <w:div w:id="2083284386">
      <w:marLeft w:val="6"/>
      <w:marRight w:val="0"/>
      <w:marTop w:val="0"/>
      <w:marBottom w:val="0"/>
      <w:divBdr>
        <w:top w:val="none" w:sz="0" w:space="0" w:color="auto"/>
        <w:left w:val="none" w:sz="0" w:space="0" w:color="auto"/>
        <w:bottom w:val="none" w:sz="0" w:space="0" w:color="auto"/>
        <w:right w:val="none" w:sz="0" w:space="0" w:color="auto"/>
      </w:divBdr>
      <w:divsChild>
        <w:div w:id="1466583258">
          <w:marLeft w:val="0"/>
          <w:marRight w:val="0"/>
          <w:marTop w:val="0"/>
          <w:marBottom w:val="0"/>
          <w:divBdr>
            <w:top w:val="none" w:sz="0" w:space="0" w:color="auto"/>
            <w:left w:val="none" w:sz="0" w:space="0" w:color="auto"/>
            <w:bottom w:val="none" w:sz="0" w:space="0" w:color="auto"/>
            <w:right w:val="none" w:sz="0" w:space="0" w:color="auto"/>
          </w:divBdr>
        </w:div>
      </w:divsChild>
    </w:div>
    <w:div w:id="2087140535">
      <w:marLeft w:val="6"/>
      <w:marRight w:val="0"/>
      <w:marTop w:val="0"/>
      <w:marBottom w:val="0"/>
      <w:divBdr>
        <w:top w:val="none" w:sz="0" w:space="0" w:color="auto"/>
        <w:left w:val="none" w:sz="0" w:space="0" w:color="auto"/>
        <w:bottom w:val="none" w:sz="0" w:space="0" w:color="auto"/>
        <w:right w:val="none" w:sz="0" w:space="0" w:color="auto"/>
      </w:divBdr>
      <w:divsChild>
        <w:div w:id="663509001">
          <w:marLeft w:val="0"/>
          <w:marRight w:val="0"/>
          <w:marTop w:val="0"/>
          <w:marBottom w:val="0"/>
          <w:divBdr>
            <w:top w:val="none" w:sz="0" w:space="0" w:color="auto"/>
            <w:left w:val="none" w:sz="0" w:space="0" w:color="auto"/>
            <w:bottom w:val="none" w:sz="0" w:space="0" w:color="auto"/>
            <w:right w:val="none" w:sz="0" w:space="0" w:color="auto"/>
          </w:divBdr>
        </w:div>
      </w:divsChild>
    </w:div>
    <w:div w:id="2091656888">
      <w:marLeft w:val="0"/>
      <w:marRight w:val="0"/>
      <w:marTop w:val="120"/>
      <w:marBottom w:val="0"/>
      <w:divBdr>
        <w:top w:val="none" w:sz="0" w:space="0" w:color="auto"/>
        <w:left w:val="none" w:sz="0" w:space="0" w:color="auto"/>
        <w:bottom w:val="none" w:sz="0" w:space="0" w:color="auto"/>
        <w:right w:val="none" w:sz="0" w:space="0" w:color="auto"/>
      </w:divBdr>
      <w:divsChild>
        <w:div w:id="1924217093">
          <w:marLeft w:val="0"/>
          <w:marRight w:val="0"/>
          <w:marTop w:val="0"/>
          <w:marBottom w:val="0"/>
          <w:divBdr>
            <w:top w:val="none" w:sz="0" w:space="0" w:color="auto"/>
            <w:left w:val="none" w:sz="0" w:space="0" w:color="auto"/>
            <w:bottom w:val="none" w:sz="0" w:space="0" w:color="auto"/>
            <w:right w:val="none" w:sz="0" w:space="0" w:color="auto"/>
          </w:divBdr>
        </w:div>
      </w:divsChild>
    </w:div>
    <w:div w:id="2098473975">
      <w:marLeft w:val="4"/>
      <w:marRight w:val="0"/>
      <w:marTop w:val="0"/>
      <w:marBottom w:val="0"/>
      <w:divBdr>
        <w:top w:val="none" w:sz="0" w:space="0" w:color="auto"/>
        <w:left w:val="none" w:sz="0" w:space="0" w:color="auto"/>
        <w:bottom w:val="none" w:sz="0" w:space="0" w:color="auto"/>
        <w:right w:val="none" w:sz="0" w:space="0" w:color="auto"/>
      </w:divBdr>
      <w:divsChild>
        <w:div w:id="1560284124">
          <w:marLeft w:val="0"/>
          <w:marRight w:val="0"/>
          <w:marTop w:val="0"/>
          <w:marBottom w:val="0"/>
          <w:divBdr>
            <w:top w:val="none" w:sz="0" w:space="0" w:color="auto"/>
            <w:left w:val="none" w:sz="0" w:space="0" w:color="auto"/>
            <w:bottom w:val="none" w:sz="0" w:space="0" w:color="auto"/>
            <w:right w:val="none" w:sz="0" w:space="0" w:color="auto"/>
          </w:divBdr>
        </w:div>
      </w:divsChild>
    </w:div>
    <w:div w:id="2111076944">
      <w:marLeft w:val="4"/>
      <w:marRight w:val="0"/>
      <w:marTop w:val="120"/>
      <w:marBottom w:val="0"/>
      <w:divBdr>
        <w:top w:val="none" w:sz="0" w:space="0" w:color="auto"/>
        <w:left w:val="none" w:sz="0" w:space="0" w:color="auto"/>
        <w:bottom w:val="none" w:sz="0" w:space="0" w:color="auto"/>
        <w:right w:val="none" w:sz="0" w:space="0" w:color="auto"/>
      </w:divBdr>
      <w:divsChild>
        <w:div w:id="1039208302">
          <w:marLeft w:val="0"/>
          <w:marRight w:val="0"/>
          <w:marTop w:val="0"/>
          <w:marBottom w:val="0"/>
          <w:divBdr>
            <w:top w:val="none" w:sz="0" w:space="0" w:color="auto"/>
            <w:left w:val="none" w:sz="0" w:space="0" w:color="auto"/>
            <w:bottom w:val="none" w:sz="0" w:space="0" w:color="auto"/>
            <w:right w:val="none" w:sz="0" w:space="0" w:color="auto"/>
          </w:divBdr>
        </w:div>
      </w:divsChild>
    </w:div>
    <w:div w:id="2119569303">
      <w:marLeft w:val="4"/>
      <w:marRight w:val="0"/>
      <w:marTop w:val="120"/>
      <w:marBottom w:val="0"/>
      <w:divBdr>
        <w:top w:val="none" w:sz="0" w:space="0" w:color="auto"/>
        <w:left w:val="none" w:sz="0" w:space="0" w:color="auto"/>
        <w:bottom w:val="none" w:sz="0" w:space="0" w:color="auto"/>
        <w:right w:val="none" w:sz="0" w:space="0" w:color="auto"/>
      </w:divBdr>
      <w:divsChild>
        <w:div w:id="1687515854">
          <w:marLeft w:val="0"/>
          <w:marRight w:val="0"/>
          <w:marTop w:val="0"/>
          <w:marBottom w:val="0"/>
          <w:divBdr>
            <w:top w:val="none" w:sz="0" w:space="0" w:color="auto"/>
            <w:left w:val="none" w:sz="0" w:space="0" w:color="auto"/>
            <w:bottom w:val="none" w:sz="0" w:space="0" w:color="auto"/>
            <w:right w:val="none" w:sz="0" w:space="0" w:color="auto"/>
          </w:divBdr>
        </w:div>
      </w:divsChild>
    </w:div>
    <w:div w:id="2143226631">
      <w:marLeft w:val="0"/>
      <w:marRight w:val="0"/>
      <w:marTop w:val="0"/>
      <w:marBottom w:val="0"/>
      <w:divBdr>
        <w:top w:val="none" w:sz="0" w:space="0" w:color="auto"/>
        <w:left w:val="none" w:sz="0" w:space="0" w:color="auto"/>
        <w:bottom w:val="none" w:sz="0" w:space="0" w:color="auto"/>
        <w:right w:val="none" w:sz="0" w:space="0" w:color="auto"/>
      </w:divBdr>
      <w:divsChild>
        <w:div w:id="1431507265">
          <w:marLeft w:val="0"/>
          <w:marRight w:val="0"/>
          <w:marTop w:val="0"/>
          <w:marBottom w:val="0"/>
          <w:divBdr>
            <w:top w:val="none" w:sz="0" w:space="0" w:color="auto"/>
            <w:left w:val="none" w:sz="0" w:space="0" w:color="auto"/>
            <w:bottom w:val="none" w:sz="0" w:space="0" w:color="auto"/>
            <w:right w:val="none" w:sz="0" w:space="0" w:color="auto"/>
          </w:divBdr>
        </w:div>
      </w:divsChild>
    </w:div>
    <w:div w:id="2146240561">
      <w:marLeft w:val="0"/>
      <w:marRight w:val="0"/>
      <w:marTop w:val="0"/>
      <w:marBottom w:val="0"/>
      <w:divBdr>
        <w:top w:val="none" w:sz="0" w:space="0" w:color="auto"/>
        <w:left w:val="none" w:sz="0" w:space="0" w:color="auto"/>
        <w:bottom w:val="none" w:sz="0" w:space="0" w:color="auto"/>
        <w:right w:val="none" w:sz="0" w:space="0" w:color="auto"/>
      </w:divBdr>
      <w:divsChild>
        <w:div w:id="162523195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c.gov/Archives/edgar/data/1674930/000119312516700733/d360404dex103.htm" TargetMode="External"/><Relationship Id="rId21" Type="http://schemas.openxmlformats.org/officeDocument/2006/relationships/hyperlink" Target="https://www.sec.gov/Archives/edgar/data/1674930/000119312516712712/d360404dex41.htm" TargetMode="External"/><Relationship Id="rId42" Type="http://schemas.openxmlformats.org/officeDocument/2006/relationships/hyperlink" Target="https://www.sec.gov/Archives/edgar/data/1674930/000119312516700733/d360404dex1019.htm" TargetMode="External"/><Relationship Id="rId47" Type="http://schemas.openxmlformats.org/officeDocument/2006/relationships/hyperlink" Target="https://www.sec.gov/Archives/edgar/data/1674930/000156459019033796/flgt-ex11_39.htm" TargetMode="External"/><Relationship Id="rId63" Type="http://schemas.openxmlformats.org/officeDocument/2006/relationships/hyperlink" Target="https://www.sec.gov/Archives/edgar/data/1674930/000156459022007366/flgt-ex1041_29.htm" TargetMode="External"/><Relationship Id="rId68" Type="http://schemas.openxmlformats.org/officeDocument/2006/relationships/hyperlink" Target="https://www.sec.gov/Archives/edgar/data/1674930/000095017022022661/flgt-ex10_2.htm" TargetMode="External"/><Relationship Id="rId16" Type="http://schemas.openxmlformats.org/officeDocument/2006/relationships/hyperlink" Target="https://www.sec.gov/Archives/edgar/data/1674930/000119312516712712/d360404dex21.htm" TargetMode="External"/><Relationship Id="rId11" Type="http://schemas.openxmlformats.org/officeDocument/2006/relationships/image" Target="file:///E:\projects\LLMs\new_data_collection\data_new\htm\Fulgent%20Genetics,%20Inc\img231266967_7.jpg" TargetMode="External"/><Relationship Id="rId32" Type="http://schemas.openxmlformats.org/officeDocument/2006/relationships/hyperlink" Target="https://www.sec.gov/Archives/edgar/data/1674930/000119312516700733/d360404dex109.htm" TargetMode="External"/><Relationship Id="rId37" Type="http://schemas.openxmlformats.org/officeDocument/2006/relationships/hyperlink" Target="https://www.sec.gov/Archives/edgar/data/0001674930/000119312516700733/d360404dex1014.htm" TargetMode="External"/><Relationship Id="rId53" Type="http://schemas.openxmlformats.org/officeDocument/2006/relationships/hyperlink" Target="https://www.sec.gov/Archives/edgar/data/1674930/000156459020043892/flgt-ex101_6.htm" TargetMode="External"/><Relationship Id="rId58" Type="http://schemas.openxmlformats.org/officeDocument/2006/relationships/hyperlink" Target="https://www.sec.gov/Archives/edgar/data/1674930/000156459021011526/flgt-ex1036_89.htm" TargetMode="External"/><Relationship Id="rId74" Type="http://schemas.openxmlformats.org/officeDocument/2006/relationships/hyperlink" Target="flgt-ex10_50.htm" TargetMode="External"/><Relationship Id="rId79" Type="http://schemas.openxmlformats.org/officeDocument/2006/relationships/hyperlink" Target="flgt-ex31_1.htm" TargetMode="External"/><Relationship Id="rId5" Type="http://schemas.openxmlformats.org/officeDocument/2006/relationships/image" Target="file:///E:\projects\LLMs\new_data_collection\data_new\htm\Fulgent%20Genetics,%20Inc\img231266967_1.jpg" TargetMode="External"/><Relationship Id="rId61" Type="http://schemas.openxmlformats.org/officeDocument/2006/relationships/hyperlink" Target="https://www.sec.gov/Archives/edgar/data/1674930/000156459021025554/flgt-ex101_24.htm" TargetMode="External"/><Relationship Id="rId82" Type="http://schemas.openxmlformats.org/officeDocument/2006/relationships/fontTable" Target="fontTable.xml"/><Relationship Id="rId19" Type="http://schemas.openxmlformats.org/officeDocument/2006/relationships/hyperlink" Target="https://www.sec.gov/Archives/edgar/data/1674930/000156459017017670/flgt-ex312_342.htm" TargetMode="External"/><Relationship Id="rId14" Type="http://schemas.openxmlformats.org/officeDocument/2006/relationships/image" Target="file:///E:\projects\LLMs\new_data_collection\data_new\htm\Fulgent%20Genetics,%20Inc\img231266967_10.jpg" TargetMode="External"/><Relationship Id="rId22" Type="http://schemas.openxmlformats.org/officeDocument/2006/relationships/hyperlink" Target="https://www.sec.gov/Archives/edgar/data/1674930/000119312516700733/d360404dex42.htm" TargetMode="External"/><Relationship Id="rId27" Type="http://schemas.openxmlformats.org/officeDocument/2006/relationships/hyperlink" Target="https://www.sec.gov/Archives/edgar/data/1674930/000119312516700733/d360404dex104.htm" TargetMode="External"/><Relationship Id="rId30" Type="http://schemas.openxmlformats.org/officeDocument/2006/relationships/hyperlink" Target="https://www.sec.gov/Archives/edgar/data/1674930/000119312516700733/d360404dex107.htm" TargetMode="External"/><Relationship Id="rId35" Type="http://schemas.openxmlformats.org/officeDocument/2006/relationships/hyperlink" Target="https://www.sec.gov/Archives/edgar/data/1674930/000119312516700733/d360404dex1012.htm" TargetMode="External"/><Relationship Id="rId43" Type="http://schemas.openxmlformats.org/officeDocument/2006/relationships/hyperlink" Target="https://www.sec.gov/Archives/edgar/data/1674930/000156459018006239/flgt-ex1020_63.htm" TargetMode="External"/><Relationship Id="rId48" Type="http://schemas.openxmlformats.org/officeDocument/2006/relationships/hyperlink" Target="https://www.sec.gov/Archives/edgar/data/1674930/000156459019043443/flgt-ex11_203.htm" TargetMode="External"/><Relationship Id="rId56" Type="http://schemas.openxmlformats.org/officeDocument/2006/relationships/hyperlink" Target="https://www.sec.gov/Archives/edgar/data/1674930/000156459021011526/flgt-ex1034_88.htm" TargetMode="External"/><Relationship Id="rId64" Type="http://schemas.openxmlformats.org/officeDocument/2006/relationships/hyperlink" Target="https://www.sec.gov/Archives/edgar/data/1674930/000156459022007366/flgt-ex1041_29.htm" TargetMode="External"/><Relationship Id="rId69" Type="http://schemas.openxmlformats.org/officeDocument/2006/relationships/hyperlink" Target="https://www.sec.gov/Archives/edgar/data/1674930/000095017022022661/flgt-ex10_3.htm" TargetMode="External"/><Relationship Id="rId77" Type="http://schemas.openxmlformats.org/officeDocument/2006/relationships/hyperlink" Target="flgt-ex21_1.htm" TargetMode="External"/><Relationship Id="rId8" Type="http://schemas.openxmlformats.org/officeDocument/2006/relationships/image" Target="file:///E:\projects\LLMs\new_data_collection\data_new\htm\Fulgent%20Genetics,%20Inc\img231266967_4.jpg" TargetMode="External"/><Relationship Id="rId51" Type="http://schemas.openxmlformats.org/officeDocument/2006/relationships/hyperlink" Target="https://www.sec.gov/Archives/edgar/data/1674930/000156459020054804/flgt-ex11_7.htm" TargetMode="External"/><Relationship Id="rId72" Type="http://schemas.openxmlformats.org/officeDocument/2006/relationships/hyperlink" Target="flgt-ex10_48.htm" TargetMode="External"/><Relationship Id="rId80" Type="http://schemas.openxmlformats.org/officeDocument/2006/relationships/hyperlink" Target="flgt-ex31_2.htm" TargetMode="External"/><Relationship Id="rId3" Type="http://schemas.openxmlformats.org/officeDocument/2006/relationships/webSettings" Target="webSettings.xml"/><Relationship Id="rId12" Type="http://schemas.openxmlformats.org/officeDocument/2006/relationships/image" Target="file:///E:\projects\LLMs\new_data_collection\data_new\htm\Fulgent%20Genetics,%20Inc\img231266967_8.jpg" TargetMode="External"/><Relationship Id="rId17" Type="http://schemas.openxmlformats.org/officeDocument/2006/relationships/hyperlink" Target="https://www.sec.gov/Archives/edgar/data/1674930/000119312516700733/d360404dex31.htm" TargetMode="External"/><Relationship Id="rId25" Type="http://schemas.openxmlformats.org/officeDocument/2006/relationships/hyperlink" Target="https://www.sec.gov/Archives/edgar/data/1674930/000119312516700733/d360404dex102.htm" TargetMode="External"/><Relationship Id="rId33" Type="http://schemas.openxmlformats.org/officeDocument/2006/relationships/hyperlink" Target="https://www.sec.gov/Archives/edgar/data/1674930/000119312516700733/d360404dex1010.htm" TargetMode="External"/><Relationship Id="rId38" Type="http://schemas.openxmlformats.org/officeDocument/2006/relationships/hyperlink" Target="https://www.sec.gov/Archives/edgar/data/1674930/000119312516700733/d360404dex1015.htm" TargetMode="External"/><Relationship Id="rId46" Type="http://schemas.openxmlformats.org/officeDocument/2006/relationships/hyperlink" Target="https://www.sec.gov/Archives/edgar/data/1674930/000156459019008991/flgt-ex1023_11.htm" TargetMode="External"/><Relationship Id="rId59" Type="http://schemas.openxmlformats.org/officeDocument/2006/relationships/hyperlink" Target="https://www.sec.gov/Archives/edgar/data/1674930/000156459021011526/flgt-ex1037_91.htm" TargetMode="External"/><Relationship Id="rId67" Type="http://schemas.openxmlformats.org/officeDocument/2006/relationships/hyperlink" Target="https://www.sec.gov/Archives/edgar/data/1674930/000095017022022661/flgt-ex10_1.htm" TargetMode="External"/><Relationship Id="rId20" Type="http://schemas.openxmlformats.org/officeDocument/2006/relationships/hyperlink" Target="https://www.sec.gov/Archives/edgar/data/1674930/000119312516700733/d360404dex32.htm" TargetMode="External"/><Relationship Id="rId41" Type="http://schemas.openxmlformats.org/officeDocument/2006/relationships/hyperlink" Target="https://www.sec.gov/Archives/edgar/data/1674930/000119312516700733/d360404dex21.htm" TargetMode="External"/><Relationship Id="rId54" Type="http://schemas.openxmlformats.org/officeDocument/2006/relationships/hyperlink" Target="https://www.sec.gov/Archives/edgar/data/1674930/000156459020047097/flgt-ex21_6.htm" TargetMode="External"/><Relationship Id="rId62" Type="http://schemas.openxmlformats.org/officeDocument/2006/relationships/hyperlink" Target="https://www.sec.gov/Archives/edgar/data/1674930/000156459021042834/flgt-ex101_40.htm" TargetMode="External"/><Relationship Id="rId70" Type="http://schemas.openxmlformats.org/officeDocument/2006/relationships/hyperlink" Target="flgt-ex10_46.htm" TargetMode="External"/><Relationship Id="rId75" Type="http://schemas.openxmlformats.org/officeDocument/2006/relationships/hyperlink" Target="flgt-ex10_51.htm" TargetMode="Externa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file:///E:\projects\LLMs\new_data_collection\data_new\htm\Fulgent%20Genetics,%20Inc\img231266967_2.jpg" TargetMode="External"/><Relationship Id="rId15" Type="http://schemas.openxmlformats.org/officeDocument/2006/relationships/image" Target="file:///E:\projects\LLMs\new_data_collection\data_new\htm\Fulgent%20Genetics,%20Inc\img231266967_11.jpg" TargetMode="External"/><Relationship Id="rId23" Type="http://schemas.openxmlformats.org/officeDocument/2006/relationships/hyperlink" Target="flgt-ex4_3.htm" TargetMode="External"/><Relationship Id="rId28" Type="http://schemas.openxmlformats.org/officeDocument/2006/relationships/hyperlink" Target="https://www.sec.gov/Archives/edgar/data/1674930/000119312516700733/d360404dex105.htm" TargetMode="External"/><Relationship Id="rId36" Type="http://schemas.openxmlformats.org/officeDocument/2006/relationships/hyperlink" Target="https://www.sec.gov/Archives/edgar/data/1674930/000119312516700733/d360404dex1013.htm" TargetMode="External"/><Relationship Id="rId49" Type="http://schemas.openxmlformats.org/officeDocument/2006/relationships/hyperlink" Target="https://www.sec.gov/Archives/edgar/data/1674930/000156459020036257/flgt-ex11_7.htm" TargetMode="External"/><Relationship Id="rId57" Type="http://schemas.openxmlformats.org/officeDocument/2006/relationships/hyperlink" Target="https://www.sec.gov/Archives/edgar/data/1674930/000156459021011526/flgt-ex1035_90.htm" TargetMode="External"/><Relationship Id="rId10" Type="http://schemas.openxmlformats.org/officeDocument/2006/relationships/image" Target="file:///E:\projects\LLMs\new_data_collection\data_new\htm\Fulgent%20Genetics,%20Inc\img231266967_6.jpg" TargetMode="External"/><Relationship Id="rId31" Type="http://schemas.openxmlformats.org/officeDocument/2006/relationships/hyperlink" Target="https://www.sec.gov/Archives/edgar/data/1674930/000156459017004681/flgt-ex108_234.htm" TargetMode="External"/><Relationship Id="rId44" Type="http://schemas.openxmlformats.org/officeDocument/2006/relationships/hyperlink" Target="https://www.sec.gov/Archives/edgar/data/1674930/000156459017017670/flgt-ex101_346.htm" TargetMode="External"/><Relationship Id="rId52" Type="http://schemas.openxmlformats.org/officeDocument/2006/relationships/hyperlink" Target="https://www.sec.gov/Archives/edgar/data/1674930/000156459018014078/flgt-ex101_54.htm" TargetMode="External"/><Relationship Id="rId60" Type="http://schemas.openxmlformats.org/officeDocument/2006/relationships/hyperlink" Target="https://www.sec.gov/Archives/edgar/data/1674930/000156459021011526/flgt-ex1038_92.htm" TargetMode="External"/><Relationship Id="rId65" Type="http://schemas.openxmlformats.org/officeDocument/2006/relationships/hyperlink" Target="https://www.sec.gov/Archives/edgar/data/1674930/000156459022012215/flgt-ex101_7.htm" TargetMode="External"/><Relationship Id="rId73" Type="http://schemas.openxmlformats.org/officeDocument/2006/relationships/hyperlink" Target="flgt-ex10_49.htm" TargetMode="External"/><Relationship Id="rId78" Type="http://schemas.openxmlformats.org/officeDocument/2006/relationships/hyperlink" Target="flgt-ex23_1.htm" TargetMode="External"/><Relationship Id="rId81" Type="http://schemas.openxmlformats.org/officeDocument/2006/relationships/hyperlink" Target="flgt-ex32_1.htm" TargetMode="External"/><Relationship Id="rId4" Type="http://schemas.openxmlformats.org/officeDocument/2006/relationships/image" Target="file:///E:\projects\LLMs\new_data_collection\data_new\htm\Fulgent%20Genetics,%20Inc\img231266967_0.jpg" TargetMode="External"/><Relationship Id="rId9" Type="http://schemas.openxmlformats.org/officeDocument/2006/relationships/image" Target="file:///E:\projects\LLMs\new_data_collection\data_new\htm\Fulgent%20Genetics,%20Inc\img231266967_5.jpg" TargetMode="External"/><Relationship Id="rId13" Type="http://schemas.openxmlformats.org/officeDocument/2006/relationships/image" Target="file:///E:\projects\LLMs\new_data_collection\data_new\htm\Fulgent%20Genetics,%20Inc\img231266967_9.jpg" TargetMode="External"/><Relationship Id="rId18" Type="http://schemas.openxmlformats.org/officeDocument/2006/relationships/hyperlink" Target="https://www.sec.gov/Archives/edgar/data/1674930/000119312516700733/d360404dex311.htm" TargetMode="External"/><Relationship Id="rId39" Type="http://schemas.openxmlformats.org/officeDocument/2006/relationships/hyperlink" Target="https://www.sec.gov/Archives/edgar/data/1674930/000119312516700733/d360404dex1016.htm" TargetMode="External"/><Relationship Id="rId34" Type="http://schemas.openxmlformats.org/officeDocument/2006/relationships/hyperlink" Target="https://www.sec.gov/Archives/edgar/data/1674930/000119312516700733/d360404dex1011.htm" TargetMode="External"/><Relationship Id="rId50" Type="http://schemas.openxmlformats.org/officeDocument/2006/relationships/hyperlink" Target="https://www.sec.gov/Archives/edgar/data/1674930/000156459020044576/flgt-ex11_6.htm" TargetMode="External"/><Relationship Id="rId55" Type="http://schemas.openxmlformats.org/officeDocument/2006/relationships/hyperlink" Target="https://www.sec.gov/Archives/edgar/data/1674930/000156459020052530/flgt-ex102_9.htm" TargetMode="External"/><Relationship Id="rId76" Type="http://schemas.openxmlformats.org/officeDocument/2006/relationships/hyperlink" Target="flgt-ex10_52.htm" TargetMode="External"/><Relationship Id="rId7" Type="http://schemas.openxmlformats.org/officeDocument/2006/relationships/image" Target="file:///E:\projects\LLMs\new_data_collection\data_new\htm\Fulgent%20Genetics,%20Inc\img231266967_3.jpg" TargetMode="External"/><Relationship Id="rId71" Type="http://schemas.openxmlformats.org/officeDocument/2006/relationships/hyperlink" Target="https://www.sec.gov/Archives/edgar/data/1674930/000095017023000716/flgt-ex1_1.htm" TargetMode="External"/><Relationship Id="rId2" Type="http://schemas.openxmlformats.org/officeDocument/2006/relationships/settings" Target="settings.xml"/><Relationship Id="rId29" Type="http://schemas.openxmlformats.org/officeDocument/2006/relationships/hyperlink" Target="https://www.sec.gov/Archives/edgar/data/1674930/000119312516700733/d360404dex106.htm" TargetMode="External"/><Relationship Id="rId24" Type="http://schemas.openxmlformats.org/officeDocument/2006/relationships/hyperlink" Target="https://www.sec.gov/Archives/edgar/data/1674930/000119312516700733/d360404dex101.htm" TargetMode="External"/><Relationship Id="rId40" Type="http://schemas.openxmlformats.org/officeDocument/2006/relationships/hyperlink" Target="https://www.sec.gov/Archives/edgar/data/1674930/000119312516700733/d360404dex1017.htm" TargetMode="External"/><Relationship Id="rId45" Type="http://schemas.openxmlformats.org/officeDocument/2006/relationships/hyperlink" Target="https://www.sec.gov/Archives/edgar/data/1674930/000156459019031337/flgt-ex101_266.htm" TargetMode="External"/><Relationship Id="rId66" Type="http://schemas.openxmlformats.org/officeDocument/2006/relationships/hyperlink" Target="https://www.sec.gov/Archives/edgar/data/1674930/000156459022015730/flgt-ex21_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76278</Words>
  <Characters>434791</Characters>
  <Application>Microsoft Office Word</Application>
  <DocSecurity>0</DocSecurity>
  <Lines>3623</Lines>
  <Paragraphs>1020</Paragraphs>
  <ScaleCrop>false</ScaleCrop>
  <Company/>
  <LinksUpToDate>false</LinksUpToDate>
  <CharactersWithSpaces>510049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10-K</dc:title>
  <dc:subject/>
  <dc:creator>Chongjian.Yue</dc:creator>
  <cp:keywords/>
  <dc:description/>
  <cp:lastModifiedBy>Yue Chongjian</cp:lastModifiedBy>
  <cp:revision>1</cp:revision>
  <dcterms:created xsi:type="dcterms:W3CDTF">2024-01-04T15:44:00Z</dcterms:created>
  <dcterms:modified xsi:type="dcterms:W3CDTF">2024-01-04T15:44:00Z</dcterms:modified>
</cp:coreProperties>
</file>