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A246B">
      <w:pPr>
        <w:divId w:val="243802146"/>
        <w:rPr>
          <w:rFonts w:eastAsia="Times New Roman"/>
          <w:vanish/>
        </w:rPr>
      </w:pPr>
      <w:r>
        <w:rPr>
          <w:rFonts w:eastAsia="Times New Roman"/>
          <w:vanish/>
        </w:rPr>
        <w:t>--12-31Q120220000893847FALSEhttp://fasb.org/us-gaap/2021-01-31#PropertyPlantAndEquipmentNet00008938472022-01-012022-03-3100008938472022-05-10xbrli:shares00008938472022-03-31iso4217:USD00008938472021-12-31iso4217:USDxbrli:shares0000893847</w:t>
      </w:r>
      <w:r>
        <w:rPr>
          <w:rFonts w:eastAsia="Times New Roman"/>
          <w:vanish/>
        </w:rPr>
        <w:t>2021-01-012021-03-310000893847us-gaap:ServiceMember2022-01-012022-03-310000893847us-gaap:ServiceMember2021-01-012021-03-310000893847us-gaap:BankingMember2022-01-012022-03-310000893847us-gaap:BankingMember2021-01-012021-03-310000893847us-gaap:FiduciaryAndTr</w:t>
      </w:r>
      <w:r>
        <w:rPr>
          <w:rFonts w:eastAsia="Times New Roman"/>
          <w:vanish/>
        </w:rPr>
        <w:t>ustMember2022-01-012022-03-310000893847us-gaap:FiduciaryAndTrustMember2021-01-012021-03-310000893847us-gaap:BankServicingMember2022-01-012022-03-310000893847us-gaap:BankServicingMember2021-01-012021-03-310000893847us-gaap:CommonStockMember2021-12-310000893</w:t>
      </w:r>
      <w:r>
        <w:rPr>
          <w:rFonts w:eastAsia="Times New Roman"/>
          <w:vanish/>
        </w:rPr>
        <w:t>847us-gaap:AdditionalPaidInCapitalMember2021-12-310000893847us-gaap:RetainedEarningsMember2021-12-310000893847us-gaap:AccumulatedOtherComprehensiveIncomeMember2021-12-310000893847us-gaap:TreasuryStockMember2021-12-310000893847us-gaap:RetainedEarningsMember</w:t>
      </w:r>
      <w:r>
        <w:rPr>
          <w:rFonts w:eastAsia="Times New Roman"/>
          <w:vanish/>
        </w:rPr>
        <w:t>2022-01-012022-03-310000893847us-gaap:AccumulatedOtherComprehensiveIncomeMember2022-01-012022-03-310000893847us-gaap:TreasuryStockMember2022-01-012022-03-310000893847us-gaap:CommonStockMember2022-03-310000893847us-gaap:AdditionalPaidInCapitalMember2022-03-</w:t>
      </w:r>
      <w:r>
        <w:rPr>
          <w:rFonts w:eastAsia="Times New Roman"/>
          <w:vanish/>
        </w:rPr>
        <w:t>310000893847us-gaap:RetainedEarningsMember2022-03-310000893847us-gaap:AccumulatedOtherComprehensiveIncomeMember2022-03-310000893847us-gaap:TreasuryStockMember2022-03-310000893847us-gaap:CommonStockMember2020-12-310000893847us-gaap:AdditionalPaidInCapitalMe</w:t>
      </w:r>
      <w:r>
        <w:rPr>
          <w:rFonts w:eastAsia="Times New Roman"/>
          <w:vanish/>
        </w:rPr>
        <w:t>mber2020-12-310000893847us-gaap:RetainedEarningsMember2020-12-310000893847us-gaap:AccumulatedOtherComprehensiveIncomeMember2020-12-310000893847us-gaap:TreasuryStockMember2020-12-3100008938472020-12-310000893847us-gaap:RetainedEarningsMember2021-01-012021-0</w:t>
      </w:r>
      <w:r>
        <w:rPr>
          <w:rFonts w:eastAsia="Times New Roman"/>
          <w:vanish/>
        </w:rPr>
        <w:t>3-310000893847us-gaap:AccumulatedOtherComprehensiveIncomeMember2021-01-012021-03-310000893847us-gaap:TreasuryStockMember2021-01-012021-03-310000893847us-gaap:CommonStockMember2021-03-310000893847us-gaap:AdditionalPaidInCapitalMember2021-03-310000893847us-g</w:t>
      </w:r>
      <w:r>
        <w:rPr>
          <w:rFonts w:eastAsia="Times New Roman"/>
          <w:vanish/>
        </w:rPr>
        <w:t>aap:RetainedEarningsMember2021-03-310000893847us-gaap:AccumulatedOtherComprehensiveIncomeMember2021-03-310000893847us-gaap:TreasuryStockMember2021-03-3100008938472021-03-3100008938472021-07-012021-07-01xbrli:pure0000893847hwbk:CommercialFinancialAndAgricul</w:t>
      </w:r>
      <w:r>
        <w:rPr>
          <w:rFonts w:eastAsia="Times New Roman"/>
          <w:vanish/>
        </w:rPr>
        <w:t>turalPortfolioSegmentMember2022-03-310000893847hwbk:CommercialFinancialAndAgriculturalPortfolioSegmentMember2021-12-310000893847hwbk:ResidentialRealEstatePortfolioSegmentMemberus-gaap:ConstructionLoansMember2022-03-310000893847hwbk:ResidentialRealEstatePor</w:t>
      </w:r>
      <w:r>
        <w:rPr>
          <w:rFonts w:eastAsia="Times New Roman"/>
          <w:vanish/>
        </w:rPr>
        <w:t>tfolioSegmentMemberus-gaap:ConstructionLoansMember2021-12-310000893847us-gaap:CommercialRealEstatePortfolioSegmentMemberus-gaap:ConstructionLoansMember2022-03-310000893847us-gaap:CommercialRealEstatePortfolioSegmentMemberus-gaap:ConstructionLoansMember2021</w:t>
      </w:r>
      <w:r>
        <w:rPr>
          <w:rFonts w:eastAsia="Times New Roman"/>
          <w:vanish/>
        </w:rPr>
        <w:t>-12-310000893847us-gaap:MortgagesMemberhwbk:ResidentialRealEstatePortfolioSegmentMember2022-03-310000893847us-gaap:MortgagesMemberhwbk:ResidentialRealEstatePortfolioSegmentMember2021-12-310000893847us-gaap:MortgagesMemberus-gaap:CommercialRealEstatePortfol</w:t>
      </w:r>
      <w:r>
        <w:rPr>
          <w:rFonts w:eastAsia="Times New Roman"/>
          <w:vanish/>
        </w:rPr>
        <w:t>ioSegmentMember2022-03-310000893847us-gaap:MortgagesMemberus-gaap:CommercialRealEstatePortfolioSegmentMember2021-12-310000893847hwbk:InstallmentAndOtherConsumerPortfolioSegmentMember2022-03-310000893847hwbk:InstallmentAndOtherConsumerPortfolioSegmentMember</w:t>
      </w:r>
      <w:r>
        <w:rPr>
          <w:rFonts w:eastAsia="Times New Roman"/>
          <w:vanish/>
        </w:rPr>
        <w:t>2021-12-310000893847hwbk:ResidentialRealEstatePortfolioSegmentMember2021-12-310000893847us-gaap:UnallocatedFinancingReceivablesMember2021-12-310000893847hwbk:CommercialFinancialAndAgriculturalPortfolioSegmentMember2022-01-012022-03-310000893847hwbk:Residen</w:t>
      </w:r>
      <w:r>
        <w:rPr>
          <w:rFonts w:eastAsia="Times New Roman"/>
          <w:vanish/>
        </w:rPr>
        <w:t>tialRealEstatePortfolioSegmentMemberus-gaap:ConstructionLoansMember2022-01-012022-03-310000893847us-gaap:CommercialRealEstatePortfolioSegmentMemberus-gaap:ConstructionLoansMember2022-01-012022-03-310000893847us-gaap:MortgagesMemberhwbk:ResidentialRealEstat</w:t>
      </w:r>
      <w:r>
        <w:rPr>
          <w:rFonts w:eastAsia="Times New Roman"/>
          <w:vanish/>
        </w:rPr>
        <w:t>ePortfolioSegmentMember2022-01-012022-03-310000893847us-gaap:MortgagesMemberus-gaap:CommercialRealEstatePortfolioSegmentMember2022-01-012022-03-310000893847hwbk:InstallmentAndOtherConsumerPortfolioSegmentMember2022-01-012022-03-310000893847us-gaap:Unalloca</w:t>
      </w:r>
      <w:r>
        <w:rPr>
          <w:rFonts w:eastAsia="Times New Roman"/>
          <w:vanish/>
        </w:rPr>
        <w:t>tedFinancingReceivablesMember2022-01-012022-03-310000893847us-gaap:UnallocatedFinancingReceivablesMember2022-03-310000893847hwbk:CommercialFinancialAndAgriculturalPortfolioSegmentMember2020-12-310000893847hwbk:ResidentialRealEstatePortfolioSegmentMemberus-</w:t>
      </w:r>
      <w:r>
        <w:rPr>
          <w:rFonts w:eastAsia="Times New Roman"/>
          <w:vanish/>
        </w:rPr>
        <w:t>gaap:ConstructionLoansMember2020-12-310000893847us-gaap:CommercialRealEstatePortfolioSegmentMemberus-gaap:ConstructionLoansMember2020-12-310000893847us-gaap:MortgagesMemberhwbk:ResidentialRealEstatePortfolioSegmentMember2020-12-310000893847us-gaap:Mortgage</w:t>
      </w:r>
      <w:r>
        <w:rPr>
          <w:rFonts w:eastAsia="Times New Roman"/>
          <w:vanish/>
        </w:rPr>
        <w:t>sMemberus-gaap:CommercialRealEstatePortfolioSegmentMember2020-12-310000893847hwbk:InstallmentAndOtherConsumerPortfolioSegmentMember2020-12-310000893847us-gaap:UnallocatedFinancingReceivablesMember2020-12-310000893847hwbk:CommercialFinancialAndAgriculturalP</w:t>
      </w:r>
      <w:r>
        <w:rPr>
          <w:rFonts w:eastAsia="Times New Roman"/>
          <w:vanish/>
        </w:rPr>
        <w:t>ortfolioSegmentMember2021-01-012021-03-310000893847hwbk:ResidentialRealEstatePortfolioSegmentMemberus-gaap:ConstructionLoansMember2021-01-012021-03-310000893847us-gaap:CommercialRealEstatePortfolioSegmentMemberus-gaap:ConstructionLoansMember2021-01-012021-</w:t>
      </w:r>
      <w:r>
        <w:rPr>
          <w:rFonts w:eastAsia="Times New Roman"/>
          <w:vanish/>
        </w:rPr>
        <w:t>03-310000893847us-gaap:MortgagesMemberhwbk:ResidentialRealEstatePortfolioSegmentMember2021-01-012021-03-310000893847us-gaap:MortgagesMemberus-gaap:CommercialRealEstatePortfolioSegmentMember2021-01-012021-03-310000893847hwbk:InstallmentAndOtherConsumerPortf</w:t>
      </w:r>
      <w:r>
        <w:rPr>
          <w:rFonts w:eastAsia="Times New Roman"/>
          <w:vanish/>
        </w:rPr>
        <w:t>olioSegmentMember2021-01-012021-03-310000893847us-gaap:UnallocatedFinancingReceivablesMember2021-01-012021-03-310000893847hwbk:CommercialFinancialAndAgriculturalPortfolioSegmentMember2021-03-310000893847hwbk:ResidentialRealEstatePortfolioSegmentMemberus-ga</w:t>
      </w:r>
      <w:r>
        <w:rPr>
          <w:rFonts w:eastAsia="Times New Roman"/>
          <w:vanish/>
        </w:rPr>
        <w:t>ap:ConstructionLoansMember2021-03-310000893847us-gaap:CommercialRealEstatePortfolioSegmentMemberus-gaap:ConstructionLoansMember2021-03-310000893847us-gaap:MortgagesMemberhwbk:ResidentialRealEstatePortfolioSegmentMember2021-03-310000893847us-gaap:MortgagesM</w:t>
      </w:r>
      <w:r>
        <w:rPr>
          <w:rFonts w:eastAsia="Times New Roman"/>
          <w:vanish/>
        </w:rPr>
        <w:t>emberus-gaap:CommercialRealEstatePortfolioSegmentMember2021-03-310000893847hwbk:InstallmentAndOtherConsumerPortfolioSegmentMember2021-03-310000893847us-gaap:UnallocatedFinancingReceivablesMember2021-03-3100008938472020-01-012020-12-3100008938472021-01-0120</w:t>
      </w:r>
      <w:r>
        <w:rPr>
          <w:rFonts w:eastAsia="Times New Roman"/>
          <w:vanish/>
        </w:rPr>
        <w:t>21-12-310000893847hwbk:ResidentialRealEstatePortfolioSegmentMember2022-03-310000893847us-gaap:CommercialRealEstatePortfolioSegmentMember2022-03-310000893847us-gaap:CommercialRealEstatePortfolioSegmentMember2021-12-310000893847us-gaap:CommercialRealEstatePo</w:t>
      </w:r>
      <w:r>
        <w:rPr>
          <w:rFonts w:eastAsia="Times New Roman"/>
          <w:vanish/>
        </w:rPr>
        <w:t>rtfolioSegmentMember2022-01-012022-03-310000893847us-gaap:CommercialRealEstatePortfolioSegmentMember2021-01-012021-03-310000893847us-gaap:FinancialAssetNotPastDueMemberhwbk:CommercialFinancialAndAgriculturalPortfolioSegmentMember2022-03-310000893847hwbk:Co</w:t>
      </w:r>
      <w:r>
        <w:rPr>
          <w:rFonts w:eastAsia="Times New Roman"/>
          <w:vanish/>
        </w:rPr>
        <w:t>mmercialFinancialAndAgriculturalPortfolioSegmentMemberus-gaap:FinancialAssetPastDueMember2022-03-310000893847us-gaap:FinancialAssetNotPastDueMemberhwbk:ResidentialRealEstatePortfolioSegmentMemberus-gaap:ConstructionLoansMember2022-03-310000893847us-gaap:Fi</w:t>
      </w:r>
      <w:r>
        <w:rPr>
          <w:rFonts w:eastAsia="Times New Roman"/>
          <w:vanish/>
        </w:rPr>
        <w:t>nancialAssetPastDueMemberhwbk:ResidentialRealEstatePortfolioSegmentMemberus-gaap:ConstructionLoansMember2022-03-310000893847us-gaap:FinancialAssetNotPastDueMemberus-gaap:CommercialRealEstatePortfolioSegmentMemberus-gaap:ConstructionLoansMember2022-03-31000</w:t>
      </w:r>
      <w:r>
        <w:rPr>
          <w:rFonts w:eastAsia="Times New Roman"/>
          <w:vanish/>
        </w:rPr>
        <w:t>0893847us-gaap:FinancialAssetPastDueMemberus-gaap:CommercialRealEstatePortfolioSegmentMemberus-gaap:ConstructionLoansMember2022-03-310000893847us-gaap:MortgagesMemberus-gaap:FinancialAssetNotPastDueMemberhwbk:ResidentialRealEstatePortfolioSegmentMember2022</w:t>
      </w:r>
      <w:r>
        <w:rPr>
          <w:rFonts w:eastAsia="Times New Roman"/>
          <w:vanish/>
        </w:rPr>
        <w:t>-03-310000893847us-gaap:MortgagesMemberus-gaap:FinancialAssetPastDueMemberhwbk:ResidentialRealEstatePortfolioSegmentMember2022-03-310000893847us-gaap:MortgagesMemberus-gaap:FinancialAssetNotPastDueMemberus-gaap:CommercialRealEstatePortfolioSegmentMember202</w:t>
      </w:r>
      <w:r>
        <w:rPr>
          <w:rFonts w:eastAsia="Times New Roman"/>
          <w:vanish/>
        </w:rPr>
        <w:t>2-03-310000893847us-gaap:MortgagesMemberus-gaap:FinancialAssetPastDueMemberus-gaap:CommercialRealEstatePortfolioSegmentMember2022-03-310000893847us-gaap:FinancialAssetNotPastDueMemberhwbk:InstallmentAndOtherConsumerPortfolioSegmentMember2022-03-31000089384</w:t>
      </w:r>
      <w:r>
        <w:rPr>
          <w:rFonts w:eastAsia="Times New Roman"/>
          <w:vanish/>
        </w:rPr>
        <w:t>7us-gaap:FinancialAssetPastDueMemberhwbk:InstallmentAndOtherConsumerPortfolioSegmentMember2022-03-310000893847us-gaap:FinancialAssetNotPastDueMember2022-03-310000893847us-gaap:FinancialAssetPastDueMember2022-03-310000893847us-gaap:FinancialAssetNotPastDueM</w:t>
      </w:r>
      <w:r>
        <w:rPr>
          <w:rFonts w:eastAsia="Times New Roman"/>
          <w:vanish/>
        </w:rPr>
        <w:t>emberhwbk:CommercialFinancialAndAgriculturalPortfolioSegmentMember2021-12-310000893847hwbk:CommercialFinancialAndAgriculturalPortfolioSegmentMemberus-gaap:FinancialAssetPastDueMember2021-12-310000893847us-gaap:FinancialAssetNotPastDueMemberhwbk:Residential</w:t>
      </w:r>
      <w:r>
        <w:rPr>
          <w:rFonts w:eastAsia="Times New Roman"/>
          <w:vanish/>
        </w:rPr>
        <w:t>RealEstatePortfolioSegmentMemberus-gaap:ConstructionLoansMember2021-12-310000893847us-gaap:FinancialAssetPastDueMemberhwbk:ResidentialRealEstatePortfolioSegmentMemberus-gaap:ConstructionLoansMember2021-12-310000893847us-gaap:FinancialAssetNotPastDueMemberu</w:t>
      </w:r>
      <w:r>
        <w:rPr>
          <w:rFonts w:eastAsia="Times New Roman"/>
          <w:vanish/>
        </w:rPr>
        <w:t>s-gaap:CommercialRealEstatePortfolioSegmentMemberus-gaap:ConstructionLoansMember2021-12-310000893847us-gaap:FinancialAssetPastDueMemberus-gaap:CommercialRealEstatePortfolioSegmentMemberus-gaap:ConstructionLoansMember2021-12-310000893847us-gaap:MortgagesMem</w:t>
      </w:r>
      <w:r>
        <w:rPr>
          <w:rFonts w:eastAsia="Times New Roman"/>
          <w:vanish/>
        </w:rPr>
        <w:t>berus-gaap:FinancialAssetNotPastDueMemberhwbk:ResidentialRealEstatePortfolioSegmentMember2021-12-310000893847us-gaap:MortgagesMemberus-gaap:FinancialAssetPastDueMemberhwbk:ResidentialRealEstatePortfolioSegmentMember2021-12-310000893847us-gaap:MortgagesMemb</w:t>
      </w:r>
      <w:r>
        <w:rPr>
          <w:rFonts w:eastAsia="Times New Roman"/>
          <w:vanish/>
        </w:rPr>
        <w:t>erus-gaap:FinancialAssetNotPastDueMemberus-gaap:CommercialRealEstatePortfolioSegmentMember2021-12-310000893847us-gaap:MortgagesMemberus-gaap:FinancialAssetPastDueMemberus-gaap:CommercialRealEstatePortfolioSegmentMember2021-12-310000893847us-gaap:FinancialA</w:t>
      </w:r>
      <w:r>
        <w:rPr>
          <w:rFonts w:eastAsia="Times New Roman"/>
          <w:vanish/>
        </w:rPr>
        <w:t>ssetNotPastDueMemberhwbk:InstallmentAndOtherConsumerPortfolioSegmentMember2021-12-310000893847us-gaap:FinancialAssetPastDueMemberhwbk:InstallmentAndOtherConsumerPortfolioSegmentMember2021-12-310000893847us-gaap:FinancialAssetNotPastDueMember2021-12-3100008</w:t>
      </w:r>
      <w:r>
        <w:rPr>
          <w:rFonts w:eastAsia="Times New Roman"/>
          <w:vanish/>
        </w:rPr>
        <w:t>93847us-gaap:FinancialAssetPastDueMember2021-12-310000893847hwbk:CommercialFinancialAndAgriculturalPortfolioSegmentMemberus-gaap:SpecialMentionMember2022-03-310000893847hwbk:ResidentialRealEstatePortfolioSegmentMemberus-gaap:SpecialMentionMemberus-gaap:Con</w:t>
      </w:r>
      <w:r>
        <w:rPr>
          <w:rFonts w:eastAsia="Times New Roman"/>
          <w:vanish/>
        </w:rPr>
        <w:t>structionLoansMember2022-03-310000893847us-gaap:CommercialRealEstatePortfolioSegmentMemberus-gaap:SpecialMentionMemberus-gaap:ConstructionLoansMember2022-03-310000893847us-gaap:MortgagesMemberhwbk:ResidentialRealEstatePortfolioSegmentMemberus-gaap:SpecialM</w:t>
      </w:r>
      <w:r>
        <w:rPr>
          <w:rFonts w:eastAsia="Times New Roman"/>
          <w:vanish/>
        </w:rPr>
        <w:t>entionMember2022-03-310000893847us-gaap:MortgagesMemberus-gaap:CommercialRealEstatePortfolioSegmentMemberus-gaap:SpecialMentionMember2022-03-310000893847us-gaap:SpecialMentionMemberhwbk:InstallmentAndOtherConsumerPortfolioSegmentMember2022-03-310000893847u</w:t>
      </w:r>
      <w:r>
        <w:rPr>
          <w:rFonts w:eastAsia="Times New Roman"/>
          <w:vanish/>
        </w:rPr>
        <w:t>s-gaap:SpecialMentionMember2022-03-310000893847hwbk:CommercialFinancialAndAgriculturalPortfolioSegmentMemberus-gaap:SubstandardMember2022-03-310000893847us-gaap:SubstandardMemberhwbk:ResidentialRealEstatePortfolioSegmentMemberus-gaap:ConstructionLoansMembe</w:t>
      </w:r>
      <w:r>
        <w:rPr>
          <w:rFonts w:eastAsia="Times New Roman"/>
          <w:vanish/>
        </w:rPr>
        <w:t>r2022-03-310000893847us-gaap:SubstandardMemberus-gaap:CommercialRealEstatePortfolioSegmentMemberus-gaap:ConstructionLoansMember2022-03-310000893847us-gaap:MortgagesMemberus-gaap:SubstandardMemberhwbk:ResidentialRealEstatePortfolioSegmentMember2022-03-31000</w:t>
      </w:r>
      <w:r>
        <w:rPr>
          <w:rFonts w:eastAsia="Times New Roman"/>
          <w:vanish/>
        </w:rPr>
        <w:t>0893847us-gaap:MortgagesMemberus-gaap:SubstandardMemberus-gaap:CommercialRealEstatePortfolioSegmentMember2022-03-310000893847us-gaap:SubstandardMemberhwbk:InstallmentAndOtherConsumerPortfolioSegmentMember2022-03-310000893847us-gaap:SubstandardMember2022-03</w:t>
      </w:r>
      <w:r>
        <w:rPr>
          <w:rFonts w:eastAsia="Times New Roman"/>
          <w:vanish/>
        </w:rPr>
        <w:t>-310000893847us-gaap:PerformingFinancingReceivableMemberhwbk:CommercialFinancialAndAgriculturalPortfolioSegmentMember2022-03-310000893847us-gaap:PerformingFinancingReceivableMemberhwbk:ResidentialRealEstatePortfolioSegmentMemberus-gaap:ConstructionLoansMem</w:t>
      </w:r>
      <w:r>
        <w:rPr>
          <w:rFonts w:eastAsia="Times New Roman"/>
          <w:vanish/>
        </w:rPr>
        <w:t>ber2022-03-310000893847us-gaap:PerformingFinancingReceivableMemberus-gaap:CommercialRealEstatePortfolioSegmentMemberus-gaap:ConstructionLoansMember2022-03-310000893847us-gaap:PerformingFinancingReceivableMemberus-gaap:MortgagesMemberhwbk:ResidentialRealEst</w:t>
      </w:r>
      <w:r>
        <w:rPr>
          <w:rFonts w:eastAsia="Times New Roman"/>
          <w:vanish/>
        </w:rPr>
        <w:t>atePortfolioSegmentMember2022-03-310000893847us-gaap:PerformingFinancingReceivableMemberus-gaap:MortgagesMemberus-gaap:CommercialRealEstatePortfolioSegmentMember2022-03-310000893847us-gaap:PerformingFinancingReceivableMemberhwbk:InstallmentAndOtherConsumer</w:t>
      </w:r>
      <w:r>
        <w:rPr>
          <w:rFonts w:eastAsia="Times New Roman"/>
          <w:vanish/>
        </w:rPr>
        <w:t>PortfolioSegmentMember2022-03-310000893847us-gaap:PerformingFinancingReceivableMember2022-03-310000893847hwbk:CommercialFinancialAndAgriculturalPortfolioSegmentMemberhwbk:NonaccrualFinancingReceivableMember2022-03-310000893847hwbk:ResidentialRealEstatePort</w:t>
      </w:r>
      <w:r>
        <w:rPr>
          <w:rFonts w:eastAsia="Times New Roman"/>
          <w:vanish/>
        </w:rPr>
        <w:t>folioSegmentMemberhwbk:NonaccrualFinancingReceivableMemberus-gaap:ConstructionLoansMember2022-03-310000893847us-gaap:CommercialRealEstatePortfolioSegmentMemberhwbk:NonaccrualFinancingReceivableMemberus-gaap:ConstructionLoansMember2022-03-310000893847us-gaa</w:t>
      </w:r>
      <w:r>
        <w:rPr>
          <w:rFonts w:eastAsia="Times New Roman"/>
          <w:vanish/>
        </w:rPr>
        <w:t>p:MortgagesMemberhwbk:ResidentialRealEstatePortfolioSegmentMemberhwbk:NonaccrualFinancingReceivableMember2022-03-310000893847us-gaap:MortgagesMemberus-gaap:CommercialRealEstatePortfolioSegmentMemberhwbk:NonaccrualFinancingReceivableMember2022-03-3100008938</w:t>
      </w:r>
      <w:r>
        <w:rPr>
          <w:rFonts w:eastAsia="Times New Roman"/>
          <w:vanish/>
        </w:rPr>
        <w:t>47hwbk:NonaccrualFinancingReceivableMemberhwbk:InstallmentAndOtherConsumerPortfolioSegmentMember2022-03-310000893847hwbk:NonaccrualFinancingReceivableMember2022-03-310000893847hwbk:LoansInRiskCategoriesMemberhwbk:CommercialFinancialAndAgriculturalPortfolio</w:t>
      </w:r>
      <w:r>
        <w:rPr>
          <w:rFonts w:eastAsia="Times New Roman"/>
          <w:vanish/>
        </w:rPr>
        <w:t>SegmentMember2022-03-310000893847hwbk:LoansInRiskCategoriesMemberhwbk:ResidentialRealEstatePortfolioSegmentMemberus-gaap:ConstructionLoansMember2022-03-310000893847hwbk:LoansInRiskCategoriesMemberus-gaap:CommercialRealEstatePortfolioSegmentMemberus-gaap:Co</w:t>
      </w:r>
      <w:r>
        <w:rPr>
          <w:rFonts w:eastAsia="Times New Roman"/>
          <w:vanish/>
        </w:rPr>
        <w:t>nstructionLoansMember2022-03-310000893847hwbk:LoansInRiskCategoriesMemberus-gaap:MortgagesMemberhwbk:ResidentialRealEstatePortfolioSegmentMember2022-03-310000893847hwbk:LoansInRiskCategoriesMemberus-gaap:MortgagesMemberus-gaap:CommercialRealEstatePortfolio</w:t>
      </w:r>
      <w:r>
        <w:rPr>
          <w:rFonts w:eastAsia="Times New Roman"/>
          <w:vanish/>
        </w:rPr>
        <w:t>SegmentMember2022-03-310000893847hwbk:LoansInRiskCategoriesMemberhwbk:InstallmentAndOtherConsumerPortfolioSegmentMember2022-03-310000893847hwbk:LoansInRiskCategoriesMember2022-03-310000893847hwbk:CommercialFinancialAndAgriculturalPortfolioSegmentMemberus-g</w:t>
      </w:r>
      <w:r>
        <w:rPr>
          <w:rFonts w:eastAsia="Times New Roman"/>
          <w:vanish/>
        </w:rPr>
        <w:t>aap:SpecialMentionMember2021-12-310000893847hwbk:ResidentialRealEstatePortfolioSegmentMemberus-gaap:SpecialMentionMemberus-gaap:ConstructionLoansMember2021-12-310000893847us-gaap:CommercialRealEstatePortfolioSegmentMemberus-gaap:SpecialMentionMemberus-gaap</w:t>
      </w:r>
      <w:r>
        <w:rPr>
          <w:rFonts w:eastAsia="Times New Roman"/>
          <w:vanish/>
        </w:rPr>
        <w:t>:ConstructionLoansMember2021-12-310000893847us-gaap:MortgagesMemberhwbk:ResidentialRealEstatePortfolioSegmentMemberus-gaap:SpecialMentionMember2021-12-310000893847us-gaap:MortgagesMemberus-gaap:CommercialRealEstatePortfolioSegmentMemberus-gaap:SpecialMenti</w:t>
      </w:r>
      <w:r>
        <w:rPr>
          <w:rFonts w:eastAsia="Times New Roman"/>
          <w:vanish/>
        </w:rPr>
        <w:t>onMember2021-12-310000893847us-gaap:SpecialMentionMemberhwbk:InstallmentAndOtherConsumerPortfolioSegmentMember2021-12-310000893847us-gaap:SpecialMentionMember2021-12-310000893847hwbk:CommercialFinancialAndAgriculturalPortfolioSegmentMemberus-gaap:Substanda</w:t>
      </w:r>
      <w:r>
        <w:rPr>
          <w:rFonts w:eastAsia="Times New Roman"/>
          <w:vanish/>
        </w:rPr>
        <w:t>rdMember2021-12-310000893847us-gaap:SubstandardMemberhwbk:ResidentialRealEstatePortfolioSegmentMemberus-gaap:ConstructionLoansMember2021-12-310000893847us-gaap:SubstandardMemberus-gaap:CommercialRealEstatePortfolioSegmentMemberus-gaap:ConstructionLoansMemb</w:t>
      </w:r>
      <w:r>
        <w:rPr>
          <w:rFonts w:eastAsia="Times New Roman"/>
          <w:vanish/>
        </w:rPr>
        <w:t>er2021-12-310000893847us-gaap:MortgagesMemberus-gaap:SubstandardMemberhwbk:ResidentialRealEstatePortfolioSegmentMember2021-12-310000893847us-gaap:MortgagesMemberus-gaap:SubstandardMemberus-gaap:CommercialRealEstatePortfolioSegmentMember2021-12-310000893847</w:t>
      </w:r>
      <w:r>
        <w:rPr>
          <w:rFonts w:eastAsia="Times New Roman"/>
          <w:vanish/>
        </w:rPr>
        <w:t>us-gaap:SubstandardMemberhwbk:InstallmentAndOtherConsumerPortfolioSegmentMember2021-12-310000893847us-gaap:SubstandardMember2021-12-310000893847us-gaap:PerformingFinancingReceivableMemberhwbk:CommercialFinancialAndAgriculturalPortfolioSegmentMember2021-12-</w:t>
      </w:r>
      <w:r>
        <w:rPr>
          <w:rFonts w:eastAsia="Times New Roman"/>
          <w:vanish/>
        </w:rPr>
        <w:t>310000893847us-gaap:PerformingFinancingReceivableMemberhwbk:ResidentialRealEstatePortfolioSegmentMemberus-gaap:ConstructionLoansMember2021-12-310000893847us-gaap:PerformingFinancingReceivableMemberus-gaap:CommercialRealEstatePortfolioSegmentMemberus-gaap:C</w:t>
      </w:r>
      <w:r>
        <w:rPr>
          <w:rFonts w:eastAsia="Times New Roman"/>
          <w:vanish/>
        </w:rPr>
        <w:t>onstructionLoansMember2021-12-310000893847us-gaap:PerformingFinancingReceivableMemberus-gaap:MortgagesMemberhwbk:ResidentialRealEstatePortfolioSegmentMember2021-12-310000893847us-gaap:PerformingFinancingReceivableMemberus-gaap:MortgagesMemberus-gaap:Commer</w:t>
      </w:r>
      <w:r>
        <w:rPr>
          <w:rFonts w:eastAsia="Times New Roman"/>
          <w:vanish/>
        </w:rPr>
        <w:t>cialRealEstatePortfolioSegmentMember2021-12-310000893847us-gaap:PerformingFinancingReceivableMemberhwbk:InstallmentAndOtherConsumerPortfolioSegmentMember2021-12-310000893847us-gaap:PerformingFinancingReceivableMember2021-12-310000893847hwbk:CommercialFinan</w:t>
      </w:r>
      <w:r>
        <w:rPr>
          <w:rFonts w:eastAsia="Times New Roman"/>
          <w:vanish/>
        </w:rPr>
        <w:t>cialAndAgriculturalPortfolioSegmentMemberhwbk:NonaccrualFinancingReceivableMember2021-12-310000893847hwbk:ResidentialRealEstatePortfolioSegmentMemberhwbk:NonaccrualFinancingReceivableMemberus-gaap:ConstructionLoansMember2021-12-310000893847us-gaap:Commerci</w:t>
      </w:r>
      <w:r>
        <w:rPr>
          <w:rFonts w:eastAsia="Times New Roman"/>
          <w:vanish/>
        </w:rPr>
        <w:t>alRealEstatePortfolioSegmentMemberhwbk:NonaccrualFinancingReceivableMemberus-gaap:ConstructionLoansMember2021-12-310000893847us-gaap:MortgagesMemberhwbk:ResidentialRealEstatePortfolioSegmentMemberhwbk:NonaccrualFinancingReceivableMember2021-12-310000893847</w:t>
      </w:r>
      <w:r>
        <w:rPr>
          <w:rFonts w:eastAsia="Times New Roman"/>
          <w:vanish/>
        </w:rPr>
        <w:t>us-gaap:MortgagesMemberus-gaap:CommercialRealEstatePortfolioSegmentMemberhwbk:NonaccrualFinancingReceivableMember2021-12-310000893847hwbk:NonaccrualFinancingReceivableMemberhwbk:InstallmentAndOtherConsumerPortfolioSegmentMember2021-12-310000893847hwbk:Nona</w:t>
      </w:r>
      <w:r>
        <w:rPr>
          <w:rFonts w:eastAsia="Times New Roman"/>
          <w:vanish/>
        </w:rPr>
        <w:t>ccrualFinancingReceivableMember2021-12-310000893847hwbk:LoansInRiskCategoriesMemberhwbk:CommercialFinancialAndAgriculturalPortfolioSegmentMember2021-12-310000893847hwbk:LoansInRiskCategoriesMemberhwbk:ResidentialRealEstatePortfolioSegmentMemberus-gaap:Cons</w:t>
      </w:r>
      <w:r>
        <w:rPr>
          <w:rFonts w:eastAsia="Times New Roman"/>
          <w:vanish/>
        </w:rPr>
        <w:t>tructionLoansMember2021-12-310000893847hwbk:LoansInRiskCategoriesMemberus-gaap:CommercialRealEstatePortfolioSegmentMemberus-gaap:ConstructionLoansMember2021-12-310000893847hwbk:LoansInRiskCategoriesMemberus-gaap:MortgagesMemberhwbk:ResidentialRealEstatePor</w:t>
      </w:r>
      <w:r>
        <w:rPr>
          <w:rFonts w:eastAsia="Times New Roman"/>
          <w:vanish/>
        </w:rPr>
        <w:t>tfolioSegmentMember2021-12-310000893847hwbk:LoansInRiskCategoriesMemberus-gaap:MortgagesMemberus-gaap:CommercialRealEstatePortfolioSegmentMember2021-12-310000893847hwbk:LoansInRiskCategoriesMemberhwbk:InstallmentAndOtherConsumerPortfolioSegmentMember2021-1</w:t>
      </w:r>
      <w:r>
        <w:rPr>
          <w:rFonts w:eastAsia="Times New Roman"/>
          <w:vanish/>
        </w:rPr>
        <w:t>2-310000893847hwbk:LoansInRiskCategoriesMember2021-12-310000893847us-gaap:NonperformingFinancingReceivableMember2022-03-310000893847us-gaap:NonperformingFinancingReceivableMember2021-12-310000893847us-gaap:CommercialPortfolioSegmentMember2022-03-3100008938</w:t>
      </w:r>
      <w:r>
        <w:rPr>
          <w:rFonts w:eastAsia="Times New Roman"/>
          <w:vanish/>
        </w:rPr>
        <w:t>47us-gaap:CommercialPortfolioSegmentMember2021-12-310000893847us-gaap:USTreasurySecuritiesMember2022-03-310000893847us-gaap:USGovernmentAgenciesDebtSecuritiesMember2022-03-310000893847us-gaap:USGovernmentSponsoredEnterprisesDebtSecuritiesMember2022-03-3100</w:t>
      </w:r>
      <w:r>
        <w:rPr>
          <w:rFonts w:eastAsia="Times New Roman"/>
          <w:vanish/>
        </w:rPr>
        <w:t>00893847us-gaap:USStatesAndPoliticalSubdivisionsMember2022-03-310000893847us-gaap:MortgageBackedSecuritiesMember2022-03-310000893847us-gaap:OtherDebtSecuritiesMember2022-03-310000893847hwbk:BankIssuedTrustPreferredSecuritiesMember2022-03-310000893847us-gaa</w:t>
      </w:r>
      <w:r>
        <w:rPr>
          <w:rFonts w:eastAsia="Times New Roman"/>
          <w:vanish/>
        </w:rPr>
        <w:t>p:USTreasurySecuritiesMember2021-12-310000893847us-gaap:USGovernmentAgenciesDebtSecuritiesMember2021-12-310000893847us-gaap:USGovernmentSponsoredEnterprisesDebtSecuritiesMember2021-12-310000893847us-gaap:USStatesAndPoliticalSubdivisionsMember2021-12-310000</w:t>
      </w:r>
      <w:r>
        <w:rPr>
          <w:rFonts w:eastAsia="Times New Roman"/>
          <w:vanish/>
        </w:rPr>
        <w:t>893847us-gaap:MortgageBackedSecuritiesMember2021-12-310000893847us-gaap:OtherDebtSecuritiesMember2021-12-310000893847hwbk:BankIssuedTrustPreferredSecuritiesMember2021-12-310000893847hwbk:USGovernmentAndFederalAgencyObligationsMember2022-03-31hwbk:security0</w:t>
      </w:r>
      <w:r>
        <w:rPr>
          <w:rFonts w:eastAsia="Times New Roman"/>
          <w:vanish/>
        </w:rPr>
        <w:t>000893847us-gaap:ServicingContractsMember2022-03-310000893847us-gaap:ServicingContractsMember2021-12-310000893847us-gaap:ServicingContractsMember2021-03-310000893847us-gaap:ServicingContractsMember2022-01-012022-03-310000893847us-gaap:ServicingContractsMem</w:t>
      </w:r>
      <w:r>
        <w:rPr>
          <w:rFonts w:eastAsia="Times New Roman"/>
          <w:vanish/>
        </w:rPr>
        <w:t>ber2021-01-012021-03-310000893847us-gaap:ServicingContractsMember2020-12-310000893847us-gaap:FederalFundsPurchasedMember2022-03-310000893847us-gaap:FederalFundsPurchasedMember2021-12-310000893847us-gaap:SecuritiesSoldUnderAgreementsToRepurchaseMember2022-0</w:t>
      </w:r>
      <w:r>
        <w:rPr>
          <w:rFonts w:eastAsia="Times New Roman"/>
          <w:vanish/>
        </w:rPr>
        <w:t>3-310000893847us-gaap:SecuritiesSoldUnderAgreementsToRepurchaseMember2021-12-310000893847us-gaap:MaturityOvernightMemberus-gaap:USGovernmentSponsoredEnterprisesDebtSecuritiesMember2022-03-310000893847us-gaap:Maturity30To90DaysMemberus-gaap:USGovernmentSpon</w:t>
      </w:r>
      <w:r>
        <w:rPr>
          <w:rFonts w:eastAsia="Times New Roman"/>
          <w:vanish/>
        </w:rPr>
        <w:t>soredEnterprisesDebtSecuritiesMember2022-03-310000893847us-gaap:USGovernmentSponsoredEnterprisesDebtSecuritiesMemberus-gaap:MaturityOver90DaysMember2022-03-310000893847us-gaap:MaturityOvernightMember2022-03-310000893847us-gaap:Maturity30To90DaysMember2022-</w:t>
      </w:r>
      <w:r>
        <w:rPr>
          <w:rFonts w:eastAsia="Times New Roman"/>
          <w:vanish/>
        </w:rPr>
        <w:t>03-310000893847us-gaap:MaturityOver90DaysMember2022-03-310000893847us-gaap:MaturityOvernightMemberus-gaap:USGovernmentSponsoredEnterprisesDebtSecuritiesMember2021-12-310000893847us-gaap:Maturity30To90DaysMemberus-gaap:USGovernmentSponsoredEnterprisesDebtSe</w:t>
      </w:r>
      <w:r>
        <w:rPr>
          <w:rFonts w:eastAsia="Times New Roman"/>
          <w:vanish/>
        </w:rPr>
        <w:t>curitiesMember2021-12-310000893847us-gaap:USGovernmentSponsoredEnterprisesDebtSecuritiesMemberus-gaap:MaturityOver90DaysMember2021-12-310000893847us-gaap:MortgageBackedSecuritiesMemberus-gaap:MaturityOvernightMember2021-12-310000893847us-gaap:MortgageBacke</w:t>
      </w:r>
      <w:r>
        <w:rPr>
          <w:rFonts w:eastAsia="Times New Roman"/>
          <w:vanish/>
        </w:rPr>
        <w:t>dSecuritiesMemberus-gaap:Maturity30To90DaysMember2021-12-310000893847us-gaap:MortgageBackedSecuritiesMemberus-gaap:MaturityOver90DaysMember2021-12-310000893847us-gaap:MaturityOvernightMember2021-12-310000893847us-gaap:Maturity30To90DaysMember2021-12-310000</w:t>
      </w:r>
      <w:r>
        <w:rPr>
          <w:rFonts w:eastAsia="Times New Roman"/>
          <w:vanish/>
        </w:rPr>
        <w:t>893847us-gaap:MaturityOver90DaysMember2021-12-310000893847srt:MinimumMember2022-03-310000893847srt:MaximumMember2022-03-310000893847us-gaap:AccumulatedNetUnrealizedInvestmentGainLossMember2021-12-310000893847us-gaap:AccumulatedDefinedBenefitPlansAdjustment</w:t>
      </w:r>
      <w:r>
        <w:rPr>
          <w:rFonts w:eastAsia="Times New Roman"/>
          <w:vanish/>
        </w:rPr>
        <w:t>Member2021-12-310000893847us-gaap:AccumulatedNetUnrealizedInvestmentGainLossMember2022-01-012022-03-310000893847us-gaap:AccumulatedDefinedBenefitPlansAdjustmentMember2022-01-012022-03-310000893847us-gaap:AccumulatedNetUnrealizedInvestmentGainLossMember2022</w:t>
      </w:r>
      <w:r>
        <w:rPr>
          <w:rFonts w:eastAsia="Times New Roman"/>
          <w:vanish/>
        </w:rPr>
        <w:t>-03-310000893847us-gaap:AccumulatedDefinedBenefitPlansAdjustmentMember2022-03-310000893847us-gaap:AccumulatedNetUnrealizedInvestmentGainLossMember2020-12-310000893847us-gaap:AccumulatedDefinedBenefitPlansAdjustmentMember2020-12-310000893847us-gaap:Accumula</w:t>
      </w:r>
      <w:r>
        <w:rPr>
          <w:rFonts w:eastAsia="Times New Roman"/>
          <w:vanish/>
        </w:rPr>
        <w:t>tedNetUnrealizedInvestmentGainLossMember2021-01-012021-03-310000893847us-gaap:AccumulatedDefinedBenefitPlansAdjustmentMember2021-01-012021-03-310000893847us-gaap:AccumulatedNetUnrealizedInvestmentGainLossMember2021-03-310000893847us-gaap:AccumulatedDefined</w:t>
      </w:r>
      <w:r>
        <w:rPr>
          <w:rFonts w:eastAsia="Times New Roman"/>
          <w:vanish/>
        </w:rPr>
        <w:t>BenefitPlansAdjustmentMember2021-03-310000893847hwbk:SupplementalExecutiveRetirementPlanMember2022-03-310000893847hwbk:SupplementalExecutiveRetirementPlanMember2022-01-012022-03-310000893847hwbk:SupplementalExecutiveRetirementPlanMember2021-01-012021-03-31</w:t>
      </w:r>
      <w:r>
        <w:rPr>
          <w:rFonts w:eastAsia="Times New Roman"/>
          <w:vanish/>
        </w:rPr>
        <w:t>0000893847us-gaap:SubsequentEventMember2022-04-012022-04-0100008938472019-12-310000893847us-gaap:USTreasurySecuritiesMemberus-gaap:FairValueMeasurementsRecurringMember2022-03-310000893847us-gaap:USTreasurySecuritiesMemberus-gaap:FairValueMeasurementsRecurr</w:t>
      </w:r>
      <w:r>
        <w:rPr>
          <w:rFonts w:eastAsia="Times New Roman"/>
          <w:vanish/>
        </w:rPr>
        <w:t>ingMemberus-gaap:FairValueInputsLevel1Member2022-03-310000893847us-gaap:USTreasurySecuritiesMemberus-gaap:FairValueInputsLevel2Memberus-gaap:FairValueMeasurementsRecurringMember2022-03-310000893847us-gaap:USTreasurySecuritiesMemberus-gaap:FairValueInputsLe</w:t>
      </w:r>
      <w:r>
        <w:rPr>
          <w:rFonts w:eastAsia="Times New Roman"/>
          <w:vanish/>
        </w:rPr>
        <w:t>vel3Memberus-gaap:FairValueMeasurementsRecurringMember2022-03-310000893847us-gaap:FairValueMeasurementsRecurringMemberhwbk:USGovernmentAndFederalAgencyObligationsMember2022-03-310000893847us-gaap:FairValueMeasurementsRecurringMemberhwbk:USGovernmentAndFede</w:t>
      </w:r>
      <w:r>
        <w:rPr>
          <w:rFonts w:eastAsia="Times New Roman"/>
          <w:vanish/>
        </w:rPr>
        <w:t>ralAgencyObligationsMemberus-gaap:FairValueInputsLevel1Member2022-03-310000893847us-gaap:FairValueInputsLevel2Memberus-gaap:FairValueMeasurementsRecurringMemberhwbk:USGovernmentAndFederalAgencyObligationsMember2022-03-310000893847us-gaap:FairValueInputsLev</w:t>
      </w:r>
      <w:r>
        <w:rPr>
          <w:rFonts w:eastAsia="Times New Roman"/>
          <w:vanish/>
        </w:rPr>
        <w:t>el3Memberus-gaap:FairValueMeasurementsRecurringMemberhwbk:USGovernmentAndFederalAgencyObligationsMember2022-03-310000893847us-gaap:FairValueMeasurementsRecurringMemberus-gaap:USGovernmentSponsoredEnterprisesDebtSecuritiesMember2022-03-310000893847us-gaap:F</w:t>
      </w:r>
      <w:r>
        <w:rPr>
          <w:rFonts w:eastAsia="Times New Roman"/>
          <w:vanish/>
        </w:rPr>
        <w:t>airValueMeasurementsRecurringMemberus-gaap:USGovernmentSponsoredEnterprisesDebtSecuritiesMemberus-gaap:FairValueInputsLevel1Member2022-03-310000893847us-gaap:FairValueInputsLevel2Memberus-gaap:FairValueMeasurementsRecurringMemberus-gaap:USGovernmentSponsor</w:t>
      </w:r>
      <w:r>
        <w:rPr>
          <w:rFonts w:eastAsia="Times New Roman"/>
          <w:vanish/>
        </w:rPr>
        <w:t>edEnterprisesDebtSecuritiesMember2022-03-310000893847us-gaap:FairValueInputsLevel3Memberus-gaap:FairValueMeasurementsRecurringMemberus-gaap:USGovernmentSponsoredEnterprisesDebtSecuritiesMember2022-03-310000893847us-gaap:FairValueMeasurementsRecurringMember</w:t>
      </w:r>
      <w:r>
        <w:rPr>
          <w:rFonts w:eastAsia="Times New Roman"/>
          <w:vanish/>
        </w:rPr>
        <w:t>us-gaap:USStatesAndPoliticalSubdivisionsMember2022-03-310000893847us-gaap:FairValueMeasurementsRecurringMemberus-gaap:USStatesAndPoliticalSubdivisionsMemberus-gaap:FairValueInputsLevel1Member2022-03-310000893847us-gaap:FairValueInputsLevel2Memberus-gaap:Fa</w:t>
      </w:r>
      <w:r>
        <w:rPr>
          <w:rFonts w:eastAsia="Times New Roman"/>
          <w:vanish/>
        </w:rPr>
        <w:t>irValueMeasurementsRecurringMemberus-gaap:USStatesAndPoliticalSubdivisionsMember2022-03-310000893847us-gaap:FairValueInputsLevel3Memberus-gaap:FairValueMeasurementsRecurringMemberus-gaap:USStatesAndPoliticalSubdivisionsMember2022-03-310000893847us-gaap:Mor</w:t>
      </w:r>
      <w:r>
        <w:rPr>
          <w:rFonts w:eastAsia="Times New Roman"/>
          <w:vanish/>
        </w:rPr>
        <w:t>tgageBackedSecuritiesMemberus-gaap:FairValueMeasurementsRecurringMember2022-03-310000893847us-gaap:MortgageBackedSecuritiesMemberus-gaap:FairValueMeasurementsRecurringMemberus-gaap:FairValueInputsLevel1Member2022-03-310000893847us-gaap:MortgageBackedSecuri</w:t>
      </w:r>
      <w:r>
        <w:rPr>
          <w:rFonts w:eastAsia="Times New Roman"/>
          <w:vanish/>
        </w:rPr>
        <w:t>tiesMemberus-gaap:FairValueInputsLevel2Memberus-gaap:FairValueMeasurementsRecurringMember2022-03-310000893847us-gaap:MortgageBackedSecuritiesMemberus-gaap:FairValueInputsLevel3Memberus-gaap:FairValueMeasurementsRecurringMember2022-03-310000893847us-gaap:Fa</w:t>
      </w:r>
      <w:r>
        <w:rPr>
          <w:rFonts w:eastAsia="Times New Roman"/>
          <w:vanish/>
        </w:rPr>
        <w:t>irValueMeasurementsRecurringMemberus-gaap:OtherDebtSecuritiesMember2022-03-310000893847us-gaap:FairValueMeasurementsRecurringMemberus-gaap:FairValueInputsLevel1Memberus-gaap:OtherDebtSecuritiesMember2022-03-310000893847us-gaap:FairValueInputsLevel2Memberus</w:t>
      </w:r>
      <w:r>
        <w:rPr>
          <w:rFonts w:eastAsia="Times New Roman"/>
          <w:vanish/>
        </w:rPr>
        <w:t>-gaap:FairValueMeasurementsRecurringMemberus-gaap:OtherDebtSecuritiesMember2022-03-310000893847us-gaap:FairValueInputsLevel3Memberus-gaap:FairValueMeasurementsRecurringMemberus-gaap:OtherDebtSecuritiesMember2022-03-310000893847us-gaap:FairValueMeasurements</w:t>
      </w:r>
      <w:r>
        <w:rPr>
          <w:rFonts w:eastAsia="Times New Roman"/>
          <w:vanish/>
        </w:rPr>
        <w:t>RecurringMemberhwbk:BankIssuedTrustPreferredSecuritiesMember2022-03-310000893847us-gaap:FairValueMeasurementsRecurringMemberus-gaap:FairValueInputsLevel1Memberhwbk:BankIssuedTrustPreferredSecuritiesMember2022-03-310000893847us-gaap:FairValueInputsLevel2Mem</w:t>
      </w:r>
      <w:r>
        <w:rPr>
          <w:rFonts w:eastAsia="Times New Roman"/>
          <w:vanish/>
        </w:rPr>
        <w:t>berus-gaap:FairValueMeasurementsRecurringMemberhwbk:BankIssuedTrustPreferredSecuritiesMember2022-03-310000893847us-gaap:FairValueInputsLevel3Memberus-gaap:FairValueMeasurementsRecurringMemberhwbk:BankIssuedTrustPreferredSecuritiesMember2022-03-310000893847</w:t>
      </w:r>
      <w:r>
        <w:rPr>
          <w:rFonts w:eastAsia="Times New Roman"/>
          <w:vanish/>
        </w:rPr>
        <w:t>us-gaap:EquitySecuritiesMemberus-gaap:FairValueMeasurementsRecurringMember2022-03-310000893847us-gaap:EquitySecuritiesMemberus-gaap:FairValueMeasurementsRecurringMemberus-gaap:FairValueInputsLevel1Member2022-03-310000893847us-gaap:EquitySecuritiesMemberus-</w:t>
      </w:r>
      <w:r>
        <w:rPr>
          <w:rFonts w:eastAsia="Times New Roman"/>
          <w:vanish/>
        </w:rPr>
        <w:t>gaap:FairValueInputsLevel2Memberus-gaap:FairValueMeasurementsRecurringMember2022-03-310000893847us-gaap:EquitySecuritiesMemberus-gaap:FairValueInputsLevel3Memberus-gaap:FairValueMeasurementsRecurringMember2022-03-310000893847us-gaap:FairValueMeasurementsRe</w:t>
      </w:r>
      <w:r>
        <w:rPr>
          <w:rFonts w:eastAsia="Times New Roman"/>
          <w:vanish/>
        </w:rPr>
        <w:t>curringMemberus-gaap:InterestRateLockCommitmentsMember2022-03-310000893847us-gaap:FairValueMeasurementsRecurringMemberus-gaap:InterestRateLockCommitmentsMemberus-gaap:FairValueInputsLevel1Member2022-03-310000893847us-gaap:FairValueInputsLevel2Memberus-gaap</w:t>
      </w:r>
      <w:r>
        <w:rPr>
          <w:rFonts w:eastAsia="Times New Roman"/>
          <w:vanish/>
        </w:rPr>
        <w:t>:FairValueMeasurementsRecurringMemberus-gaap:InterestRateLockCommitmentsMember2022-03-310000893847us-gaap:FairValueInputsLevel3Memberus-gaap:FairValueMeasurementsRecurringMemberus-gaap:InterestRateLockCommitmentsMember2022-03-310000893847hwbk:ForwardSaleCo</w:t>
      </w:r>
      <w:r>
        <w:rPr>
          <w:rFonts w:eastAsia="Times New Roman"/>
          <w:vanish/>
        </w:rPr>
        <w:t>mmitmentsMemberus-gaap:FairValueMeasurementsRecurringMember2022-03-310000893847hwbk:ForwardSaleCommitmentsMemberus-gaap:FairValueMeasurementsRecurringMemberus-gaap:FairValueInputsLevel1Member2022-03-310000893847hwbk:ForwardSaleCommitmentsMemberus-gaap:Fair</w:t>
      </w:r>
      <w:r>
        <w:rPr>
          <w:rFonts w:eastAsia="Times New Roman"/>
          <w:vanish/>
        </w:rPr>
        <w:t>ValueInputsLevel2Memberus-gaap:FairValueMeasurementsRecurringMember2022-03-310000893847hwbk:ForwardSaleCommitmentsMemberus-gaap:FairValueInputsLevel3Memberus-gaap:FairValueMeasurementsRecurringMember2022-03-310000893847us-gaap:FairValueMeasurementsRecurrin</w:t>
      </w:r>
      <w:r>
        <w:rPr>
          <w:rFonts w:eastAsia="Times New Roman"/>
          <w:vanish/>
        </w:rPr>
        <w:t>gMember2022-03-310000893847us-gaap:FairValueMeasurementsRecurringMemberus-gaap:FairValueInputsLevel1Member2022-03-310000893847us-gaap:FairValueInputsLevel2Memberus-gaap:FairValueMeasurementsRecurringMember2022-03-310000893847us-gaap:FairValueInputsLevel3Me</w:t>
      </w:r>
      <w:r>
        <w:rPr>
          <w:rFonts w:eastAsia="Times New Roman"/>
          <w:vanish/>
        </w:rPr>
        <w:t>mberus-gaap:FairValueMeasurementsRecurringMember2022-03-310000893847us-gaap:USTreasurySecuritiesMemberus-gaap:FairValueMeasurementsRecurringMember2021-12-310000893847us-gaap:USTreasurySecuritiesMemberus-gaap:FairValueMeasurementsRecurringMemberus-gaap:Fair</w:t>
      </w:r>
      <w:r>
        <w:rPr>
          <w:rFonts w:eastAsia="Times New Roman"/>
          <w:vanish/>
        </w:rPr>
        <w:t>ValueInputsLevel1Member2021-12-310000893847us-gaap:USTreasurySecuritiesMemberus-gaap:FairValueInputsLevel2Memberus-gaap:FairValueMeasurementsRecurringMember2021-12-310000893847us-gaap:USTreasurySecuritiesMemberus-gaap:FairValueInputsLevel3Memberus-gaap:Fai</w:t>
      </w:r>
      <w:r>
        <w:rPr>
          <w:rFonts w:eastAsia="Times New Roman"/>
          <w:vanish/>
        </w:rPr>
        <w:t>rValueMeasurementsRecurringMember2021-12-310000893847us-gaap:FairValueMeasurementsRecurringMemberhwbk:USGovernmentAndFederalAgencyObligationsMember2021-12-310000893847us-gaap:FairValueMeasurementsRecurringMemberhwbk:USGovernmentAndFederalAgencyObligationsM</w:t>
      </w:r>
      <w:r>
        <w:rPr>
          <w:rFonts w:eastAsia="Times New Roman"/>
          <w:vanish/>
        </w:rPr>
        <w:t>emberus-gaap:FairValueInputsLevel1Member2021-12-310000893847us-gaap:FairValueInputsLevel2Memberus-gaap:FairValueMeasurementsRecurringMemberhwbk:USGovernmentAndFederalAgencyObligationsMember2021-12-310000893847us-gaap:FairValueInputsLevel3Memberus-gaap:Fair</w:t>
      </w:r>
      <w:r>
        <w:rPr>
          <w:rFonts w:eastAsia="Times New Roman"/>
          <w:vanish/>
        </w:rPr>
        <w:t>ValueMeasurementsRecurringMemberhwbk:USGovernmentAndFederalAgencyObligationsMember2021-12-310000893847us-gaap:FairValueMeasurementsRecurringMemberus-gaap:USGovernmentSponsoredEnterprisesDebtSecuritiesMember2021-12-310000893847us-gaap:FairValueMeasurementsR</w:t>
      </w:r>
      <w:r>
        <w:rPr>
          <w:rFonts w:eastAsia="Times New Roman"/>
          <w:vanish/>
        </w:rPr>
        <w:t>ecurringMemberus-gaap:USGovernmentSponsoredEnterprisesDebtSecuritiesMemberus-gaap:FairValueInputsLevel1Member2021-12-310000893847us-gaap:FairValueInputsLevel2Memberus-gaap:FairValueMeasurementsRecurringMemberus-gaap:USGovernmentSponsoredEnterprisesDebtSecu</w:t>
      </w:r>
      <w:r>
        <w:rPr>
          <w:rFonts w:eastAsia="Times New Roman"/>
          <w:vanish/>
        </w:rPr>
        <w:t>ritiesMember2021-12-310000893847us-gaap:FairValueInputsLevel3Memberus-gaap:FairValueMeasurementsRecurringMemberus-gaap:USGovernmentSponsoredEnterprisesDebtSecuritiesMember2021-12-310000893847us-gaap:FairValueMeasurementsRecurringMemberus-gaap:USStatesAndPo</w:t>
      </w:r>
      <w:r>
        <w:rPr>
          <w:rFonts w:eastAsia="Times New Roman"/>
          <w:vanish/>
        </w:rPr>
        <w:t>liticalSubdivisionsMember2021-12-310000893847us-gaap:FairValueMeasurementsRecurringMemberus-gaap:USStatesAndPoliticalSubdivisionsMemberus-gaap:FairValueInputsLevel1Member2021-12-310000893847us-gaap:FairValueInputsLevel2Memberus-gaap:FairValueMeasurementsRe</w:t>
      </w:r>
      <w:r>
        <w:rPr>
          <w:rFonts w:eastAsia="Times New Roman"/>
          <w:vanish/>
        </w:rPr>
        <w:t>curringMemberus-gaap:USStatesAndPoliticalSubdivisionsMember2021-12-310000893847us-gaap:FairValueInputsLevel3Memberus-gaap:FairValueMeasurementsRecurringMemberus-gaap:USStatesAndPoliticalSubdivisionsMember2021-12-310000893847us-gaap:MortgageBackedSecurities</w:t>
      </w:r>
      <w:r>
        <w:rPr>
          <w:rFonts w:eastAsia="Times New Roman"/>
          <w:vanish/>
        </w:rPr>
        <w:t>Memberus-gaap:FairValueMeasurementsRecurringMember2021-12-310000893847us-gaap:MortgageBackedSecuritiesMemberus-gaap:FairValueMeasurementsRecurringMemberus-gaap:FairValueInputsLevel1Member2021-12-310000893847us-gaap:MortgageBackedSecuritiesMemberus-gaap:Fai</w:t>
      </w:r>
      <w:r>
        <w:rPr>
          <w:rFonts w:eastAsia="Times New Roman"/>
          <w:vanish/>
        </w:rPr>
        <w:t>rValueInputsLevel2Memberus-gaap:FairValueMeasurementsRecurringMember2021-12-310000893847us-gaap:MortgageBackedSecuritiesMemberus-gaap:FairValueInputsLevel3Memberus-gaap:FairValueMeasurementsRecurringMember2021-12-310000893847us-gaap:FairValueMeasurementsRe</w:t>
      </w:r>
      <w:r>
        <w:rPr>
          <w:rFonts w:eastAsia="Times New Roman"/>
          <w:vanish/>
        </w:rPr>
        <w:t>curringMemberus-gaap:OtherDebtSecuritiesMember2021-12-310000893847us-gaap:FairValueMeasurementsRecurringMemberus-gaap:FairValueInputsLevel1Memberus-gaap:OtherDebtSecuritiesMember2021-12-310000893847us-gaap:FairValueInputsLevel2Memberus-gaap:FairValueMeasur</w:t>
      </w:r>
      <w:r>
        <w:rPr>
          <w:rFonts w:eastAsia="Times New Roman"/>
          <w:vanish/>
        </w:rPr>
        <w:t>ementsRecurringMemberus-gaap:OtherDebtSecuritiesMember2021-12-310000893847us-gaap:FairValueInputsLevel3Memberus-gaap:FairValueMeasurementsRecurringMemberus-gaap:OtherDebtSecuritiesMember2021-12-310000893847us-gaap:FairValueMeasurementsRecurringMemberhwbk:B</w:t>
      </w:r>
      <w:r>
        <w:rPr>
          <w:rFonts w:eastAsia="Times New Roman"/>
          <w:vanish/>
        </w:rPr>
        <w:t>ankIssuedTrustPreferredSecuritiesMember2021-12-310000893847us-gaap:FairValueMeasurementsRecurringMemberus-gaap:FairValueInputsLevel1Memberhwbk:BankIssuedTrustPreferredSecuritiesMember2021-12-310000893847us-gaap:FairValueInputsLevel2Memberus-gaap:FairValueM</w:t>
      </w:r>
      <w:r>
        <w:rPr>
          <w:rFonts w:eastAsia="Times New Roman"/>
          <w:vanish/>
        </w:rPr>
        <w:t>easurementsRecurringMemberhwbk:BankIssuedTrustPreferredSecuritiesMember2021-12-310000893847us-gaap:FairValueInputsLevel3Memberus-gaap:FairValueMeasurementsRecurringMemberhwbk:BankIssuedTrustPreferredSecuritiesMember2021-12-310000893847us-gaap:EquitySecurit</w:t>
      </w:r>
      <w:r>
        <w:rPr>
          <w:rFonts w:eastAsia="Times New Roman"/>
          <w:vanish/>
        </w:rPr>
        <w:t>iesMemberus-gaap:FairValueMeasurementsRecurringMember2021-12-310000893847us-gaap:EquitySecuritiesMemberus-gaap:FairValueMeasurementsRecurringMemberus-gaap:FairValueInputsLevel1Member2021-12-310000893847us-gaap:EquitySecuritiesMemberus-gaap:FairValueInputsL</w:t>
      </w:r>
      <w:r>
        <w:rPr>
          <w:rFonts w:eastAsia="Times New Roman"/>
          <w:vanish/>
        </w:rPr>
        <w:t>evel2Memberus-gaap:FairValueMeasurementsRecurringMember2021-12-310000893847us-gaap:EquitySecuritiesMemberus-gaap:FairValueInputsLevel3Memberus-gaap:FairValueMeasurementsRecurringMember2021-12-310000893847us-gaap:FairValueMeasurementsRecurringMemberus-gaap:</w:t>
      </w:r>
      <w:r>
        <w:rPr>
          <w:rFonts w:eastAsia="Times New Roman"/>
          <w:vanish/>
        </w:rPr>
        <w:t>InterestRateLockCommitmentsMember2021-12-310000893847us-gaap:FairValueMeasurementsRecurringMemberus-gaap:InterestRateLockCommitmentsMemberus-gaap:FairValueInputsLevel1Member2021-12-310000893847us-gaap:FairValueInputsLevel2Memberus-gaap:FairValueMeasurement</w:t>
      </w:r>
      <w:r>
        <w:rPr>
          <w:rFonts w:eastAsia="Times New Roman"/>
          <w:vanish/>
        </w:rPr>
        <w:t>sRecurringMemberus-gaap:InterestRateLockCommitmentsMember2021-12-310000893847us-gaap:FairValueInputsLevel3Memberus-gaap:FairValueMeasurementsRecurringMemberus-gaap:InterestRateLockCommitmentsMember2021-12-310000893847hwbk:ForwardSaleCommitmentsMemberus-gaa</w:t>
      </w:r>
      <w:r>
        <w:rPr>
          <w:rFonts w:eastAsia="Times New Roman"/>
          <w:vanish/>
        </w:rPr>
        <w:t>p:FairValueMeasurementsRecurringMember2021-12-310000893847hwbk:ForwardSaleCommitmentsMemberus-gaap:FairValueMeasurementsRecurringMemberus-gaap:FairValueInputsLevel1Member2021-12-310000893847hwbk:ForwardSaleCommitmentsMemberus-gaap:FairValueInputsLevel2Memb</w:t>
      </w:r>
      <w:r>
        <w:rPr>
          <w:rFonts w:eastAsia="Times New Roman"/>
          <w:vanish/>
        </w:rPr>
        <w:t>erus-gaap:FairValueMeasurementsRecurringMember2021-12-310000893847hwbk:ForwardSaleCommitmentsMemberus-gaap:FairValueInputsLevel3Memberus-gaap:FairValueMeasurementsRecurringMember2021-12-310000893847us-gaap:FairValueMeasurementsRecurringMember2021-12-310000</w:t>
      </w:r>
      <w:r>
        <w:rPr>
          <w:rFonts w:eastAsia="Times New Roman"/>
          <w:vanish/>
        </w:rPr>
        <w:t>893847us-gaap:FairValueMeasurementsRecurringMemberus-gaap:FairValueInputsLevel1Member2021-12-310000893847us-gaap:FairValueInputsLevel2Memberus-gaap:FairValueMeasurementsRecurringMember2021-12-310000893847us-gaap:FairValueInputsLevel3Memberus-gaap:FairValue</w:t>
      </w:r>
      <w:r>
        <w:rPr>
          <w:rFonts w:eastAsia="Times New Roman"/>
          <w:vanish/>
        </w:rPr>
        <w:t>MeasurementsRecurringMember2021-12-310000893847us-gaap:ServicingContractsMemberus-gaap:FairValueInputsLevel3Memberus-gaap:FairValueMeasurementsRecurringMember2021-12-310000893847us-gaap:ServicingContractsMemberus-gaap:FairValueInputsLevel3Memberus-gaap:Fai</w:t>
      </w:r>
      <w:r>
        <w:rPr>
          <w:rFonts w:eastAsia="Times New Roman"/>
          <w:vanish/>
        </w:rPr>
        <w:t>rValueMeasurementsRecurringMember2020-12-310000893847us-gaap:FairValueInputsLevel3Memberus-gaap:FairValueMeasurementsRecurringMemberus-gaap:InterestRateLockCommitmentsMember2020-12-310000893847us-gaap:ServicingContractsMemberus-gaap:FairValueInputsLevel3Me</w:t>
      </w:r>
      <w:r>
        <w:rPr>
          <w:rFonts w:eastAsia="Times New Roman"/>
          <w:vanish/>
        </w:rPr>
        <w:t>mberus-gaap:FairValueMeasurementsRecurringMember2022-01-012022-03-310000893847us-gaap:ServicingContractsMemberus-gaap:FairValueInputsLevel3Memberus-gaap:FairValueMeasurementsRecurringMember2021-01-012021-03-310000893847us-gaap:FairValueInputsLevel3Memberus</w:t>
      </w:r>
      <w:r>
        <w:rPr>
          <w:rFonts w:eastAsia="Times New Roman"/>
          <w:vanish/>
        </w:rPr>
        <w:t>-gaap:FairValueMeasurementsRecurringMemberus-gaap:InterestRateLockCommitmentsMember2022-01-012022-03-310000893847us-gaap:FairValueInputsLevel3Memberus-gaap:FairValueMeasurementsRecurringMemberus-gaap:InterestRateLockCommitmentsMember2021-01-012021-03-31000</w:t>
      </w:r>
      <w:r>
        <w:rPr>
          <w:rFonts w:eastAsia="Times New Roman"/>
          <w:vanish/>
        </w:rPr>
        <w:t>0893847us-gaap:ServicingContractsMemberus-gaap:FairValueInputsLevel3Memberus-gaap:FairValueMeasurementsRecurringMember2022-03-310000893847us-gaap:ServicingContractsMemberus-gaap:FairValueInputsLevel3Memberus-gaap:FairValueMeasurementsRecurringMember2021-03</w:t>
      </w:r>
      <w:r>
        <w:rPr>
          <w:rFonts w:eastAsia="Times New Roman"/>
          <w:vanish/>
        </w:rPr>
        <w:t>-310000893847us-gaap:FairValueInputsLevel3Memberus-gaap:FairValueMeasurementsRecurringMemberus-gaap:InterestRateLockCommitmentsMember2021-03-310000893847hwbk:CollateralDependentImpairedLoansMember2022-03-310000893847hwbk:CollateralDependentImpairedLoansMem</w:t>
      </w:r>
      <w:r>
        <w:rPr>
          <w:rFonts w:eastAsia="Times New Roman"/>
          <w:vanish/>
        </w:rPr>
        <w:t>ber2021-03-310000893847hwbk:CollateralDependentImpairedLoansMember2021-03-310000893847us-gaap:MortgagesMemberus-gaap:EstimateOfFairValueFairValueDisclosureMemberus-gaap:FairValueMeasurementsNonrecurringMemberus-gaap:CommercialRealEstatePortfolioSegmentMemb</w:t>
      </w:r>
      <w:r>
        <w:rPr>
          <w:rFonts w:eastAsia="Times New Roman"/>
          <w:vanish/>
        </w:rPr>
        <w:t>er2022-03-310000893847us-gaap:MortgagesMemberus-gaap:EstimateOfFairValueFairValueDisclosureMemberus-gaap:FairValueMeasurementsNonrecurringMemberus-gaap:CommercialRealEstatePortfolioSegmentMemberus-gaap:FairValueInputsLevel1Member2022-03-310000893847us-gaap</w:t>
      </w:r>
      <w:r>
        <w:rPr>
          <w:rFonts w:eastAsia="Times New Roman"/>
          <w:vanish/>
        </w:rPr>
        <w:t>:MortgagesMemberus-gaap:EstimateOfFairValueFairValueDisclosureMemberus-gaap:FairValueInputsLevel2Memberus-gaap:FairValueMeasurementsNonrecurringMemberus-gaap:CommercialRealEstatePortfolioSegmentMember2022-03-310000893847us-gaap:MortgagesMemberus-gaap:FairV</w:t>
      </w:r>
      <w:r>
        <w:rPr>
          <w:rFonts w:eastAsia="Times New Roman"/>
          <w:vanish/>
        </w:rPr>
        <w:t>alueInputsLevel3Memberus-gaap:EstimateOfFairValueFairValueDisclosureMemberus-gaap:FairValueMeasurementsNonrecurringMemberus-gaap:CommercialRealEstatePortfolioSegmentMember2022-03-310000893847us-gaap:MortgagesMemberus-gaap:FairValueMeasurementsNonrecurringM</w:t>
      </w:r>
      <w:r>
        <w:rPr>
          <w:rFonts w:eastAsia="Times New Roman"/>
          <w:vanish/>
        </w:rPr>
        <w:t>emberus-gaap:CommercialRealEstatePortfolioSegmentMemberus-gaap:ChangeDuringPeriodFairValueDisclosureMember2022-01-012022-03-310000893847us-gaap:EstimateOfFairValueFairValueDisclosureMemberus-gaap:FairValueMeasurementsNonrecurringMember2022-03-310000893847u</w:t>
      </w:r>
      <w:r>
        <w:rPr>
          <w:rFonts w:eastAsia="Times New Roman"/>
          <w:vanish/>
        </w:rPr>
        <w:t>s-gaap:EstimateOfFairValueFairValueDisclosureMemberus-gaap:FairValueMeasurementsNonrecurringMemberus-gaap:FairValueInputsLevel1Member2022-03-310000893847us-gaap:FairValueInputsLevel2Memberus-gaap:EstimateOfFairValueFairValueDisclosureMemberus-gaap:FairValu</w:t>
      </w:r>
      <w:r>
        <w:rPr>
          <w:rFonts w:eastAsia="Times New Roman"/>
          <w:vanish/>
        </w:rPr>
        <w:t>eMeasurementsNonrecurringMember2022-03-310000893847us-gaap:FairValueInputsLevel3Memberus-gaap:EstimateOfFairValueFairValueDisclosureMemberus-gaap:FairValueMeasurementsNonrecurringMember2022-03-310000893847us-gaap:FairValueMeasurementsNonrecurringMemberus-g</w:t>
      </w:r>
      <w:r>
        <w:rPr>
          <w:rFonts w:eastAsia="Times New Roman"/>
          <w:vanish/>
        </w:rPr>
        <w:t>aap:ChangeDuringPeriodFairValueDisclosureMember2022-01-012022-03-310000893847hwbk:CommercialFinancialAndAgriculturalPortfolioSegmentMemberus-gaap:EstimateOfFairValueFairValueDisclosureMemberus-gaap:FairValueMeasurementsNonrecurringMember2021-03-31000089384</w:t>
      </w:r>
      <w:r>
        <w:rPr>
          <w:rFonts w:eastAsia="Times New Roman"/>
          <w:vanish/>
        </w:rPr>
        <w:t>7hwbk:CommercialFinancialAndAgriculturalPortfolioSegmentMemberus-gaap:EstimateOfFairValueFairValueDisclosureMemberus-gaap:FairValueMeasurementsNonrecurringMemberus-gaap:FairValueInputsLevel1Member2021-03-310000893847us-gaap:FairValueInputsLevel2Memberhwbk:</w:t>
      </w:r>
      <w:r>
        <w:rPr>
          <w:rFonts w:eastAsia="Times New Roman"/>
          <w:vanish/>
        </w:rPr>
        <w:t>CommercialFinancialAndAgriculturalPortfolioSegmentMemberus-gaap:EstimateOfFairValueFairValueDisclosureMemberus-gaap:FairValueMeasurementsNonrecurringMember2021-03-310000893847us-gaap:FairValueInputsLevel3Memberhwbk:CommercialFinancialAndAgriculturalPortfol</w:t>
      </w:r>
      <w:r>
        <w:rPr>
          <w:rFonts w:eastAsia="Times New Roman"/>
          <w:vanish/>
        </w:rPr>
        <w:t>ioSegmentMemberus-gaap:EstimateOfFairValueFairValueDisclosureMemberus-gaap:FairValueMeasurementsNonrecurringMember2021-03-310000893847hwbk:CommercialFinancialAndAgriculturalPortfolioSegmentMemberus-gaap:FairValueMeasurementsNonrecurringMemberus-gaap:Change</w:t>
      </w:r>
      <w:r>
        <w:rPr>
          <w:rFonts w:eastAsia="Times New Roman"/>
          <w:vanish/>
        </w:rPr>
        <w:t>DuringPeriodFairValueDisclosureMember2021-01-012021-03-310000893847us-gaap:MortgagesMemberus-gaap:EstimateOfFairValueFairValueDisclosureMemberus-gaap:FairValueMeasurementsNonrecurringMemberhwbk:ResidentialRealEstatePortfolioSegmentMember2021-03-31000089384</w:t>
      </w:r>
      <w:r>
        <w:rPr>
          <w:rFonts w:eastAsia="Times New Roman"/>
          <w:vanish/>
        </w:rPr>
        <w:t>7us-gaap:MortgagesMemberus-gaap:EstimateOfFairValueFairValueDisclosureMemberus-gaap:FairValueMeasurementsNonrecurringMemberhwbk:ResidentialRealEstatePortfolioSegmentMemberus-gaap:FairValueInputsLevel1Member2021-03-310000893847us-gaap:MortgagesMemberus-gaap</w:t>
      </w:r>
      <w:r>
        <w:rPr>
          <w:rFonts w:eastAsia="Times New Roman"/>
          <w:vanish/>
        </w:rPr>
        <w:t>:EstimateOfFairValueFairValueDisclosureMemberus-gaap:FairValueInputsLevel2Memberus-gaap:FairValueMeasurementsNonrecurringMemberhwbk:ResidentialRealEstatePortfolioSegmentMember2021-03-310000893847us-gaap:MortgagesMemberus-gaap:FairValueInputsLevel3Memberus-</w:t>
      </w:r>
      <w:r>
        <w:rPr>
          <w:rFonts w:eastAsia="Times New Roman"/>
          <w:vanish/>
        </w:rPr>
        <w:t>gaap:EstimateOfFairValueFairValueDisclosureMemberus-gaap:FairValueMeasurementsNonrecurringMemberhwbk:ResidentialRealEstatePortfolioSegmentMember2021-03-310000893847us-gaap:MortgagesMemberus-gaap:FairValueMeasurementsNonrecurringMemberhwbk:ResidentialRealEs</w:t>
      </w:r>
      <w:r>
        <w:rPr>
          <w:rFonts w:eastAsia="Times New Roman"/>
          <w:vanish/>
        </w:rPr>
        <w:t>tatePortfolioSegmentMemberus-gaap:ChangeDuringPeriodFairValueDisclosureMember2021-01-012021-03-310000893847us-gaap:MortgagesMemberus-gaap:EstimateOfFairValueFairValueDisclosureMemberus-gaap:FairValueMeasurementsNonrecurringMemberus-gaap:CommercialRealEstat</w:t>
      </w:r>
      <w:r>
        <w:rPr>
          <w:rFonts w:eastAsia="Times New Roman"/>
          <w:vanish/>
        </w:rPr>
        <w:t>ePortfolioSegmentMember2021-03-310000893847us-gaap:MortgagesMemberus-gaap:EstimateOfFairValueFairValueDisclosureMemberus-gaap:FairValueMeasurementsNonrecurringMemberus-gaap:CommercialRealEstatePortfolioSegmentMemberus-gaap:FairValueInputsLevel1Member2021-0</w:t>
      </w:r>
      <w:r>
        <w:rPr>
          <w:rFonts w:eastAsia="Times New Roman"/>
          <w:vanish/>
        </w:rPr>
        <w:t>3-310000893847us-gaap:MortgagesMemberus-gaap:EstimateOfFairValueFairValueDisclosureMemberus-gaap:FairValueInputsLevel2Memberus-gaap:FairValueMeasurementsNonrecurringMemberus-gaap:CommercialRealEstatePortfolioSegmentMember2021-03-310000893847us-gaap:Mortgag</w:t>
      </w:r>
      <w:r>
        <w:rPr>
          <w:rFonts w:eastAsia="Times New Roman"/>
          <w:vanish/>
        </w:rPr>
        <w:t>esMemberus-gaap:FairValueInputsLevel3Memberus-gaap:EstimateOfFairValueFairValueDisclosureMemberus-gaap:FairValueMeasurementsNonrecurringMemberus-gaap:CommercialRealEstatePortfolioSegmentMember2021-03-310000893847us-gaap:MortgagesMemberus-gaap:FairValueMeas</w:t>
      </w:r>
      <w:r>
        <w:rPr>
          <w:rFonts w:eastAsia="Times New Roman"/>
          <w:vanish/>
        </w:rPr>
        <w:t>urementsNonrecurringMemberus-gaap:CommercialRealEstatePortfolioSegmentMemberus-gaap:ChangeDuringPeriodFairValueDisclosureMember2021-01-012021-03-310000893847us-gaap:EstimateOfFairValueFairValueDisclosureMemberus-gaap:FairValueMeasurementsNonrecurringMember</w:t>
      </w:r>
      <w:r>
        <w:rPr>
          <w:rFonts w:eastAsia="Times New Roman"/>
          <w:vanish/>
        </w:rPr>
        <w:t>2021-03-310000893847us-gaap:EstimateOfFairValueFairValueDisclosureMemberus-gaap:FairValueMeasurementsNonrecurringMemberus-gaap:FairValueInputsLevel1Member2021-03-310000893847us-gaap:FairValueInputsLevel2Memberus-gaap:EstimateOfFairValueFairValueDisclosureM</w:t>
      </w:r>
      <w:r>
        <w:rPr>
          <w:rFonts w:eastAsia="Times New Roman"/>
          <w:vanish/>
        </w:rPr>
        <w:t>emberus-gaap:FairValueMeasurementsNonrecurringMember2021-03-310000893847us-gaap:FairValueInputsLevel3Memberus-gaap:EstimateOfFairValueFairValueDisclosureMemberus-gaap:FairValueMeasurementsNonrecurringMember2021-03-310000893847us-gaap:FairValueMeasurementsN</w:t>
      </w:r>
      <w:r>
        <w:rPr>
          <w:rFonts w:eastAsia="Times New Roman"/>
          <w:vanish/>
        </w:rPr>
        <w:t>onrecurringMemberus-gaap:ChangeDuringPeriodFairValueDisclosureMember2021-01-012021-03-310000893847us-gaap:CarryingReportedAmountFairValueDisclosureMember2022-03-310000893847us-gaap:EstimateOfFairValueFairValueDisclosureMember2022-03-310000893847us-gaap:Fai</w:t>
      </w:r>
      <w:r>
        <w:rPr>
          <w:rFonts w:eastAsia="Times New Roman"/>
          <w:vanish/>
        </w:rPr>
        <w:t>rValueInputsLevel1Member2022-03-310000893847us-gaap:FairValueInputsLevel2Member2022-03-310000893847us-gaap:FairValueInputsLevel3Member2022-03-310000893847us-gaap:CarryingReportedAmountFairValueDisclosureMember2021-12-310000893847us-gaap:EstimateOfFairValue</w:t>
      </w:r>
      <w:r>
        <w:rPr>
          <w:rFonts w:eastAsia="Times New Roman"/>
          <w:vanish/>
        </w:rPr>
        <w:t>FairValueDisclosureMember2021-12-310000893847us-gaap:FairValueInputsLevel1Member2021-12-310000893847us-gaap:FairValueInputsLevel2Member2021-12-310000893847us-gaap:FairValueInputsLevel3Member2021-12-310000893847us-gaap:CommitmentsToExtendCreditMember2022-03</w:t>
      </w:r>
      <w:r>
        <w:rPr>
          <w:rFonts w:eastAsia="Times New Roman"/>
          <w:vanish/>
        </w:rPr>
        <w:t>-310000893847us-gaap:CommitmentsToExtendCreditMember2021-12-310000893847us-gaap:InterestRateLockCommitmentsMember2022-03-310000893847us-gaap:InterestRateLockCommitmentsMember2021-12-310000893847hwbk:ForwardSaleCommitmentsMember2022-03-310000893847hwbk:Forw</w:t>
      </w:r>
      <w:r>
        <w:rPr>
          <w:rFonts w:eastAsia="Times New Roman"/>
          <w:vanish/>
        </w:rPr>
        <w:t>ardSaleCommitmentsMember2021-12-310000893847us-gaap:StandbyLettersOfCreditMember2022-03-310000893847us-gaap:StandbyLettersOfCreditMember2021-12-310000893847srt:MinimumMember2022-01-012022-03-310000893847srt:MaximumMember2022-01-012022-03-31</w:t>
      </w:r>
    </w:p>
    <w:p w:rsidR="00000000" w:rsidRDefault="002A246B">
      <w:pPr>
        <w:jc w:val="center"/>
        <w:divId w:val="1016737029"/>
        <w:rPr>
          <w:rFonts w:eastAsia="Times New Roman"/>
        </w:rPr>
      </w:pPr>
    </w:p>
    <w:tbl>
      <w:tblPr>
        <w:tblW w:w="4901" w:type="pct"/>
        <w:jc w:val="center"/>
        <w:tblCellMar>
          <w:top w:w="15" w:type="dxa"/>
          <w:left w:w="15" w:type="dxa"/>
          <w:bottom w:w="15" w:type="dxa"/>
          <w:right w:w="15" w:type="dxa"/>
        </w:tblCellMar>
        <w:tblLook w:val="04A0" w:firstRow="1" w:lastRow="0" w:firstColumn="1" w:lastColumn="0" w:noHBand="0" w:noVBand="1"/>
      </w:tblPr>
      <w:tblGrid>
        <w:gridCol w:w="67"/>
        <w:gridCol w:w="8039"/>
        <w:gridCol w:w="36"/>
      </w:tblGrid>
      <w:tr w:rsidR="00000000">
        <w:trPr>
          <w:divId w:val="468670703"/>
          <w:jc w:val="center"/>
        </w:trPr>
        <w:tc>
          <w:tcPr>
            <w:tcW w:w="50" w:type="pct"/>
            <w:vAlign w:val="center"/>
            <w:hideMark/>
          </w:tcPr>
          <w:p w:rsidR="00000000" w:rsidRDefault="002A246B">
            <w:pPr>
              <w:jc w:val="center"/>
              <w:rPr>
                <w:rFonts w:eastAsia="Times New Roman"/>
              </w:rPr>
            </w:pPr>
          </w:p>
        </w:tc>
        <w:tc>
          <w:tcPr>
            <w:tcW w:w="494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468670703"/>
          <w:trHeight w:val="80"/>
          <w:jc w:val="center"/>
        </w:trPr>
        <w:tc>
          <w:tcPr>
            <w:tcW w:w="0" w:type="auto"/>
            <w:gridSpan w:val="3"/>
            <w:tcBorders>
              <w:top w:val="single" w:sz="24" w:space="0" w:color="000000"/>
              <w:bottom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r>
    </w:tbl>
    <w:p w:rsidR="00000000" w:rsidRDefault="002A246B">
      <w:pPr>
        <w:jc w:val="center"/>
        <w:rPr>
          <w:rFonts w:eastAsia="Times New Roman"/>
        </w:rPr>
      </w:pPr>
    </w:p>
    <w:p w:rsidR="00000000" w:rsidRDefault="002A246B">
      <w:pPr>
        <w:jc w:val="center"/>
        <w:rPr>
          <w:rFonts w:eastAsia="Times New Roman"/>
        </w:rPr>
      </w:pPr>
      <w:r>
        <w:rPr>
          <w:rFonts w:eastAsia="Times New Roman"/>
          <w:b/>
          <w:bCs/>
          <w:color w:val="000000"/>
          <w:sz w:val="20"/>
          <w:szCs w:val="20"/>
        </w:rPr>
        <w:t>UNITED STATES</w:t>
      </w:r>
    </w:p>
    <w:p w:rsidR="00000000" w:rsidRDefault="002A246B">
      <w:pPr>
        <w:jc w:val="center"/>
        <w:rPr>
          <w:rFonts w:eastAsia="Times New Roman"/>
        </w:rPr>
      </w:pPr>
      <w:r>
        <w:rPr>
          <w:rFonts w:eastAsia="Times New Roman"/>
          <w:b/>
          <w:bCs/>
          <w:color w:val="000000"/>
          <w:sz w:val="20"/>
          <w:szCs w:val="20"/>
        </w:rPr>
        <w:t>SECURITIES AND EXCHANGE COMMISSION</w:t>
      </w:r>
    </w:p>
    <w:p w:rsidR="00000000" w:rsidRDefault="002A246B">
      <w:pPr>
        <w:jc w:val="center"/>
        <w:divId w:val="2063021426"/>
        <w:rPr>
          <w:rFonts w:eastAsia="Times New Roman"/>
        </w:rPr>
      </w:pPr>
      <w:r>
        <w:rPr>
          <w:rFonts w:eastAsia="Times New Roman"/>
          <w:b/>
          <w:bCs/>
          <w:color w:val="000000"/>
          <w:sz w:val="20"/>
          <w:szCs w:val="20"/>
        </w:rPr>
        <w:t>Washington, D.C. 20549</w:t>
      </w:r>
    </w:p>
    <w:p w:rsidR="00000000" w:rsidRDefault="002A246B">
      <w:pPr>
        <w:jc w:val="center"/>
        <w:divId w:val="1607735109"/>
        <w:rPr>
          <w:rFonts w:eastAsia="Times New Roman"/>
        </w:rPr>
      </w:pPr>
      <w:r>
        <w:rPr>
          <w:rFonts w:eastAsia="Times New Roman"/>
          <w:b/>
          <w:bCs/>
          <w:color w:val="000000"/>
        </w:rPr>
        <w:t>FORM 10-Q</w:t>
      </w:r>
    </w:p>
    <w:p w:rsidR="00000000" w:rsidRDefault="002A246B">
      <w:pPr>
        <w:divId w:val="1379428441"/>
        <w:rPr>
          <w:rFonts w:eastAsia="Times New Roman"/>
        </w:rPr>
      </w:pPr>
      <w:r>
        <w:rPr>
          <w:rFonts w:eastAsia="Times New Roman"/>
          <w:i/>
          <w:iCs/>
          <w:color w:val="000000"/>
          <w:sz w:val="18"/>
          <w:szCs w:val="18"/>
        </w:rPr>
        <w:t>(Mark One)</w:t>
      </w:r>
    </w:p>
    <w:p w:rsidR="00000000" w:rsidRDefault="002A246B">
      <w:pPr>
        <w:divId w:val="847133293"/>
        <w:rPr>
          <w:rFonts w:eastAsia="Times New Roman"/>
        </w:rPr>
      </w:pPr>
      <w:r>
        <w:rPr>
          <w:rFonts w:ascii="Segoe UI Symbol" w:eastAsia="Times New Roman" w:hAnsi="Segoe UI Symbol" w:cs="Segoe UI Symbol"/>
          <w:b/>
          <w:bCs/>
          <w:color w:val="000000"/>
          <w:sz w:val="20"/>
          <w:szCs w:val="20"/>
        </w:rPr>
        <w:t>☒</w:t>
      </w:r>
      <w:r>
        <w:rPr>
          <w:rFonts w:eastAsia="Times New Roman"/>
          <w:b/>
          <w:bCs/>
          <w:color w:val="000000"/>
          <w:sz w:val="20"/>
          <w:szCs w:val="20"/>
        </w:rPr>
        <w:t xml:space="preserve"> Quarterly Report Pursuant to Section 13 or 15(d) of the Securities Exchange Act of 1934</w:t>
      </w:r>
    </w:p>
    <w:p w:rsidR="00000000" w:rsidRDefault="002A246B">
      <w:pPr>
        <w:divId w:val="2118913312"/>
        <w:rPr>
          <w:rFonts w:eastAsia="Times New Roman"/>
        </w:rPr>
      </w:pPr>
      <w:r>
        <w:rPr>
          <w:rFonts w:eastAsia="Times New Roman"/>
          <w:color w:val="000000"/>
          <w:sz w:val="20"/>
          <w:szCs w:val="20"/>
        </w:rPr>
        <w:t>For the quarterly period ended March 31, 2022</w:t>
      </w:r>
    </w:p>
    <w:p w:rsidR="00000000" w:rsidRDefault="002A246B">
      <w:pPr>
        <w:jc w:val="center"/>
        <w:rPr>
          <w:rFonts w:eastAsia="Times New Roman"/>
        </w:rPr>
      </w:pPr>
      <w:r>
        <w:rPr>
          <w:rFonts w:eastAsia="Times New Roman"/>
          <w:color w:val="000000"/>
          <w:sz w:val="20"/>
          <w:szCs w:val="20"/>
        </w:rPr>
        <w:t>OR</w:t>
      </w:r>
    </w:p>
    <w:p w:rsidR="00000000" w:rsidRDefault="002A246B">
      <w:pPr>
        <w:divId w:val="120464314"/>
        <w:rPr>
          <w:rFonts w:eastAsia="Times New Roman"/>
        </w:rPr>
      </w:pPr>
      <w:r>
        <w:rPr>
          <w:rFonts w:ascii="Segoe UI Symbol" w:eastAsia="Times New Roman" w:hAnsi="Segoe UI Symbol" w:cs="Segoe UI Symbol"/>
          <w:b/>
          <w:bCs/>
          <w:color w:val="000000"/>
          <w:sz w:val="20"/>
          <w:szCs w:val="20"/>
        </w:rPr>
        <w:t>☐</w:t>
      </w:r>
      <w:r>
        <w:rPr>
          <w:rFonts w:eastAsia="Times New Roman"/>
          <w:b/>
          <w:bCs/>
          <w:color w:val="000000"/>
          <w:sz w:val="20"/>
          <w:szCs w:val="20"/>
        </w:rPr>
        <w:t xml:space="preserve"> Transition Report Purs</w:t>
      </w:r>
      <w:r>
        <w:rPr>
          <w:rFonts w:eastAsia="Times New Roman"/>
          <w:b/>
          <w:bCs/>
          <w:color w:val="000000"/>
          <w:sz w:val="20"/>
          <w:szCs w:val="20"/>
        </w:rPr>
        <w:t>uant to Section 13 or 15(d) of the Securities Exchange Act of 1934</w:t>
      </w:r>
    </w:p>
    <w:p w:rsidR="00000000" w:rsidRDefault="002A246B">
      <w:pPr>
        <w:divId w:val="965237139"/>
        <w:rPr>
          <w:rFonts w:eastAsia="Times New Roman"/>
        </w:rPr>
      </w:pPr>
      <w:r>
        <w:rPr>
          <w:rFonts w:eastAsia="Times New Roman"/>
          <w:color w:val="000000"/>
          <w:sz w:val="20"/>
          <w:szCs w:val="20"/>
        </w:rPr>
        <w:t>For the transition period from ______________ to ______________</w:t>
      </w:r>
    </w:p>
    <w:p w:rsidR="00000000" w:rsidRDefault="002A246B">
      <w:pPr>
        <w:jc w:val="center"/>
        <w:divId w:val="125240991"/>
        <w:rPr>
          <w:rFonts w:eastAsia="Times New Roman"/>
        </w:rPr>
      </w:pPr>
      <w:r>
        <w:rPr>
          <w:rFonts w:eastAsia="Times New Roman"/>
          <w:color w:val="000000"/>
          <w:sz w:val="18"/>
          <w:szCs w:val="18"/>
        </w:rPr>
        <w:t>Commission file number: 0-23636</w:t>
      </w:r>
    </w:p>
    <w:p w:rsidR="00000000" w:rsidRDefault="002A246B">
      <w:pPr>
        <w:jc w:val="center"/>
        <w:rPr>
          <w:rFonts w:eastAsia="Times New Roman"/>
        </w:rPr>
      </w:pPr>
      <w:r>
        <w:rPr>
          <w:rFonts w:eastAsia="Times New Roman"/>
          <w:b/>
          <w:bCs/>
          <w:color w:val="000000"/>
          <w:sz w:val="28"/>
          <w:szCs w:val="28"/>
        </w:rPr>
        <w:t>HAWTHORN BANCSHARES, INC.</w:t>
      </w:r>
    </w:p>
    <w:p w:rsidR="00000000" w:rsidRDefault="002A246B">
      <w:pPr>
        <w:jc w:val="center"/>
        <w:rPr>
          <w:rFonts w:eastAsia="Times New Roman"/>
        </w:rPr>
      </w:pPr>
      <w:r>
        <w:rPr>
          <w:rFonts w:eastAsia="Times New Roman"/>
          <w:i/>
          <w:iCs/>
          <w:color w:val="000000"/>
          <w:sz w:val="18"/>
          <w:szCs w:val="18"/>
        </w:rPr>
        <w:t>(Exact name of registrant as specified in its charter)</w:t>
      </w:r>
    </w:p>
    <w:p w:rsidR="00000000" w:rsidRDefault="002A246B">
      <w:pPr>
        <w:jc w:val="center"/>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8"/>
        <w:gridCol w:w="3895"/>
        <w:gridCol w:w="37"/>
        <w:gridCol w:w="69"/>
        <w:gridCol w:w="4187"/>
        <w:gridCol w:w="37"/>
      </w:tblGrid>
      <w:tr w:rsidR="00000000">
        <w:trPr>
          <w:divId w:val="1772359836"/>
        </w:trPr>
        <w:tc>
          <w:tcPr>
            <w:tcW w:w="50" w:type="pct"/>
            <w:vAlign w:val="center"/>
            <w:hideMark/>
          </w:tcPr>
          <w:p w:rsidR="00000000" w:rsidRDefault="002A246B">
            <w:pPr>
              <w:jc w:val="center"/>
              <w:rPr>
                <w:rFonts w:eastAsia="Times New Roman"/>
              </w:rPr>
            </w:pPr>
          </w:p>
        </w:tc>
        <w:tc>
          <w:tcPr>
            <w:tcW w:w="235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2532"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772359836"/>
        </w:trPr>
        <w:tc>
          <w:tcPr>
            <w:tcW w:w="0" w:type="auto"/>
            <w:gridSpan w:val="3"/>
            <w:tcMar>
              <w:top w:w="30" w:type="dxa"/>
              <w:left w:w="20" w:type="dxa"/>
              <w:bottom w:w="30" w:type="dxa"/>
              <w:right w:w="20" w:type="dxa"/>
            </w:tcMar>
            <w:hideMark/>
          </w:tcPr>
          <w:p w:rsidR="00000000" w:rsidRDefault="002A246B">
            <w:pPr>
              <w:spacing w:after="100"/>
              <w:jc w:val="center"/>
              <w:rPr>
                <w:rFonts w:eastAsia="Times New Roman"/>
              </w:rPr>
            </w:pPr>
            <w:r>
              <w:rPr>
                <w:rFonts w:eastAsia="Times New Roman"/>
                <w:b/>
                <w:bCs/>
                <w:color w:val="000000"/>
                <w:sz w:val="20"/>
                <w:szCs w:val="20"/>
              </w:rPr>
              <w:t>Missouri</w:t>
            </w:r>
          </w:p>
        </w:tc>
        <w:tc>
          <w:tcPr>
            <w:tcW w:w="0" w:type="auto"/>
            <w:gridSpan w:val="3"/>
            <w:tcMar>
              <w:top w:w="30" w:type="dxa"/>
              <w:left w:w="20" w:type="dxa"/>
              <w:bottom w:w="30" w:type="dxa"/>
              <w:right w:w="20" w:type="dxa"/>
            </w:tcMar>
            <w:hideMark/>
          </w:tcPr>
          <w:p w:rsidR="00000000" w:rsidRDefault="002A246B">
            <w:pPr>
              <w:spacing w:after="100"/>
              <w:jc w:val="center"/>
              <w:rPr>
                <w:rFonts w:eastAsia="Times New Roman"/>
              </w:rPr>
            </w:pPr>
            <w:r>
              <w:rPr>
                <w:rFonts w:eastAsia="Times New Roman"/>
                <w:b/>
                <w:bCs/>
                <w:color w:val="000000"/>
                <w:sz w:val="20"/>
                <w:szCs w:val="20"/>
              </w:rPr>
              <w:t>43-1626350</w:t>
            </w:r>
          </w:p>
        </w:tc>
      </w:tr>
      <w:tr w:rsidR="00000000">
        <w:trPr>
          <w:divId w:val="1772359836"/>
        </w:trPr>
        <w:tc>
          <w:tcPr>
            <w:tcW w:w="0" w:type="auto"/>
            <w:gridSpan w:val="3"/>
            <w:tcMar>
              <w:top w:w="30" w:type="dxa"/>
              <w:left w:w="92" w:type="dxa"/>
              <w:bottom w:w="30" w:type="dxa"/>
              <w:right w:w="92" w:type="dxa"/>
            </w:tcMar>
            <w:hideMark/>
          </w:tcPr>
          <w:p w:rsidR="00000000" w:rsidRDefault="002A246B">
            <w:pPr>
              <w:spacing w:after="100"/>
              <w:ind w:hanging="144"/>
              <w:jc w:val="center"/>
              <w:rPr>
                <w:rFonts w:eastAsia="Times New Roman"/>
              </w:rPr>
            </w:pPr>
            <w:r>
              <w:rPr>
                <w:rFonts w:eastAsia="Times New Roman"/>
                <w:i/>
                <w:iCs/>
                <w:color w:val="000000"/>
                <w:sz w:val="18"/>
                <w:szCs w:val="18"/>
              </w:rPr>
              <w:t>(State or other jurisdiction of</w:t>
            </w:r>
          </w:p>
        </w:tc>
        <w:tc>
          <w:tcPr>
            <w:tcW w:w="0" w:type="auto"/>
            <w:gridSpan w:val="3"/>
            <w:tcMar>
              <w:top w:w="30" w:type="dxa"/>
              <w:left w:w="20" w:type="dxa"/>
              <w:bottom w:w="30" w:type="dxa"/>
              <w:right w:w="20" w:type="dxa"/>
            </w:tcMar>
            <w:hideMark/>
          </w:tcPr>
          <w:p w:rsidR="00000000" w:rsidRDefault="002A246B">
            <w:pPr>
              <w:spacing w:after="100"/>
              <w:jc w:val="center"/>
              <w:rPr>
                <w:rFonts w:eastAsia="Times New Roman"/>
              </w:rPr>
            </w:pPr>
            <w:r>
              <w:rPr>
                <w:rFonts w:eastAsia="Times New Roman"/>
                <w:i/>
                <w:iCs/>
                <w:color w:val="000000"/>
                <w:sz w:val="18"/>
                <w:szCs w:val="18"/>
              </w:rPr>
              <w:t>(I.R.S. Employer Identification No.</w:t>
            </w:r>
            <w:r>
              <w:rPr>
                <w:rFonts w:eastAsia="Times New Roman"/>
                <w:color w:val="000000"/>
                <w:sz w:val="18"/>
                <w:szCs w:val="18"/>
              </w:rPr>
              <w:t>)</w:t>
            </w:r>
          </w:p>
        </w:tc>
      </w:tr>
      <w:tr w:rsidR="00000000">
        <w:trPr>
          <w:divId w:val="1772359836"/>
        </w:trPr>
        <w:tc>
          <w:tcPr>
            <w:tcW w:w="0" w:type="auto"/>
            <w:gridSpan w:val="3"/>
            <w:tcMar>
              <w:top w:w="30" w:type="dxa"/>
              <w:left w:w="92" w:type="dxa"/>
              <w:bottom w:w="30" w:type="dxa"/>
              <w:right w:w="92" w:type="dxa"/>
            </w:tcMar>
            <w:hideMark/>
          </w:tcPr>
          <w:p w:rsidR="00000000" w:rsidRDefault="002A246B">
            <w:pPr>
              <w:spacing w:after="100"/>
              <w:ind w:hanging="144"/>
              <w:jc w:val="center"/>
              <w:rPr>
                <w:rFonts w:eastAsia="Times New Roman"/>
              </w:rPr>
            </w:pPr>
            <w:r>
              <w:rPr>
                <w:rFonts w:eastAsia="Times New Roman"/>
                <w:i/>
                <w:iCs/>
                <w:color w:val="000000"/>
                <w:sz w:val="18"/>
                <w:szCs w:val="18"/>
              </w:rPr>
              <w:t>incorporation or organization)</w:t>
            </w:r>
          </w:p>
        </w:tc>
        <w:tc>
          <w:tcPr>
            <w:tcW w:w="0" w:type="auto"/>
            <w:gridSpan w:val="3"/>
            <w:tcMar>
              <w:top w:w="30" w:type="dxa"/>
              <w:left w:w="20" w:type="dxa"/>
              <w:bottom w:w="30" w:type="dxa"/>
              <w:right w:w="20" w:type="dxa"/>
            </w:tcMar>
            <w:hideMark/>
          </w:tcPr>
          <w:p w:rsidR="00000000" w:rsidRDefault="002A246B">
            <w:pPr>
              <w:spacing w:after="100"/>
              <w:jc w:val="center"/>
              <w:rPr>
                <w:rFonts w:eastAsia="Times New Roman"/>
              </w:rPr>
            </w:pPr>
            <w:r>
              <w:rPr>
                <w:rFonts w:eastAsia="Times New Roman"/>
                <w:color w:val="000000"/>
                <w:sz w:val="18"/>
                <w:szCs w:val="18"/>
              </w:rPr>
              <w:t> </w:t>
            </w:r>
          </w:p>
        </w:tc>
      </w:tr>
    </w:tbl>
    <w:p w:rsidR="00000000" w:rsidRDefault="002A246B">
      <w:pPr>
        <w:divId w:val="921061886"/>
        <w:rPr>
          <w:rFonts w:eastAsia="Times New Roman"/>
        </w:rPr>
      </w:pPr>
    </w:p>
    <w:p w:rsidR="00000000" w:rsidRDefault="002A246B">
      <w:pPr>
        <w:jc w:val="center"/>
        <w:rPr>
          <w:rFonts w:eastAsia="Times New Roman"/>
        </w:rPr>
      </w:pPr>
      <w:r>
        <w:rPr>
          <w:rFonts w:eastAsia="Times New Roman"/>
          <w:b/>
          <w:bCs/>
          <w:color w:val="000000"/>
          <w:sz w:val="20"/>
          <w:szCs w:val="20"/>
        </w:rPr>
        <w:t>132 East High Street, Box 688, Jefferson City, Missouri 65102</w:t>
      </w:r>
    </w:p>
    <w:p w:rsidR="00000000" w:rsidRDefault="002A246B">
      <w:pPr>
        <w:jc w:val="center"/>
        <w:divId w:val="1133596269"/>
        <w:rPr>
          <w:rFonts w:eastAsia="Times New Roman"/>
        </w:rPr>
      </w:pPr>
      <w:r>
        <w:rPr>
          <w:rFonts w:eastAsia="Times New Roman"/>
          <w:i/>
          <w:iCs/>
          <w:color w:val="000000"/>
          <w:sz w:val="18"/>
          <w:szCs w:val="18"/>
        </w:rPr>
        <w:t>(Address of principal executive offices)</w:t>
      </w:r>
      <w:r>
        <w:rPr>
          <w:rFonts w:eastAsia="Times New Roman"/>
          <w:color w:val="000000"/>
          <w:sz w:val="18"/>
          <w:szCs w:val="18"/>
        </w:rPr>
        <w:t xml:space="preserve"> </w:t>
      </w:r>
      <w:r>
        <w:rPr>
          <w:rFonts w:eastAsia="Times New Roman"/>
          <w:i/>
          <w:iCs/>
          <w:color w:val="000000"/>
          <w:sz w:val="18"/>
          <w:szCs w:val="18"/>
        </w:rPr>
        <w:t>(Zip Code)</w:t>
      </w:r>
    </w:p>
    <w:p w:rsidR="00000000" w:rsidRDefault="002A246B">
      <w:pPr>
        <w:jc w:val="center"/>
        <w:rPr>
          <w:rFonts w:eastAsia="Times New Roman"/>
        </w:rPr>
      </w:pPr>
      <w:r>
        <w:rPr>
          <w:rFonts w:eastAsia="Times New Roman"/>
          <w:b/>
          <w:bCs/>
          <w:color w:val="000000"/>
          <w:sz w:val="20"/>
          <w:szCs w:val="20"/>
        </w:rPr>
        <w:t>(573) 761-6100</w:t>
      </w:r>
    </w:p>
    <w:p w:rsidR="00000000" w:rsidRDefault="002A246B">
      <w:pPr>
        <w:jc w:val="center"/>
        <w:divId w:val="1406489380"/>
        <w:rPr>
          <w:rFonts w:eastAsia="Times New Roman"/>
        </w:rPr>
      </w:pPr>
      <w:r>
        <w:rPr>
          <w:rFonts w:eastAsia="Times New Roman"/>
          <w:i/>
          <w:iCs/>
          <w:color w:val="000000"/>
          <w:sz w:val="18"/>
          <w:szCs w:val="18"/>
        </w:rPr>
        <w:t>(Registrant’s telephone number, including area code)</w:t>
      </w:r>
    </w:p>
    <w:p w:rsidR="00000000" w:rsidRDefault="002A246B">
      <w:pPr>
        <w:jc w:val="center"/>
        <w:rPr>
          <w:rFonts w:eastAsia="Times New Roman"/>
        </w:rPr>
      </w:pPr>
      <w:r>
        <w:rPr>
          <w:rFonts w:eastAsia="Times New Roman"/>
          <w:b/>
          <w:bCs/>
          <w:color w:val="000000"/>
          <w:sz w:val="20"/>
          <w:szCs w:val="20"/>
        </w:rPr>
        <w:t>N/A</w:t>
      </w:r>
    </w:p>
    <w:p w:rsidR="00000000" w:rsidRDefault="002A246B">
      <w:pPr>
        <w:jc w:val="center"/>
        <w:divId w:val="612711894"/>
        <w:rPr>
          <w:rFonts w:eastAsia="Times New Roman"/>
        </w:rPr>
      </w:pPr>
      <w:r>
        <w:rPr>
          <w:rFonts w:eastAsia="Times New Roman"/>
          <w:i/>
          <w:iCs/>
          <w:color w:val="000000"/>
          <w:sz w:val="18"/>
          <w:szCs w:val="18"/>
        </w:rPr>
        <w:t>(Former name, former address and former fiscal year, if changed since last report.)</w:t>
      </w:r>
    </w:p>
    <w:p w:rsidR="00000000" w:rsidRDefault="002A246B">
      <w:pPr>
        <w:jc w:val="center"/>
        <w:divId w:val="1514538609"/>
        <w:rPr>
          <w:rFonts w:eastAsia="Times New Roman"/>
        </w:rPr>
      </w:pPr>
      <w:r>
        <w:rPr>
          <w:rFonts w:eastAsia="Times New Roman"/>
          <w:b/>
          <w:bCs/>
          <w:color w:val="000000"/>
          <w:sz w:val="18"/>
          <w:szCs w:val="18"/>
        </w:rPr>
        <w:t xml:space="preserve">Securities registered pursuant to Section 12(b) </w:t>
      </w:r>
      <w:r>
        <w:rPr>
          <w:rFonts w:eastAsia="Times New Roman"/>
          <w:b/>
          <w:bCs/>
          <w:color w:val="000000"/>
          <w:sz w:val="18"/>
          <w:szCs w:val="18"/>
        </w:rPr>
        <w:t>of the Act:</w:t>
      </w:r>
    </w:p>
    <w:tbl>
      <w:tblPr>
        <w:tblW w:w="4954" w:type="pct"/>
        <w:tblCellMar>
          <w:top w:w="15" w:type="dxa"/>
          <w:left w:w="15" w:type="dxa"/>
          <w:bottom w:w="15" w:type="dxa"/>
          <w:right w:w="15" w:type="dxa"/>
        </w:tblCellMar>
        <w:tblLook w:val="04A0" w:firstRow="1" w:lastRow="0" w:firstColumn="1" w:lastColumn="0" w:noHBand="0" w:noVBand="1"/>
      </w:tblPr>
      <w:tblGrid>
        <w:gridCol w:w="68"/>
        <w:gridCol w:w="2601"/>
        <w:gridCol w:w="37"/>
        <w:gridCol w:w="68"/>
        <w:gridCol w:w="1858"/>
        <w:gridCol w:w="36"/>
        <w:gridCol w:w="68"/>
        <w:gridCol w:w="3458"/>
        <w:gridCol w:w="36"/>
      </w:tblGrid>
      <w:tr w:rsidR="00000000">
        <w:trPr>
          <w:divId w:val="457720914"/>
        </w:trPr>
        <w:tc>
          <w:tcPr>
            <w:tcW w:w="50" w:type="pct"/>
            <w:vAlign w:val="center"/>
            <w:hideMark/>
          </w:tcPr>
          <w:p w:rsidR="00000000" w:rsidRDefault="002A246B">
            <w:pPr>
              <w:jc w:val="center"/>
              <w:rPr>
                <w:rFonts w:eastAsia="Times New Roman"/>
              </w:rPr>
            </w:pPr>
          </w:p>
        </w:tc>
        <w:tc>
          <w:tcPr>
            <w:tcW w:w="158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113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210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457720914"/>
        </w:trPr>
        <w:tc>
          <w:tcPr>
            <w:tcW w:w="0" w:type="auto"/>
            <w:gridSpan w:val="3"/>
            <w:tcMar>
              <w:top w:w="30" w:type="dxa"/>
              <w:left w:w="48" w:type="dxa"/>
              <w:bottom w:w="30" w:type="dxa"/>
              <w:right w:w="48" w:type="dxa"/>
            </w:tcMar>
            <w:hideMark/>
          </w:tcPr>
          <w:p w:rsidR="00000000" w:rsidRDefault="002A246B">
            <w:pPr>
              <w:spacing w:after="100"/>
              <w:jc w:val="center"/>
              <w:rPr>
                <w:rFonts w:eastAsia="Times New Roman"/>
              </w:rPr>
            </w:pPr>
            <w:r>
              <w:rPr>
                <w:rFonts w:eastAsia="Times New Roman"/>
                <w:b/>
                <w:bCs/>
                <w:color w:val="000000"/>
                <w:sz w:val="18"/>
                <w:szCs w:val="18"/>
                <w:u w:val="single"/>
              </w:rPr>
              <w:t>Title of each class</w:t>
            </w:r>
          </w:p>
        </w:tc>
        <w:tc>
          <w:tcPr>
            <w:tcW w:w="0" w:type="auto"/>
            <w:gridSpan w:val="3"/>
            <w:tcMar>
              <w:top w:w="30" w:type="dxa"/>
              <w:left w:w="48" w:type="dxa"/>
              <w:bottom w:w="30" w:type="dxa"/>
              <w:right w:w="48" w:type="dxa"/>
            </w:tcMar>
            <w:hideMark/>
          </w:tcPr>
          <w:p w:rsidR="00000000" w:rsidRDefault="002A246B">
            <w:pPr>
              <w:spacing w:after="100"/>
              <w:jc w:val="center"/>
              <w:rPr>
                <w:rFonts w:eastAsia="Times New Roman"/>
              </w:rPr>
            </w:pPr>
            <w:r>
              <w:rPr>
                <w:rFonts w:eastAsia="Times New Roman"/>
                <w:b/>
                <w:bCs/>
                <w:color w:val="000000"/>
                <w:sz w:val="18"/>
                <w:szCs w:val="18"/>
                <w:u w:val="single"/>
              </w:rPr>
              <w:t>Trading Symbol(s)</w:t>
            </w:r>
          </w:p>
        </w:tc>
        <w:tc>
          <w:tcPr>
            <w:tcW w:w="0" w:type="auto"/>
            <w:gridSpan w:val="3"/>
            <w:tcMar>
              <w:top w:w="30" w:type="dxa"/>
              <w:left w:w="48" w:type="dxa"/>
              <w:bottom w:w="30" w:type="dxa"/>
              <w:right w:w="48" w:type="dxa"/>
            </w:tcMar>
            <w:hideMark/>
          </w:tcPr>
          <w:p w:rsidR="00000000" w:rsidRDefault="002A246B">
            <w:pPr>
              <w:spacing w:after="100"/>
              <w:jc w:val="center"/>
              <w:rPr>
                <w:rFonts w:eastAsia="Times New Roman"/>
              </w:rPr>
            </w:pPr>
            <w:r>
              <w:rPr>
                <w:rFonts w:eastAsia="Times New Roman"/>
                <w:b/>
                <w:bCs/>
                <w:color w:val="000000"/>
                <w:sz w:val="18"/>
                <w:szCs w:val="18"/>
                <w:u w:val="single"/>
              </w:rPr>
              <w:t>Name of each exchange on which registered</w:t>
            </w:r>
          </w:p>
        </w:tc>
      </w:tr>
      <w:tr w:rsidR="00000000">
        <w:trPr>
          <w:divId w:val="457720914"/>
        </w:trPr>
        <w:tc>
          <w:tcPr>
            <w:tcW w:w="0" w:type="auto"/>
            <w:gridSpan w:val="3"/>
            <w:tcMar>
              <w:top w:w="30" w:type="dxa"/>
              <w:left w:w="48" w:type="dxa"/>
              <w:bottom w:w="30" w:type="dxa"/>
              <w:right w:w="48" w:type="dxa"/>
            </w:tcMar>
            <w:hideMark/>
          </w:tcPr>
          <w:p w:rsidR="00000000" w:rsidRDefault="002A246B">
            <w:pPr>
              <w:spacing w:after="100"/>
              <w:jc w:val="center"/>
              <w:rPr>
                <w:rFonts w:eastAsia="Times New Roman"/>
              </w:rPr>
            </w:pPr>
            <w:r>
              <w:rPr>
                <w:rFonts w:eastAsia="Times New Roman"/>
                <w:color w:val="000000"/>
                <w:sz w:val="18"/>
                <w:szCs w:val="18"/>
              </w:rPr>
              <w:t>Common Stock, $1.00 par value</w:t>
            </w:r>
          </w:p>
        </w:tc>
        <w:tc>
          <w:tcPr>
            <w:tcW w:w="0" w:type="auto"/>
            <w:gridSpan w:val="3"/>
            <w:tcMar>
              <w:top w:w="30" w:type="dxa"/>
              <w:left w:w="48" w:type="dxa"/>
              <w:bottom w:w="30" w:type="dxa"/>
              <w:right w:w="48" w:type="dxa"/>
            </w:tcMar>
            <w:hideMark/>
          </w:tcPr>
          <w:p w:rsidR="00000000" w:rsidRDefault="002A246B">
            <w:pPr>
              <w:spacing w:after="100"/>
              <w:jc w:val="center"/>
              <w:rPr>
                <w:rFonts w:eastAsia="Times New Roman"/>
              </w:rPr>
            </w:pPr>
            <w:r>
              <w:rPr>
                <w:rFonts w:eastAsia="Times New Roman"/>
                <w:color w:val="000000"/>
                <w:sz w:val="18"/>
                <w:szCs w:val="18"/>
              </w:rPr>
              <w:t>HWBK</w:t>
            </w:r>
          </w:p>
        </w:tc>
        <w:tc>
          <w:tcPr>
            <w:tcW w:w="0" w:type="auto"/>
            <w:gridSpan w:val="3"/>
            <w:tcMar>
              <w:top w:w="30" w:type="dxa"/>
              <w:left w:w="48" w:type="dxa"/>
              <w:bottom w:w="30" w:type="dxa"/>
              <w:right w:w="48" w:type="dxa"/>
            </w:tcMar>
            <w:hideMark/>
          </w:tcPr>
          <w:p w:rsidR="00000000" w:rsidRDefault="002A246B">
            <w:pPr>
              <w:spacing w:after="100"/>
              <w:jc w:val="center"/>
              <w:rPr>
                <w:rFonts w:eastAsia="Times New Roman"/>
              </w:rPr>
            </w:pPr>
            <w:r>
              <w:rPr>
                <w:rFonts w:eastAsia="Times New Roman"/>
                <w:color w:val="000000"/>
                <w:sz w:val="18"/>
                <w:szCs w:val="18"/>
              </w:rPr>
              <w:t>The Nasdaq Stock Market LLC</w:t>
            </w:r>
          </w:p>
        </w:tc>
      </w:tr>
    </w:tbl>
    <w:p w:rsidR="00000000" w:rsidRDefault="002A246B">
      <w:pPr>
        <w:divId w:val="589698024"/>
        <w:rPr>
          <w:rFonts w:eastAsia="Times New Roman"/>
        </w:rPr>
      </w:pPr>
    </w:p>
    <w:p w:rsidR="00000000" w:rsidRDefault="002A246B">
      <w:pPr>
        <w:divId w:val="931623977"/>
        <w:rPr>
          <w:rFonts w:eastAsia="Times New Roman"/>
        </w:rPr>
      </w:pPr>
      <w:r>
        <w:rPr>
          <w:rFonts w:eastAsia="Times New Roman"/>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18"/>
          <w:szCs w:val="18"/>
        </w:rPr>
        <w:t xml:space="preserve">uch reports), and (2) has been subject to such filing requirements for the past 90 days. </w:t>
      </w:r>
      <w:r>
        <w:rPr>
          <w:rFonts w:ascii="Segoe UI Symbol" w:eastAsia="Times New Roman" w:hAnsi="Segoe UI Symbol" w:cs="Segoe UI Symbol"/>
          <w:color w:val="000000"/>
          <w:sz w:val="18"/>
          <w:szCs w:val="18"/>
        </w:rPr>
        <w:t>☒</w:t>
      </w:r>
      <w:r>
        <w:rPr>
          <w:rFonts w:eastAsia="Times New Roman"/>
          <w:color w:val="000000"/>
          <w:sz w:val="18"/>
          <w:szCs w:val="18"/>
        </w:rPr>
        <w:t xml:space="preserve">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w:t>
      </w:r>
    </w:p>
    <w:p w:rsidR="00000000" w:rsidRDefault="002A246B">
      <w:pPr>
        <w:divId w:val="1633319408"/>
        <w:rPr>
          <w:rFonts w:eastAsia="Times New Roman"/>
        </w:rPr>
      </w:pPr>
      <w:r>
        <w:rPr>
          <w:rFonts w:eastAsia="Times New Roman"/>
          <w:color w:val="000000"/>
          <w:sz w:val="18"/>
          <w:szCs w:val="18"/>
        </w:rPr>
        <w:t>Indicate by check m</w:t>
      </w:r>
      <w:r>
        <w:rPr>
          <w:rFonts w:eastAsia="Times New Roman"/>
          <w:color w:val="000000"/>
          <w:sz w:val="18"/>
          <w:szCs w:val="18"/>
        </w:rPr>
        <w:t>ark whether the registrant has submitted electronically every Interactive Data File required to be submitted pursuant to Rule 405 of Regulation S-T (§ 232.405 of this chapter) during the preceding 12 months (or for such shorter period that the registrant w</w:t>
      </w:r>
      <w:r>
        <w:rPr>
          <w:rFonts w:eastAsia="Times New Roman"/>
          <w:color w:val="000000"/>
          <w:sz w:val="18"/>
          <w:szCs w:val="18"/>
        </w:rPr>
        <w:t xml:space="preserve">as required to submit such files). </w:t>
      </w:r>
      <w:r>
        <w:rPr>
          <w:rFonts w:ascii="Segoe UI Symbol" w:eastAsia="Times New Roman" w:hAnsi="Segoe UI Symbol" w:cs="Segoe UI Symbol"/>
          <w:color w:val="000000"/>
          <w:sz w:val="18"/>
          <w:szCs w:val="18"/>
        </w:rPr>
        <w:t>☒</w:t>
      </w:r>
      <w:r>
        <w:rPr>
          <w:rFonts w:eastAsia="Times New Roman"/>
          <w:color w:val="000000"/>
          <w:sz w:val="18"/>
          <w:szCs w:val="18"/>
        </w:rPr>
        <w:t xml:space="preserve">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w:t>
      </w:r>
    </w:p>
    <w:p w:rsidR="00000000" w:rsidRDefault="002A246B">
      <w:pPr>
        <w:jc w:val="both"/>
        <w:rPr>
          <w:rFonts w:eastAsia="Times New Roman"/>
        </w:rPr>
      </w:pPr>
      <w:r>
        <w:rPr>
          <w:rFonts w:eastAsia="Times New Roman"/>
          <w:color w:val="000000"/>
          <w:sz w:val="18"/>
          <w:szCs w:val="18"/>
        </w:rPr>
        <w:t>Indicate by check mark whether the registrant is a large accelerated filer, an accelerated filer, a non-accelerated filer, a smaller reporting company, or an emerging growth company. See the definitions of “lar</w:t>
      </w:r>
      <w:r>
        <w:rPr>
          <w:rFonts w:eastAsia="Times New Roman"/>
          <w:color w:val="000000"/>
          <w:sz w:val="18"/>
          <w:szCs w:val="18"/>
        </w:rPr>
        <w:t>ge accelerated filer,” “accelerated filer,” “smaller reporting company” and “emerging growth company” in Rule 12b-2 of the Exchange Act.</w:t>
      </w:r>
    </w:p>
    <w:tbl>
      <w:tblPr>
        <w:tblW w:w="4924" w:type="pct"/>
        <w:tblCellMar>
          <w:top w:w="15" w:type="dxa"/>
          <w:left w:w="15" w:type="dxa"/>
          <w:bottom w:w="15" w:type="dxa"/>
          <w:right w:w="15" w:type="dxa"/>
        </w:tblCellMar>
        <w:tblLook w:val="04A0" w:firstRow="1" w:lastRow="0" w:firstColumn="1" w:lastColumn="0" w:noHBand="0" w:noVBand="1"/>
      </w:tblPr>
      <w:tblGrid>
        <w:gridCol w:w="59"/>
        <w:gridCol w:w="2240"/>
        <w:gridCol w:w="36"/>
        <w:gridCol w:w="37"/>
        <w:gridCol w:w="199"/>
        <w:gridCol w:w="36"/>
        <w:gridCol w:w="60"/>
        <w:gridCol w:w="2782"/>
        <w:gridCol w:w="36"/>
        <w:gridCol w:w="60"/>
        <w:gridCol w:w="215"/>
        <w:gridCol w:w="36"/>
        <w:gridCol w:w="60"/>
        <w:gridCol w:w="2015"/>
        <w:gridCol w:w="36"/>
        <w:gridCol w:w="37"/>
        <w:gridCol w:w="200"/>
        <w:gridCol w:w="36"/>
      </w:tblGrid>
      <w:tr w:rsidR="00000000">
        <w:trPr>
          <w:divId w:val="1253392137"/>
        </w:trPr>
        <w:tc>
          <w:tcPr>
            <w:tcW w:w="50" w:type="pct"/>
            <w:vAlign w:val="center"/>
            <w:hideMark/>
          </w:tcPr>
          <w:p w:rsidR="00000000" w:rsidRDefault="002A246B">
            <w:pPr>
              <w:jc w:val="both"/>
              <w:rPr>
                <w:rFonts w:eastAsia="Times New Roman"/>
              </w:rPr>
            </w:pPr>
          </w:p>
        </w:tc>
        <w:tc>
          <w:tcPr>
            <w:tcW w:w="1383"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13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171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14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124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13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253392137"/>
        </w:trPr>
        <w:tc>
          <w:tcPr>
            <w:tcW w:w="0" w:type="auto"/>
            <w:gridSpan w:val="3"/>
            <w:tcMar>
              <w:top w:w="30" w:type="dxa"/>
              <w:left w:w="20" w:type="dxa"/>
              <w:bottom w:w="30" w:type="dxa"/>
              <w:right w:w="20" w:type="dxa"/>
            </w:tcMar>
            <w:hideMark/>
          </w:tcPr>
          <w:p w:rsidR="00000000" w:rsidRDefault="002A246B">
            <w:pPr>
              <w:spacing w:after="100"/>
              <w:ind w:hanging="144"/>
              <w:divId w:val="202594148"/>
              <w:rPr>
                <w:rFonts w:eastAsia="Times New Roman"/>
              </w:rPr>
            </w:pPr>
            <w:r>
              <w:rPr>
                <w:rFonts w:eastAsia="Times New Roman"/>
                <w:color w:val="000000"/>
                <w:sz w:val="18"/>
                <w:szCs w:val="18"/>
              </w:rPr>
              <w:t xml:space="preserve">Large accelerated filer </w:t>
            </w: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2A246B">
            <w:pPr>
              <w:spacing w:after="100"/>
              <w:ind w:hanging="144"/>
              <w:rPr>
                <w:rFonts w:eastAsia="Times New Roman"/>
              </w:rPr>
            </w:pPr>
          </w:p>
        </w:tc>
        <w:tc>
          <w:tcPr>
            <w:tcW w:w="0" w:type="auto"/>
            <w:gridSpan w:val="3"/>
            <w:tcMar>
              <w:top w:w="30" w:type="dxa"/>
              <w:left w:w="20" w:type="dxa"/>
              <w:bottom w:w="30" w:type="dxa"/>
              <w:right w:w="20" w:type="dxa"/>
            </w:tcMar>
            <w:hideMark/>
          </w:tcPr>
          <w:p w:rsidR="00000000" w:rsidRDefault="002A246B">
            <w:pPr>
              <w:spacing w:after="100"/>
              <w:rPr>
                <w:rFonts w:eastAsia="Times New Roman"/>
              </w:rPr>
            </w:pPr>
            <w:r>
              <w:rPr>
                <w:rFonts w:eastAsia="Times New Roman"/>
                <w:color w:val="000000"/>
                <w:sz w:val="18"/>
                <w:szCs w:val="18"/>
              </w:rPr>
              <w:t xml:space="preserve">Accelerated filer </w:t>
            </w:r>
          </w:p>
        </w:tc>
        <w:tc>
          <w:tcPr>
            <w:tcW w:w="0" w:type="auto"/>
            <w:gridSpan w:val="3"/>
            <w:tcMar>
              <w:top w:w="30" w:type="dxa"/>
              <w:left w:w="20" w:type="dxa"/>
              <w:bottom w:w="30" w:type="dxa"/>
              <w:right w:w="20" w:type="dxa"/>
            </w:tcMar>
            <w:hideMark/>
          </w:tcPr>
          <w:p w:rsidR="00000000" w:rsidRDefault="002A246B">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2A246B">
            <w:pPr>
              <w:spacing w:after="100"/>
              <w:divId w:val="923489118"/>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hideMark/>
          </w:tcPr>
          <w:p w:rsidR="00000000" w:rsidRDefault="002A246B">
            <w:pPr>
              <w:spacing w:after="100"/>
              <w:rPr>
                <w:rFonts w:eastAsia="Times New Roman"/>
              </w:rPr>
            </w:pPr>
            <w:r>
              <w:rPr>
                <w:rFonts w:ascii="Segoe UI Symbol" w:eastAsia="Times New Roman" w:hAnsi="Segoe UI Symbol" w:cs="Segoe UI Symbol"/>
                <w:color w:val="000000"/>
                <w:sz w:val="20"/>
                <w:szCs w:val="20"/>
              </w:rPr>
              <w:t>☒</w:t>
            </w:r>
          </w:p>
        </w:tc>
      </w:tr>
      <w:tr w:rsidR="00000000">
        <w:trPr>
          <w:divId w:val="1253392137"/>
          <w:trHeight w:val="300"/>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253392137"/>
        </w:trPr>
        <w:tc>
          <w:tcPr>
            <w:tcW w:w="0" w:type="auto"/>
            <w:gridSpan w:val="3"/>
            <w:tcMar>
              <w:top w:w="30" w:type="dxa"/>
              <w:left w:w="20" w:type="dxa"/>
              <w:bottom w:w="30" w:type="dxa"/>
              <w:right w:w="20" w:type="dxa"/>
            </w:tcMar>
            <w:hideMark/>
          </w:tcPr>
          <w:p w:rsidR="00000000" w:rsidRDefault="002A246B">
            <w:pPr>
              <w:spacing w:after="100"/>
              <w:ind w:hanging="144"/>
              <w:divId w:val="1383361238"/>
              <w:rPr>
                <w:rFonts w:eastAsia="Times New Roman"/>
              </w:rPr>
            </w:pPr>
            <w:r>
              <w:rPr>
                <w:rFonts w:eastAsia="Times New Roman"/>
                <w:color w:val="000000"/>
                <w:sz w:val="18"/>
                <w:szCs w:val="18"/>
              </w:rPr>
              <w:t xml:space="preserve">Smaller reporting company </w:t>
            </w:r>
          </w:p>
        </w:tc>
        <w:tc>
          <w:tcPr>
            <w:tcW w:w="0" w:type="auto"/>
            <w:gridSpan w:val="3"/>
            <w:tcMar>
              <w:top w:w="30" w:type="dxa"/>
              <w:left w:w="20" w:type="dxa"/>
              <w:bottom w:w="30" w:type="dxa"/>
              <w:right w:w="20" w:type="dxa"/>
            </w:tcMar>
            <w:hideMark/>
          </w:tcPr>
          <w:p w:rsidR="00000000" w:rsidRDefault="002A246B">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2A246B">
            <w:pPr>
              <w:spacing w:after="100"/>
              <w:divId w:val="1314799657"/>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hideMark/>
          </w:tcPr>
          <w:p w:rsidR="00000000" w:rsidRDefault="002A246B">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r>
    </w:tbl>
    <w:p w:rsidR="00000000" w:rsidRDefault="002A246B">
      <w:pPr>
        <w:divId w:val="1509556875"/>
        <w:rPr>
          <w:rFonts w:eastAsia="Times New Roman"/>
        </w:rPr>
      </w:pPr>
    </w:p>
    <w:p w:rsidR="00000000" w:rsidRDefault="002A246B">
      <w:pPr>
        <w:divId w:val="659115795"/>
        <w:rPr>
          <w:rFonts w:eastAsia="Times New Roman"/>
        </w:rPr>
      </w:pPr>
      <w:r>
        <w:rPr>
          <w:rFonts w:eastAsia="Times New Roman"/>
          <w:color w:val="000000"/>
          <w:sz w:val="18"/>
          <w:szCs w:val="18"/>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rsidR="00000000" w:rsidRDefault="002A246B">
      <w:pPr>
        <w:divId w:val="564529054"/>
        <w:rPr>
          <w:rFonts w:eastAsia="Times New Roman"/>
        </w:rPr>
      </w:pPr>
      <w:r>
        <w:rPr>
          <w:rFonts w:eastAsia="Times New Roman"/>
          <w:color w:val="000000"/>
          <w:sz w:val="18"/>
          <w:szCs w:val="18"/>
        </w:rPr>
        <w:t>Ind</w:t>
      </w:r>
      <w:r>
        <w:rPr>
          <w:rFonts w:eastAsia="Times New Roman"/>
          <w:color w:val="000000"/>
          <w:sz w:val="18"/>
          <w:szCs w:val="18"/>
        </w:rPr>
        <w:t xml:space="preserve">icate by check mark whether the registrant is a shell company (as defined in Rule 12b-2 of the Exchange Act). </w:t>
      </w:r>
      <w:r>
        <w:rPr>
          <w:rFonts w:ascii="Segoe UI Symbol" w:eastAsia="Times New Roman" w:hAnsi="Segoe UI Symbol" w:cs="Segoe UI Symbol"/>
          <w:color w:val="000000"/>
          <w:sz w:val="18"/>
          <w:szCs w:val="18"/>
        </w:rPr>
        <w:t>☐</w:t>
      </w:r>
      <w:r>
        <w:rPr>
          <w:rFonts w:eastAsia="Times New Roman"/>
          <w:color w:val="000000"/>
          <w:sz w:val="18"/>
          <w:szCs w:val="18"/>
        </w:rPr>
        <w:t xml:space="preserve">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w:t>
      </w:r>
    </w:p>
    <w:p w:rsidR="00000000" w:rsidRDefault="002A246B">
      <w:pPr>
        <w:divId w:val="887034208"/>
        <w:rPr>
          <w:rFonts w:eastAsia="Times New Roman"/>
        </w:rPr>
      </w:pPr>
      <w:r>
        <w:rPr>
          <w:rFonts w:eastAsia="Times New Roman"/>
          <w:color w:val="000000"/>
          <w:sz w:val="18"/>
          <w:szCs w:val="18"/>
        </w:rPr>
        <w:t>As of May 10, 2022, the registrant had 6,508,251 shares of common stock, par value $1.00 per share, outstanding.</w:t>
      </w:r>
    </w:p>
    <w:tbl>
      <w:tblPr>
        <w:tblW w:w="4901" w:type="pct"/>
        <w:tblCellMar>
          <w:top w:w="15" w:type="dxa"/>
          <w:left w:w="15" w:type="dxa"/>
          <w:bottom w:w="15" w:type="dxa"/>
          <w:right w:w="15" w:type="dxa"/>
        </w:tblCellMar>
        <w:tblLook w:val="04A0" w:firstRow="1" w:lastRow="0" w:firstColumn="1" w:lastColumn="0" w:noHBand="0" w:noVBand="1"/>
      </w:tblPr>
      <w:tblGrid>
        <w:gridCol w:w="67"/>
        <w:gridCol w:w="8039"/>
        <w:gridCol w:w="36"/>
      </w:tblGrid>
      <w:tr w:rsidR="00000000">
        <w:trPr>
          <w:divId w:val="1638953786"/>
        </w:trPr>
        <w:tc>
          <w:tcPr>
            <w:tcW w:w="50" w:type="pct"/>
            <w:vAlign w:val="center"/>
            <w:hideMark/>
          </w:tcPr>
          <w:p w:rsidR="00000000" w:rsidRDefault="002A246B">
            <w:pPr>
              <w:rPr>
                <w:rFonts w:eastAsia="Times New Roman"/>
              </w:rPr>
            </w:pPr>
          </w:p>
        </w:tc>
        <w:tc>
          <w:tcPr>
            <w:tcW w:w="494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638953786"/>
          <w:trHeight w:val="80"/>
        </w:trPr>
        <w:tc>
          <w:tcPr>
            <w:tcW w:w="0" w:type="auto"/>
            <w:gridSpan w:val="3"/>
            <w:tcBorders>
              <w:top w:val="single" w:sz="6" w:space="0" w:color="000000"/>
              <w:bottom w:val="single" w:sz="24"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r>
    </w:tbl>
    <w:p w:rsidR="00000000" w:rsidRDefault="002A246B">
      <w:pPr>
        <w:jc w:val="center"/>
        <w:divId w:val="822890037"/>
        <w:rPr>
          <w:rFonts w:eastAsia="Times New Roman"/>
        </w:rPr>
      </w:pPr>
    </w:p>
    <w:p w:rsidR="00000000" w:rsidRDefault="002A246B">
      <w:pPr>
        <w:rPr>
          <w:rFonts w:eastAsia="Times New Roman"/>
        </w:rPr>
      </w:pPr>
      <w:r>
        <w:rPr>
          <w:rFonts w:eastAsia="Times New Roman"/>
        </w:rPr>
        <w:pict>
          <v:rect id="_x0000_i1025" style="width:0;height:1.5pt" o:hralign="center" o:hrstd="t" o:hr="t" fillcolor="#a0a0a0" stroked="f"/>
        </w:pict>
      </w:r>
    </w:p>
    <w:p w:rsidR="00000000" w:rsidRDefault="002A246B">
      <w:pPr>
        <w:jc w:val="center"/>
        <w:divId w:val="1797488336"/>
        <w:rPr>
          <w:rFonts w:eastAsia="Times New Roman"/>
        </w:rPr>
      </w:pPr>
    </w:p>
    <w:p w:rsidR="00000000" w:rsidRDefault="002A246B">
      <w:pPr>
        <w:jc w:val="center"/>
        <w:rPr>
          <w:rFonts w:eastAsia="Times New Roman"/>
        </w:rPr>
      </w:pPr>
      <w:r>
        <w:rPr>
          <w:rFonts w:eastAsia="Times New Roman"/>
          <w:b/>
          <w:bCs/>
          <w:color w:val="000000"/>
          <w:sz w:val="20"/>
          <w:szCs w:val="20"/>
        </w:rPr>
        <w:t>PART I – FINANCIAL INFORMATION</w:t>
      </w:r>
    </w:p>
    <w:p w:rsidR="00000000" w:rsidRDefault="002A246B">
      <w:pPr>
        <w:divId w:val="839471952"/>
        <w:rPr>
          <w:rFonts w:eastAsia="Times New Roman"/>
        </w:rPr>
      </w:pPr>
    </w:p>
    <w:p w:rsidR="00000000" w:rsidRDefault="002A246B">
      <w:pPr>
        <w:divId w:val="861825443"/>
        <w:rPr>
          <w:rFonts w:eastAsia="Times New Roman"/>
        </w:rPr>
      </w:pPr>
      <w:r>
        <w:rPr>
          <w:rFonts w:eastAsia="Times New Roman"/>
          <w:b/>
          <w:bCs/>
          <w:color w:val="000000"/>
          <w:sz w:val="20"/>
          <w:szCs w:val="20"/>
        </w:rPr>
        <w:t>Item 1. Financial Statements</w:t>
      </w:r>
    </w:p>
    <w:p w:rsidR="00000000" w:rsidRDefault="002A246B">
      <w:pPr>
        <w:divId w:val="811871928"/>
        <w:rPr>
          <w:rFonts w:eastAsia="Times New Roman"/>
        </w:rPr>
      </w:pPr>
    </w:p>
    <w:p w:rsidR="00000000" w:rsidRDefault="002A246B">
      <w:pPr>
        <w:divId w:val="1303802277"/>
        <w:rPr>
          <w:rFonts w:eastAsia="Times New Roman"/>
        </w:rPr>
      </w:pPr>
      <w:r>
        <w:rPr>
          <w:rFonts w:eastAsia="Times New Roman"/>
          <w:b/>
          <w:bCs/>
          <w:color w:val="000000"/>
          <w:sz w:val="20"/>
          <w:szCs w:val="20"/>
        </w:rPr>
        <w:t>HAWTHORN BANCSHARES, INC. AND SUBSIDIARIES</w:t>
      </w:r>
    </w:p>
    <w:p w:rsidR="00000000" w:rsidRDefault="002A246B">
      <w:pPr>
        <w:divId w:val="2035884799"/>
        <w:rPr>
          <w:rFonts w:eastAsia="Times New Roman"/>
        </w:rPr>
      </w:pPr>
      <w:r>
        <w:rPr>
          <w:rFonts w:eastAsia="Times New Roman"/>
          <w:b/>
          <w:bCs/>
          <w:color w:val="000000"/>
          <w:sz w:val="20"/>
          <w:szCs w:val="20"/>
        </w:rPr>
        <w:t xml:space="preserve">Consolidated Balance Sheets </w:t>
      </w:r>
    </w:p>
    <w:tbl>
      <w:tblPr>
        <w:tblW w:w="5000" w:type="pct"/>
        <w:tblCellMar>
          <w:top w:w="15" w:type="dxa"/>
          <w:left w:w="15" w:type="dxa"/>
          <w:bottom w:w="15" w:type="dxa"/>
          <w:right w:w="15" w:type="dxa"/>
        </w:tblCellMar>
        <w:tblLook w:val="04A0" w:firstRow="1" w:lastRow="0" w:firstColumn="1" w:lastColumn="0" w:noHBand="0" w:noVBand="1"/>
      </w:tblPr>
      <w:tblGrid>
        <w:gridCol w:w="40"/>
        <w:gridCol w:w="6045"/>
        <w:gridCol w:w="39"/>
        <w:gridCol w:w="120"/>
        <w:gridCol w:w="850"/>
        <w:gridCol w:w="36"/>
        <w:gridCol w:w="36"/>
        <w:gridCol w:w="36"/>
        <w:gridCol w:w="36"/>
        <w:gridCol w:w="120"/>
        <w:gridCol w:w="912"/>
        <w:gridCol w:w="36"/>
      </w:tblGrid>
      <w:tr w:rsidR="00000000">
        <w:trPr>
          <w:divId w:val="771365593"/>
        </w:trPr>
        <w:tc>
          <w:tcPr>
            <w:tcW w:w="50" w:type="pct"/>
            <w:vAlign w:val="center"/>
            <w:hideMark/>
          </w:tcPr>
          <w:p w:rsidR="00000000" w:rsidRDefault="002A246B">
            <w:pPr>
              <w:rPr>
                <w:rFonts w:eastAsia="Times New Roman"/>
              </w:rPr>
            </w:pPr>
          </w:p>
        </w:tc>
        <w:tc>
          <w:tcPr>
            <w:tcW w:w="366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77136559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 thousands, except per share data)</w:t>
            </w: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December 31, 2021</w:t>
            </w:r>
          </w:p>
        </w:tc>
      </w:tr>
      <w:tr w:rsidR="00000000">
        <w:trPr>
          <w:divId w:val="771365593"/>
        </w:trPr>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i/>
                <w:iCs/>
                <w:color w:val="000000"/>
                <w:sz w:val="16"/>
                <w:szCs w:val="16"/>
              </w:rPr>
              <w:t>(Unaudited)</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77136559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77136559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Cash and due from banks</w:t>
            </w: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22,544 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17,287 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77136559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Federal funds sold</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419</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7,122</w:t>
            </w:r>
          </w:p>
        </w:tc>
      </w:tr>
      <w:tr w:rsidR="00000000">
        <w:trPr>
          <w:divId w:val="77136559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Other interest-bearing deposits</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27,552</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135,500</w:t>
            </w:r>
          </w:p>
        </w:tc>
      </w:tr>
      <w:tr w:rsidR="00000000">
        <w:trPr>
          <w:divId w:val="77136559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Cash and cash equivalents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50,515</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159,909</w:t>
            </w:r>
          </w:p>
        </w:tc>
      </w:tr>
      <w:tr w:rsidR="00000000">
        <w:trPr>
          <w:divId w:val="77136559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Certificates of deposit in other banks</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4,701</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5,193</w:t>
            </w:r>
          </w:p>
        </w:tc>
      </w:tr>
      <w:tr w:rsidR="00000000">
        <w:trPr>
          <w:divId w:val="77136559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Available-for-sale debt securities, at fair value</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286,754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310,870</w:t>
            </w:r>
          </w:p>
        </w:tc>
      </w:tr>
      <w:tr w:rsidR="00000000">
        <w:trPr>
          <w:divId w:val="77136559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Other investments</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5,490</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5,408</w:t>
            </w:r>
          </w:p>
        </w:tc>
      </w:tr>
      <w:tr w:rsidR="00000000">
        <w:trPr>
          <w:divId w:val="77136559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 investment securities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292,244</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316,278</w:t>
            </w:r>
          </w:p>
        </w:tc>
      </w:tr>
      <w:tr w:rsidR="00000000">
        <w:trPr>
          <w:divId w:val="77136559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Loans held for investment</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1,333,923</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1,302,133</w:t>
            </w:r>
          </w:p>
        </w:tc>
      </w:tr>
      <w:tr w:rsidR="00000000">
        <w:trPr>
          <w:divId w:val="77136559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Allowance for loan losses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(14,279)</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(16,903)</w:t>
            </w:r>
          </w:p>
        </w:tc>
      </w:tr>
      <w:tr w:rsidR="00000000">
        <w:trPr>
          <w:divId w:val="771365593"/>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Net loans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1,319,644</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1,285,230</w:t>
            </w:r>
          </w:p>
        </w:tc>
      </w:tr>
      <w:tr w:rsidR="00000000">
        <w:trPr>
          <w:divId w:val="77136559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Loans held for sale, at lower of cost or fair value</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909</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2,249</w:t>
            </w:r>
          </w:p>
        </w:tc>
      </w:tr>
      <w:tr w:rsidR="00000000">
        <w:trPr>
          <w:divId w:val="77136559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Premises and equipment - net</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33,555</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32,719</w:t>
            </w:r>
          </w:p>
        </w:tc>
      </w:tr>
      <w:tr w:rsidR="00000000">
        <w:trPr>
          <w:divId w:val="77136559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Mortgage servicing rights, at fair value</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2,639</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2,659</w:t>
            </w:r>
          </w:p>
        </w:tc>
      </w:tr>
      <w:tr w:rsidR="00000000">
        <w:trPr>
          <w:divId w:val="77136559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Other real estate owned - net</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9,758</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10,525</w:t>
            </w:r>
          </w:p>
        </w:tc>
      </w:tr>
      <w:tr w:rsidR="00000000">
        <w:trPr>
          <w:divId w:val="77136559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Accrued interest receivable</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6,241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6,621</w:t>
            </w:r>
          </w:p>
        </w:tc>
      </w:tr>
      <w:tr w:rsidR="00000000">
        <w:trPr>
          <w:divId w:val="77136559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Cash surrender value - life insurance</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2,524</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2,509</w:t>
            </w:r>
          </w:p>
        </w:tc>
      </w:tr>
      <w:tr w:rsidR="00000000">
        <w:trPr>
          <w:divId w:val="77136559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Other assets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12,953</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7,658</w:t>
            </w:r>
          </w:p>
        </w:tc>
      </w:tr>
      <w:tr w:rsidR="00000000">
        <w:trPr>
          <w:divId w:val="771365593"/>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lastRenderedPageBreak/>
              <w:t>Total assets</w:t>
            </w:r>
          </w:p>
        </w:tc>
        <w:tc>
          <w:tcPr>
            <w:tcW w:w="0" w:type="auto"/>
            <w:tcBorders>
              <w:top w:val="sing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1,735,683 </w:t>
            </w:r>
          </w:p>
        </w:tc>
        <w:tc>
          <w:tcPr>
            <w:tcW w:w="0" w:type="auto"/>
            <w:tcBorders>
              <w:top w:val="sing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1,831,550 </w:t>
            </w:r>
          </w:p>
        </w:tc>
        <w:tc>
          <w:tcPr>
            <w:tcW w:w="0" w:type="auto"/>
            <w:tcBorders>
              <w:top w:val="sing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771365593"/>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77136559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Deposits</w:t>
            </w: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77136559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Non-interest bearing demand</w:t>
            </w: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450,225 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453,066 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77136559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Savings, interest checking and money market</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752,164</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818,358</w:t>
            </w:r>
          </w:p>
        </w:tc>
      </w:tr>
      <w:tr w:rsidR="00000000">
        <w:trPr>
          <w:divId w:val="77136559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Time deposits $250,000 and over</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84,692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69,075</w:t>
            </w:r>
          </w:p>
        </w:tc>
      </w:tr>
      <w:tr w:rsidR="00000000">
        <w:trPr>
          <w:divId w:val="77136559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Other time deposits</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169,062</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176,321</w:t>
            </w:r>
          </w:p>
        </w:tc>
      </w:tr>
      <w:tr w:rsidR="00000000">
        <w:trPr>
          <w:divId w:val="77136559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 deposits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1,456,143</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1,516,820</w:t>
            </w:r>
          </w:p>
        </w:tc>
      </w:tr>
      <w:tr w:rsidR="00000000">
        <w:trPr>
          <w:divId w:val="771365593"/>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Federal funds purchased and securities sold under agreements to repurchase</w:t>
            </w:r>
          </w:p>
        </w:tc>
        <w:tc>
          <w:tcPr>
            <w:tcW w:w="0" w:type="auto"/>
            <w:gridSpan w:val="2"/>
            <w:tcBorders>
              <w:top w:val="single" w:sz="6" w:space="0" w:color="000000"/>
            </w:tcBorders>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5,514 </w:t>
            </w:r>
          </w:p>
        </w:tc>
        <w:tc>
          <w:tcPr>
            <w:tcW w:w="0" w:type="auto"/>
            <w:tcBorders>
              <w:top w:val="sing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Borders>
              <w:top w:val="single" w:sz="6" w:space="0" w:color="000000"/>
            </w:tcBorders>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23,829 </w:t>
            </w:r>
          </w:p>
        </w:tc>
        <w:tc>
          <w:tcPr>
            <w:tcW w:w="0" w:type="auto"/>
            <w:tcBorders>
              <w:top w:val="sing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77136559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Federal Home Loan Bank advances and other borrowings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77,357</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77,418</w:t>
            </w:r>
          </w:p>
        </w:tc>
      </w:tr>
      <w:tr w:rsidR="00000000">
        <w:trPr>
          <w:divId w:val="77136559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Subordinated notes</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49,486</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49,486</w:t>
            </w:r>
          </w:p>
        </w:tc>
      </w:tr>
      <w:tr w:rsidR="00000000">
        <w:trPr>
          <w:divId w:val="77136559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Operating lease liabilities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1,763</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1,837</w:t>
            </w:r>
          </w:p>
        </w:tc>
      </w:tr>
      <w:tr w:rsidR="00000000">
        <w:trPr>
          <w:divId w:val="77136559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Accrued interest payable</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298</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282</w:t>
            </w:r>
          </w:p>
        </w:tc>
      </w:tr>
      <w:tr w:rsidR="00000000">
        <w:trPr>
          <w:divId w:val="77136559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Other liabilities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10,735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12,922</w:t>
            </w:r>
          </w:p>
        </w:tc>
      </w:tr>
      <w:tr w:rsidR="00000000">
        <w:trPr>
          <w:divId w:val="771365593"/>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 liabilities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1,601,296</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1,682,594</w:t>
            </w:r>
          </w:p>
        </w:tc>
      </w:tr>
      <w:tr w:rsidR="00000000">
        <w:trPr>
          <w:divId w:val="77136559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Stockholders’ equity:</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771365593"/>
        </w:trPr>
        <w:tc>
          <w:tcPr>
            <w:tcW w:w="0" w:type="auto"/>
            <w:gridSpan w:val="3"/>
            <w:tcMar>
              <w:top w:w="30" w:type="dxa"/>
              <w:left w:w="20" w:type="dxa"/>
              <w:bottom w:w="30" w:type="dxa"/>
              <w:right w:w="20" w:type="dxa"/>
            </w:tcMar>
            <w:vAlign w:val="bottom"/>
            <w:hideMark/>
          </w:tcPr>
          <w:p w:rsidR="00000000" w:rsidRDefault="002A246B">
            <w:pPr>
              <w:spacing w:after="100"/>
              <w:divId w:val="755328285"/>
              <w:rPr>
                <w:rFonts w:eastAsia="Times New Roman"/>
              </w:rPr>
            </w:pPr>
            <w:r>
              <w:rPr>
                <w:rFonts w:eastAsia="Times New Roman"/>
                <w:color w:val="000000"/>
                <w:sz w:val="20"/>
                <w:szCs w:val="20"/>
              </w:rPr>
              <w:t xml:space="preserve">Common stock, $1.00 </w:t>
            </w:r>
            <w:r>
              <w:rPr>
                <w:rFonts w:eastAsia="Times New Roman"/>
                <w:color w:val="000000"/>
                <w:sz w:val="20"/>
                <w:szCs w:val="20"/>
              </w:rPr>
              <w:t>par value, authorized 15,000,000 shares; issued 7,023,821 shares, respectively</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7,024</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7,024</w:t>
            </w:r>
          </w:p>
        </w:tc>
      </w:tr>
      <w:tr w:rsidR="00000000">
        <w:trPr>
          <w:divId w:val="77136559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Surplus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64,437</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64,437</w:t>
            </w:r>
          </w:p>
        </w:tc>
      </w:tr>
      <w:tr w:rsidR="00000000">
        <w:trPr>
          <w:divId w:val="77136559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Retained earnings</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87,919</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82,300</w:t>
            </w:r>
          </w:p>
        </w:tc>
      </w:tr>
      <w:tr w:rsidR="00000000">
        <w:trPr>
          <w:divId w:val="77136559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Accumulated other comprehensive (loss) income, net of tax</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(16,289)</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3,293</w:t>
            </w:r>
          </w:p>
        </w:tc>
      </w:tr>
      <w:tr w:rsidR="00000000">
        <w:trPr>
          <w:divId w:val="771365593"/>
        </w:trPr>
        <w:tc>
          <w:tcPr>
            <w:tcW w:w="0" w:type="auto"/>
            <w:gridSpan w:val="3"/>
            <w:tcMar>
              <w:top w:w="30" w:type="dxa"/>
              <w:left w:w="20" w:type="dxa"/>
              <w:bottom w:w="30" w:type="dxa"/>
              <w:right w:w="20" w:type="dxa"/>
            </w:tcMar>
            <w:vAlign w:val="bottom"/>
            <w:hideMark/>
          </w:tcPr>
          <w:p w:rsidR="00000000" w:rsidRDefault="002A246B">
            <w:pPr>
              <w:spacing w:after="100"/>
              <w:divId w:val="828012923"/>
              <w:rPr>
                <w:rFonts w:eastAsia="Times New Roman"/>
              </w:rPr>
            </w:pPr>
            <w:r>
              <w:rPr>
                <w:rFonts w:eastAsia="Times New Roman"/>
                <w:color w:val="000000"/>
                <w:sz w:val="20"/>
                <w:szCs w:val="20"/>
              </w:rPr>
              <w:t>Treasury stock; 430,382, and 406,846 shares, at cost, respectively</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(8,704)</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(8,098)</w:t>
            </w:r>
          </w:p>
        </w:tc>
      </w:tr>
      <w:tr w:rsidR="00000000">
        <w:trPr>
          <w:divId w:val="77136559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 stockholders’ equity</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134,387</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148,956</w:t>
            </w:r>
          </w:p>
        </w:tc>
      </w:tr>
      <w:tr w:rsidR="00000000">
        <w:trPr>
          <w:divId w:val="771365593"/>
        </w:trPr>
        <w:tc>
          <w:tcPr>
            <w:tcW w:w="0" w:type="auto"/>
            <w:gridSpan w:val="3"/>
            <w:tcBorders>
              <w:top w:val="single" w:sz="6" w:space="0" w:color="000000"/>
              <w:bottom w:val="doub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 liabilities and stockholders’ equity</w:t>
            </w: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1,735,683 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1,831,550 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jc w:val="both"/>
        <w:rPr>
          <w:rFonts w:eastAsia="Times New Roman"/>
        </w:rPr>
      </w:pPr>
      <w:r>
        <w:rPr>
          <w:rFonts w:eastAsia="Times New Roman"/>
          <w:color w:val="000000"/>
          <w:sz w:val="20"/>
          <w:szCs w:val="20"/>
        </w:rPr>
        <w:t xml:space="preserve">See accompanying notes to the consolidated financial statements </w:t>
      </w:r>
      <w:r>
        <w:rPr>
          <w:rFonts w:eastAsia="Times New Roman"/>
          <w:i/>
          <w:iCs/>
          <w:color w:val="000000"/>
          <w:sz w:val="20"/>
          <w:szCs w:val="20"/>
        </w:rPr>
        <w:t>(unaudited)</w:t>
      </w:r>
      <w:r>
        <w:rPr>
          <w:rFonts w:eastAsia="Times New Roman"/>
          <w:color w:val="000000"/>
          <w:sz w:val="20"/>
          <w:szCs w:val="20"/>
        </w:rPr>
        <w:t>.</w:t>
      </w:r>
    </w:p>
    <w:p w:rsidR="00000000" w:rsidRDefault="002A246B">
      <w:pPr>
        <w:jc w:val="center"/>
        <w:divId w:val="2125341036"/>
        <w:rPr>
          <w:rFonts w:eastAsia="Times New Roman"/>
        </w:rPr>
      </w:pPr>
      <w:r>
        <w:rPr>
          <w:rFonts w:eastAsia="Times New Roman"/>
          <w:color w:val="000000"/>
          <w:sz w:val="20"/>
          <w:szCs w:val="20"/>
        </w:rPr>
        <w:t>2</w:t>
      </w:r>
    </w:p>
    <w:p w:rsidR="00000000" w:rsidRDefault="002A246B">
      <w:pPr>
        <w:rPr>
          <w:rFonts w:eastAsia="Times New Roman"/>
        </w:rPr>
      </w:pPr>
      <w:r>
        <w:rPr>
          <w:rFonts w:eastAsia="Times New Roman"/>
        </w:rPr>
        <w:pict>
          <v:rect id="_x0000_i1026" style="width:0;height:1.5pt" o:hralign="center" o:hrstd="t" o:hr="t" fillcolor="#a0a0a0" stroked="f"/>
        </w:pict>
      </w:r>
    </w:p>
    <w:p w:rsidR="00000000" w:rsidRDefault="002A246B">
      <w:pPr>
        <w:divId w:val="762653908"/>
        <w:rPr>
          <w:rFonts w:eastAsia="Times New Roman"/>
        </w:rPr>
      </w:pPr>
    </w:p>
    <w:p w:rsidR="00000000" w:rsidRDefault="002A246B">
      <w:pPr>
        <w:divId w:val="349916203"/>
        <w:rPr>
          <w:rFonts w:eastAsia="Times New Roman"/>
        </w:rPr>
      </w:pPr>
      <w:r>
        <w:rPr>
          <w:rFonts w:eastAsia="Times New Roman"/>
          <w:b/>
          <w:bCs/>
          <w:color w:val="000000"/>
          <w:sz w:val="20"/>
          <w:szCs w:val="20"/>
        </w:rPr>
        <w:t>HAWTHORN BANCSHARES, INC. AND SUBSIDIARIES</w:t>
      </w:r>
    </w:p>
    <w:p w:rsidR="00000000" w:rsidRDefault="002A246B">
      <w:pPr>
        <w:divId w:val="866217127"/>
        <w:rPr>
          <w:rFonts w:eastAsia="Times New Roman"/>
        </w:rPr>
      </w:pPr>
      <w:r>
        <w:rPr>
          <w:rFonts w:eastAsia="Times New Roman"/>
          <w:b/>
          <w:bCs/>
          <w:color w:val="000000"/>
          <w:sz w:val="20"/>
          <w:szCs w:val="20"/>
        </w:rPr>
        <w:t xml:space="preserve">Consolidated Statements of Income </w:t>
      </w:r>
      <w:r>
        <w:rPr>
          <w:rFonts w:eastAsia="Times New Roman"/>
          <w:i/>
          <w:iCs/>
          <w:color w:val="000000"/>
          <w:sz w:val="20"/>
          <w:szCs w:val="20"/>
        </w:rPr>
        <w:t>(unaudited)</w:t>
      </w:r>
    </w:p>
    <w:tbl>
      <w:tblPr>
        <w:tblW w:w="4962" w:type="pct"/>
        <w:tblCellMar>
          <w:top w:w="15" w:type="dxa"/>
          <w:left w:w="15" w:type="dxa"/>
          <w:bottom w:w="15" w:type="dxa"/>
          <w:right w:w="15" w:type="dxa"/>
        </w:tblCellMar>
        <w:tblLook w:val="04A0" w:firstRow="1" w:lastRow="0" w:firstColumn="1" w:lastColumn="0" w:noHBand="0" w:noVBand="1"/>
      </w:tblPr>
      <w:tblGrid>
        <w:gridCol w:w="38"/>
        <w:gridCol w:w="5702"/>
        <w:gridCol w:w="37"/>
        <w:gridCol w:w="36"/>
        <w:gridCol w:w="46"/>
        <w:gridCol w:w="36"/>
        <w:gridCol w:w="36"/>
        <w:gridCol w:w="36"/>
        <w:gridCol w:w="36"/>
        <w:gridCol w:w="100"/>
        <w:gridCol w:w="930"/>
        <w:gridCol w:w="36"/>
        <w:gridCol w:w="36"/>
        <w:gridCol w:w="36"/>
        <w:gridCol w:w="36"/>
        <w:gridCol w:w="100"/>
        <w:gridCol w:w="930"/>
        <w:gridCol w:w="36"/>
      </w:tblGrid>
      <w:tr w:rsidR="00000000">
        <w:trPr>
          <w:divId w:val="1686520402"/>
        </w:trPr>
        <w:tc>
          <w:tcPr>
            <w:tcW w:w="50" w:type="pct"/>
            <w:vAlign w:val="center"/>
            <w:hideMark/>
          </w:tcPr>
          <w:p w:rsidR="00000000" w:rsidRDefault="002A246B">
            <w:pPr>
              <w:rPr>
                <w:rFonts w:eastAsia="Times New Roman"/>
              </w:rPr>
            </w:pPr>
          </w:p>
        </w:tc>
        <w:tc>
          <w:tcPr>
            <w:tcW w:w="355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686520402"/>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1686520402"/>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i/>
                <w:iCs/>
                <w:color w:val="000000"/>
                <w:sz w:val="16"/>
                <w:szCs w:val="16"/>
              </w:rPr>
              <w:t>(In thousands, except per share data)</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2021</w:t>
            </w:r>
          </w:p>
        </w:tc>
      </w:tr>
      <w:tr w:rsidR="00000000">
        <w:trPr>
          <w:divId w:val="168652040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INTEREST INCOME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r>
      <w:tr w:rsidR="00000000">
        <w:trPr>
          <w:divId w:val="1686520402"/>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Interest and fees on loans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13,915 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14,979 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686520402"/>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Interest and fees on loans held for sale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25</w:t>
            </w:r>
          </w:p>
        </w:tc>
      </w:tr>
      <w:tr w:rsidR="00000000">
        <w:trPr>
          <w:divId w:val="1686520402"/>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Interest on investment securities: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686520402"/>
        </w:trPr>
        <w:tc>
          <w:tcPr>
            <w:tcW w:w="0" w:type="auto"/>
            <w:gridSpan w:val="3"/>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Taxable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788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667</w:t>
            </w:r>
          </w:p>
        </w:tc>
      </w:tr>
      <w:tr w:rsidR="00000000">
        <w:trPr>
          <w:divId w:val="1686520402"/>
        </w:trPr>
        <w:tc>
          <w:tcPr>
            <w:tcW w:w="0" w:type="auto"/>
            <w:gridSpan w:val="3"/>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lastRenderedPageBreak/>
              <w:t>Nontaxable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577</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246</w:t>
            </w:r>
          </w:p>
        </w:tc>
      </w:tr>
      <w:tr w:rsidR="00000000">
        <w:trPr>
          <w:divId w:val="1686520402"/>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Federal funds sold</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w:t>
            </w:r>
          </w:p>
        </w:tc>
      </w:tr>
      <w:tr w:rsidR="00000000">
        <w:trPr>
          <w:divId w:val="1686520402"/>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Other interest-bearing deposits and certificates of deposit in other banks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60</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98</w:t>
            </w:r>
          </w:p>
        </w:tc>
      </w:tr>
      <w:tr w:rsidR="00000000">
        <w:trPr>
          <w:divId w:val="1686520402"/>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Dividends on other investments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83</w:t>
            </w:r>
          </w:p>
        </w:tc>
      </w:tr>
      <w:tr w:rsidR="00000000">
        <w:trPr>
          <w:divId w:val="1686520402"/>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 interest income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15,436</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16,102</w:t>
            </w:r>
          </w:p>
        </w:tc>
      </w:tr>
      <w:tr w:rsidR="00000000">
        <w:trPr>
          <w:divId w:val="168652040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INTEREST EXPENSE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r>
      <w:tr w:rsidR="00000000">
        <w:trPr>
          <w:divId w:val="1686520402"/>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Interest on deposits: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r>
      <w:tr w:rsidR="00000000">
        <w:trPr>
          <w:divId w:val="1686520402"/>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Savings, interest checking and money market</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316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309</w:t>
            </w:r>
          </w:p>
        </w:tc>
      </w:tr>
      <w:tr w:rsidR="00000000">
        <w:trPr>
          <w:divId w:val="1686520402"/>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Time deposit accounts $250,000 and over</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113</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210</w:t>
            </w:r>
          </w:p>
        </w:tc>
      </w:tr>
      <w:tr w:rsidR="00000000">
        <w:trPr>
          <w:divId w:val="1686520402"/>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Time deposits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276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461</w:t>
            </w:r>
          </w:p>
        </w:tc>
      </w:tr>
      <w:tr w:rsidR="00000000">
        <w:trPr>
          <w:divId w:val="1686520402"/>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 interest expense on deposits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705</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980</w:t>
            </w:r>
          </w:p>
        </w:tc>
      </w:tr>
      <w:tr w:rsidR="00000000">
        <w:trPr>
          <w:divId w:val="168652040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Interest on federal funds purchased and securities sold under agreements to repurchase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10</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26</w:t>
            </w:r>
          </w:p>
        </w:tc>
      </w:tr>
      <w:tr w:rsidR="00000000">
        <w:trPr>
          <w:divId w:val="1686520402"/>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Interest on Federal Home Loan Bank advances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252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396</w:t>
            </w:r>
          </w:p>
        </w:tc>
      </w:tr>
      <w:tr w:rsidR="00000000">
        <w:trPr>
          <w:divId w:val="1686520402"/>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Interest on subordinated notes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324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310</w:t>
            </w:r>
          </w:p>
        </w:tc>
      </w:tr>
      <w:tr w:rsidR="00000000">
        <w:trPr>
          <w:divId w:val="1686520402"/>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 interest expense on borrowings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586</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732</w:t>
            </w:r>
          </w:p>
        </w:tc>
      </w:tr>
      <w:tr w:rsidR="00000000">
        <w:trPr>
          <w:divId w:val="168652040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 interest expense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1,291</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1,712</w:t>
            </w:r>
          </w:p>
        </w:tc>
      </w:tr>
      <w:tr w:rsidR="00000000">
        <w:trPr>
          <w:divId w:val="1686520402"/>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Net interest income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14,145</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14,390</w:t>
            </w:r>
          </w:p>
        </w:tc>
      </w:tr>
      <w:tr w:rsidR="00000000">
        <w:trPr>
          <w:divId w:val="1686520402"/>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(Release of) provision for loan losses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(2,500)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1686520402"/>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Net interest income after (release of) provision for loan losses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16,645</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14,390</w:t>
            </w:r>
          </w:p>
        </w:tc>
      </w:tr>
      <w:tr w:rsidR="00000000">
        <w:trPr>
          <w:divId w:val="168652040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NON-INTEREST INCOME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686520402"/>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Service charges and other fees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793</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739</w:t>
            </w:r>
          </w:p>
        </w:tc>
      </w:tr>
      <w:tr w:rsidR="00000000">
        <w:trPr>
          <w:divId w:val="1686520402"/>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Bank card income and fees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961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860</w:t>
            </w:r>
          </w:p>
        </w:tc>
      </w:tr>
      <w:tr w:rsidR="00000000">
        <w:trPr>
          <w:divId w:val="1686520402"/>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Trust department income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340</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294</w:t>
            </w:r>
          </w:p>
        </w:tc>
      </w:tr>
      <w:tr w:rsidR="00000000">
        <w:trPr>
          <w:divId w:val="1686520402"/>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Real estate servicing fees, net</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231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73</w:t>
            </w:r>
          </w:p>
        </w:tc>
      </w:tr>
      <w:tr w:rsidR="00000000">
        <w:trPr>
          <w:divId w:val="1686520402"/>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Gain on sale of mortgage loans, net</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888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2,469</w:t>
            </w:r>
          </w:p>
        </w:tc>
      </w:tr>
      <w:tr w:rsidR="00000000">
        <w:trPr>
          <w:divId w:val="1686520402"/>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Other</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513</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137</w:t>
            </w:r>
          </w:p>
        </w:tc>
      </w:tr>
      <w:tr w:rsidR="00000000">
        <w:trPr>
          <w:divId w:val="1686520402"/>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 non-interest income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3,726</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4,572</w:t>
            </w:r>
          </w:p>
        </w:tc>
      </w:tr>
      <w:tr w:rsidR="00000000">
        <w:trPr>
          <w:divId w:val="168652040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Investment securities (losses) gains, net</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14</w:t>
            </w:r>
          </w:p>
        </w:tc>
      </w:tr>
      <w:tr w:rsidR="00000000">
        <w:trPr>
          <w:divId w:val="1686520402"/>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NON-INTEREST EXPENSE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r>
      <w:tr w:rsidR="00000000">
        <w:trPr>
          <w:divId w:val="1686520402"/>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Salaries and employee benefits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6,886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7,146</w:t>
            </w:r>
          </w:p>
        </w:tc>
      </w:tr>
      <w:tr w:rsidR="00000000">
        <w:trPr>
          <w:divId w:val="1686520402"/>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Occupancy expense, net</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786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771</w:t>
            </w:r>
          </w:p>
        </w:tc>
      </w:tr>
      <w:tr w:rsidR="00000000">
        <w:trPr>
          <w:divId w:val="1686520402"/>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Furniture and equipment expense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755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744</w:t>
            </w:r>
          </w:p>
        </w:tc>
      </w:tr>
      <w:tr w:rsidR="00000000">
        <w:trPr>
          <w:divId w:val="1686520402"/>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Processing, network, and bank card expense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1,142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1,007</w:t>
            </w:r>
          </w:p>
        </w:tc>
      </w:tr>
      <w:tr w:rsidR="00000000">
        <w:trPr>
          <w:divId w:val="1686520402"/>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Legal, examination, and professional fees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440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404</w:t>
            </w:r>
          </w:p>
        </w:tc>
      </w:tr>
      <w:tr w:rsidR="00000000">
        <w:trPr>
          <w:divId w:val="1686520402"/>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Advertising and promotion</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293</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243</w:t>
            </w:r>
          </w:p>
        </w:tc>
      </w:tr>
      <w:tr w:rsidR="00000000">
        <w:trPr>
          <w:divId w:val="1686520402"/>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Postage, printing, and supplies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190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204</w:t>
            </w:r>
          </w:p>
        </w:tc>
      </w:tr>
      <w:tr w:rsidR="00000000">
        <w:trPr>
          <w:divId w:val="1686520402"/>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Loan expense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145</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174</w:t>
            </w:r>
          </w:p>
        </w:tc>
      </w:tr>
      <w:tr w:rsidR="00000000">
        <w:trPr>
          <w:divId w:val="1686520402"/>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Other</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1,590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1,087</w:t>
            </w:r>
          </w:p>
        </w:tc>
      </w:tr>
      <w:tr w:rsidR="00000000">
        <w:trPr>
          <w:divId w:val="1686520402"/>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 non-interest expense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12,227</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11,780</w:t>
            </w:r>
          </w:p>
        </w:tc>
      </w:tr>
      <w:tr w:rsidR="00000000">
        <w:trPr>
          <w:divId w:val="168652040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Income before income taxes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8,140</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7,196</w:t>
            </w:r>
          </w:p>
        </w:tc>
      </w:tr>
      <w:tr w:rsidR="00000000">
        <w:trPr>
          <w:divId w:val="1686520402"/>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lastRenderedPageBreak/>
              <w:t>Income tax expense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1,531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1,357</w:t>
            </w:r>
          </w:p>
        </w:tc>
      </w:tr>
      <w:tr w:rsidR="00000000">
        <w:trPr>
          <w:divId w:val="168652040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Net income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6,609 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5,839 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686520402"/>
        </w:trPr>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Basic earnings per share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0.88 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686520402"/>
        </w:trPr>
        <w:tc>
          <w:tcPr>
            <w:tcW w:w="0" w:type="auto"/>
            <w:gridSpan w:val="3"/>
            <w:tcBorders>
              <w:bottom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Diluted earnings per share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1.00 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0.88 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divId w:val="1686520402"/>
        <w:rPr>
          <w:rFonts w:eastAsia="Times New Roman"/>
        </w:rPr>
      </w:pPr>
      <w:r>
        <w:rPr>
          <w:rFonts w:eastAsia="Times New Roman"/>
          <w:color w:val="000000"/>
          <w:sz w:val="18"/>
          <w:szCs w:val="18"/>
        </w:rPr>
        <w:t>See</w:t>
      </w:r>
      <w:r>
        <w:rPr>
          <w:rFonts w:eastAsia="Times New Roman"/>
          <w:color w:val="000000"/>
          <w:sz w:val="20"/>
          <w:szCs w:val="20"/>
        </w:rPr>
        <w:t xml:space="preserve"> </w:t>
      </w:r>
      <w:r>
        <w:rPr>
          <w:rFonts w:eastAsia="Times New Roman"/>
          <w:color w:val="000000"/>
          <w:sz w:val="18"/>
          <w:szCs w:val="18"/>
        </w:rPr>
        <w:t xml:space="preserve">accompanying notes to the consolidated financial statements </w:t>
      </w:r>
      <w:r>
        <w:rPr>
          <w:rFonts w:eastAsia="Times New Roman"/>
          <w:i/>
          <w:iCs/>
          <w:color w:val="000000"/>
          <w:sz w:val="18"/>
          <w:szCs w:val="18"/>
        </w:rPr>
        <w:t>(unaudited)</w:t>
      </w:r>
      <w:r>
        <w:rPr>
          <w:rFonts w:eastAsia="Times New Roman"/>
          <w:color w:val="000000"/>
          <w:sz w:val="18"/>
          <w:szCs w:val="18"/>
        </w:rPr>
        <w:t>.</w:t>
      </w:r>
    </w:p>
    <w:p w:rsidR="00000000" w:rsidRDefault="002A246B">
      <w:pPr>
        <w:jc w:val="center"/>
        <w:divId w:val="1477724352"/>
        <w:rPr>
          <w:rFonts w:eastAsia="Times New Roman"/>
        </w:rPr>
      </w:pPr>
      <w:r>
        <w:rPr>
          <w:rFonts w:eastAsia="Times New Roman"/>
          <w:color w:val="000000"/>
          <w:sz w:val="20"/>
          <w:szCs w:val="20"/>
        </w:rPr>
        <w:t>3</w:t>
      </w:r>
    </w:p>
    <w:p w:rsidR="00000000" w:rsidRDefault="002A246B">
      <w:pPr>
        <w:rPr>
          <w:rFonts w:eastAsia="Times New Roman"/>
        </w:rPr>
      </w:pPr>
      <w:r>
        <w:rPr>
          <w:rFonts w:eastAsia="Times New Roman"/>
        </w:rPr>
        <w:pict>
          <v:rect id="_x0000_i1027" style="width:0;height:1.5pt" o:hralign="center" o:hrstd="t" o:hr="t" fillcolor="#a0a0a0" stroked="f"/>
        </w:pict>
      </w:r>
    </w:p>
    <w:p w:rsidR="00000000" w:rsidRDefault="002A246B">
      <w:pPr>
        <w:divId w:val="1034572365"/>
        <w:rPr>
          <w:rFonts w:eastAsia="Times New Roman"/>
        </w:rPr>
      </w:pPr>
    </w:p>
    <w:p w:rsidR="00000000" w:rsidRDefault="002A246B">
      <w:pPr>
        <w:divId w:val="1977299529"/>
        <w:rPr>
          <w:rFonts w:eastAsia="Times New Roman"/>
        </w:rPr>
      </w:pPr>
      <w:r>
        <w:rPr>
          <w:rFonts w:eastAsia="Times New Roman"/>
          <w:b/>
          <w:bCs/>
          <w:color w:val="000000"/>
          <w:sz w:val="20"/>
          <w:szCs w:val="20"/>
        </w:rPr>
        <w:t>HAWTHORN BANCSHARES, INC. AND SUBSIDIARIES</w:t>
      </w:r>
    </w:p>
    <w:p w:rsidR="00000000" w:rsidRDefault="002A246B">
      <w:pPr>
        <w:divId w:val="646058501"/>
        <w:rPr>
          <w:rFonts w:eastAsia="Times New Roman"/>
        </w:rPr>
      </w:pPr>
      <w:r>
        <w:rPr>
          <w:rFonts w:eastAsia="Times New Roman"/>
          <w:b/>
          <w:bCs/>
          <w:color w:val="000000"/>
          <w:sz w:val="20"/>
          <w:szCs w:val="20"/>
        </w:rPr>
        <w:t xml:space="preserve">Consolidated Statements of Comprehensive (Loss) Income </w:t>
      </w:r>
      <w:r>
        <w:rPr>
          <w:rFonts w:eastAsia="Times New Roman"/>
          <w:i/>
          <w:iCs/>
          <w:color w:val="000000"/>
          <w:sz w:val="20"/>
          <w:szCs w:val="20"/>
        </w:rPr>
        <w:t>(unaudited)</w:t>
      </w:r>
    </w:p>
    <w:tbl>
      <w:tblPr>
        <w:tblW w:w="4916" w:type="pct"/>
        <w:tblCellMar>
          <w:top w:w="15" w:type="dxa"/>
          <w:left w:w="15" w:type="dxa"/>
          <w:bottom w:w="15" w:type="dxa"/>
          <w:right w:w="15" w:type="dxa"/>
        </w:tblCellMar>
        <w:tblLook w:val="04A0" w:firstRow="1" w:lastRow="0" w:firstColumn="1" w:lastColumn="0" w:noHBand="0" w:noVBand="1"/>
      </w:tblPr>
      <w:tblGrid>
        <w:gridCol w:w="39"/>
        <w:gridCol w:w="5624"/>
        <w:gridCol w:w="37"/>
        <w:gridCol w:w="36"/>
        <w:gridCol w:w="46"/>
        <w:gridCol w:w="36"/>
        <w:gridCol w:w="36"/>
        <w:gridCol w:w="36"/>
        <w:gridCol w:w="36"/>
        <w:gridCol w:w="100"/>
        <w:gridCol w:w="930"/>
        <w:gridCol w:w="36"/>
        <w:gridCol w:w="36"/>
        <w:gridCol w:w="36"/>
        <w:gridCol w:w="36"/>
        <w:gridCol w:w="100"/>
        <w:gridCol w:w="930"/>
        <w:gridCol w:w="36"/>
      </w:tblGrid>
      <w:tr w:rsidR="00000000">
        <w:trPr>
          <w:divId w:val="877938043"/>
        </w:trPr>
        <w:tc>
          <w:tcPr>
            <w:tcW w:w="50" w:type="pct"/>
            <w:vAlign w:val="center"/>
            <w:hideMark/>
          </w:tcPr>
          <w:p w:rsidR="00000000" w:rsidRDefault="002A246B">
            <w:pPr>
              <w:rPr>
                <w:rFonts w:eastAsia="Times New Roman"/>
              </w:rPr>
            </w:pPr>
          </w:p>
        </w:tc>
        <w:tc>
          <w:tcPr>
            <w:tcW w:w="3542"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1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1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877938043"/>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87793804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i/>
                <w:iCs/>
                <w:color w:val="000000"/>
                <w:sz w:val="16"/>
                <w:szCs w:val="16"/>
              </w:rPr>
              <w:t>(In thousands)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2021</w:t>
            </w:r>
          </w:p>
        </w:tc>
      </w:tr>
      <w:tr w:rsidR="00000000">
        <w:trPr>
          <w:divId w:val="87793804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Net income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6,609 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5,839 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7793804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Other comprehensive (loss) income, net of tax</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r>
      <w:tr w:rsidR="00000000">
        <w:trPr>
          <w:divId w:val="87793804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Investment securities available-for-sale: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877938043"/>
        </w:trPr>
        <w:tc>
          <w:tcPr>
            <w:tcW w:w="0" w:type="auto"/>
            <w:gridSpan w:val="3"/>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Change in unrealized losses on investment securities available-for-sale, net of tax</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(19,582)</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(2,778)</w:t>
            </w:r>
          </w:p>
        </w:tc>
      </w:tr>
      <w:tr w:rsidR="00000000">
        <w:trPr>
          <w:divId w:val="877938043"/>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Adjustment for gains on sale of investment securities, net of tax</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w:t>
            </w:r>
          </w:p>
        </w:tc>
      </w:tr>
      <w:tr w:rsidR="00000000">
        <w:trPr>
          <w:divId w:val="87793804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Defined benefit pension plans: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r>
      <w:tr w:rsidR="00000000">
        <w:trPr>
          <w:divId w:val="877938043"/>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Amortization of prior service cost included in net periodic pension cost, net of tax</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35</w:t>
            </w:r>
          </w:p>
        </w:tc>
      </w:tr>
      <w:tr w:rsidR="00000000">
        <w:trPr>
          <w:divId w:val="877938043"/>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 other comprehensive loss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(19,582)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(2,745)</w:t>
            </w:r>
          </w:p>
        </w:tc>
      </w:tr>
      <w:tr w:rsidR="00000000">
        <w:trPr>
          <w:divId w:val="877938043"/>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 comprehensive (loss) income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(12,973)</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3,094 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divId w:val="275910531"/>
        <w:rPr>
          <w:rFonts w:eastAsia="Times New Roman"/>
        </w:rPr>
      </w:pPr>
    </w:p>
    <w:p w:rsidR="00000000" w:rsidRDefault="002A246B">
      <w:pPr>
        <w:jc w:val="both"/>
        <w:divId w:val="611088759"/>
        <w:rPr>
          <w:rFonts w:eastAsia="Times New Roman"/>
        </w:rPr>
      </w:pPr>
      <w:r>
        <w:rPr>
          <w:rFonts w:eastAsia="Times New Roman"/>
          <w:color w:val="000000"/>
          <w:sz w:val="16"/>
          <w:szCs w:val="16"/>
        </w:rPr>
        <w:t>See accompanying notes to the consolidated financial statements</w:t>
      </w:r>
      <w:r>
        <w:rPr>
          <w:rFonts w:eastAsia="Times New Roman"/>
          <w:color w:val="000000"/>
          <w:sz w:val="20"/>
          <w:szCs w:val="20"/>
        </w:rPr>
        <w:t xml:space="preserve"> </w:t>
      </w:r>
      <w:r>
        <w:rPr>
          <w:rFonts w:eastAsia="Times New Roman"/>
          <w:i/>
          <w:iCs/>
          <w:color w:val="000000"/>
          <w:sz w:val="16"/>
          <w:szCs w:val="16"/>
        </w:rPr>
        <w:t>(unaudited)</w:t>
      </w:r>
      <w:r>
        <w:rPr>
          <w:rFonts w:eastAsia="Times New Roman"/>
          <w:color w:val="000000"/>
          <w:sz w:val="16"/>
          <w:szCs w:val="16"/>
        </w:rPr>
        <w:t>.</w:t>
      </w:r>
    </w:p>
    <w:p w:rsidR="00000000" w:rsidRDefault="002A246B">
      <w:pPr>
        <w:jc w:val="center"/>
        <w:divId w:val="1250025"/>
        <w:rPr>
          <w:rFonts w:eastAsia="Times New Roman"/>
        </w:rPr>
      </w:pPr>
      <w:r>
        <w:rPr>
          <w:rFonts w:eastAsia="Times New Roman"/>
          <w:color w:val="000000"/>
          <w:sz w:val="20"/>
          <w:szCs w:val="20"/>
        </w:rPr>
        <w:t>4</w:t>
      </w:r>
    </w:p>
    <w:p w:rsidR="00000000" w:rsidRDefault="002A246B">
      <w:pPr>
        <w:rPr>
          <w:rFonts w:eastAsia="Times New Roman"/>
        </w:rPr>
      </w:pPr>
      <w:r>
        <w:rPr>
          <w:rFonts w:eastAsia="Times New Roman"/>
        </w:rPr>
        <w:pict>
          <v:rect id="_x0000_i1028" style="width:0;height:1.5pt" o:hralign="center" o:hrstd="t" o:hr="t" fillcolor="#a0a0a0" stroked="f"/>
        </w:pict>
      </w:r>
    </w:p>
    <w:p w:rsidR="00000000" w:rsidRDefault="002A246B">
      <w:pPr>
        <w:divId w:val="789475797"/>
        <w:rPr>
          <w:rFonts w:eastAsia="Times New Roman"/>
        </w:rPr>
      </w:pPr>
    </w:p>
    <w:p w:rsidR="00000000" w:rsidRDefault="002A246B">
      <w:pPr>
        <w:divId w:val="304162230"/>
        <w:rPr>
          <w:rFonts w:eastAsia="Times New Roman"/>
        </w:rPr>
      </w:pPr>
      <w:r>
        <w:rPr>
          <w:rFonts w:eastAsia="Times New Roman"/>
          <w:b/>
          <w:bCs/>
          <w:color w:val="000000"/>
          <w:sz w:val="20"/>
          <w:szCs w:val="20"/>
        </w:rPr>
        <w:t>HAWTHORN BANCSHARES, INC. AND SUBSIDIARIES</w:t>
      </w:r>
    </w:p>
    <w:p w:rsidR="00000000" w:rsidRDefault="002A246B">
      <w:pPr>
        <w:divId w:val="1023168536"/>
        <w:rPr>
          <w:rFonts w:eastAsia="Times New Roman"/>
        </w:rPr>
      </w:pPr>
      <w:r>
        <w:rPr>
          <w:rFonts w:eastAsia="Times New Roman"/>
          <w:b/>
          <w:bCs/>
          <w:color w:val="000000"/>
          <w:sz w:val="20"/>
          <w:szCs w:val="20"/>
        </w:rPr>
        <w:t xml:space="preserve">Consolidated Statements of Stockholders’ Equity </w:t>
      </w:r>
      <w:r>
        <w:rPr>
          <w:rFonts w:eastAsia="Times New Roman"/>
          <w:i/>
          <w:i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260"/>
        <w:gridCol w:w="37"/>
        <w:gridCol w:w="101"/>
        <w:gridCol w:w="512"/>
        <w:gridCol w:w="36"/>
        <w:gridCol w:w="36"/>
        <w:gridCol w:w="36"/>
        <w:gridCol w:w="36"/>
        <w:gridCol w:w="100"/>
        <w:gridCol w:w="482"/>
        <w:gridCol w:w="36"/>
        <w:gridCol w:w="36"/>
        <w:gridCol w:w="36"/>
        <w:gridCol w:w="36"/>
        <w:gridCol w:w="100"/>
        <w:gridCol w:w="494"/>
        <w:gridCol w:w="36"/>
        <w:gridCol w:w="36"/>
        <w:gridCol w:w="36"/>
        <w:gridCol w:w="36"/>
        <w:gridCol w:w="101"/>
        <w:gridCol w:w="885"/>
        <w:gridCol w:w="36"/>
        <w:gridCol w:w="36"/>
        <w:gridCol w:w="36"/>
        <w:gridCol w:w="36"/>
        <w:gridCol w:w="100"/>
        <w:gridCol w:w="467"/>
        <w:gridCol w:w="36"/>
        <w:gridCol w:w="36"/>
        <w:gridCol w:w="36"/>
        <w:gridCol w:w="36"/>
        <w:gridCol w:w="101"/>
        <w:gridCol w:w="772"/>
        <w:gridCol w:w="36"/>
      </w:tblGrid>
      <w:tr w:rsidR="00000000">
        <w:trPr>
          <w:divId w:val="653877662"/>
        </w:trPr>
        <w:tc>
          <w:tcPr>
            <w:tcW w:w="50" w:type="pct"/>
            <w:vAlign w:val="center"/>
            <w:hideMark/>
          </w:tcPr>
          <w:p w:rsidR="00000000" w:rsidRDefault="002A246B">
            <w:pPr>
              <w:rPr>
                <w:rFonts w:eastAsia="Times New Roman"/>
              </w:rPr>
            </w:pPr>
          </w:p>
        </w:tc>
        <w:tc>
          <w:tcPr>
            <w:tcW w:w="20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4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4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4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51"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4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9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653877662"/>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Three Months Ended March 31, 2022 and 2021</w:t>
            </w:r>
          </w:p>
        </w:tc>
      </w:tr>
      <w:tr w:rsidR="00000000">
        <w:trPr>
          <w:divId w:val="653877662"/>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i/>
                <w:iCs/>
                <w:color w:val="000000"/>
                <w:sz w:val="14"/>
                <w:szCs w:val="14"/>
              </w:rPr>
              <w:t>(In thousands, except per share data)</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Surplus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Retained Earnings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Accumulated Other Comprehensive Income (Loss)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Treasury Stock</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Total Stockholders' Equity</w:t>
            </w:r>
          </w:p>
        </w:tc>
      </w:tr>
      <w:tr w:rsidR="00000000">
        <w:trPr>
          <w:divId w:val="65387766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divId w:val="1055545473"/>
              <w:rPr>
                <w:rFonts w:eastAsia="Times New Roman"/>
              </w:rPr>
            </w:pPr>
            <w:r>
              <w:rPr>
                <w:rFonts w:eastAsia="Times New Roman"/>
                <w:b/>
                <w:bCs/>
                <w:color w:val="000000"/>
                <w:sz w:val="16"/>
                <w:szCs w:val="16"/>
              </w:rPr>
              <w:t>Balance, December 31, 2021</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7,024 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64,437 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82,300 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3,293 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(8,098)</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148,956 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653877662"/>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Net income</w:t>
            </w: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6,609</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6,609</w:t>
            </w:r>
          </w:p>
        </w:tc>
      </w:tr>
      <w:tr w:rsidR="00000000">
        <w:trPr>
          <w:divId w:val="653877662"/>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Other comprehensive loss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(19,582)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(19,582)</w:t>
            </w:r>
          </w:p>
        </w:tc>
      </w:tr>
      <w:tr w:rsidR="00000000">
        <w:trPr>
          <w:divId w:val="653877662"/>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Purchase of treasury stock</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(606)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(606)</w:t>
            </w:r>
          </w:p>
        </w:tc>
      </w:tr>
      <w:tr w:rsidR="00000000">
        <w:trPr>
          <w:divId w:val="653877662"/>
        </w:trPr>
        <w:tc>
          <w:tcPr>
            <w:tcW w:w="0" w:type="auto"/>
            <w:gridSpan w:val="3"/>
            <w:vAlign w:val="center"/>
            <w:hideMark/>
          </w:tcPr>
          <w:p w:rsidR="00000000" w:rsidRDefault="002A246B">
            <w:pPr>
              <w:spacing w:after="100"/>
              <w:jc w:val="right"/>
              <w:rPr>
                <w:rFonts w:eastAsia="Times New Roman"/>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653877662"/>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divId w:val="1692102843"/>
              <w:rPr>
                <w:rFonts w:eastAsia="Times New Roman"/>
              </w:rPr>
            </w:pPr>
            <w:r>
              <w:rPr>
                <w:rFonts w:eastAsia="Times New Roman"/>
                <w:color w:val="000000"/>
                <w:sz w:val="16"/>
                <w:szCs w:val="16"/>
              </w:rPr>
              <w:t>Cash dividends declared, common stock ($0.15 per share)</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(990)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(990)</w:t>
            </w:r>
          </w:p>
        </w:tc>
      </w:tr>
      <w:tr w:rsidR="00000000">
        <w:trPr>
          <w:divId w:val="653877662"/>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divId w:val="1537039159"/>
              <w:rPr>
                <w:rFonts w:eastAsia="Times New Roman"/>
              </w:rPr>
            </w:pPr>
            <w:r>
              <w:rPr>
                <w:rFonts w:eastAsia="Times New Roman"/>
                <w:b/>
                <w:bCs/>
                <w:color w:val="000000"/>
                <w:sz w:val="16"/>
                <w:szCs w:val="16"/>
              </w:rPr>
              <w:t>Balance, March 31, 2022</w:t>
            </w: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7,024 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64,437 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87,919 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(16,289)</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(8,704)</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134,387 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653877662"/>
          <w:trHeight w:val="30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653877662"/>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divId w:val="2009013651"/>
              <w:rPr>
                <w:rFonts w:eastAsia="Times New Roman"/>
              </w:rPr>
            </w:pPr>
            <w:r>
              <w:rPr>
                <w:rFonts w:eastAsia="Times New Roman"/>
                <w:b/>
                <w:bCs/>
                <w:color w:val="000000"/>
                <w:sz w:val="16"/>
                <w:szCs w:val="16"/>
              </w:rPr>
              <w:t>Balance, December 31, 2020</w:t>
            </w: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6,769 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59,307 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68,935 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1,528 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(5,950)</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130,589 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65387766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lastRenderedPageBreak/>
              <w:t>Net income</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5,839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5,839</w:t>
            </w:r>
          </w:p>
        </w:tc>
      </w:tr>
      <w:tr w:rsidR="00000000">
        <w:trPr>
          <w:divId w:val="653877662"/>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Other comprehensive loss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(2,745)</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(2,745)</w:t>
            </w:r>
          </w:p>
        </w:tc>
      </w:tr>
      <w:tr w:rsidR="00000000">
        <w:trPr>
          <w:divId w:val="653877662"/>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Purchase of treasury stock</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(2,148)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(2,148)</w:t>
            </w:r>
          </w:p>
        </w:tc>
      </w:tr>
      <w:tr w:rsidR="00000000">
        <w:trPr>
          <w:divId w:val="653877662"/>
        </w:trPr>
        <w:tc>
          <w:tcPr>
            <w:tcW w:w="0" w:type="auto"/>
            <w:gridSpan w:val="3"/>
            <w:vAlign w:val="center"/>
            <w:hideMark/>
          </w:tcPr>
          <w:p w:rsidR="00000000" w:rsidRDefault="002A246B">
            <w:pPr>
              <w:spacing w:after="100"/>
              <w:jc w:val="right"/>
              <w:rPr>
                <w:rFonts w:eastAsia="Times New Roman"/>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653877662"/>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divId w:val="569972242"/>
              <w:rPr>
                <w:rFonts w:eastAsia="Times New Roman"/>
              </w:rPr>
            </w:pPr>
            <w:r>
              <w:rPr>
                <w:rFonts w:eastAsia="Times New Roman"/>
                <w:color w:val="000000"/>
                <w:sz w:val="16"/>
                <w:szCs w:val="16"/>
              </w:rPr>
              <w:t>Cash dividends declared, common stock ($0.13 per share)</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(827)</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(827)</w:t>
            </w:r>
          </w:p>
        </w:tc>
      </w:tr>
      <w:tr w:rsidR="00000000">
        <w:trPr>
          <w:divId w:val="653877662"/>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divId w:val="1141770111"/>
              <w:rPr>
                <w:rFonts w:eastAsia="Times New Roman"/>
              </w:rPr>
            </w:pPr>
            <w:r>
              <w:rPr>
                <w:rFonts w:eastAsia="Times New Roman"/>
                <w:b/>
                <w:bCs/>
                <w:color w:val="000000"/>
                <w:sz w:val="16"/>
                <w:szCs w:val="16"/>
              </w:rPr>
              <w:t>Balance, March 31, 2021</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6,769 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59,307 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73,947 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(1,217)</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(8,098)</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130,708 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653877662"/>
        </w:trPr>
        <w:tc>
          <w:tcPr>
            <w:tcW w:w="0" w:type="auto"/>
            <w:gridSpan w:val="3"/>
            <w:vAlign w:val="center"/>
            <w:hideMark/>
          </w:tcPr>
          <w:p w:rsidR="00000000" w:rsidRDefault="002A246B">
            <w:pPr>
              <w:spacing w:after="100"/>
              <w:jc w:val="right"/>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653877662"/>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653877662"/>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653877662"/>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653877662"/>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653877662"/>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653877662"/>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653877662"/>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653877662"/>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653877662"/>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653877662"/>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653877662"/>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653877662"/>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653877662"/>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653877662"/>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653877662"/>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653877662"/>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653877662"/>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653877662"/>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bl>
    <w:p w:rsidR="00000000" w:rsidRDefault="002A246B">
      <w:pPr>
        <w:divId w:val="165675145"/>
        <w:rPr>
          <w:rFonts w:eastAsia="Times New Roman"/>
        </w:rPr>
      </w:pPr>
    </w:p>
    <w:p w:rsidR="00000000" w:rsidRDefault="002A246B">
      <w:pPr>
        <w:jc w:val="both"/>
        <w:divId w:val="265889950"/>
        <w:rPr>
          <w:rFonts w:eastAsia="Times New Roman"/>
        </w:rPr>
      </w:pPr>
      <w:r>
        <w:rPr>
          <w:rFonts w:eastAsia="Times New Roman"/>
          <w:color w:val="000000"/>
          <w:sz w:val="20"/>
          <w:szCs w:val="20"/>
        </w:rPr>
        <w:t xml:space="preserve">See accompanying notes to the consolidated financial statements </w:t>
      </w:r>
      <w:r>
        <w:rPr>
          <w:rFonts w:eastAsia="Times New Roman"/>
          <w:i/>
          <w:iCs/>
          <w:color w:val="000000"/>
          <w:sz w:val="20"/>
          <w:szCs w:val="20"/>
        </w:rPr>
        <w:t>(unaudited)</w:t>
      </w:r>
      <w:r>
        <w:rPr>
          <w:rFonts w:eastAsia="Times New Roman"/>
          <w:color w:val="000000"/>
          <w:sz w:val="20"/>
          <w:szCs w:val="20"/>
        </w:rPr>
        <w:t>.</w:t>
      </w:r>
    </w:p>
    <w:p w:rsidR="00000000" w:rsidRDefault="002A246B">
      <w:pPr>
        <w:jc w:val="center"/>
        <w:divId w:val="1136871736"/>
        <w:rPr>
          <w:rFonts w:eastAsia="Times New Roman"/>
        </w:rPr>
      </w:pPr>
      <w:r>
        <w:rPr>
          <w:rFonts w:eastAsia="Times New Roman"/>
          <w:color w:val="000000"/>
          <w:sz w:val="20"/>
          <w:szCs w:val="20"/>
        </w:rPr>
        <w:t>5</w:t>
      </w:r>
    </w:p>
    <w:p w:rsidR="00000000" w:rsidRDefault="002A246B">
      <w:pPr>
        <w:rPr>
          <w:rFonts w:eastAsia="Times New Roman"/>
        </w:rPr>
      </w:pPr>
      <w:r>
        <w:rPr>
          <w:rFonts w:eastAsia="Times New Roman"/>
        </w:rPr>
        <w:pict>
          <v:rect id="_x0000_i1029" style="width:0;height:1.5pt" o:hralign="center" o:hrstd="t" o:hr="t" fillcolor="#a0a0a0" stroked="f"/>
        </w:pict>
      </w:r>
    </w:p>
    <w:p w:rsidR="00000000" w:rsidRDefault="002A246B">
      <w:pPr>
        <w:divId w:val="1853643207"/>
        <w:rPr>
          <w:rFonts w:eastAsia="Times New Roman"/>
        </w:rPr>
      </w:pPr>
    </w:p>
    <w:p w:rsidR="00000000" w:rsidRDefault="002A246B">
      <w:pPr>
        <w:divId w:val="1569345961"/>
        <w:rPr>
          <w:rFonts w:eastAsia="Times New Roman"/>
        </w:rPr>
      </w:pPr>
      <w:r>
        <w:rPr>
          <w:rFonts w:eastAsia="Times New Roman"/>
          <w:b/>
          <w:bCs/>
          <w:color w:val="000000"/>
          <w:sz w:val="18"/>
          <w:szCs w:val="18"/>
        </w:rPr>
        <w:t>HAWTHORN BANCSHARES, INC. AND SUBSIDIARIES</w:t>
      </w:r>
    </w:p>
    <w:p w:rsidR="00000000" w:rsidRDefault="002A246B">
      <w:pPr>
        <w:divId w:val="1714229471"/>
        <w:rPr>
          <w:rFonts w:eastAsia="Times New Roman"/>
        </w:rPr>
      </w:pPr>
      <w:r>
        <w:rPr>
          <w:rFonts w:eastAsia="Times New Roman"/>
          <w:b/>
          <w:bCs/>
          <w:color w:val="000000"/>
          <w:sz w:val="18"/>
          <w:szCs w:val="18"/>
        </w:rPr>
        <w:t xml:space="preserve">Consolidated Statements of Cash Flows </w:t>
      </w:r>
      <w:r>
        <w:rPr>
          <w:rFonts w:eastAsia="Times New Roman"/>
          <w:i/>
          <w:iCs/>
          <w:color w:val="000000"/>
          <w:sz w:val="18"/>
          <w:szCs w:val="18"/>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5929"/>
        <w:gridCol w:w="38"/>
        <w:gridCol w:w="101"/>
        <w:gridCol w:w="959"/>
        <w:gridCol w:w="37"/>
        <w:gridCol w:w="36"/>
        <w:gridCol w:w="36"/>
        <w:gridCol w:w="36"/>
        <w:gridCol w:w="100"/>
        <w:gridCol w:w="959"/>
        <w:gridCol w:w="36"/>
      </w:tblGrid>
      <w:tr w:rsidR="00000000">
        <w:trPr>
          <w:divId w:val="145754625"/>
        </w:trPr>
        <w:tc>
          <w:tcPr>
            <w:tcW w:w="50" w:type="pct"/>
            <w:vAlign w:val="center"/>
            <w:hideMark/>
          </w:tcPr>
          <w:p w:rsidR="00000000" w:rsidRDefault="002A246B">
            <w:pPr>
              <w:rPr>
                <w:rFonts w:eastAsia="Times New Roman"/>
              </w:rPr>
            </w:pPr>
          </w:p>
        </w:tc>
        <w:tc>
          <w:tcPr>
            <w:tcW w:w="359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45754625"/>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Three Months Ended March 31,</w:t>
            </w:r>
          </w:p>
        </w:tc>
      </w:tr>
      <w:tr w:rsidR="00000000">
        <w:trPr>
          <w:divId w:val="145754625"/>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2021</w:t>
            </w:r>
          </w:p>
        </w:tc>
      </w:tr>
      <w:tr w:rsidR="00000000">
        <w:trPr>
          <w:divId w:val="145754625"/>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Cash flows from operating activities:</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45754625"/>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Net income</w:t>
            </w: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6,609 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5,839 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45754625"/>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45754625"/>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(Release of) provision for loan losses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(2,500)</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145754625"/>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Depreciation expense</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545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578</w:t>
            </w:r>
          </w:p>
        </w:tc>
      </w:tr>
      <w:tr w:rsidR="00000000">
        <w:trPr>
          <w:divId w:val="145754625"/>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Net amortization of investment securities, premiums, and discounts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378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418</w:t>
            </w:r>
          </w:p>
        </w:tc>
      </w:tr>
      <w:tr w:rsidR="00000000">
        <w:trPr>
          <w:divId w:val="145754625"/>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Change in fair value of mortgage servicing rights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121</w:t>
            </w:r>
          </w:p>
        </w:tc>
      </w:tr>
      <w:tr w:rsidR="00000000">
        <w:trPr>
          <w:divId w:val="145754625"/>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Investment securities losses (gains), net</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(14)</w:t>
            </w:r>
          </w:p>
        </w:tc>
      </w:tr>
      <w:tr w:rsidR="00000000">
        <w:trPr>
          <w:divId w:val="145754625"/>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Gain on sales and dispositions of premises and equipment</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w:t>
            </w:r>
          </w:p>
        </w:tc>
      </w:tr>
      <w:tr w:rsidR="00000000">
        <w:trPr>
          <w:divId w:val="145754625"/>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Gain on sales and dispositions of other real estate</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(15)</w:t>
            </w:r>
          </w:p>
        </w:tc>
      </w:tr>
      <w:tr w:rsidR="00000000">
        <w:trPr>
          <w:divId w:val="145754625"/>
        </w:trPr>
        <w:tc>
          <w:tcPr>
            <w:tcW w:w="0" w:type="auto"/>
            <w:gridSpan w:val="3"/>
            <w:vAlign w:val="center"/>
            <w:hideMark/>
          </w:tcPr>
          <w:p w:rsidR="00000000" w:rsidRDefault="002A246B">
            <w:pPr>
              <w:spacing w:after="100"/>
              <w:jc w:val="right"/>
              <w:rPr>
                <w:rFonts w:eastAsia="Times New Roman"/>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45754625"/>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Provision for other real estate owned</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88</w:t>
            </w:r>
          </w:p>
        </w:tc>
      </w:tr>
      <w:tr w:rsidR="00000000">
        <w:trPr>
          <w:divId w:val="145754625"/>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Decrease in accrued interest receivable</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380</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152</w:t>
            </w:r>
          </w:p>
        </w:tc>
      </w:tr>
      <w:tr w:rsidR="00000000">
        <w:trPr>
          <w:divId w:val="145754625"/>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Increase in cash surrender value - life insurance</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(14)</w:t>
            </w:r>
          </w:p>
        </w:tc>
      </w:tr>
      <w:tr w:rsidR="00000000">
        <w:trPr>
          <w:divId w:val="145754625"/>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Decrease (increase) in other assets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329</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(1,926)</w:t>
            </w:r>
          </w:p>
        </w:tc>
      </w:tr>
      <w:tr w:rsidR="00000000">
        <w:trPr>
          <w:divId w:val="145754625"/>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Decrease in operating lease liabilities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(79)</w:t>
            </w:r>
          </w:p>
        </w:tc>
      </w:tr>
      <w:tr w:rsidR="00000000">
        <w:trPr>
          <w:divId w:val="145754625"/>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Increase (decrease) in accrued interest payable</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(398)</w:t>
            </w:r>
          </w:p>
        </w:tc>
      </w:tr>
      <w:tr w:rsidR="00000000">
        <w:trPr>
          <w:divId w:val="145754625"/>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(Decrease) increase in other liabilities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(2,567)</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12</w:t>
            </w:r>
          </w:p>
        </w:tc>
      </w:tr>
      <w:tr w:rsidR="00000000">
        <w:trPr>
          <w:divId w:val="145754625"/>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Origination of mortgage loans held for sale</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(26,935)</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(65,012)</w:t>
            </w:r>
          </w:p>
        </w:tc>
      </w:tr>
      <w:tr w:rsidR="00000000">
        <w:trPr>
          <w:divId w:val="145754625"/>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Proceeds from the sale of mortgage loans held for sale</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29,085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66,272</w:t>
            </w:r>
          </w:p>
        </w:tc>
      </w:tr>
      <w:tr w:rsidR="00000000">
        <w:trPr>
          <w:divId w:val="145754625"/>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Gain on sale of mortgage loans, net</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(888)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(2,469)</w:t>
            </w:r>
          </w:p>
        </w:tc>
      </w:tr>
      <w:tr w:rsidR="00000000">
        <w:trPr>
          <w:divId w:val="145754625"/>
        </w:trPr>
        <w:tc>
          <w:tcPr>
            <w:tcW w:w="0" w:type="auto"/>
            <w:gridSpan w:val="3"/>
            <w:vAlign w:val="center"/>
            <w:hideMark/>
          </w:tcPr>
          <w:p w:rsidR="00000000" w:rsidRDefault="002A246B">
            <w:pPr>
              <w:spacing w:after="100"/>
              <w:jc w:val="right"/>
              <w:rPr>
                <w:rFonts w:eastAsia="Times New Roman"/>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4575462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Net cash provided by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4,407</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3,557</w:t>
            </w:r>
          </w:p>
        </w:tc>
      </w:tr>
      <w:tr w:rsidR="00000000">
        <w:trPr>
          <w:divId w:val="145754625"/>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45754625"/>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Purchase of certificates of deposit in other banks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(245)</w:t>
            </w:r>
          </w:p>
        </w:tc>
      </w:tr>
      <w:tr w:rsidR="00000000">
        <w:trPr>
          <w:divId w:val="145754625"/>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Proceeds from maturities of certificates of deposit in other banks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490</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736</w:t>
            </w:r>
          </w:p>
        </w:tc>
      </w:tr>
      <w:tr w:rsidR="00000000">
        <w:trPr>
          <w:divId w:val="145754625"/>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Net (increase) decrease in loans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(31,812)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11,000</w:t>
            </w:r>
          </w:p>
        </w:tc>
      </w:tr>
      <w:tr w:rsidR="00000000">
        <w:trPr>
          <w:divId w:val="145754625"/>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Purchase of available-for-sale debt securities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(14,581)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(62,297)</w:t>
            </w:r>
          </w:p>
        </w:tc>
      </w:tr>
      <w:tr w:rsidR="00000000">
        <w:trPr>
          <w:divId w:val="145754625"/>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Proceeds from maturities of available-for-sale debt securities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11,284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10,491</w:t>
            </w:r>
          </w:p>
        </w:tc>
      </w:tr>
      <w:tr w:rsidR="00000000">
        <w:trPr>
          <w:divId w:val="145754625"/>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Proceeds from calls of available-for-sale debt securities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2,250</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7,745</w:t>
            </w:r>
          </w:p>
        </w:tc>
      </w:tr>
      <w:tr w:rsidR="00000000">
        <w:trPr>
          <w:divId w:val="145754625"/>
        </w:trPr>
        <w:tc>
          <w:tcPr>
            <w:tcW w:w="0" w:type="auto"/>
            <w:gridSpan w:val="3"/>
            <w:vAlign w:val="center"/>
            <w:hideMark/>
          </w:tcPr>
          <w:p w:rsidR="00000000" w:rsidRDefault="002A246B">
            <w:pPr>
              <w:spacing w:after="100"/>
              <w:jc w:val="right"/>
              <w:rPr>
                <w:rFonts w:eastAsia="Times New Roman"/>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45754625"/>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Purchases of FHLB stock</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(178)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(327)</w:t>
            </w:r>
          </w:p>
        </w:tc>
      </w:tr>
      <w:tr w:rsidR="00000000">
        <w:trPr>
          <w:divId w:val="145754625"/>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Proceeds from sales of FHLB stock</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92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505</w:t>
            </w:r>
          </w:p>
        </w:tc>
      </w:tr>
      <w:tr w:rsidR="00000000">
        <w:trPr>
          <w:divId w:val="145754625"/>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Purchases of premises and equipment</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(1,417)</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(135)</w:t>
            </w:r>
          </w:p>
        </w:tc>
      </w:tr>
      <w:tr w:rsidR="00000000">
        <w:trPr>
          <w:divId w:val="145754625"/>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Proceeds from sales of premises and equipment</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12</w:t>
            </w:r>
          </w:p>
        </w:tc>
      </w:tr>
      <w:tr w:rsidR="00000000">
        <w:trPr>
          <w:divId w:val="145754625"/>
        </w:trPr>
        <w:tc>
          <w:tcPr>
            <w:tcW w:w="0" w:type="auto"/>
            <w:gridSpan w:val="3"/>
            <w:vAlign w:val="center"/>
            <w:hideMark/>
          </w:tcPr>
          <w:p w:rsidR="00000000" w:rsidRDefault="002A246B">
            <w:pPr>
              <w:spacing w:after="100"/>
              <w:jc w:val="right"/>
              <w:rPr>
                <w:rFonts w:eastAsia="Times New Roman"/>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45754625"/>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45754625"/>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Proceeds from sales of other real estate and repossessed assets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723</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108</w:t>
            </w:r>
          </w:p>
        </w:tc>
      </w:tr>
      <w:tr w:rsidR="00000000">
        <w:trPr>
          <w:divId w:val="145754625"/>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Net cash used in investing activities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(33,149)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(32,407)</w:t>
            </w:r>
          </w:p>
        </w:tc>
      </w:tr>
      <w:tr w:rsidR="00000000">
        <w:trPr>
          <w:divId w:val="14575462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45754625"/>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Net (decrease) increase in demand deposits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(2,841)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48,543</w:t>
            </w:r>
          </w:p>
        </w:tc>
      </w:tr>
      <w:tr w:rsidR="00000000">
        <w:trPr>
          <w:divId w:val="145754625"/>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Net decrease in interest-bearing transaction accounts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(66,194)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(15,193)</w:t>
            </w:r>
          </w:p>
        </w:tc>
      </w:tr>
      <w:tr w:rsidR="00000000">
        <w:trPr>
          <w:divId w:val="145754625"/>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Net increase (decrease) in time deposits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8,358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(22,974)</w:t>
            </w:r>
          </w:p>
        </w:tc>
      </w:tr>
      <w:tr w:rsidR="00000000">
        <w:trPr>
          <w:divId w:val="145754625"/>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Net decrease in federal funds purchased and securities sold under agreements to repurchase</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(18,315)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(3,136)</w:t>
            </w:r>
          </w:p>
        </w:tc>
      </w:tr>
      <w:tr w:rsidR="00000000">
        <w:trPr>
          <w:divId w:val="145754625"/>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Repayment of FHLB advances and other borrowings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(9,060)</w:t>
            </w:r>
          </w:p>
        </w:tc>
      </w:tr>
      <w:tr w:rsidR="00000000">
        <w:trPr>
          <w:divId w:val="145754625"/>
        </w:trPr>
        <w:tc>
          <w:tcPr>
            <w:tcW w:w="0" w:type="auto"/>
            <w:gridSpan w:val="3"/>
            <w:vAlign w:val="center"/>
            <w:hideMark/>
          </w:tcPr>
          <w:p w:rsidR="00000000" w:rsidRDefault="002A246B">
            <w:pPr>
              <w:spacing w:after="100"/>
              <w:jc w:val="right"/>
              <w:rPr>
                <w:rFonts w:eastAsia="Times New Roman"/>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45754625"/>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Purchase of treasury stock</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(606)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(2148)</w:t>
            </w:r>
          </w:p>
        </w:tc>
      </w:tr>
      <w:tr w:rsidR="00000000">
        <w:trPr>
          <w:divId w:val="145754625"/>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Cash dividends paid - common stock</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(993)</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(842)</w:t>
            </w:r>
          </w:p>
        </w:tc>
      </w:tr>
      <w:tr w:rsidR="00000000">
        <w:trPr>
          <w:divId w:val="14575462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Net cash used in financing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(80,652)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(4,810)</w:t>
            </w:r>
          </w:p>
        </w:tc>
      </w:tr>
      <w:tr w:rsidR="00000000">
        <w:trPr>
          <w:divId w:val="145754625"/>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Net decrease in cash and cash equivalents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(109,394)</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(33,660)</w:t>
            </w:r>
          </w:p>
        </w:tc>
      </w:tr>
      <w:tr w:rsidR="00000000">
        <w:trPr>
          <w:divId w:val="145754625"/>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Cash and cash equivalents, beginning of period</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159,909</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180,363</w:t>
            </w:r>
          </w:p>
        </w:tc>
      </w:tr>
      <w:tr w:rsidR="00000000">
        <w:trPr>
          <w:divId w:val="145754625"/>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Cash and cash equivalents,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50,515 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146,703 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45754625"/>
        </w:trPr>
        <w:tc>
          <w:tcPr>
            <w:tcW w:w="0" w:type="auto"/>
            <w:gridSpan w:val="3"/>
            <w:vAlign w:val="center"/>
            <w:hideMark/>
          </w:tcPr>
          <w:p w:rsidR="00000000" w:rsidRDefault="002A246B">
            <w:pPr>
              <w:spacing w:after="100"/>
              <w:jc w:val="right"/>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45754625"/>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45754625"/>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45754625"/>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45754625"/>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45754625"/>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45754625"/>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bl>
    <w:p w:rsidR="00000000" w:rsidRDefault="002A246B">
      <w:pPr>
        <w:jc w:val="both"/>
        <w:divId w:val="1191651392"/>
        <w:rPr>
          <w:rFonts w:eastAsia="Times New Roman"/>
        </w:rPr>
      </w:pPr>
      <w:r>
        <w:rPr>
          <w:rFonts w:eastAsia="Times New Roman"/>
          <w:color w:val="000000"/>
          <w:sz w:val="16"/>
          <w:szCs w:val="16"/>
        </w:rPr>
        <w:t xml:space="preserve">See accompanying notes to the consolidated financial statements </w:t>
      </w:r>
      <w:r>
        <w:rPr>
          <w:rFonts w:eastAsia="Times New Roman"/>
          <w:i/>
          <w:iCs/>
          <w:color w:val="000000"/>
          <w:sz w:val="16"/>
          <w:szCs w:val="16"/>
        </w:rPr>
        <w:t>(unaudited).</w:t>
      </w:r>
    </w:p>
    <w:p w:rsidR="00000000" w:rsidRDefault="002A246B">
      <w:pPr>
        <w:jc w:val="both"/>
        <w:divId w:val="580260449"/>
        <w:rPr>
          <w:rFonts w:eastAsia="Times New Roman"/>
        </w:rPr>
      </w:pPr>
    </w:p>
    <w:p w:rsidR="00000000" w:rsidRDefault="002A246B">
      <w:pPr>
        <w:jc w:val="both"/>
        <w:divId w:val="575867546"/>
        <w:rPr>
          <w:rFonts w:eastAsia="Times New Roman"/>
        </w:rPr>
      </w:pPr>
    </w:p>
    <w:p w:rsidR="00000000" w:rsidRDefault="002A246B">
      <w:pPr>
        <w:jc w:val="both"/>
        <w:divId w:val="1055736266"/>
        <w:rPr>
          <w:rFonts w:eastAsia="Times New Roman"/>
        </w:rPr>
      </w:pPr>
    </w:p>
    <w:p w:rsidR="00000000" w:rsidRDefault="002A246B">
      <w:pPr>
        <w:jc w:val="center"/>
        <w:divId w:val="216670646"/>
        <w:rPr>
          <w:rFonts w:eastAsia="Times New Roman"/>
        </w:rPr>
      </w:pPr>
      <w:r>
        <w:rPr>
          <w:rFonts w:eastAsia="Times New Roman"/>
          <w:color w:val="000000"/>
          <w:sz w:val="20"/>
          <w:szCs w:val="20"/>
        </w:rPr>
        <w:t>6</w:t>
      </w:r>
    </w:p>
    <w:p w:rsidR="00000000" w:rsidRDefault="002A246B">
      <w:pPr>
        <w:rPr>
          <w:rFonts w:eastAsia="Times New Roman"/>
        </w:rPr>
      </w:pPr>
      <w:r>
        <w:rPr>
          <w:rFonts w:eastAsia="Times New Roman"/>
        </w:rPr>
        <w:pict>
          <v:rect id="_x0000_i1030" style="width:0;height:1.5pt" o:hralign="center" o:hrstd="t" o:hr="t" fillcolor="#a0a0a0" stroked="f"/>
        </w:pict>
      </w:r>
    </w:p>
    <w:p w:rsidR="00000000" w:rsidRDefault="002A246B">
      <w:pPr>
        <w:divId w:val="624240096"/>
        <w:rPr>
          <w:rFonts w:eastAsia="Times New Roman"/>
        </w:rPr>
      </w:pPr>
    </w:p>
    <w:p w:rsidR="00000000" w:rsidRDefault="002A246B">
      <w:pPr>
        <w:divId w:val="1293947424"/>
        <w:rPr>
          <w:rFonts w:eastAsia="Times New Roman"/>
        </w:rPr>
      </w:pPr>
      <w:r>
        <w:rPr>
          <w:rFonts w:eastAsia="Times New Roman"/>
          <w:b/>
          <w:bCs/>
          <w:color w:val="000000"/>
          <w:sz w:val="18"/>
          <w:szCs w:val="18"/>
        </w:rPr>
        <w:t>HAWTHORN BANCSHARES, INC. AND SUBSIDIARIES</w:t>
      </w:r>
    </w:p>
    <w:p w:rsidR="00000000" w:rsidRDefault="002A246B">
      <w:pPr>
        <w:divId w:val="1815946433"/>
        <w:rPr>
          <w:rFonts w:eastAsia="Times New Roman"/>
        </w:rPr>
      </w:pPr>
      <w:r>
        <w:rPr>
          <w:rFonts w:eastAsia="Times New Roman"/>
          <w:b/>
          <w:bCs/>
          <w:color w:val="000000"/>
          <w:sz w:val="18"/>
          <w:szCs w:val="18"/>
        </w:rPr>
        <w:t>Consolidated Statements of Cash Flows</w:t>
      </w:r>
      <w:r>
        <w:rPr>
          <w:rFonts w:eastAsia="Times New Roman"/>
          <w:i/>
          <w:iCs/>
          <w:color w:val="000000"/>
          <w:sz w:val="18"/>
          <w:szCs w:val="18"/>
        </w:rPr>
        <w:t xml:space="preserve"> (unaudited) continued</w:t>
      </w:r>
    </w:p>
    <w:tbl>
      <w:tblPr>
        <w:tblW w:w="5000" w:type="pct"/>
        <w:tblCellMar>
          <w:top w:w="15" w:type="dxa"/>
          <w:left w:w="15" w:type="dxa"/>
          <w:bottom w:w="15" w:type="dxa"/>
          <w:right w:w="15" w:type="dxa"/>
        </w:tblCellMar>
        <w:tblLook w:val="04A0" w:firstRow="1" w:lastRow="0" w:firstColumn="1" w:lastColumn="0" w:noHBand="0" w:noVBand="1"/>
      </w:tblPr>
      <w:tblGrid>
        <w:gridCol w:w="39"/>
        <w:gridCol w:w="5931"/>
        <w:gridCol w:w="37"/>
        <w:gridCol w:w="100"/>
        <w:gridCol w:w="959"/>
        <w:gridCol w:w="36"/>
        <w:gridCol w:w="36"/>
        <w:gridCol w:w="36"/>
        <w:gridCol w:w="36"/>
        <w:gridCol w:w="100"/>
        <w:gridCol w:w="960"/>
        <w:gridCol w:w="36"/>
      </w:tblGrid>
      <w:tr w:rsidR="00000000">
        <w:trPr>
          <w:divId w:val="723914925"/>
        </w:trPr>
        <w:tc>
          <w:tcPr>
            <w:tcW w:w="50" w:type="pct"/>
            <w:vAlign w:val="center"/>
            <w:hideMark/>
          </w:tcPr>
          <w:p w:rsidR="00000000" w:rsidRDefault="002A246B">
            <w:pPr>
              <w:rPr>
                <w:rFonts w:eastAsia="Times New Roman"/>
              </w:rPr>
            </w:pPr>
          </w:p>
        </w:tc>
        <w:tc>
          <w:tcPr>
            <w:tcW w:w="359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723914925"/>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Three Months Ended March 31,</w:t>
            </w:r>
          </w:p>
        </w:tc>
      </w:tr>
      <w:tr w:rsidR="00000000">
        <w:trPr>
          <w:divId w:val="723914925"/>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2021</w:t>
            </w:r>
          </w:p>
        </w:tc>
      </w:tr>
      <w:tr w:rsidR="00000000">
        <w:trPr>
          <w:divId w:val="723914925"/>
        </w:trPr>
        <w:tc>
          <w:tcPr>
            <w:tcW w:w="0" w:type="auto"/>
            <w:gridSpan w:val="3"/>
            <w:vAlign w:val="center"/>
            <w:hideMark/>
          </w:tcPr>
          <w:p w:rsidR="00000000" w:rsidRDefault="002A246B">
            <w:pPr>
              <w:spacing w:after="100"/>
              <w:jc w:val="center"/>
              <w:rPr>
                <w:rFonts w:eastAsia="Times New Roman"/>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72391492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Supplemental disclosures of cash flow information: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723914925"/>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Cash paid during the period for:</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723914925"/>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Interest</w:t>
            </w: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1,275 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2,109 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723914925"/>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Income taxes</w:t>
            </w: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723914925"/>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Noncash investing and financing activities:</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723914925"/>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Other real estate and repossessed assets acquired in settlement of loans net of (charge-offs)</w:t>
            </w: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(52)</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30 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723914925"/>
        </w:trPr>
        <w:tc>
          <w:tcPr>
            <w:tcW w:w="0" w:type="auto"/>
            <w:gridSpan w:val="3"/>
            <w:vAlign w:val="center"/>
            <w:hideMark/>
          </w:tcPr>
          <w:p w:rsidR="00000000" w:rsidRDefault="002A246B">
            <w:pPr>
              <w:spacing w:after="100"/>
              <w:jc w:val="right"/>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bl>
    <w:p w:rsidR="00000000" w:rsidRDefault="002A246B">
      <w:pPr>
        <w:jc w:val="both"/>
        <w:divId w:val="1136675947"/>
        <w:rPr>
          <w:rFonts w:eastAsia="Times New Roman"/>
        </w:rPr>
      </w:pPr>
      <w:r>
        <w:rPr>
          <w:rFonts w:eastAsia="Times New Roman"/>
          <w:color w:val="000000"/>
          <w:sz w:val="16"/>
          <w:szCs w:val="16"/>
        </w:rPr>
        <w:t xml:space="preserve">See accompanying notes to the consolidated financial statements </w:t>
      </w:r>
      <w:r>
        <w:rPr>
          <w:rFonts w:eastAsia="Times New Roman"/>
          <w:i/>
          <w:iCs/>
          <w:color w:val="000000"/>
          <w:sz w:val="16"/>
          <w:szCs w:val="16"/>
        </w:rPr>
        <w:t>(unaudited).</w:t>
      </w:r>
    </w:p>
    <w:p w:rsidR="00000000" w:rsidRDefault="002A246B">
      <w:pPr>
        <w:jc w:val="center"/>
        <w:divId w:val="1229463416"/>
        <w:rPr>
          <w:rFonts w:eastAsia="Times New Roman"/>
        </w:rPr>
      </w:pPr>
      <w:r>
        <w:rPr>
          <w:rFonts w:eastAsia="Times New Roman"/>
          <w:color w:val="000000"/>
          <w:sz w:val="20"/>
          <w:szCs w:val="20"/>
        </w:rPr>
        <w:t>7</w:t>
      </w:r>
    </w:p>
    <w:p w:rsidR="00000000" w:rsidRDefault="002A246B">
      <w:pPr>
        <w:rPr>
          <w:rFonts w:eastAsia="Times New Roman"/>
        </w:rPr>
      </w:pPr>
      <w:r>
        <w:rPr>
          <w:rFonts w:eastAsia="Times New Roman"/>
        </w:rPr>
        <w:pict>
          <v:rect id="_x0000_i1031" style="width:0;height:1.5pt" o:hralign="center" o:hrstd="t" o:hr="t" fillcolor="#a0a0a0" stroked="f"/>
        </w:pict>
      </w:r>
    </w:p>
    <w:p w:rsidR="00000000" w:rsidRDefault="002A246B">
      <w:pPr>
        <w:jc w:val="center"/>
        <w:divId w:val="1443038267"/>
        <w:rPr>
          <w:rFonts w:eastAsia="Times New Roman"/>
        </w:rPr>
      </w:pPr>
      <w:r>
        <w:rPr>
          <w:rFonts w:eastAsia="Times New Roman"/>
          <w:b/>
          <w:bCs/>
          <w:color w:val="000000"/>
          <w:sz w:val="20"/>
          <w:szCs w:val="20"/>
        </w:rPr>
        <w:t>HAWTHORN BANCSHARES, INC.</w:t>
      </w:r>
    </w:p>
    <w:p w:rsidR="00000000" w:rsidRDefault="002A246B">
      <w:pPr>
        <w:jc w:val="center"/>
        <w:divId w:val="1443038267"/>
        <w:rPr>
          <w:rFonts w:eastAsia="Times New Roman"/>
        </w:rPr>
      </w:pPr>
      <w:r>
        <w:rPr>
          <w:rFonts w:eastAsia="Times New Roman"/>
          <w:b/>
          <w:bCs/>
          <w:color w:val="000000"/>
          <w:sz w:val="20"/>
          <w:szCs w:val="20"/>
        </w:rPr>
        <w:t>AND SUBSIDIARIES</w:t>
      </w:r>
    </w:p>
    <w:p w:rsidR="00000000" w:rsidRDefault="002A246B">
      <w:pPr>
        <w:jc w:val="center"/>
        <w:divId w:val="1443038267"/>
        <w:rPr>
          <w:rFonts w:eastAsia="Times New Roman"/>
        </w:rPr>
      </w:pPr>
      <w:r>
        <w:rPr>
          <w:rFonts w:eastAsia="Times New Roman"/>
          <w:color w:val="000000"/>
          <w:sz w:val="18"/>
          <w:szCs w:val="18"/>
        </w:rPr>
        <w:t>Notes to the Consolidated Financial Statements</w:t>
      </w:r>
    </w:p>
    <w:p w:rsidR="00000000" w:rsidRDefault="002A246B">
      <w:pPr>
        <w:jc w:val="center"/>
        <w:divId w:val="1443038267"/>
        <w:rPr>
          <w:rFonts w:eastAsia="Times New Roman"/>
        </w:rPr>
      </w:pPr>
      <w:r>
        <w:rPr>
          <w:rFonts w:eastAsia="Times New Roman"/>
          <w:i/>
          <w:iCs/>
          <w:color w:val="000000"/>
          <w:sz w:val="18"/>
          <w:szCs w:val="18"/>
        </w:rPr>
        <w:t>(Unaudited)</w:t>
      </w:r>
    </w:p>
    <w:p w:rsidR="00000000" w:rsidRDefault="002A246B">
      <w:pPr>
        <w:jc w:val="center"/>
        <w:rPr>
          <w:rFonts w:eastAsia="Times New Roman"/>
        </w:rPr>
      </w:pPr>
    </w:p>
    <w:p w:rsidR="00000000" w:rsidRDefault="002A246B">
      <w:pPr>
        <w:divId w:val="1634216016"/>
        <w:rPr>
          <w:rFonts w:eastAsia="Times New Roman"/>
        </w:rPr>
      </w:pPr>
      <w:r>
        <w:rPr>
          <w:rFonts w:eastAsia="Times New Roman"/>
          <w:b/>
          <w:bCs/>
          <w:color w:val="000000"/>
          <w:sz w:val="20"/>
          <w:szCs w:val="20"/>
        </w:rPr>
        <w:t>(1) Summary of Significant Accountin</w:t>
      </w:r>
      <w:r>
        <w:rPr>
          <w:rFonts w:eastAsia="Times New Roman"/>
          <w:b/>
          <w:bCs/>
          <w:color w:val="000000"/>
          <w:sz w:val="20"/>
          <w:szCs w:val="20"/>
        </w:rPr>
        <w:t>g Policies</w:t>
      </w:r>
    </w:p>
    <w:p w:rsidR="00000000" w:rsidRDefault="002A246B">
      <w:pPr>
        <w:jc w:val="both"/>
        <w:divId w:val="313990801"/>
        <w:rPr>
          <w:rFonts w:eastAsia="Times New Roman"/>
        </w:rPr>
      </w:pPr>
      <w:r>
        <w:rPr>
          <w:rFonts w:eastAsia="Times New Roman"/>
          <w:color w:val="000000"/>
          <w:sz w:val="20"/>
          <w:szCs w:val="20"/>
        </w:rPr>
        <w:t>Hawthorn Bancshares, Inc. (the Company) through its subsidiary, Hawthorn Bank (the Bank), provides a broad range of banking services to individual and corporate customers located within the Missouri communities in and surrounding Jefferson City,</w:t>
      </w:r>
      <w:r>
        <w:rPr>
          <w:rFonts w:eastAsia="Times New Roman"/>
          <w:color w:val="000000"/>
          <w:sz w:val="20"/>
          <w:szCs w:val="20"/>
        </w:rPr>
        <w:t xml:space="preserve"> Columbia, Clinton, Warsaw, Springfield, St. Louis, and the greater Kansas City metropolitan area. The Company is subject to competition from other financial and nonfinancial institutions providing financial products. Additionally, the Company and its subs</w:t>
      </w:r>
      <w:r>
        <w:rPr>
          <w:rFonts w:eastAsia="Times New Roman"/>
          <w:color w:val="000000"/>
          <w:sz w:val="20"/>
          <w:szCs w:val="20"/>
        </w:rPr>
        <w:t>idiaries are subject to the regulations of certain regulatory agencies and undergo periodic examinations by those regulatory agencies.</w:t>
      </w:r>
    </w:p>
    <w:p w:rsidR="00000000" w:rsidRDefault="002A246B">
      <w:pPr>
        <w:jc w:val="both"/>
        <w:divId w:val="883178071"/>
        <w:rPr>
          <w:rFonts w:eastAsia="Times New Roman"/>
        </w:rPr>
      </w:pPr>
      <w:r>
        <w:rPr>
          <w:rFonts w:eastAsia="Times New Roman"/>
          <w:color w:val="000000"/>
          <w:sz w:val="20"/>
          <w:szCs w:val="20"/>
        </w:rPr>
        <w:t>The accompanying unaudited consolidated financial statements of the Company have been prepared in conformity with U.S. ge</w:t>
      </w:r>
      <w:r>
        <w:rPr>
          <w:rFonts w:eastAsia="Times New Roman"/>
          <w:color w:val="000000"/>
          <w:sz w:val="20"/>
          <w:szCs w:val="20"/>
        </w:rPr>
        <w:t>nerally accepted accounting principles (U.S. GAAP) for interim financial information and with the instructions to Form 10-Q, and Rule 10-01 of Regulation S-X. Accordingly, the unaudited consolidated financial statements do not include all of the informatio</w:t>
      </w:r>
      <w:r>
        <w:rPr>
          <w:rFonts w:eastAsia="Times New Roman"/>
          <w:color w:val="000000"/>
          <w:sz w:val="20"/>
          <w:szCs w:val="20"/>
        </w:rPr>
        <w:t>n and disclosures required by U.S. GAAP for complete financial statements and should be read in conjunction with the consolidated financial statements and related notes included in the Company’s Annual Report on Form 10-K for the year ended December 31, 20</w:t>
      </w:r>
      <w:r>
        <w:rPr>
          <w:rFonts w:eastAsia="Times New Roman"/>
          <w:color w:val="000000"/>
          <w:sz w:val="20"/>
          <w:szCs w:val="20"/>
        </w:rPr>
        <w:t>21.</w:t>
      </w:r>
    </w:p>
    <w:p w:rsidR="00000000" w:rsidRDefault="002A246B">
      <w:pPr>
        <w:jc w:val="both"/>
        <w:divId w:val="1017779589"/>
        <w:rPr>
          <w:rFonts w:eastAsia="Times New Roman"/>
        </w:rPr>
      </w:pPr>
      <w:r>
        <w:rPr>
          <w:rFonts w:eastAsia="Times New Roman"/>
          <w:color w:val="000000"/>
          <w:sz w:val="20"/>
          <w:szCs w:val="20"/>
        </w:rPr>
        <w:t>The preparation of the consolidated financial statements includes all adjustments that, in the opinion of management, are necessary in order to make those statements not misleading. Management is required to make estimates and assumptions, including th</w:t>
      </w:r>
      <w:r>
        <w:rPr>
          <w:rFonts w:eastAsia="Times New Roman"/>
          <w:color w:val="000000"/>
          <w:sz w:val="20"/>
          <w:szCs w:val="20"/>
        </w:rPr>
        <w:t>e determination of the allowance for loan losses, real estate acquired in connection with foreclosure or in satisfaction of loans, and fair values of investment securities available-for-sale that affect the reported amounts of assets and liabilities and di</w:t>
      </w:r>
      <w:r>
        <w:rPr>
          <w:rFonts w:eastAsia="Times New Roman"/>
          <w:color w:val="000000"/>
          <w:sz w:val="20"/>
          <w:szCs w:val="20"/>
        </w:rPr>
        <w:t>sclosure of contingent assets and liabilities at the date of the consolidated financial statements and the reported amounts of revenues and expenses during the reporting period. These estimates and assumptions are subject to many risks and uncertainties, i</w:t>
      </w:r>
      <w:r>
        <w:rPr>
          <w:rFonts w:eastAsia="Times New Roman"/>
          <w:color w:val="000000"/>
          <w:sz w:val="20"/>
          <w:szCs w:val="20"/>
        </w:rPr>
        <w:t>ncluding changes in interest rates and other general economic, business and political conditions, including the effects of the novel coronavirus (COVID-19) pandemic or any resurgence thereof, including its potential effects on the economic environment, the</w:t>
      </w:r>
      <w:r>
        <w:rPr>
          <w:rFonts w:eastAsia="Times New Roman"/>
          <w:color w:val="000000"/>
          <w:sz w:val="20"/>
          <w:szCs w:val="20"/>
        </w:rPr>
        <w:t xml:space="preserve"> Company's customers and operations, as well as any changes to federal, state and local government laws, regulations and orders in connection with the pandemic. Actual results could differ from those estimates. The Company’s management has evaluated and di</w:t>
      </w:r>
      <w:r>
        <w:rPr>
          <w:rFonts w:eastAsia="Times New Roman"/>
          <w:color w:val="000000"/>
          <w:sz w:val="20"/>
          <w:szCs w:val="20"/>
        </w:rPr>
        <w:t>d not identify any subsequent events or transactions requiring recognition or disclosure in the consolidated financial statements.</w:t>
      </w:r>
    </w:p>
    <w:p w:rsidR="00000000" w:rsidRDefault="002A246B">
      <w:pPr>
        <w:jc w:val="both"/>
        <w:divId w:val="572814117"/>
        <w:rPr>
          <w:rFonts w:eastAsia="Times New Roman"/>
        </w:rPr>
      </w:pPr>
      <w:r>
        <w:rPr>
          <w:rFonts w:eastAsia="Times New Roman"/>
          <w:b/>
          <w:bCs/>
          <w:i/>
          <w:iCs/>
          <w:color w:val="000000"/>
          <w:sz w:val="20"/>
          <w:szCs w:val="20"/>
        </w:rPr>
        <w:t>Stock Dividend</w:t>
      </w:r>
      <w:r>
        <w:rPr>
          <w:rFonts w:eastAsia="Times New Roman"/>
          <w:color w:val="000000"/>
          <w:sz w:val="20"/>
          <w:szCs w:val="20"/>
        </w:rPr>
        <w:t xml:space="preserve"> On July </w:t>
      </w:r>
      <w:r>
        <w:rPr>
          <w:rFonts w:eastAsia="Times New Roman"/>
          <w:color w:val="000000"/>
          <w:sz w:val="20"/>
          <w:szCs w:val="20"/>
        </w:rPr>
        <w:t>1, 2021, the Company paid a special stock dividend of four percent to shareholders of record at the close of business on June 15, 2021. For all periods presented, share information, including basic and diluted earnings per share, has been adjusted retroact</w:t>
      </w:r>
      <w:r>
        <w:rPr>
          <w:rFonts w:eastAsia="Times New Roman"/>
          <w:color w:val="000000"/>
          <w:sz w:val="20"/>
          <w:szCs w:val="20"/>
        </w:rPr>
        <w:t>ively to reflect this change.</w:t>
      </w:r>
    </w:p>
    <w:p w:rsidR="00000000" w:rsidRDefault="002A246B">
      <w:pPr>
        <w:divId w:val="2035425060"/>
        <w:rPr>
          <w:rFonts w:eastAsia="Times New Roman"/>
        </w:rPr>
      </w:pPr>
      <w:r>
        <w:rPr>
          <w:rFonts w:eastAsia="Times New Roman"/>
          <w:b/>
          <w:bCs/>
          <w:color w:val="000000"/>
          <w:sz w:val="20"/>
          <w:szCs w:val="20"/>
        </w:rPr>
        <w:t>(2) Loans and Allowance for Loan Losses</w:t>
      </w:r>
    </w:p>
    <w:p w:rsidR="00000000" w:rsidRDefault="002A246B">
      <w:pPr>
        <w:divId w:val="1001851945"/>
        <w:rPr>
          <w:rFonts w:eastAsia="Times New Roman"/>
        </w:rPr>
      </w:pPr>
      <w:r>
        <w:rPr>
          <w:rFonts w:eastAsia="Times New Roman"/>
          <w:i/>
          <w:iCs/>
          <w:color w:val="000000"/>
          <w:sz w:val="20"/>
          <w:szCs w:val="20"/>
        </w:rPr>
        <w:t>Loans</w:t>
      </w:r>
    </w:p>
    <w:p w:rsidR="00000000" w:rsidRDefault="002A246B">
      <w:pPr>
        <w:jc w:val="both"/>
        <w:divId w:val="197855931"/>
        <w:rPr>
          <w:rFonts w:eastAsia="Times New Roman"/>
        </w:rPr>
      </w:pPr>
      <w:r>
        <w:rPr>
          <w:rFonts w:eastAsia="Times New Roman"/>
          <w:color w:val="000000"/>
          <w:sz w:val="20"/>
          <w:szCs w:val="20"/>
        </w:rPr>
        <w:t>Major classifications within the Company’s held for investment loan portfolio at March 31, 2022 and December 31, 2021 is as follows:</w:t>
      </w:r>
    </w:p>
    <w:tbl>
      <w:tblPr>
        <w:tblW w:w="4931" w:type="pct"/>
        <w:tblCellMar>
          <w:top w:w="15" w:type="dxa"/>
          <w:left w:w="15" w:type="dxa"/>
          <w:bottom w:w="15" w:type="dxa"/>
          <w:right w:w="15" w:type="dxa"/>
        </w:tblCellMar>
        <w:tblLook w:val="04A0" w:firstRow="1" w:lastRow="0" w:firstColumn="1" w:lastColumn="0" w:noHBand="0" w:noVBand="1"/>
      </w:tblPr>
      <w:tblGrid>
        <w:gridCol w:w="38"/>
        <w:gridCol w:w="5997"/>
        <w:gridCol w:w="36"/>
        <w:gridCol w:w="120"/>
        <w:gridCol w:w="850"/>
        <w:gridCol w:w="36"/>
        <w:gridCol w:w="36"/>
        <w:gridCol w:w="36"/>
        <w:gridCol w:w="36"/>
        <w:gridCol w:w="120"/>
        <w:gridCol w:w="850"/>
        <w:gridCol w:w="36"/>
      </w:tblGrid>
      <w:tr w:rsidR="00000000">
        <w:trPr>
          <w:divId w:val="1385715159"/>
        </w:trPr>
        <w:tc>
          <w:tcPr>
            <w:tcW w:w="50" w:type="pct"/>
            <w:vAlign w:val="center"/>
            <w:hideMark/>
          </w:tcPr>
          <w:p w:rsidR="00000000" w:rsidRDefault="002A246B">
            <w:pPr>
              <w:jc w:val="both"/>
              <w:rPr>
                <w:rFonts w:eastAsia="Times New Roman"/>
              </w:rPr>
            </w:pPr>
          </w:p>
        </w:tc>
        <w:tc>
          <w:tcPr>
            <w:tcW w:w="371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5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385715159"/>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December 31, 2021</w:t>
            </w:r>
          </w:p>
        </w:tc>
      </w:tr>
      <w:tr w:rsidR="00000000">
        <w:trPr>
          <w:divId w:val="138571515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divId w:val="564949966"/>
              <w:rPr>
                <w:rFonts w:eastAsia="Times New Roman"/>
              </w:rPr>
            </w:pPr>
            <w:r>
              <w:rPr>
                <w:rFonts w:eastAsia="Times New Roman"/>
                <w:color w:val="000000"/>
                <w:sz w:val="20"/>
                <w:szCs w:val="20"/>
              </w:rPr>
              <w:t>Commercial, financial, and agricultura</w:t>
            </w:r>
            <w:r>
              <w:rPr>
                <w:rFonts w:eastAsia="Times New Roman"/>
                <w:color w:val="000000"/>
                <w:sz w:val="20"/>
                <w:szCs w:val="20"/>
              </w:rPr>
              <w:t>l</w:t>
            </w:r>
            <w:r>
              <w:rPr>
                <w:rFonts w:eastAsia="Times New Roman"/>
                <w:color w:val="000000"/>
                <w:sz w:val="13"/>
                <w:szCs w:val="13"/>
              </w:rPr>
              <w:t>(a</w:t>
            </w:r>
            <w:r>
              <w:rPr>
                <w:rFonts w:eastAsia="Times New Roman"/>
                <w:color w:val="000000"/>
                <w:sz w:val="13"/>
                <w:szCs w:val="13"/>
              </w:rPr>
              <w:t>)</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221,015 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217,214 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385715159"/>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residential</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21,515</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27,920</w:t>
            </w:r>
          </w:p>
        </w:tc>
      </w:tr>
      <w:tr w:rsidR="00000000">
        <w:trPr>
          <w:divId w:val="138571515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103,478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91,369</w:t>
            </w:r>
          </w:p>
        </w:tc>
      </w:tr>
      <w:tr w:rsidR="00000000">
        <w:trPr>
          <w:divId w:val="1385715159"/>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287,879</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279,346</w:t>
            </w:r>
          </w:p>
        </w:tc>
      </w:tr>
      <w:tr w:rsidR="00000000">
        <w:trPr>
          <w:divId w:val="138571515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677,539</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663,256</w:t>
            </w:r>
          </w:p>
        </w:tc>
      </w:tr>
      <w:tr w:rsidR="00000000">
        <w:trPr>
          <w:divId w:val="1385715159"/>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Installment and other consumer</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22,497</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23,028</w:t>
            </w:r>
          </w:p>
        </w:tc>
      </w:tr>
      <w:tr w:rsidR="00000000">
        <w:trPr>
          <w:divId w:val="1385715159"/>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 loans held for investment</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1,333,923 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1,302,133 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ind w:hanging="360"/>
        <w:jc w:val="both"/>
        <w:divId w:val="980041986"/>
        <w:rPr>
          <w:rFonts w:eastAsia="Times New Roman"/>
        </w:rPr>
      </w:pPr>
      <w:r>
        <w:rPr>
          <w:rFonts w:eastAsia="Times New Roman"/>
          <w:color w:val="000000"/>
          <w:sz w:val="16"/>
          <w:szCs w:val="16"/>
        </w:rPr>
        <w:t>(a)</w:t>
      </w:r>
      <w:r>
        <w:rPr>
          <w:rFonts w:eastAsia="Times New Roman"/>
          <w:color w:val="000000"/>
          <w:sz w:val="16"/>
          <w:szCs w:val="16"/>
        </w:rPr>
        <w:t>Includes $2.3 million and $8.4 million of Small Business Administration Paycheck Protection (SBA PPP) loans, net as of March 31, 2022 and December 31, 2021, respectively.</w:t>
      </w:r>
    </w:p>
    <w:p w:rsidR="00000000" w:rsidRDefault="002A246B">
      <w:pPr>
        <w:jc w:val="both"/>
        <w:divId w:val="59980564"/>
        <w:rPr>
          <w:rFonts w:eastAsia="Times New Roman"/>
        </w:rPr>
      </w:pPr>
      <w:r>
        <w:rPr>
          <w:rFonts w:eastAsia="Times New Roman"/>
          <w:color w:val="000000"/>
          <w:sz w:val="20"/>
          <w:szCs w:val="20"/>
        </w:rPr>
        <w:t>The Bank grants real estate, commercial, installment, and other consumer loans to cus</w:t>
      </w:r>
      <w:r>
        <w:rPr>
          <w:rFonts w:eastAsia="Times New Roman"/>
          <w:color w:val="000000"/>
          <w:sz w:val="20"/>
          <w:szCs w:val="20"/>
        </w:rPr>
        <w:t>tomers located within the Missouri communities surrounding Jefferson City, Columbia, Clinton, Warsaw, Springfield, St. Louis, and the greater Kansas City metropolitan area. As such, the Bank is susceptible to changes in the economic environment in these co</w:t>
      </w:r>
      <w:r>
        <w:rPr>
          <w:rFonts w:eastAsia="Times New Roman"/>
          <w:color w:val="000000"/>
          <w:sz w:val="20"/>
          <w:szCs w:val="20"/>
        </w:rPr>
        <w:t xml:space="preserve">mmunities. The </w:t>
      </w:r>
    </w:p>
    <w:p w:rsidR="00000000" w:rsidRDefault="002A246B">
      <w:pPr>
        <w:jc w:val="center"/>
        <w:divId w:val="1995648300"/>
        <w:rPr>
          <w:rFonts w:eastAsia="Times New Roman"/>
        </w:rPr>
      </w:pPr>
      <w:r>
        <w:rPr>
          <w:rFonts w:eastAsia="Times New Roman"/>
          <w:color w:val="000000"/>
          <w:sz w:val="20"/>
          <w:szCs w:val="20"/>
        </w:rPr>
        <w:t>8</w:t>
      </w:r>
    </w:p>
    <w:p w:rsidR="00000000" w:rsidRDefault="002A246B">
      <w:pPr>
        <w:rPr>
          <w:rFonts w:eastAsia="Times New Roman"/>
        </w:rPr>
      </w:pPr>
      <w:r>
        <w:rPr>
          <w:rFonts w:eastAsia="Times New Roman"/>
        </w:rPr>
        <w:pict>
          <v:rect id="_x0000_i1032" style="width:0;height:1.5pt" o:hralign="center" o:hrstd="t" o:hr="t" fillcolor="#a0a0a0" stroked="f"/>
        </w:pict>
      </w:r>
    </w:p>
    <w:p w:rsidR="00000000" w:rsidRDefault="002A246B">
      <w:pPr>
        <w:jc w:val="center"/>
        <w:divId w:val="1574319289"/>
        <w:rPr>
          <w:rFonts w:eastAsia="Times New Roman"/>
        </w:rPr>
      </w:pPr>
      <w:r>
        <w:rPr>
          <w:rFonts w:eastAsia="Times New Roman"/>
          <w:b/>
          <w:bCs/>
          <w:color w:val="000000"/>
          <w:sz w:val="20"/>
          <w:szCs w:val="20"/>
        </w:rPr>
        <w:t>HAWTHORN BANCSHARES, INC.</w:t>
      </w:r>
    </w:p>
    <w:p w:rsidR="00000000" w:rsidRDefault="002A246B">
      <w:pPr>
        <w:jc w:val="center"/>
        <w:divId w:val="1574319289"/>
        <w:rPr>
          <w:rFonts w:eastAsia="Times New Roman"/>
        </w:rPr>
      </w:pPr>
      <w:r>
        <w:rPr>
          <w:rFonts w:eastAsia="Times New Roman"/>
          <w:b/>
          <w:bCs/>
          <w:color w:val="000000"/>
          <w:sz w:val="20"/>
          <w:szCs w:val="20"/>
        </w:rPr>
        <w:t>AND SUBSIDIARIES</w:t>
      </w:r>
    </w:p>
    <w:p w:rsidR="00000000" w:rsidRDefault="002A246B">
      <w:pPr>
        <w:jc w:val="center"/>
        <w:divId w:val="1574319289"/>
        <w:rPr>
          <w:rFonts w:eastAsia="Times New Roman"/>
        </w:rPr>
      </w:pPr>
      <w:r>
        <w:rPr>
          <w:rFonts w:eastAsia="Times New Roman"/>
          <w:color w:val="000000"/>
          <w:sz w:val="18"/>
          <w:szCs w:val="18"/>
        </w:rPr>
        <w:t>Notes to the Consolidated Financial Statements</w:t>
      </w:r>
    </w:p>
    <w:p w:rsidR="00000000" w:rsidRDefault="002A246B">
      <w:pPr>
        <w:jc w:val="center"/>
        <w:divId w:val="1574319289"/>
        <w:rPr>
          <w:rFonts w:eastAsia="Times New Roman"/>
        </w:rPr>
      </w:pPr>
      <w:r>
        <w:rPr>
          <w:rFonts w:eastAsia="Times New Roman"/>
          <w:i/>
          <w:iCs/>
          <w:color w:val="000000"/>
          <w:sz w:val="18"/>
          <w:szCs w:val="18"/>
        </w:rPr>
        <w:t>(Unaudited)</w:t>
      </w:r>
    </w:p>
    <w:p w:rsidR="00000000" w:rsidRDefault="002A246B">
      <w:pPr>
        <w:jc w:val="both"/>
        <w:divId w:val="1052727759"/>
        <w:rPr>
          <w:rFonts w:eastAsia="Times New Roman"/>
        </w:rPr>
      </w:pPr>
      <w:r>
        <w:rPr>
          <w:rFonts w:eastAsia="Times New Roman"/>
          <w:color w:val="000000"/>
          <w:sz w:val="20"/>
          <w:szCs w:val="20"/>
        </w:rPr>
        <w:t xml:space="preserve">Bank does not have a concentration of credit in any one economic sector. Installment and other consumer loans consist </w:t>
      </w:r>
      <w:r>
        <w:rPr>
          <w:rFonts w:eastAsia="Times New Roman"/>
          <w:color w:val="000000"/>
          <w:sz w:val="20"/>
          <w:szCs w:val="20"/>
        </w:rPr>
        <w:t>primarily of the financing of automotive vehicles. At March 31, 2022, loans of $567.4 million were pledged to the Federal Home Loan Bank (FHLB) as collateral for borrowings and letters of credit.</w:t>
      </w:r>
    </w:p>
    <w:p w:rsidR="00000000" w:rsidRDefault="002A246B">
      <w:pPr>
        <w:divId w:val="1866169322"/>
        <w:rPr>
          <w:rFonts w:eastAsia="Times New Roman"/>
        </w:rPr>
      </w:pPr>
      <w:r>
        <w:rPr>
          <w:rFonts w:eastAsia="Times New Roman"/>
          <w:i/>
          <w:iCs/>
          <w:color w:val="000000"/>
          <w:sz w:val="20"/>
          <w:szCs w:val="20"/>
        </w:rPr>
        <w:t>Allowance for Loan Losses</w:t>
      </w:r>
    </w:p>
    <w:p w:rsidR="00000000" w:rsidRDefault="002A246B">
      <w:pPr>
        <w:jc w:val="both"/>
        <w:divId w:val="2121489217"/>
        <w:rPr>
          <w:rFonts w:eastAsia="Times New Roman"/>
        </w:rPr>
      </w:pPr>
      <w:r>
        <w:rPr>
          <w:rFonts w:eastAsia="Times New Roman"/>
          <w:color w:val="000000"/>
          <w:sz w:val="20"/>
          <w:szCs w:val="20"/>
        </w:rPr>
        <w:t>The following table illustrates th</w:t>
      </w:r>
      <w:r>
        <w:rPr>
          <w:rFonts w:eastAsia="Times New Roman"/>
          <w:color w:val="000000"/>
          <w:sz w:val="20"/>
          <w:szCs w:val="20"/>
        </w:rPr>
        <w:t>e changes in the allowance for loan losses by portfolio segment:</w:t>
      </w:r>
    </w:p>
    <w:tbl>
      <w:tblPr>
        <w:tblW w:w="5000" w:type="pct"/>
        <w:tblCellMar>
          <w:top w:w="15" w:type="dxa"/>
          <w:left w:w="15" w:type="dxa"/>
          <w:bottom w:w="15" w:type="dxa"/>
          <w:right w:w="15" w:type="dxa"/>
        </w:tblCellMar>
        <w:tblLook w:val="04A0" w:firstRow="1" w:lastRow="0" w:firstColumn="1" w:lastColumn="0" w:noHBand="0" w:noVBand="1"/>
      </w:tblPr>
      <w:tblGrid>
        <w:gridCol w:w="38"/>
        <w:gridCol w:w="1419"/>
        <w:gridCol w:w="37"/>
        <w:gridCol w:w="91"/>
        <w:gridCol w:w="720"/>
        <w:gridCol w:w="36"/>
        <w:gridCol w:w="36"/>
        <w:gridCol w:w="36"/>
        <w:gridCol w:w="36"/>
        <w:gridCol w:w="91"/>
        <w:gridCol w:w="739"/>
        <w:gridCol w:w="36"/>
        <w:gridCol w:w="36"/>
        <w:gridCol w:w="36"/>
        <w:gridCol w:w="36"/>
        <w:gridCol w:w="91"/>
        <w:gridCol w:w="739"/>
        <w:gridCol w:w="36"/>
        <w:gridCol w:w="36"/>
        <w:gridCol w:w="36"/>
        <w:gridCol w:w="36"/>
        <w:gridCol w:w="91"/>
        <w:gridCol w:w="618"/>
        <w:gridCol w:w="36"/>
        <w:gridCol w:w="36"/>
        <w:gridCol w:w="36"/>
        <w:gridCol w:w="36"/>
        <w:gridCol w:w="91"/>
        <w:gridCol w:w="686"/>
        <w:gridCol w:w="36"/>
        <w:gridCol w:w="36"/>
        <w:gridCol w:w="36"/>
        <w:gridCol w:w="36"/>
        <w:gridCol w:w="91"/>
        <w:gridCol w:w="632"/>
        <w:gridCol w:w="36"/>
        <w:gridCol w:w="36"/>
        <w:gridCol w:w="36"/>
        <w:gridCol w:w="36"/>
        <w:gridCol w:w="91"/>
        <w:gridCol w:w="487"/>
        <w:gridCol w:w="36"/>
        <w:gridCol w:w="36"/>
        <w:gridCol w:w="36"/>
        <w:gridCol w:w="36"/>
        <w:gridCol w:w="90"/>
        <w:gridCol w:w="420"/>
        <w:gridCol w:w="36"/>
      </w:tblGrid>
      <w:tr w:rsidR="00000000">
        <w:trPr>
          <w:divId w:val="1399202911"/>
        </w:trPr>
        <w:tc>
          <w:tcPr>
            <w:tcW w:w="50" w:type="pct"/>
            <w:vAlign w:val="center"/>
            <w:hideMark/>
          </w:tcPr>
          <w:p w:rsidR="00000000" w:rsidRDefault="002A246B">
            <w:pPr>
              <w:jc w:val="both"/>
              <w:rPr>
                <w:rFonts w:eastAsia="Times New Roman"/>
              </w:rPr>
            </w:pPr>
          </w:p>
        </w:tc>
        <w:tc>
          <w:tcPr>
            <w:tcW w:w="116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22"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6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6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7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0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7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01"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0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399202911"/>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45"/>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Three Months Ended March 31, 2022</w:t>
            </w:r>
          </w:p>
        </w:tc>
      </w:tr>
      <w:tr w:rsidR="00000000">
        <w:trPr>
          <w:divId w:val="1399202911"/>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4"/>
                <w:szCs w:val="14"/>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Commercial, Financial, &amp; Agricultural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Real Estate Construction - Residential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Real Estate Construction - Commercial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Real Estate Mortgage - Residential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Real Estate Mortgage - Commercial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Installment and Other Consumer</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Un- allocated</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Total</w:t>
            </w:r>
          </w:p>
        </w:tc>
      </w:tr>
      <w:tr w:rsidR="002A246B">
        <w:trPr>
          <w:divId w:val="139920291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4"/>
                <w:szCs w:val="14"/>
              </w:rPr>
              <w:t>Balance at beginning of period</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2,717</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137</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588</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2,482</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10,662</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256</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61</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16,903</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399202911"/>
        </w:trPr>
        <w:tc>
          <w:tcPr>
            <w:tcW w:w="0" w:type="auto"/>
            <w:gridSpan w:val="3"/>
            <w:tcBorders>
              <w:top w:val="doub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4"/>
                <w:szCs w:val="14"/>
              </w:rPr>
              <w:t>Additions:</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399202911"/>
        </w:trPr>
        <w:tc>
          <w:tcPr>
            <w:tcW w:w="0" w:type="auto"/>
            <w:gridSpan w:val="3"/>
            <w:shd w:val="clear" w:color="auto" w:fill="CCEEFF"/>
            <w:tcMar>
              <w:top w:w="30" w:type="dxa"/>
              <w:left w:w="87" w:type="dxa"/>
              <w:bottom w:w="30" w:type="dxa"/>
              <w:right w:w="20" w:type="dxa"/>
            </w:tcMar>
            <w:vAlign w:val="bottom"/>
            <w:hideMark/>
          </w:tcPr>
          <w:p w:rsidR="00000000" w:rsidRDefault="002A246B">
            <w:pPr>
              <w:spacing w:after="100"/>
              <w:rPr>
                <w:rFonts w:eastAsia="Times New Roman"/>
              </w:rPr>
            </w:pPr>
            <w:r>
              <w:rPr>
                <w:rFonts w:eastAsia="Times New Roman"/>
                <w:color w:val="000000"/>
                <w:sz w:val="14"/>
                <w:szCs w:val="14"/>
              </w:rPr>
              <w:t>(Release of ) provision for loan losses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128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(77)</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76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93</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(2,897)</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56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121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(2,500)</w:t>
            </w:r>
          </w:p>
        </w:tc>
      </w:tr>
      <w:tr w:rsidR="00000000">
        <w:trPr>
          <w:divId w:val="1399202911"/>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4"/>
                <w:szCs w:val="14"/>
              </w:rPr>
              <w:t>Deductions: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399202911"/>
        </w:trPr>
        <w:tc>
          <w:tcPr>
            <w:tcW w:w="0" w:type="auto"/>
            <w:gridSpan w:val="3"/>
            <w:shd w:val="clear" w:color="auto" w:fill="CCEEFF"/>
            <w:tcMar>
              <w:top w:w="30" w:type="dxa"/>
              <w:left w:w="87" w:type="dxa"/>
              <w:bottom w:w="30" w:type="dxa"/>
              <w:right w:w="20" w:type="dxa"/>
            </w:tcMar>
            <w:vAlign w:val="bottom"/>
            <w:hideMark/>
          </w:tcPr>
          <w:p w:rsidR="00000000" w:rsidRDefault="002A246B">
            <w:pPr>
              <w:spacing w:after="100"/>
              <w:rPr>
                <w:rFonts w:eastAsia="Times New Roman"/>
              </w:rPr>
            </w:pPr>
            <w:r>
              <w:rPr>
                <w:rFonts w:eastAsia="Times New Roman"/>
                <w:color w:val="000000"/>
                <w:sz w:val="14"/>
                <w:szCs w:val="14"/>
              </w:rPr>
              <w:t>Loans charged off</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35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75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56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166</w:t>
            </w:r>
          </w:p>
        </w:tc>
      </w:tr>
      <w:tr w:rsidR="00000000">
        <w:trPr>
          <w:divId w:val="1399202911"/>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4"/>
                <w:szCs w:val="14"/>
              </w:rPr>
              <w:t>Less recoveries on loans</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(20)</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(3)</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(2)</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(17)</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(42)</w:t>
            </w:r>
          </w:p>
        </w:tc>
      </w:tr>
      <w:tr w:rsidR="00000000">
        <w:trPr>
          <w:divId w:val="139920291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4"/>
                <w:szCs w:val="14"/>
              </w:rPr>
              <w:t>Net loan charge-offs (recoveries)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15</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(3)</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73</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39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124</w:t>
            </w:r>
          </w:p>
        </w:tc>
      </w:tr>
      <w:tr w:rsidR="00000000">
        <w:trPr>
          <w:divId w:val="1399202911"/>
        </w:trPr>
        <w:tc>
          <w:tcPr>
            <w:tcW w:w="0" w:type="auto"/>
            <w:gridSpan w:val="3"/>
            <w:tcBorders>
              <w:top w:val="single" w:sz="6" w:space="0" w:color="000000"/>
              <w:bottom w:val="doub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4"/>
                <w:szCs w:val="14"/>
              </w:rPr>
              <w:t>Balance at end of period</w:t>
            </w: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2,830</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60</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664</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2,578</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7,692</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273</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182</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14,279</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1933"/>
        <w:gridCol w:w="144"/>
        <w:gridCol w:w="144"/>
        <w:gridCol w:w="701"/>
        <w:gridCol w:w="144"/>
        <w:gridCol w:w="144"/>
        <w:gridCol w:w="144"/>
        <w:gridCol w:w="144"/>
        <w:gridCol w:w="144"/>
        <w:gridCol w:w="775"/>
        <w:gridCol w:w="144"/>
        <w:gridCol w:w="144"/>
        <w:gridCol w:w="144"/>
        <w:gridCol w:w="144"/>
        <w:gridCol w:w="144"/>
        <w:gridCol w:w="775"/>
        <w:gridCol w:w="144"/>
        <w:gridCol w:w="144"/>
        <w:gridCol w:w="144"/>
        <w:gridCol w:w="144"/>
        <w:gridCol w:w="144"/>
        <w:gridCol w:w="624"/>
        <w:gridCol w:w="144"/>
        <w:gridCol w:w="144"/>
        <w:gridCol w:w="144"/>
        <w:gridCol w:w="144"/>
        <w:gridCol w:w="144"/>
        <w:gridCol w:w="676"/>
        <w:gridCol w:w="144"/>
        <w:gridCol w:w="144"/>
        <w:gridCol w:w="144"/>
        <w:gridCol w:w="144"/>
        <w:gridCol w:w="144"/>
        <w:gridCol w:w="624"/>
        <w:gridCol w:w="144"/>
        <w:gridCol w:w="144"/>
        <w:gridCol w:w="144"/>
        <w:gridCol w:w="144"/>
        <w:gridCol w:w="144"/>
        <w:gridCol w:w="500"/>
        <w:gridCol w:w="144"/>
        <w:gridCol w:w="144"/>
        <w:gridCol w:w="144"/>
        <w:gridCol w:w="144"/>
        <w:gridCol w:w="144"/>
        <w:gridCol w:w="511"/>
        <w:gridCol w:w="144"/>
      </w:tblGrid>
      <w:tr w:rsidR="00000000">
        <w:tc>
          <w:tcPr>
            <w:tcW w:w="50" w:type="pct"/>
            <w:vAlign w:val="center"/>
            <w:hideMark/>
          </w:tcPr>
          <w:p w:rsidR="00000000" w:rsidRDefault="002A246B">
            <w:pPr>
              <w:rPr>
                <w:rFonts w:eastAsia="Times New Roman"/>
              </w:rPr>
            </w:pPr>
          </w:p>
        </w:tc>
        <w:tc>
          <w:tcPr>
            <w:tcW w:w="116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22"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6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6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7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0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7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01"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0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45"/>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Three Months Ended March 31, 2021</w:t>
            </w:r>
          </w:p>
        </w:tc>
      </w:tr>
      <w:tr w:rsidR="00000000">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4"/>
                <w:szCs w:val="14"/>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Commercial, Financial, &amp; Agricultural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Real Estate Construction - Residential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Real Estate Construction - Commercial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Real Estate Mortgage - Residential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Real Estate Mortgage - Commercial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Installment and Other Consumer</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Un- allocated</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Total</w:t>
            </w:r>
          </w:p>
        </w:tc>
      </w:tr>
      <w:tr w:rsidR="00000000">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4"/>
                <w:szCs w:val="14"/>
              </w:rPr>
              <w:t>Balance at beginning of period</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5,121</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213</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475</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2,679</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9,354</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264</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7</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18,113</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c>
          <w:tcPr>
            <w:tcW w:w="0" w:type="auto"/>
            <w:gridSpan w:val="3"/>
            <w:tcBorders>
              <w:top w:val="doub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4"/>
                <w:szCs w:val="14"/>
              </w:rPr>
              <w:t>Additions:</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c>
          <w:tcPr>
            <w:tcW w:w="0" w:type="auto"/>
            <w:gridSpan w:val="3"/>
            <w:shd w:val="clear" w:color="auto" w:fill="CCEEFF"/>
            <w:tcMar>
              <w:top w:w="30" w:type="dxa"/>
              <w:left w:w="87" w:type="dxa"/>
              <w:bottom w:w="30" w:type="dxa"/>
              <w:right w:w="20" w:type="dxa"/>
            </w:tcMar>
            <w:vAlign w:val="bottom"/>
            <w:hideMark/>
          </w:tcPr>
          <w:p w:rsidR="00000000" w:rsidRDefault="002A246B">
            <w:pPr>
              <w:spacing w:after="100"/>
              <w:rPr>
                <w:rFonts w:eastAsia="Times New Roman"/>
              </w:rPr>
            </w:pPr>
            <w:r>
              <w:rPr>
                <w:rFonts w:eastAsia="Times New Roman"/>
                <w:color w:val="000000"/>
                <w:sz w:val="14"/>
                <w:szCs w:val="14"/>
              </w:rPr>
              <w:t>Provision for loan losses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(567)</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83</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57</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(253)</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573</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13</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94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w:t>
            </w:r>
          </w:p>
        </w:tc>
      </w:tr>
      <w:tr w:rsidR="00000000">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4"/>
                <w:szCs w:val="14"/>
              </w:rPr>
              <w:t>Deductions: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c>
          <w:tcPr>
            <w:tcW w:w="0" w:type="auto"/>
            <w:gridSpan w:val="3"/>
            <w:shd w:val="clear" w:color="auto" w:fill="CCEEFF"/>
            <w:tcMar>
              <w:top w:w="30" w:type="dxa"/>
              <w:left w:w="87" w:type="dxa"/>
              <w:bottom w:w="30" w:type="dxa"/>
              <w:right w:w="20" w:type="dxa"/>
            </w:tcMar>
            <w:vAlign w:val="bottom"/>
            <w:hideMark/>
          </w:tcPr>
          <w:p w:rsidR="00000000" w:rsidRDefault="002A246B">
            <w:pPr>
              <w:spacing w:after="100"/>
              <w:rPr>
                <w:rFonts w:eastAsia="Times New Roman"/>
              </w:rPr>
            </w:pPr>
            <w:r>
              <w:rPr>
                <w:rFonts w:eastAsia="Times New Roman"/>
                <w:color w:val="000000"/>
                <w:sz w:val="14"/>
                <w:szCs w:val="14"/>
              </w:rPr>
              <w:t>Loans charged off</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27</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23</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57</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107</w:t>
            </w:r>
          </w:p>
        </w:tc>
      </w:tr>
      <w:tr w:rsidR="00000000">
        <w:tc>
          <w:tcPr>
            <w:tcW w:w="0" w:type="auto"/>
            <w:gridSpan w:val="3"/>
            <w:tcMar>
              <w:top w:w="30" w:type="dxa"/>
              <w:left w:w="87" w:type="dxa"/>
              <w:bottom w:w="30" w:type="dxa"/>
              <w:right w:w="20" w:type="dxa"/>
            </w:tcMar>
            <w:vAlign w:val="bottom"/>
            <w:hideMark/>
          </w:tcPr>
          <w:p w:rsidR="00000000" w:rsidRDefault="002A246B">
            <w:pPr>
              <w:spacing w:after="100"/>
              <w:rPr>
                <w:rFonts w:eastAsia="Times New Roman"/>
              </w:rPr>
            </w:pPr>
            <w:r>
              <w:rPr>
                <w:rFonts w:eastAsia="Times New Roman"/>
                <w:color w:val="000000"/>
                <w:sz w:val="14"/>
                <w:szCs w:val="14"/>
              </w:rPr>
              <w:t>Less recoveries on loans</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(149)</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(13)</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(168)</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(25)</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(355)</w:t>
            </w:r>
          </w:p>
        </w:tc>
      </w:tr>
      <w:tr w:rsidR="00000000">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4"/>
                <w:szCs w:val="14"/>
              </w:rPr>
              <w:t>Net loan charge-offs (recoveries)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(122)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(13)</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(168)</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23</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32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4"/>
                <w:szCs w:val="14"/>
              </w:rPr>
              <w:t>(248)</w:t>
            </w:r>
          </w:p>
        </w:tc>
      </w:tr>
      <w:tr w:rsidR="00000000">
        <w:tc>
          <w:tcPr>
            <w:tcW w:w="0" w:type="auto"/>
            <w:gridSpan w:val="3"/>
            <w:tcBorders>
              <w:top w:val="single" w:sz="6" w:space="0" w:color="000000"/>
              <w:bottom w:val="doub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4"/>
                <w:szCs w:val="14"/>
              </w:rPr>
              <w:t>Balance at end of period</w:t>
            </w: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4,676</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309</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532</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2,594</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9,904</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245</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101</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b/>
                <w:bCs/>
                <w:color w:val="000000"/>
                <w:sz w:val="14"/>
                <w:szCs w:val="14"/>
              </w:rPr>
              <w:t>18,361</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jc w:val="both"/>
        <w:divId w:val="1092437445"/>
        <w:rPr>
          <w:rFonts w:eastAsia="Times New Roman"/>
        </w:rPr>
      </w:pPr>
      <w:r>
        <w:rPr>
          <w:rFonts w:eastAsia="Times New Roman"/>
          <w:color w:val="000000"/>
          <w:sz w:val="20"/>
          <w:szCs w:val="20"/>
        </w:rPr>
        <w:t>Loans, or portions of loans, are charged off to the extent deemed uncollectible or a loss is confirmed. Loan charge-offs reduce the allowance for loan losses, and recoveries of loans previously charged off are added back to the allowance. If ma</w:t>
      </w:r>
      <w:r>
        <w:rPr>
          <w:rFonts w:eastAsia="Times New Roman"/>
          <w:color w:val="000000"/>
          <w:sz w:val="20"/>
          <w:szCs w:val="20"/>
        </w:rPr>
        <w:t>nagement determines that it is probable that all amounts due on a loan will not be collected under the original terms of the loan agreement, the loan is considered to be impaired. These loans are evaluated individually for impairment, and in conjunction wi</w:t>
      </w:r>
      <w:r>
        <w:rPr>
          <w:rFonts w:eastAsia="Times New Roman"/>
          <w:color w:val="000000"/>
          <w:sz w:val="20"/>
          <w:szCs w:val="20"/>
        </w:rPr>
        <w:t xml:space="preserve">th current economic conditions and loss experience, specific reserves are estimated as further discussed below. Loans not individually evaluated are aggregated by risk characteristics and reserves are recorded using a consistent methodology that considers </w:t>
      </w:r>
      <w:r>
        <w:rPr>
          <w:rFonts w:eastAsia="Times New Roman"/>
          <w:color w:val="000000"/>
          <w:sz w:val="20"/>
          <w:szCs w:val="20"/>
        </w:rPr>
        <w:t xml:space="preserve">historical loan loss experience by loan type, delinquencies, current economic conditions, loan risk ratings and industry concentration. </w:t>
      </w:r>
    </w:p>
    <w:p w:rsidR="00000000" w:rsidRDefault="002A246B">
      <w:pPr>
        <w:jc w:val="both"/>
        <w:divId w:val="959917680"/>
        <w:rPr>
          <w:rFonts w:eastAsia="Times New Roman"/>
        </w:rPr>
      </w:pPr>
      <w:r>
        <w:rPr>
          <w:rFonts w:eastAsia="Times New Roman"/>
          <w:color w:val="000000"/>
          <w:sz w:val="20"/>
          <w:szCs w:val="20"/>
        </w:rPr>
        <w:t xml:space="preserve">These historical loss rates for each risk group are used as the starting point to determine loss rates for measurement </w:t>
      </w:r>
      <w:r>
        <w:rPr>
          <w:rFonts w:eastAsia="Times New Roman"/>
          <w:color w:val="000000"/>
          <w:sz w:val="20"/>
          <w:szCs w:val="20"/>
        </w:rPr>
        <w:t xml:space="preserve">purposes. The historical loan loss rates are multiplied by loss emergence periods (LEP) which represent the estimated time period between a borrower first experiencing financial difficulty and the recognition of a loss. Management's look-back period began </w:t>
      </w:r>
      <w:r>
        <w:rPr>
          <w:rFonts w:eastAsia="Times New Roman"/>
          <w:color w:val="000000"/>
          <w:sz w:val="20"/>
          <w:szCs w:val="20"/>
        </w:rPr>
        <w:t>with loss history in the first quarter 2012 as the starting point through the current quarter and it will continue to include this starting point going forward. The look-back period will continue to be evaluated and will be adjusted once a sustained loss p</w:t>
      </w:r>
      <w:r>
        <w:rPr>
          <w:rFonts w:eastAsia="Times New Roman"/>
          <w:color w:val="000000"/>
          <w:sz w:val="20"/>
          <w:szCs w:val="20"/>
        </w:rPr>
        <w:t>roducing downturn is recognized and found to be representative of historical losses expected for the current portfolio.</w:t>
      </w:r>
    </w:p>
    <w:p w:rsidR="00000000" w:rsidRDefault="002A246B">
      <w:pPr>
        <w:jc w:val="both"/>
        <w:divId w:val="250940943"/>
        <w:rPr>
          <w:rFonts w:eastAsia="Times New Roman"/>
        </w:rPr>
      </w:pPr>
      <w:r>
        <w:rPr>
          <w:rFonts w:eastAsia="Times New Roman"/>
          <w:color w:val="000000"/>
          <w:sz w:val="20"/>
          <w:szCs w:val="20"/>
        </w:rPr>
        <w:t>The Company’s methodology includes qualitative risk factors that allow management to adjust its estimates of losses based on the most re</w:t>
      </w:r>
      <w:r>
        <w:rPr>
          <w:rFonts w:eastAsia="Times New Roman"/>
          <w:color w:val="000000"/>
          <w:sz w:val="20"/>
          <w:szCs w:val="20"/>
        </w:rPr>
        <w:t>cent information available and to address other limitations in the quantitative component that is based on historical loss rates. Such risk factors are generally reviewed and updated quarterly, as appropriate, and are adjusted to reflect changes in nationa</w:t>
      </w:r>
      <w:r>
        <w:rPr>
          <w:rFonts w:eastAsia="Times New Roman"/>
          <w:color w:val="000000"/>
          <w:sz w:val="20"/>
          <w:szCs w:val="20"/>
        </w:rPr>
        <w:t>l and local economic conditions and developments, the nature, volume and terms of loans in the portfolio, including changes in volume and severity of past due loans, the volume of non-accrual loans, and the volume and severity of adversely classified or gr</w:t>
      </w:r>
      <w:r>
        <w:rPr>
          <w:rFonts w:eastAsia="Times New Roman"/>
          <w:color w:val="000000"/>
          <w:sz w:val="20"/>
          <w:szCs w:val="20"/>
        </w:rPr>
        <w:t xml:space="preserve">aded loans, loan concentrations, assessment of trends in collateral values, assessment </w:t>
      </w:r>
    </w:p>
    <w:p w:rsidR="00000000" w:rsidRDefault="002A246B">
      <w:pPr>
        <w:jc w:val="center"/>
        <w:divId w:val="1903523827"/>
        <w:rPr>
          <w:rFonts w:eastAsia="Times New Roman"/>
        </w:rPr>
      </w:pPr>
      <w:r>
        <w:rPr>
          <w:rFonts w:eastAsia="Times New Roman"/>
          <w:color w:val="000000"/>
          <w:sz w:val="20"/>
          <w:szCs w:val="20"/>
        </w:rPr>
        <w:t>9</w:t>
      </w:r>
    </w:p>
    <w:p w:rsidR="00000000" w:rsidRDefault="002A246B">
      <w:pPr>
        <w:rPr>
          <w:rFonts w:eastAsia="Times New Roman"/>
        </w:rPr>
      </w:pPr>
      <w:r>
        <w:rPr>
          <w:rFonts w:eastAsia="Times New Roman"/>
        </w:rPr>
        <w:pict>
          <v:rect id="_x0000_i1033" style="width:0;height:1.5pt" o:hralign="center" o:hrstd="t" o:hr="t" fillcolor="#a0a0a0" stroked="f"/>
        </w:pict>
      </w:r>
    </w:p>
    <w:p w:rsidR="00000000" w:rsidRDefault="002A246B">
      <w:pPr>
        <w:jc w:val="center"/>
        <w:divId w:val="415831383"/>
        <w:rPr>
          <w:rFonts w:eastAsia="Times New Roman"/>
        </w:rPr>
      </w:pPr>
      <w:r>
        <w:rPr>
          <w:rFonts w:eastAsia="Times New Roman"/>
          <w:b/>
          <w:bCs/>
          <w:color w:val="000000"/>
          <w:sz w:val="20"/>
          <w:szCs w:val="20"/>
        </w:rPr>
        <w:t>HAWTHORN BANCSHARES, INC.</w:t>
      </w:r>
    </w:p>
    <w:p w:rsidR="00000000" w:rsidRDefault="002A246B">
      <w:pPr>
        <w:jc w:val="center"/>
        <w:divId w:val="415831383"/>
        <w:rPr>
          <w:rFonts w:eastAsia="Times New Roman"/>
        </w:rPr>
      </w:pPr>
      <w:r>
        <w:rPr>
          <w:rFonts w:eastAsia="Times New Roman"/>
          <w:b/>
          <w:bCs/>
          <w:color w:val="000000"/>
          <w:sz w:val="20"/>
          <w:szCs w:val="20"/>
        </w:rPr>
        <w:t>AND SUBSIDIARIES</w:t>
      </w:r>
    </w:p>
    <w:p w:rsidR="00000000" w:rsidRDefault="002A246B">
      <w:pPr>
        <w:jc w:val="center"/>
        <w:divId w:val="415831383"/>
        <w:rPr>
          <w:rFonts w:eastAsia="Times New Roman"/>
        </w:rPr>
      </w:pPr>
      <w:r>
        <w:rPr>
          <w:rFonts w:eastAsia="Times New Roman"/>
          <w:color w:val="000000"/>
          <w:sz w:val="18"/>
          <w:szCs w:val="18"/>
        </w:rPr>
        <w:t>Notes to the Consolidated Financial Statements</w:t>
      </w:r>
    </w:p>
    <w:p w:rsidR="00000000" w:rsidRDefault="002A246B">
      <w:pPr>
        <w:jc w:val="center"/>
        <w:divId w:val="415831383"/>
        <w:rPr>
          <w:rFonts w:eastAsia="Times New Roman"/>
        </w:rPr>
      </w:pPr>
      <w:r>
        <w:rPr>
          <w:rFonts w:eastAsia="Times New Roman"/>
          <w:i/>
          <w:iCs/>
          <w:color w:val="000000"/>
          <w:sz w:val="18"/>
          <w:szCs w:val="18"/>
        </w:rPr>
        <w:t>(Unaudited)</w:t>
      </w:r>
    </w:p>
    <w:p w:rsidR="00000000" w:rsidRDefault="002A246B">
      <w:pPr>
        <w:jc w:val="both"/>
        <w:divId w:val="802038605"/>
        <w:rPr>
          <w:rFonts w:eastAsia="Times New Roman"/>
        </w:rPr>
      </w:pPr>
      <w:r>
        <w:rPr>
          <w:rFonts w:eastAsia="Times New Roman"/>
          <w:color w:val="000000"/>
          <w:sz w:val="20"/>
          <w:szCs w:val="20"/>
        </w:rPr>
        <w:t>of changes in the quality of the Company’</w:t>
      </w:r>
      <w:r>
        <w:rPr>
          <w:rFonts w:eastAsia="Times New Roman"/>
          <w:color w:val="000000"/>
          <w:sz w:val="20"/>
          <w:szCs w:val="20"/>
        </w:rPr>
        <w:t>s internal loan review department, and changes in lending policies and procedures, including underwriting standards and collections, charge-off and recovery practices.</w:t>
      </w:r>
    </w:p>
    <w:p w:rsidR="00000000" w:rsidRDefault="002A246B">
      <w:pPr>
        <w:jc w:val="both"/>
        <w:divId w:val="1188173480"/>
        <w:rPr>
          <w:rFonts w:eastAsia="Times New Roman"/>
        </w:rPr>
      </w:pPr>
      <w:r>
        <w:rPr>
          <w:rFonts w:eastAsia="Times New Roman"/>
          <w:color w:val="000000"/>
          <w:sz w:val="20"/>
          <w:szCs w:val="20"/>
        </w:rPr>
        <w:t>The funding of $88.4 million and $47.5 million in SBA PPP loans during 2020 and 2021, re</w:t>
      </w:r>
      <w:r>
        <w:rPr>
          <w:rFonts w:eastAsia="Times New Roman"/>
          <w:color w:val="000000"/>
          <w:sz w:val="20"/>
          <w:szCs w:val="20"/>
        </w:rPr>
        <w:t>spectively, required management to assess the methodology that would be adopted in regard to the allowance for loan losses applicable to these loans. As the SBA PPP loans are expected to be mostly paid off within a year and carry a 100% credit guarantee fr</w:t>
      </w:r>
      <w:r>
        <w:rPr>
          <w:rFonts w:eastAsia="Times New Roman"/>
          <w:color w:val="000000"/>
          <w:sz w:val="20"/>
          <w:szCs w:val="20"/>
        </w:rPr>
        <w:t xml:space="preserve">om the SBA, management determined that no allowance for loan losses was deemed necessary for these loans. At March 31, 2022, the net balance of the PPP loans totaled $2.3 million. </w:t>
      </w:r>
    </w:p>
    <w:p w:rsidR="00000000" w:rsidRDefault="002A246B">
      <w:pPr>
        <w:jc w:val="both"/>
        <w:divId w:val="1002929100"/>
        <w:rPr>
          <w:rFonts w:eastAsia="Times New Roman"/>
        </w:rPr>
      </w:pPr>
      <w:r>
        <w:rPr>
          <w:rFonts w:eastAsia="Times New Roman"/>
          <w:color w:val="000000"/>
          <w:sz w:val="20"/>
          <w:szCs w:val="20"/>
        </w:rPr>
        <w:t xml:space="preserve">All SBA PPP loans have a 1% interest rate and the Company earns a fee that </w:t>
      </w:r>
      <w:r>
        <w:rPr>
          <w:rFonts w:eastAsia="Times New Roman"/>
          <w:color w:val="000000"/>
          <w:sz w:val="20"/>
          <w:szCs w:val="20"/>
        </w:rPr>
        <w:t>is based upon a tiered schedule corresponding with the amount of the loan to the borrower, which is deferred and recognized over the life of the loan. The PPP loan may be forgiven by the SBA if the borrower meets certain criteria as defined by the Coronavi</w:t>
      </w:r>
      <w:r>
        <w:rPr>
          <w:rFonts w:eastAsia="Times New Roman"/>
          <w:color w:val="000000"/>
          <w:sz w:val="20"/>
          <w:szCs w:val="20"/>
        </w:rPr>
        <w:t>rus Aid, Relief, and Economic Security (CARES) Act. The Company reports these loans at their principal amount outstanding, net of unearned income, unamortized deferred loan fee income and loan origination costs. Interest is accrued as earned and loan origi</w:t>
      </w:r>
      <w:r>
        <w:rPr>
          <w:rFonts w:eastAsia="Times New Roman"/>
          <w:color w:val="000000"/>
          <w:sz w:val="20"/>
          <w:szCs w:val="20"/>
        </w:rPr>
        <w:t>nation fees and direct costs are deferred and accreted or amortized into interest income, as an adjustment to the yield, over the life of the loan using the level yield method. When a PPP loan is paid off or forgiven by the SBA, the remaining unaccreted or</w:t>
      </w:r>
      <w:r>
        <w:rPr>
          <w:rFonts w:eastAsia="Times New Roman"/>
          <w:color w:val="000000"/>
          <w:sz w:val="20"/>
          <w:szCs w:val="20"/>
        </w:rPr>
        <w:t xml:space="preserve"> unamortized net origination fees or costs are immediately recognized into income.</w:t>
      </w:r>
    </w:p>
    <w:p w:rsidR="00000000" w:rsidRDefault="002A246B">
      <w:pPr>
        <w:jc w:val="both"/>
        <w:divId w:val="1866865897"/>
        <w:rPr>
          <w:rFonts w:eastAsia="Times New Roman"/>
        </w:rPr>
      </w:pPr>
      <w:r>
        <w:rPr>
          <w:rFonts w:eastAsia="Times New Roman"/>
          <w:color w:val="000000"/>
          <w:sz w:val="20"/>
          <w:szCs w:val="20"/>
        </w:rPr>
        <w:t xml:space="preserve">The following table illustrates the allowance for loan losses and recorded investment by portfolio segment: </w:t>
      </w:r>
    </w:p>
    <w:tbl>
      <w:tblPr>
        <w:tblW w:w="4924" w:type="pct"/>
        <w:tblCellMar>
          <w:top w:w="15" w:type="dxa"/>
          <w:left w:w="15" w:type="dxa"/>
          <w:bottom w:w="15" w:type="dxa"/>
          <w:right w:w="15" w:type="dxa"/>
        </w:tblCellMar>
        <w:tblLook w:val="04A0" w:firstRow="1" w:lastRow="0" w:firstColumn="1" w:lastColumn="0" w:noHBand="0" w:noVBand="1"/>
      </w:tblPr>
      <w:tblGrid>
        <w:gridCol w:w="40"/>
        <w:gridCol w:w="962"/>
        <w:gridCol w:w="39"/>
        <w:gridCol w:w="101"/>
        <w:gridCol w:w="721"/>
        <w:gridCol w:w="36"/>
        <w:gridCol w:w="36"/>
        <w:gridCol w:w="36"/>
        <w:gridCol w:w="36"/>
        <w:gridCol w:w="101"/>
        <w:gridCol w:w="734"/>
        <w:gridCol w:w="36"/>
        <w:gridCol w:w="36"/>
        <w:gridCol w:w="36"/>
        <w:gridCol w:w="36"/>
        <w:gridCol w:w="101"/>
        <w:gridCol w:w="734"/>
        <w:gridCol w:w="36"/>
        <w:gridCol w:w="36"/>
        <w:gridCol w:w="36"/>
        <w:gridCol w:w="36"/>
        <w:gridCol w:w="101"/>
        <w:gridCol w:w="612"/>
        <w:gridCol w:w="36"/>
        <w:gridCol w:w="36"/>
        <w:gridCol w:w="36"/>
        <w:gridCol w:w="36"/>
        <w:gridCol w:w="101"/>
        <w:gridCol w:w="682"/>
        <w:gridCol w:w="36"/>
        <w:gridCol w:w="36"/>
        <w:gridCol w:w="36"/>
        <w:gridCol w:w="36"/>
        <w:gridCol w:w="101"/>
        <w:gridCol w:w="644"/>
        <w:gridCol w:w="36"/>
        <w:gridCol w:w="36"/>
        <w:gridCol w:w="36"/>
        <w:gridCol w:w="36"/>
        <w:gridCol w:w="101"/>
        <w:gridCol w:w="481"/>
        <w:gridCol w:w="36"/>
        <w:gridCol w:w="36"/>
        <w:gridCol w:w="36"/>
        <w:gridCol w:w="36"/>
        <w:gridCol w:w="100"/>
        <w:gridCol w:w="680"/>
        <w:gridCol w:w="36"/>
      </w:tblGrid>
      <w:tr w:rsidR="00000000">
        <w:trPr>
          <w:divId w:val="519509240"/>
        </w:trPr>
        <w:tc>
          <w:tcPr>
            <w:tcW w:w="50" w:type="pct"/>
            <w:vAlign w:val="center"/>
            <w:hideMark/>
          </w:tcPr>
          <w:p w:rsidR="00000000" w:rsidRDefault="002A246B">
            <w:pPr>
              <w:jc w:val="both"/>
              <w:rPr>
                <w:rFonts w:eastAsia="Times New Roman"/>
              </w:rPr>
            </w:pPr>
          </w:p>
        </w:tc>
        <w:tc>
          <w:tcPr>
            <w:tcW w:w="113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2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3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3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4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83"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3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27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7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519509240"/>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4"/>
                <w:szCs w:val="14"/>
              </w:rPr>
              <w:t>(in thousands)</w:t>
            </w: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Commercial, Financial, and Agricultural</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Real Estate Construction - Residential</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Real Estate Construction - Commercial</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Real Estate Mortgage - Residential</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Real Estate Mortgage - Commercial</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Installment and Other Consumer</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Un- allocated</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Total</w:t>
            </w:r>
          </w:p>
        </w:tc>
      </w:tr>
      <w:tr w:rsidR="00000000">
        <w:trPr>
          <w:divId w:val="519509240"/>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March 31,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519509240"/>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Allowance for loan losses: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2A246B">
        <w:trPr>
          <w:divId w:val="519509240"/>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Individually evaluated for impairment</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206 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317 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519509240"/>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Collectively evaluated for impairment</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2,791</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60</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651</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2,372</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7,651</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255</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182</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13,962</w:t>
            </w:r>
          </w:p>
        </w:tc>
      </w:tr>
      <w:tr w:rsidR="002A246B">
        <w:trPr>
          <w:divId w:val="519509240"/>
        </w:trPr>
        <w:tc>
          <w:tcPr>
            <w:tcW w:w="0" w:type="auto"/>
            <w:gridSpan w:val="3"/>
            <w:tcBorders>
              <w:top w:val="single" w:sz="6" w:space="0" w:color="000000"/>
            </w:tcBorders>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2,830 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664 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2,578 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7,692 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273 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182 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14,279 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519509240"/>
        </w:trPr>
        <w:tc>
          <w:tcPr>
            <w:tcW w:w="0" w:type="auto"/>
            <w:gridSpan w:val="3"/>
            <w:tcBorders>
              <w:top w:val="doub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Loans outstanding:</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2A246B">
        <w:trPr>
          <w:divId w:val="51950924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Individually evaluated for impairment</w:t>
            </w: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319 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100 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2,428 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15,800 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140 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18,787 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519509240"/>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Collectively evaluated for impairment</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220,696</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21,515</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103,378</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285,451</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661,739</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22,357</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1,315,136</w:t>
            </w:r>
          </w:p>
        </w:tc>
      </w:tr>
      <w:tr w:rsidR="002A246B">
        <w:trPr>
          <w:divId w:val="519509240"/>
        </w:trPr>
        <w:tc>
          <w:tcPr>
            <w:tcW w:w="0" w:type="auto"/>
            <w:gridSpan w:val="3"/>
            <w:tcBorders>
              <w:top w:val="single" w:sz="6" w:space="0" w:color="000000"/>
            </w:tcBorders>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221,015 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21,515 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103,478 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287,879 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677,539 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22,497 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1,333,923 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519509240"/>
          <w:trHeight w:val="300"/>
        </w:trPr>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519509240"/>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December 31, 2021</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519509240"/>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Allowance for loan losses: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2A246B">
        <w:trPr>
          <w:divId w:val="519509240"/>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Individually evaluated for impairment</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166 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2,815 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3,044 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519509240"/>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Collectively evaluated for impairment</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2,675</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137</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575</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2,316</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7,847</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248</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61</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13,859</w:t>
            </w:r>
          </w:p>
        </w:tc>
      </w:tr>
      <w:tr w:rsidR="002A246B">
        <w:trPr>
          <w:divId w:val="519509240"/>
        </w:trPr>
        <w:tc>
          <w:tcPr>
            <w:tcW w:w="0" w:type="auto"/>
            <w:gridSpan w:val="3"/>
            <w:tcBorders>
              <w:top w:val="single" w:sz="6" w:space="0" w:color="000000"/>
            </w:tcBorders>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2,717 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588 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2,482 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10,662 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256 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16,903 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519509240"/>
        </w:trPr>
        <w:tc>
          <w:tcPr>
            <w:tcW w:w="0" w:type="auto"/>
            <w:gridSpan w:val="3"/>
            <w:tcBorders>
              <w:top w:val="doub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Loans outstanding:</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2A246B">
        <w:trPr>
          <w:divId w:val="51950924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Individually evaluated for impairment</w:t>
            </w: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341 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105 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2,391 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24,357 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27,254 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519509240"/>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Collectively evaluated for impairment</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216,873</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27,920</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91,264</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276,955</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638,899</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22,968</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1,274,879</w:t>
            </w:r>
          </w:p>
        </w:tc>
      </w:tr>
      <w:tr w:rsidR="002A246B">
        <w:trPr>
          <w:divId w:val="519509240"/>
        </w:trPr>
        <w:tc>
          <w:tcPr>
            <w:tcW w:w="0" w:type="auto"/>
            <w:gridSpan w:val="3"/>
            <w:tcBorders>
              <w:top w:val="single" w:sz="6" w:space="0" w:color="000000"/>
              <w:bottom w:val="double" w:sz="6" w:space="0" w:color="000000"/>
            </w:tcBorders>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217,214 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27,920 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91,369 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279,346 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663,256 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23,028 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1,302,133 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divId w:val="1855456872"/>
        <w:rPr>
          <w:rFonts w:eastAsia="Times New Roman"/>
        </w:rPr>
      </w:pPr>
    </w:p>
    <w:p w:rsidR="00000000" w:rsidRDefault="002A246B">
      <w:pPr>
        <w:divId w:val="1230464154"/>
        <w:rPr>
          <w:rFonts w:eastAsia="Times New Roman"/>
        </w:rPr>
      </w:pPr>
    </w:p>
    <w:p w:rsidR="00000000" w:rsidRDefault="002A246B">
      <w:pPr>
        <w:divId w:val="299381260"/>
        <w:rPr>
          <w:rFonts w:eastAsia="Times New Roman"/>
        </w:rPr>
      </w:pPr>
    </w:p>
    <w:p w:rsidR="00000000" w:rsidRDefault="002A246B">
      <w:pPr>
        <w:jc w:val="center"/>
        <w:divId w:val="508299997"/>
        <w:rPr>
          <w:rFonts w:eastAsia="Times New Roman"/>
        </w:rPr>
      </w:pPr>
      <w:r>
        <w:rPr>
          <w:rFonts w:eastAsia="Times New Roman"/>
          <w:color w:val="000000"/>
          <w:sz w:val="20"/>
          <w:szCs w:val="20"/>
        </w:rPr>
        <w:t>10</w:t>
      </w:r>
    </w:p>
    <w:p w:rsidR="00000000" w:rsidRDefault="002A246B">
      <w:pPr>
        <w:rPr>
          <w:rFonts w:eastAsia="Times New Roman"/>
        </w:rPr>
      </w:pPr>
      <w:r>
        <w:rPr>
          <w:rFonts w:eastAsia="Times New Roman"/>
        </w:rPr>
        <w:pict>
          <v:rect id="_x0000_i1034" style="width:0;height:1.5pt" o:hralign="center" o:hrstd="t" o:hr="t" fillcolor="#a0a0a0" stroked="f"/>
        </w:pict>
      </w:r>
    </w:p>
    <w:p w:rsidR="00000000" w:rsidRDefault="002A246B">
      <w:pPr>
        <w:jc w:val="center"/>
        <w:divId w:val="1645037152"/>
        <w:rPr>
          <w:rFonts w:eastAsia="Times New Roman"/>
        </w:rPr>
      </w:pPr>
      <w:r>
        <w:rPr>
          <w:rFonts w:eastAsia="Times New Roman"/>
          <w:b/>
          <w:bCs/>
          <w:color w:val="000000"/>
          <w:sz w:val="20"/>
          <w:szCs w:val="20"/>
        </w:rPr>
        <w:t>HAWTHORN BANCSHARES, INC.</w:t>
      </w:r>
    </w:p>
    <w:p w:rsidR="00000000" w:rsidRDefault="002A246B">
      <w:pPr>
        <w:jc w:val="center"/>
        <w:divId w:val="1645037152"/>
        <w:rPr>
          <w:rFonts w:eastAsia="Times New Roman"/>
        </w:rPr>
      </w:pPr>
      <w:r>
        <w:rPr>
          <w:rFonts w:eastAsia="Times New Roman"/>
          <w:b/>
          <w:bCs/>
          <w:color w:val="000000"/>
          <w:sz w:val="20"/>
          <w:szCs w:val="20"/>
        </w:rPr>
        <w:t>AND SUBSIDIARIES</w:t>
      </w:r>
    </w:p>
    <w:p w:rsidR="00000000" w:rsidRDefault="002A246B">
      <w:pPr>
        <w:jc w:val="center"/>
        <w:divId w:val="1645037152"/>
        <w:rPr>
          <w:rFonts w:eastAsia="Times New Roman"/>
        </w:rPr>
      </w:pPr>
      <w:r>
        <w:rPr>
          <w:rFonts w:eastAsia="Times New Roman"/>
          <w:color w:val="000000"/>
          <w:sz w:val="18"/>
          <w:szCs w:val="18"/>
        </w:rPr>
        <w:t>Notes to the Co</w:t>
      </w:r>
      <w:r>
        <w:rPr>
          <w:rFonts w:eastAsia="Times New Roman"/>
          <w:color w:val="000000"/>
          <w:sz w:val="18"/>
          <w:szCs w:val="18"/>
        </w:rPr>
        <w:t>nsolidated Financial Statements</w:t>
      </w:r>
    </w:p>
    <w:p w:rsidR="00000000" w:rsidRDefault="002A246B">
      <w:pPr>
        <w:jc w:val="center"/>
        <w:divId w:val="1645037152"/>
        <w:rPr>
          <w:rFonts w:eastAsia="Times New Roman"/>
        </w:rPr>
      </w:pPr>
      <w:r>
        <w:rPr>
          <w:rFonts w:eastAsia="Times New Roman"/>
          <w:i/>
          <w:iCs/>
          <w:color w:val="000000"/>
          <w:sz w:val="18"/>
          <w:szCs w:val="18"/>
        </w:rPr>
        <w:t>(Unaudited)</w:t>
      </w:r>
    </w:p>
    <w:p w:rsidR="00000000" w:rsidRDefault="002A246B">
      <w:pPr>
        <w:divId w:val="1766681824"/>
        <w:rPr>
          <w:rFonts w:eastAsia="Times New Roman"/>
        </w:rPr>
      </w:pPr>
    </w:p>
    <w:p w:rsidR="00000000" w:rsidRDefault="002A246B">
      <w:pPr>
        <w:divId w:val="31615438"/>
        <w:rPr>
          <w:rFonts w:eastAsia="Times New Roman"/>
        </w:rPr>
      </w:pPr>
    </w:p>
    <w:p w:rsidR="00000000" w:rsidRDefault="002A246B">
      <w:pPr>
        <w:divId w:val="465120697"/>
        <w:rPr>
          <w:rFonts w:eastAsia="Times New Roman"/>
        </w:rPr>
      </w:pPr>
      <w:r>
        <w:rPr>
          <w:rFonts w:eastAsia="Times New Roman"/>
          <w:i/>
          <w:iCs/>
          <w:color w:val="000000"/>
          <w:sz w:val="20"/>
          <w:szCs w:val="20"/>
        </w:rPr>
        <w:t>Impaired Loans</w:t>
      </w:r>
    </w:p>
    <w:p w:rsidR="00000000" w:rsidRDefault="002A246B">
      <w:pPr>
        <w:jc w:val="both"/>
        <w:divId w:val="703335342"/>
        <w:rPr>
          <w:rFonts w:eastAsia="Times New Roman"/>
        </w:rPr>
      </w:pPr>
      <w:r>
        <w:rPr>
          <w:rFonts w:eastAsia="Times New Roman"/>
          <w:color w:val="000000"/>
          <w:sz w:val="20"/>
          <w:szCs w:val="20"/>
        </w:rPr>
        <w:t>Loans evaluated under Accounting Standards Codification (ASC) 310-10-35 include loans which are individually evaluated for impairment. All other loans are collectively evaluated for impairment under ASC 450-20. Impaired loans individually evaluated for imp</w:t>
      </w:r>
      <w:r>
        <w:rPr>
          <w:rFonts w:eastAsia="Times New Roman"/>
          <w:color w:val="000000"/>
          <w:sz w:val="20"/>
          <w:szCs w:val="20"/>
        </w:rPr>
        <w:t>airment totaled $18.8 million and $27.3 million at March 31, 2022 and December 31, 2021, respectively, and are comprised of loans on non-accrual status and loans which have been classified as troubled debt restructurings (TDRs).</w:t>
      </w:r>
    </w:p>
    <w:p w:rsidR="00000000" w:rsidRDefault="002A246B">
      <w:pPr>
        <w:jc w:val="both"/>
        <w:divId w:val="790247271"/>
        <w:rPr>
          <w:rFonts w:eastAsia="Times New Roman"/>
        </w:rPr>
      </w:pPr>
      <w:r>
        <w:rPr>
          <w:rFonts w:eastAsia="Times New Roman"/>
          <w:color w:val="000000"/>
          <w:sz w:val="20"/>
          <w:szCs w:val="20"/>
        </w:rPr>
        <w:t>The net carrying value of i</w:t>
      </w:r>
      <w:r>
        <w:rPr>
          <w:rFonts w:eastAsia="Times New Roman"/>
          <w:color w:val="000000"/>
          <w:sz w:val="20"/>
          <w:szCs w:val="20"/>
        </w:rPr>
        <w:t xml:space="preserve">mpaired loans is based on the fair values of collateral obtained through independent appraisals or internal evaluations, or by discounting the total expected future cash flows. At March 31, 2022, $15.4 million of impaired loans were evaluated based on the </w:t>
      </w:r>
      <w:r>
        <w:rPr>
          <w:rFonts w:eastAsia="Times New Roman"/>
          <w:color w:val="000000"/>
          <w:sz w:val="20"/>
          <w:szCs w:val="20"/>
        </w:rPr>
        <w:t>fair value less estimated selling costs of the loans' collateral compared to $24.2 million at December 31, 2021. Once the impairment amount is calculated, a specific reserve allocation is recorded. At March 31, 2022, $0.3 million of the Company’s allowance</w:t>
      </w:r>
      <w:r>
        <w:rPr>
          <w:rFonts w:eastAsia="Times New Roman"/>
          <w:color w:val="000000"/>
          <w:sz w:val="20"/>
          <w:szCs w:val="20"/>
        </w:rPr>
        <w:t xml:space="preserve"> for loan losses was allocated to impaired loans totaling $18.8 million compared to $3.0 million of the Company’s allowance for loan losses allocated to impaired loans totaling $27.3 million at December 31, 2021. Management determined that $16.1, or 86%, o</w:t>
      </w:r>
      <w:r>
        <w:rPr>
          <w:rFonts w:eastAsia="Times New Roman"/>
          <w:color w:val="000000"/>
          <w:sz w:val="20"/>
          <w:szCs w:val="20"/>
        </w:rPr>
        <w:t>f total impaired loans required no reserve allocation at March 31, 2022 compared to $16.6 million, or 61%, at December 31, 2021, primarily due to adequate collateral values</w:t>
      </w:r>
      <w:r>
        <w:rPr>
          <w:rFonts w:eastAsia="Times New Roman"/>
          <w:color w:val="1F497D"/>
          <w:sz w:val="20"/>
          <w:szCs w:val="20"/>
        </w:rPr>
        <w:t>,</w:t>
      </w:r>
      <w:r>
        <w:rPr>
          <w:rFonts w:eastAsia="Times New Roman"/>
          <w:color w:val="000000"/>
          <w:sz w:val="20"/>
          <w:szCs w:val="20"/>
        </w:rPr>
        <w:t xml:space="preserve"> acceptable payment history and adequate cash flow ability.</w:t>
      </w:r>
    </w:p>
    <w:p w:rsidR="00000000" w:rsidRDefault="002A246B">
      <w:pPr>
        <w:jc w:val="both"/>
        <w:divId w:val="287127597"/>
        <w:rPr>
          <w:rFonts w:eastAsia="Times New Roman"/>
        </w:rPr>
      </w:pPr>
      <w:r>
        <w:rPr>
          <w:rFonts w:eastAsia="Times New Roman"/>
          <w:color w:val="000000"/>
          <w:sz w:val="20"/>
          <w:szCs w:val="20"/>
        </w:rPr>
        <w:t>The categories of impai</w:t>
      </w:r>
      <w:r>
        <w:rPr>
          <w:rFonts w:eastAsia="Times New Roman"/>
          <w:color w:val="000000"/>
          <w:sz w:val="20"/>
          <w:szCs w:val="20"/>
        </w:rPr>
        <w:t>red loans at March 31, 2022 and December 31, 2021 are as follows:</w:t>
      </w:r>
    </w:p>
    <w:tbl>
      <w:tblPr>
        <w:tblW w:w="4992" w:type="pct"/>
        <w:tblCellMar>
          <w:top w:w="15" w:type="dxa"/>
          <w:left w:w="15" w:type="dxa"/>
          <w:bottom w:w="15" w:type="dxa"/>
          <w:right w:w="15" w:type="dxa"/>
        </w:tblCellMar>
        <w:tblLook w:val="04A0" w:firstRow="1" w:lastRow="0" w:firstColumn="1" w:lastColumn="0" w:noHBand="0" w:noVBand="1"/>
      </w:tblPr>
      <w:tblGrid>
        <w:gridCol w:w="38"/>
        <w:gridCol w:w="6050"/>
        <w:gridCol w:w="37"/>
        <w:gridCol w:w="120"/>
        <w:gridCol w:w="799"/>
        <w:gridCol w:w="36"/>
        <w:gridCol w:w="36"/>
        <w:gridCol w:w="36"/>
        <w:gridCol w:w="36"/>
        <w:gridCol w:w="120"/>
        <w:gridCol w:w="949"/>
        <w:gridCol w:w="36"/>
      </w:tblGrid>
      <w:tr w:rsidR="00000000">
        <w:trPr>
          <w:divId w:val="579293866"/>
        </w:trPr>
        <w:tc>
          <w:tcPr>
            <w:tcW w:w="50" w:type="pct"/>
            <w:vAlign w:val="center"/>
            <w:hideMark/>
          </w:tcPr>
          <w:p w:rsidR="00000000" w:rsidRDefault="002A246B">
            <w:pPr>
              <w:jc w:val="both"/>
              <w:rPr>
                <w:rFonts w:eastAsia="Times New Roman"/>
              </w:rPr>
            </w:pPr>
          </w:p>
        </w:tc>
        <w:tc>
          <w:tcPr>
            <w:tcW w:w="368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1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579293866"/>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December 31, 2021</w:t>
            </w:r>
          </w:p>
        </w:tc>
      </w:tr>
      <w:tr w:rsidR="00000000">
        <w:trPr>
          <w:divId w:val="57929386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Non-accrual loans</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17,096 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25,459 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579293866"/>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Performing TDRs</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1,691</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1,795</w:t>
            </w:r>
          </w:p>
        </w:tc>
      </w:tr>
      <w:tr w:rsidR="00000000">
        <w:trPr>
          <w:divId w:val="579293866"/>
        </w:trPr>
        <w:tc>
          <w:tcPr>
            <w:tcW w:w="0" w:type="auto"/>
            <w:gridSpan w:val="3"/>
            <w:tcBorders>
              <w:top w:val="single" w:sz="6" w:space="0" w:color="000000"/>
              <w:bottom w:val="double" w:sz="6" w:space="0" w:color="000000"/>
            </w:tcBorders>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 impaired loans</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18,787 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27,254 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jc w:val="both"/>
        <w:divId w:val="1543399328"/>
        <w:rPr>
          <w:rFonts w:eastAsia="Times New Roman"/>
        </w:rPr>
      </w:pPr>
      <w:r>
        <w:rPr>
          <w:rFonts w:eastAsia="Times New Roman"/>
          <w:color w:val="000000"/>
          <w:sz w:val="20"/>
          <w:szCs w:val="20"/>
        </w:rPr>
        <w:t>The following tables provide additional information about impaired loans at March 31, 2022 and December </w:t>
      </w:r>
      <w:r>
        <w:rPr>
          <w:rFonts w:eastAsia="Times New Roman"/>
          <w:color w:val="000000"/>
          <w:sz w:val="20"/>
          <w:szCs w:val="20"/>
        </w:rPr>
        <w:t>31, 2021, respectively, segregated between loans for which an allowance has been provided and loans for which no allowance has been provided.</w:t>
      </w:r>
      <w:r>
        <w:rPr>
          <w:rFonts w:eastAsia="Times New Roman"/>
          <w:color w:val="FF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1"/>
        <w:gridCol w:w="4810"/>
        <w:gridCol w:w="40"/>
        <w:gridCol w:w="121"/>
        <w:gridCol w:w="935"/>
        <w:gridCol w:w="36"/>
        <w:gridCol w:w="36"/>
        <w:gridCol w:w="36"/>
        <w:gridCol w:w="36"/>
        <w:gridCol w:w="120"/>
        <w:gridCol w:w="935"/>
        <w:gridCol w:w="36"/>
        <w:gridCol w:w="36"/>
        <w:gridCol w:w="36"/>
        <w:gridCol w:w="36"/>
        <w:gridCol w:w="121"/>
        <w:gridCol w:w="859"/>
        <w:gridCol w:w="36"/>
      </w:tblGrid>
      <w:tr w:rsidR="00000000">
        <w:trPr>
          <w:divId w:val="1842892004"/>
        </w:trPr>
        <w:tc>
          <w:tcPr>
            <w:tcW w:w="50" w:type="pct"/>
            <w:vAlign w:val="center"/>
            <w:hideMark/>
          </w:tcPr>
          <w:p w:rsidR="00000000" w:rsidRDefault="002A246B">
            <w:pPr>
              <w:jc w:val="both"/>
              <w:rPr>
                <w:rFonts w:eastAsia="Times New Roman"/>
              </w:rPr>
            </w:pPr>
          </w:p>
        </w:tc>
        <w:tc>
          <w:tcPr>
            <w:tcW w:w="2952"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5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842892004"/>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Recorded Investment</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Unpaid Principal Balance</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Specific Reserves</w:t>
            </w:r>
          </w:p>
        </w:tc>
      </w:tr>
      <w:tr w:rsidR="00000000">
        <w:trPr>
          <w:divId w:val="1842892004"/>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March 31,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842892004"/>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With no related allowance recorded:</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r>
      <w:tr w:rsidR="00000000">
        <w:trPr>
          <w:divId w:val="1842892004"/>
        </w:trPr>
        <w:tc>
          <w:tcPr>
            <w:tcW w:w="0" w:type="auto"/>
            <w:gridSpan w:val="3"/>
            <w:vAlign w:val="center"/>
            <w:hideMark/>
          </w:tcPr>
          <w:p w:rsidR="00000000" w:rsidRDefault="002A246B">
            <w:pPr>
              <w:spacing w:after="100"/>
              <w:jc w:val="right"/>
              <w:rPr>
                <w:rFonts w:eastAsia="Times New Roman"/>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842892004"/>
        </w:trPr>
        <w:tc>
          <w:tcPr>
            <w:tcW w:w="0" w:type="auto"/>
            <w:gridSpan w:val="3"/>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754 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754 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842892004"/>
        </w:trPr>
        <w:tc>
          <w:tcPr>
            <w:tcW w:w="0" w:type="auto"/>
            <w:gridSpan w:val="3"/>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15,364</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16,045</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1842892004"/>
        </w:trPr>
        <w:tc>
          <w:tcPr>
            <w:tcW w:w="0" w:type="auto"/>
            <w:gridSpan w:val="3"/>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Installment and other consumer</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842892004"/>
        </w:trPr>
        <w:tc>
          <w:tcPr>
            <w:tcW w:w="0" w:type="auto"/>
            <w:gridSpan w:val="3"/>
            <w:tcBorders>
              <w:top w:val="single" w:sz="8" w:space="0" w:color="000000"/>
            </w:tcBorders>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16,118 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16,803 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84289200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With an allowance recorded: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r>
      <w:tr w:rsidR="00000000">
        <w:trPr>
          <w:divId w:val="1842892004"/>
        </w:trPr>
        <w:tc>
          <w:tcPr>
            <w:tcW w:w="0" w:type="auto"/>
            <w:gridSpan w:val="3"/>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Commercial, financial and agricultural</w:t>
            </w: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319 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357 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842892004"/>
        </w:trPr>
        <w:tc>
          <w:tcPr>
            <w:tcW w:w="0" w:type="auto"/>
            <w:gridSpan w:val="3"/>
            <w:vAlign w:val="center"/>
            <w:hideMark/>
          </w:tcPr>
          <w:p w:rsidR="00000000" w:rsidRDefault="002A246B">
            <w:pPr>
              <w:spacing w:after="100"/>
              <w:jc w:val="right"/>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842892004"/>
        </w:trPr>
        <w:tc>
          <w:tcPr>
            <w:tcW w:w="0" w:type="auto"/>
            <w:gridSpan w:val="3"/>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100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135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13</w:t>
            </w:r>
          </w:p>
        </w:tc>
      </w:tr>
      <w:tr w:rsidR="00000000">
        <w:trPr>
          <w:divId w:val="1842892004"/>
        </w:trPr>
        <w:tc>
          <w:tcPr>
            <w:tcW w:w="0" w:type="auto"/>
            <w:gridSpan w:val="3"/>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1,674</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2,152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206</w:t>
            </w:r>
          </w:p>
        </w:tc>
      </w:tr>
      <w:tr w:rsidR="00000000">
        <w:trPr>
          <w:divId w:val="1842892004"/>
        </w:trPr>
        <w:tc>
          <w:tcPr>
            <w:tcW w:w="0" w:type="auto"/>
            <w:gridSpan w:val="3"/>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436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516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41</w:t>
            </w:r>
          </w:p>
        </w:tc>
      </w:tr>
      <w:tr w:rsidR="00000000">
        <w:trPr>
          <w:divId w:val="1842892004"/>
        </w:trPr>
        <w:tc>
          <w:tcPr>
            <w:tcW w:w="0" w:type="auto"/>
            <w:gridSpan w:val="3"/>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Installment and other consumer</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140</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140</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18</w:t>
            </w:r>
          </w:p>
        </w:tc>
      </w:tr>
      <w:tr w:rsidR="00000000">
        <w:trPr>
          <w:divId w:val="1842892004"/>
        </w:trPr>
        <w:tc>
          <w:tcPr>
            <w:tcW w:w="0" w:type="auto"/>
            <w:gridSpan w:val="3"/>
            <w:tcBorders>
              <w:top w:val="single" w:sz="8" w:space="0" w:color="000000"/>
            </w:tcBorders>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2,669 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842892004"/>
        </w:trPr>
        <w:tc>
          <w:tcPr>
            <w:tcW w:w="0" w:type="auto"/>
            <w:gridSpan w:val="3"/>
            <w:tcBorders>
              <w:top w:val="single" w:sz="8" w:space="0" w:color="000000"/>
              <w:bottom w:val="double" w:sz="6" w:space="0" w:color="000000"/>
            </w:tcBorders>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 impaired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18,787 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20,103 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jc w:val="center"/>
        <w:divId w:val="1668364913"/>
        <w:rPr>
          <w:rFonts w:eastAsia="Times New Roman"/>
        </w:rPr>
      </w:pPr>
      <w:r>
        <w:rPr>
          <w:rFonts w:eastAsia="Times New Roman"/>
          <w:color w:val="000000"/>
          <w:sz w:val="20"/>
          <w:szCs w:val="20"/>
        </w:rPr>
        <w:t>11</w:t>
      </w:r>
    </w:p>
    <w:p w:rsidR="00000000" w:rsidRDefault="002A246B">
      <w:pPr>
        <w:rPr>
          <w:rFonts w:eastAsia="Times New Roman"/>
        </w:rPr>
      </w:pPr>
      <w:r>
        <w:rPr>
          <w:rFonts w:eastAsia="Times New Roman"/>
        </w:rPr>
        <w:pict>
          <v:rect id="_x0000_i1035" style="width:0;height:1.5pt" o:hralign="center" o:hrstd="t" o:hr="t" fillcolor="#a0a0a0" stroked="f"/>
        </w:pict>
      </w:r>
    </w:p>
    <w:p w:rsidR="00000000" w:rsidRDefault="002A246B">
      <w:pPr>
        <w:jc w:val="center"/>
        <w:divId w:val="1753546966"/>
        <w:rPr>
          <w:rFonts w:eastAsia="Times New Roman"/>
        </w:rPr>
      </w:pPr>
      <w:r>
        <w:rPr>
          <w:rFonts w:eastAsia="Times New Roman"/>
          <w:b/>
          <w:bCs/>
          <w:color w:val="000000"/>
          <w:sz w:val="20"/>
          <w:szCs w:val="20"/>
        </w:rPr>
        <w:t>HAWTHORN BANCSHARES, INC.</w:t>
      </w:r>
    </w:p>
    <w:p w:rsidR="00000000" w:rsidRDefault="002A246B">
      <w:pPr>
        <w:jc w:val="center"/>
        <w:divId w:val="1753546966"/>
        <w:rPr>
          <w:rFonts w:eastAsia="Times New Roman"/>
        </w:rPr>
      </w:pPr>
      <w:r>
        <w:rPr>
          <w:rFonts w:eastAsia="Times New Roman"/>
          <w:b/>
          <w:bCs/>
          <w:color w:val="000000"/>
          <w:sz w:val="20"/>
          <w:szCs w:val="20"/>
        </w:rPr>
        <w:t>AND SUBSIDIARIES</w:t>
      </w:r>
    </w:p>
    <w:p w:rsidR="00000000" w:rsidRDefault="002A246B">
      <w:pPr>
        <w:jc w:val="center"/>
        <w:divId w:val="1753546966"/>
        <w:rPr>
          <w:rFonts w:eastAsia="Times New Roman"/>
        </w:rPr>
      </w:pPr>
      <w:r>
        <w:rPr>
          <w:rFonts w:eastAsia="Times New Roman"/>
          <w:color w:val="000000"/>
          <w:sz w:val="18"/>
          <w:szCs w:val="18"/>
        </w:rPr>
        <w:t>Notes to the Consolidated Financial Statements</w:t>
      </w:r>
    </w:p>
    <w:p w:rsidR="00000000" w:rsidRDefault="002A246B">
      <w:pPr>
        <w:jc w:val="center"/>
        <w:divId w:val="1753546966"/>
        <w:rPr>
          <w:rFonts w:eastAsia="Times New Roman"/>
        </w:rPr>
      </w:pPr>
      <w:r>
        <w:rPr>
          <w:rFonts w:eastAsia="Times New Roman"/>
          <w:i/>
          <w:iCs/>
          <w:color w:val="000000"/>
          <w:sz w:val="18"/>
          <w:szCs w:val="18"/>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4861"/>
        <w:gridCol w:w="40"/>
        <w:gridCol w:w="121"/>
        <w:gridCol w:w="935"/>
        <w:gridCol w:w="36"/>
        <w:gridCol w:w="36"/>
        <w:gridCol w:w="36"/>
        <w:gridCol w:w="36"/>
        <w:gridCol w:w="120"/>
        <w:gridCol w:w="935"/>
        <w:gridCol w:w="36"/>
        <w:gridCol w:w="36"/>
        <w:gridCol w:w="36"/>
        <w:gridCol w:w="36"/>
        <w:gridCol w:w="120"/>
        <w:gridCol w:w="809"/>
        <w:gridCol w:w="36"/>
      </w:tblGrid>
      <w:tr w:rsidR="00000000">
        <w:trPr>
          <w:divId w:val="535243677"/>
        </w:trPr>
        <w:tc>
          <w:tcPr>
            <w:tcW w:w="50" w:type="pct"/>
            <w:vAlign w:val="center"/>
            <w:hideMark/>
          </w:tcPr>
          <w:p w:rsidR="00000000" w:rsidRDefault="002A246B">
            <w:pPr>
              <w:jc w:val="center"/>
              <w:rPr>
                <w:rFonts w:eastAsia="Times New Roman"/>
              </w:rPr>
            </w:pPr>
          </w:p>
        </w:tc>
        <w:tc>
          <w:tcPr>
            <w:tcW w:w="2982"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535243677"/>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Recorded Investment</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Unpaid Principal Balance</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Specific Reserves</w:t>
            </w:r>
          </w:p>
        </w:tc>
      </w:tr>
      <w:tr w:rsidR="00000000">
        <w:trPr>
          <w:divId w:val="535243677"/>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December 31, 2021</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b/>
                <w:bCs/>
                <w:color w:val="000000"/>
                <w:sz w:val="20"/>
                <w:szCs w:val="20"/>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b/>
                <w:bCs/>
                <w:color w:val="000000"/>
                <w:sz w:val="20"/>
                <w:szCs w:val="20"/>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r>
      <w:tr w:rsidR="00000000">
        <w:trPr>
          <w:divId w:val="535243677"/>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With no related allowance recorded:</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r>
      <w:tr w:rsidR="00000000">
        <w:trPr>
          <w:divId w:val="535243677"/>
        </w:trPr>
        <w:tc>
          <w:tcPr>
            <w:tcW w:w="0" w:type="auto"/>
            <w:gridSpan w:val="3"/>
            <w:vAlign w:val="center"/>
            <w:hideMark/>
          </w:tcPr>
          <w:p w:rsidR="00000000" w:rsidRDefault="002A246B">
            <w:pPr>
              <w:spacing w:after="100"/>
              <w:jc w:val="right"/>
              <w:rPr>
                <w:rFonts w:eastAsia="Times New Roman"/>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535243677"/>
        </w:trPr>
        <w:tc>
          <w:tcPr>
            <w:tcW w:w="0" w:type="auto"/>
            <w:gridSpan w:val="3"/>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1,034 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1,152 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535243677"/>
        </w:trPr>
        <w:tc>
          <w:tcPr>
            <w:tcW w:w="0" w:type="auto"/>
            <w:gridSpan w:val="3"/>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15,593</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16,057</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535243677"/>
        </w:trPr>
        <w:tc>
          <w:tcPr>
            <w:tcW w:w="0" w:type="auto"/>
            <w:gridSpan w:val="3"/>
            <w:tcBorders>
              <w:top w:val="single" w:sz="8" w:space="0" w:color="000000"/>
            </w:tcBorders>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16,627 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17,209 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535243677"/>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With an allowance recorded:</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535243677"/>
        </w:trPr>
        <w:tc>
          <w:tcPr>
            <w:tcW w:w="0" w:type="auto"/>
            <w:gridSpan w:val="3"/>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Commercial, financial and agricultural</w:t>
            </w: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341 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374 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535243677"/>
        </w:trPr>
        <w:tc>
          <w:tcPr>
            <w:tcW w:w="0" w:type="auto"/>
            <w:gridSpan w:val="3"/>
            <w:vAlign w:val="center"/>
            <w:hideMark/>
          </w:tcPr>
          <w:p w:rsidR="00000000" w:rsidRDefault="002A246B">
            <w:pPr>
              <w:spacing w:after="100"/>
              <w:jc w:val="right"/>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535243677"/>
        </w:trPr>
        <w:tc>
          <w:tcPr>
            <w:tcW w:w="0" w:type="auto"/>
            <w:gridSpan w:val="3"/>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105</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138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13</w:t>
            </w:r>
          </w:p>
        </w:tc>
      </w:tr>
      <w:tr w:rsidR="00000000">
        <w:trPr>
          <w:divId w:val="535243677"/>
        </w:trPr>
        <w:tc>
          <w:tcPr>
            <w:tcW w:w="0" w:type="auto"/>
            <w:gridSpan w:val="3"/>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1,357</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1,730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166</w:t>
            </w:r>
          </w:p>
        </w:tc>
      </w:tr>
      <w:tr w:rsidR="00000000">
        <w:trPr>
          <w:divId w:val="535243677"/>
        </w:trPr>
        <w:tc>
          <w:tcPr>
            <w:tcW w:w="0" w:type="auto"/>
            <w:gridSpan w:val="3"/>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8,764</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9,142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2,815</w:t>
            </w:r>
          </w:p>
        </w:tc>
      </w:tr>
      <w:tr w:rsidR="00000000">
        <w:trPr>
          <w:divId w:val="535243677"/>
        </w:trPr>
        <w:tc>
          <w:tcPr>
            <w:tcW w:w="0" w:type="auto"/>
            <w:gridSpan w:val="3"/>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Installment and other consumer</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60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61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8</w:t>
            </w:r>
          </w:p>
        </w:tc>
      </w:tr>
      <w:tr w:rsidR="00000000">
        <w:trPr>
          <w:divId w:val="535243677"/>
        </w:trPr>
        <w:tc>
          <w:tcPr>
            <w:tcW w:w="0" w:type="auto"/>
            <w:gridSpan w:val="3"/>
            <w:tcBorders>
              <w:top w:val="single" w:sz="8" w:space="0" w:color="000000"/>
            </w:tcBorders>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10,627 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11,445 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3,044 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535243677"/>
        </w:trPr>
        <w:tc>
          <w:tcPr>
            <w:tcW w:w="0" w:type="auto"/>
            <w:gridSpan w:val="3"/>
            <w:tcBorders>
              <w:top w:val="single" w:sz="8" w:space="0" w:color="000000"/>
              <w:bottom w:val="double" w:sz="6" w:space="0" w:color="000000"/>
            </w:tcBorders>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 impaired loans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27,254 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28,654 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3,044 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jc w:val="both"/>
        <w:divId w:val="967050378"/>
        <w:rPr>
          <w:rFonts w:eastAsia="Times New Roman"/>
        </w:rPr>
      </w:pPr>
      <w:r>
        <w:rPr>
          <w:rFonts w:eastAsia="Times New Roman"/>
          <w:color w:val="000000"/>
          <w:sz w:val="20"/>
          <w:szCs w:val="20"/>
        </w:rPr>
        <w:t>The following table presents by class, information related to the average recorded investment and interest income recognized on impaired loans during the periods indica</w:t>
      </w:r>
      <w:r>
        <w:rPr>
          <w:rFonts w:eastAsia="Times New Roman"/>
          <w:color w:val="000000"/>
          <w:sz w:val="20"/>
          <w:szCs w:val="20"/>
        </w:rPr>
        <w:t xml:space="preserve">ted. </w:t>
      </w:r>
    </w:p>
    <w:tbl>
      <w:tblPr>
        <w:tblW w:w="5000" w:type="pct"/>
        <w:tblCellMar>
          <w:top w:w="15" w:type="dxa"/>
          <w:left w:w="15" w:type="dxa"/>
          <w:bottom w:w="15" w:type="dxa"/>
          <w:right w:w="15" w:type="dxa"/>
        </w:tblCellMar>
        <w:tblLook w:val="04A0" w:firstRow="1" w:lastRow="0" w:firstColumn="1" w:lastColumn="0" w:noHBand="0" w:noVBand="1"/>
      </w:tblPr>
      <w:tblGrid>
        <w:gridCol w:w="38"/>
        <w:gridCol w:w="4243"/>
        <w:gridCol w:w="37"/>
        <w:gridCol w:w="36"/>
        <w:gridCol w:w="46"/>
        <w:gridCol w:w="36"/>
        <w:gridCol w:w="46"/>
        <w:gridCol w:w="108"/>
        <w:gridCol w:w="106"/>
        <w:gridCol w:w="106"/>
        <w:gridCol w:w="36"/>
        <w:gridCol w:w="36"/>
        <w:gridCol w:w="36"/>
        <w:gridCol w:w="101"/>
        <w:gridCol w:w="629"/>
        <w:gridCol w:w="37"/>
        <w:gridCol w:w="36"/>
        <w:gridCol w:w="36"/>
        <w:gridCol w:w="36"/>
        <w:gridCol w:w="101"/>
        <w:gridCol w:w="639"/>
        <w:gridCol w:w="36"/>
        <w:gridCol w:w="36"/>
        <w:gridCol w:w="36"/>
        <w:gridCol w:w="36"/>
        <w:gridCol w:w="101"/>
        <w:gridCol w:w="617"/>
        <w:gridCol w:w="36"/>
        <w:gridCol w:w="36"/>
        <w:gridCol w:w="36"/>
        <w:gridCol w:w="36"/>
        <w:gridCol w:w="101"/>
        <w:gridCol w:w="638"/>
        <w:gridCol w:w="36"/>
      </w:tblGrid>
      <w:tr w:rsidR="00000000">
        <w:trPr>
          <w:divId w:val="811556824"/>
        </w:trPr>
        <w:tc>
          <w:tcPr>
            <w:tcW w:w="50" w:type="pct"/>
            <w:vAlign w:val="center"/>
            <w:hideMark/>
          </w:tcPr>
          <w:p w:rsidR="00000000" w:rsidRDefault="002A246B">
            <w:pPr>
              <w:jc w:val="both"/>
              <w:rPr>
                <w:rFonts w:eastAsia="Times New Roman"/>
              </w:rPr>
            </w:pPr>
          </w:p>
        </w:tc>
        <w:tc>
          <w:tcPr>
            <w:tcW w:w="296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2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0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6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9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811556824"/>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11"/>
            <w:tcBorders>
              <w:bottom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Three Months Ended March 31,</w:t>
            </w: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811556824"/>
        </w:trPr>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9"/>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2021</w:t>
            </w: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811556824"/>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4"/>
                <w:szCs w:val="14"/>
              </w:rPr>
              <w:t>(in thousands)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Average Recorded Investment</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Interest Recognized For the Period Ended</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Average Recorded Investment</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Interest Recognized For the Period Ended</w:t>
            </w:r>
          </w:p>
        </w:tc>
      </w:tr>
      <w:tr w:rsidR="00000000">
        <w:trPr>
          <w:divId w:val="81155682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With no related allowance recorded:</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811556824"/>
        </w:trPr>
        <w:tc>
          <w:tcPr>
            <w:tcW w:w="0" w:type="auto"/>
            <w:gridSpan w:val="3"/>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Commercial, financial and agricultural</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1,742 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8 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11556824"/>
        </w:trPr>
        <w:tc>
          <w:tcPr>
            <w:tcW w:w="0" w:type="auto"/>
            <w:gridSpan w:val="3"/>
            <w:vAlign w:val="center"/>
            <w:hideMark/>
          </w:tcPr>
          <w:p w:rsidR="00000000" w:rsidRDefault="002A246B">
            <w:pPr>
              <w:spacing w:after="100"/>
              <w:jc w:val="right"/>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811556824"/>
        </w:trPr>
        <w:tc>
          <w:tcPr>
            <w:tcW w:w="0" w:type="auto"/>
            <w:gridSpan w:val="3"/>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 xml:space="preserve">Real estate mortgage </w:t>
            </w:r>
            <w:r>
              <w:rPr>
                <w:rFonts w:eastAsia="Times New Roman"/>
                <w:color w:val="000000"/>
                <w:sz w:val="16"/>
                <w:szCs w:val="16"/>
              </w:rPr>
              <w:t>−</w:t>
            </w:r>
            <w:r>
              <w:rPr>
                <w:rFonts w:eastAsia="Times New Roman"/>
                <w:color w:val="000000"/>
                <w:sz w:val="16"/>
                <w:szCs w:val="16"/>
              </w:rPr>
              <w:t xml:space="preserve"> residential</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759</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9</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1,424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9</w:t>
            </w:r>
          </w:p>
        </w:tc>
      </w:tr>
      <w:tr w:rsidR="00000000">
        <w:trPr>
          <w:divId w:val="811556824"/>
        </w:trPr>
        <w:tc>
          <w:tcPr>
            <w:tcW w:w="0" w:type="auto"/>
            <w:gridSpan w:val="3"/>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 xml:space="preserve">Real estate mortgage </w:t>
            </w:r>
            <w:r>
              <w:rPr>
                <w:rFonts w:eastAsia="Times New Roman"/>
                <w:color w:val="000000"/>
                <w:sz w:val="16"/>
                <w:szCs w:val="16"/>
              </w:rPr>
              <w:t>−</w:t>
            </w:r>
            <w:r>
              <w:rPr>
                <w:rFonts w:eastAsia="Times New Roman"/>
                <w:color w:val="000000"/>
                <w:sz w:val="16"/>
                <w:szCs w:val="16"/>
              </w:rPr>
              <w:t xml:space="preserve"> commercial</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21,256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9,457</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811556824"/>
        </w:trPr>
        <w:tc>
          <w:tcPr>
            <w:tcW w:w="0" w:type="auto"/>
            <w:gridSpan w:val="3"/>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Installment and other consumer</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811556824"/>
        </w:trPr>
        <w:tc>
          <w:tcPr>
            <w:tcW w:w="0" w:type="auto"/>
            <w:gridSpan w:val="3"/>
            <w:tcBorders>
              <w:top w:val="single" w:sz="6" w:space="0" w:color="000000"/>
            </w:tcBorders>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22,017 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9 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12,623 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17 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11556824"/>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With an allowance recorded:</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811556824"/>
        </w:trPr>
        <w:tc>
          <w:tcPr>
            <w:tcW w:w="0" w:type="auto"/>
            <w:gridSpan w:val="3"/>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Commercial, financial and agricultural</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323 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5,696 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11556824"/>
        </w:trPr>
        <w:tc>
          <w:tcPr>
            <w:tcW w:w="0" w:type="auto"/>
            <w:gridSpan w:val="3"/>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 xml:space="preserve">Real estate construction </w:t>
            </w:r>
            <w:r>
              <w:rPr>
                <w:rFonts w:eastAsia="Times New Roman"/>
                <w:color w:val="000000"/>
                <w:sz w:val="16"/>
                <w:szCs w:val="16"/>
              </w:rPr>
              <w:t>−</w:t>
            </w:r>
            <w:r>
              <w:rPr>
                <w:rFonts w:eastAsia="Times New Roman"/>
                <w:color w:val="000000"/>
                <w:sz w:val="16"/>
                <w:szCs w:val="16"/>
              </w:rPr>
              <w:t xml:space="preserve"> residential</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190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811556824"/>
        </w:trPr>
        <w:tc>
          <w:tcPr>
            <w:tcW w:w="0" w:type="auto"/>
            <w:gridSpan w:val="3"/>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 xml:space="preserve">Real estate construction </w:t>
            </w:r>
            <w:r>
              <w:rPr>
                <w:rFonts w:eastAsia="Times New Roman"/>
                <w:color w:val="000000"/>
                <w:sz w:val="16"/>
                <w:szCs w:val="16"/>
              </w:rPr>
              <w:t>−</w:t>
            </w:r>
            <w:r>
              <w:rPr>
                <w:rFonts w:eastAsia="Times New Roman"/>
                <w:color w:val="000000"/>
                <w:sz w:val="16"/>
                <w:szCs w:val="16"/>
              </w:rPr>
              <w:t xml:space="preserve"> commercial</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101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199</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811556824"/>
        </w:trPr>
        <w:tc>
          <w:tcPr>
            <w:tcW w:w="0" w:type="auto"/>
            <w:gridSpan w:val="3"/>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 xml:space="preserve">Real estate mortgage </w:t>
            </w:r>
            <w:r>
              <w:rPr>
                <w:rFonts w:eastAsia="Times New Roman"/>
                <w:color w:val="000000"/>
                <w:sz w:val="16"/>
                <w:szCs w:val="16"/>
              </w:rPr>
              <w:t>−</w:t>
            </w:r>
            <w:r>
              <w:rPr>
                <w:rFonts w:eastAsia="Times New Roman"/>
                <w:color w:val="000000"/>
                <w:sz w:val="16"/>
                <w:szCs w:val="16"/>
              </w:rPr>
              <w:t xml:space="preserve"> residential</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1,659</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1,958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w:t>
            </w:r>
          </w:p>
        </w:tc>
      </w:tr>
      <w:tr w:rsidR="00000000">
        <w:trPr>
          <w:divId w:val="811556824"/>
        </w:trPr>
        <w:tc>
          <w:tcPr>
            <w:tcW w:w="0" w:type="auto"/>
            <w:gridSpan w:val="3"/>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 xml:space="preserve">Real estate mortgage </w:t>
            </w:r>
            <w:r>
              <w:rPr>
                <w:rFonts w:eastAsia="Times New Roman"/>
                <w:color w:val="000000"/>
                <w:sz w:val="16"/>
                <w:szCs w:val="16"/>
              </w:rPr>
              <w:t>−</w:t>
            </w:r>
            <w:r>
              <w:rPr>
                <w:rFonts w:eastAsia="Times New Roman"/>
                <w:color w:val="000000"/>
                <w:sz w:val="16"/>
                <w:szCs w:val="16"/>
              </w:rPr>
              <w:t xml:space="preserve"> commercial</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440</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16,195</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w:t>
            </w:r>
          </w:p>
        </w:tc>
      </w:tr>
      <w:tr w:rsidR="00000000">
        <w:trPr>
          <w:divId w:val="811556824"/>
        </w:trPr>
        <w:tc>
          <w:tcPr>
            <w:tcW w:w="0" w:type="auto"/>
            <w:gridSpan w:val="3"/>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Installment and other consumer</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96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85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3</w:t>
            </w:r>
          </w:p>
        </w:tc>
      </w:tr>
      <w:tr w:rsidR="00000000">
        <w:trPr>
          <w:divId w:val="811556824"/>
        </w:trPr>
        <w:tc>
          <w:tcPr>
            <w:tcW w:w="0" w:type="auto"/>
            <w:gridSpan w:val="3"/>
            <w:tcBorders>
              <w:top w:val="single" w:sz="6" w:space="0" w:color="000000"/>
            </w:tcBorders>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2,619 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17 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24,323 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23 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11556824"/>
        </w:trPr>
        <w:tc>
          <w:tcPr>
            <w:tcW w:w="0" w:type="auto"/>
            <w:gridSpan w:val="3"/>
            <w:tcBorders>
              <w:top w:val="single" w:sz="6" w:space="0" w:color="000000"/>
              <w:bottom w:val="double" w:sz="6" w:space="0" w:color="000000"/>
            </w:tcBorders>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 impaired loans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24,636 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26 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36,946 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40 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jc w:val="both"/>
        <w:divId w:val="186259762"/>
        <w:rPr>
          <w:rFonts w:eastAsia="Times New Roman"/>
        </w:rPr>
      </w:pPr>
      <w:r>
        <w:rPr>
          <w:rFonts w:eastAsia="Times New Roman"/>
          <w:color w:val="000000"/>
          <w:sz w:val="20"/>
          <w:szCs w:val="20"/>
        </w:rPr>
        <w:t>The recorded investment varies from the unpaid principal balance primarily due to partial charge</w:t>
      </w:r>
      <w:r>
        <w:rPr>
          <w:rFonts w:eastAsia="Times New Roman"/>
          <w:color w:val="000000"/>
          <w:sz w:val="20"/>
          <w:szCs w:val="20"/>
        </w:rPr>
        <w:t>-offs taken resulting from current appraisals received. The amount recognized as interest income on impaired loans continuing to accrue interest, primarily related to TDRs, was $26,000 for the three months ended March 31, 2022 compared to $40,000 for the t</w:t>
      </w:r>
      <w:r>
        <w:rPr>
          <w:rFonts w:eastAsia="Times New Roman"/>
          <w:color w:val="000000"/>
          <w:sz w:val="20"/>
          <w:szCs w:val="20"/>
        </w:rPr>
        <w:t>hree months ended March 31, 2021. The average recorded investment in impaired loans is calculated on a monthly basis during the periods reported.</w:t>
      </w:r>
    </w:p>
    <w:p w:rsidR="00000000" w:rsidRDefault="002A246B">
      <w:pPr>
        <w:divId w:val="415709359"/>
        <w:rPr>
          <w:rFonts w:eastAsia="Times New Roman"/>
        </w:rPr>
      </w:pPr>
    </w:p>
    <w:p w:rsidR="00000000" w:rsidRDefault="002A246B">
      <w:pPr>
        <w:divId w:val="671488315"/>
        <w:rPr>
          <w:rFonts w:eastAsia="Times New Roman"/>
        </w:rPr>
      </w:pPr>
    </w:p>
    <w:p w:rsidR="00000000" w:rsidRDefault="002A246B">
      <w:pPr>
        <w:divId w:val="2106026647"/>
        <w:rPr>
          <w:rFonts w:eastAsia="Times New Roman"/>
        </w:rPr>
      </w:pPr>
    </w:p>
    <w:p w:rsidR="00000000" w:rsidRDefault="002A246B">
      <w:pPr>
        <w:jc w:val="center"/>
        <w:divId w:val="1420176072"/>
        <w:rPr>
          <w:rFonts w:eastAsia="Times New Roman"/>
        </w:rPr>
      </w:pPr>
      <w:r>
        <w:rPr>
          <w:rFonts w:eastAsia="Times New Roman"/>
          <w:color w:val="000000"/>
          <w:sz w:val="20"/>
          <w:szCs w:val="20"/>
        </w:rPr>
        <w:t>12</w:t>
      </w:r>
    </w:p>
    <w:p w:rsidR="00000000" w:rsidRDefault="002A246B">
      <w:pPr>
        <w:rPr>
          <w:rFonts w:eastAsia="Times New Roman"/>
        </w:rPr>
      </w:pPr>
      <w:r>
        <w:rPr>
          <w:rFonts w:eastAsia="Times New Roman"/>
        </w:rPr>
        <w:pict>
          <v:rect id="_x0000_i1036" style="width:0;height:1.5pt" o:hralign="center" o:hrstd="t" o:hr="t" fillcolor="#a0a0a0" stroked="f"/>
        </w:pict>
      </w:r>
    </w:p>
    <w:p w:rsidR="00000000" w:rsidRDefault="002A246B">
      <w:pPr>
        <w:jc w:val="center"/>
        <w:divId w:val="1387215452"/>
        <w:rPr>
          <w:rFonts w:eastAsia="Times New Roman"/>
        </w:rPr>
      </w:pPr>
      <w:r>
        <w:rPr>
          <w:rFonts w:eastAsia="Times New Roman"/>
          <w:b/>
          <w:bCs/>
          <w:color w:val="000000"/>
          <w:sz w:val="20"/>
          <w:szCs w:val="20"/>
        </w:rPr>
        <w:t>HAWTHORN BANCSHARES, INC.</w:t>
      </w:r>
    </w:p>
    <w:p w:rsidR="00000000" w:rsidRDefault="002A246B">
      <w:pPr>
        <w:jc w:val="center"/>
        <w:divId w:val="1387215452"/>
        <w:rPr>
          <w:rFonts w:eastAsia="Times New Roman"/>
        </w:rPr>
      </w:pPr>
      <w:r>
        <w:rPr>
          <w:rFonts w:eastAsia="Times New Roman"/>
          <w:b/>
          <w:bCs/>
          <w:color w:val="000000"/>
          <w:sz w:val="20"/>
          <w:szCs w:val="20"/>
        </w:rPr>
        <w:t>AND SUBSIDIARIES</w:t>
      </w:r>
    </w:p>
    <w:p w:rsidR="00000000" w:rsidRDefault="002A246B">
      <w:pPr>
        <w:jc w:val="center"/>
        <w:divId w:val="1387215452"/>
        <w:rPr>
          <w:rFonts w:eastAsia="Times New Roman"/>
        </w:rPr>
      </w:pPr>
      <w:r>
        <w:rPr>
          <w:rFonts w:eastAsia="Times New Roman"/>
          <w:color w:val="000000"/>
          <w:sz w:val="18"/>
          <w:szCs w:val="18"/>
        </w:rPr>
        <w:t>Notes to the Consolidated Financial Statements</w:t>
      </w:r>
    </w:p>
    <w:p w:rsidR="00000000" w:rsidRDefault="002A246B">
      <w:pPr>
        <w:jc w:val="center"/>
        <w:divId w:val="1387215452"/>
        <w:rPr>
          <w:rFonts w:eastAsia="Times New Roman"/>
        </w:rPr>
      </w:pPr>
      <w:r>
        <w:rPr>
          <w:rFonts w:eastAsia="Times New Roman"/>
          <w:i/>
          <w:iCs/>
          <w:color w:val="000000"/>
          <w:sz w:val="18"/>
          <w:szCs w:val="18"/>
        </w:rPr>
        <w:t>(Unaudited)</w:t>
      </w:r>
    </w:p>
    <w:p w:rsidR="00000000" w:rsidRDefault="002A246B">
      <w:pPr>
        <w:divId w:val="1641570479"/>
        <w:rPr>
          <w:rFonts w:eastAsia="Times New Roman"/>
        </w:rPr>
      </w:pPr>
      <w:r>
        <w:rPr>
          <w:rFonts w:eastAsia="Times New Roman"/>
          <w:i/>
          <w:iCs/>
          <w:color w:val="000000"/>
          <w:sz w:val="20"/>
          <w:szCs w:val="20"/>
        </w:rPr>
        <w:t>Delinquent and Non-Accrual Loans</w:t>
      </w:r>
    </w:p>
    <w:p w:rsidR="00000000" w:rsidRDefault="002A246B">
      <w:pPr>
        <w:jc w:val="both"/>
        <w:divId w:val="848837057"/>
        <w:rPr>
          <w:rFonts w:eastAsia="Times New Roman"/>
        </w:rPr>
      </w:pPr>
      <w:r>
        <w:rPr>
          <w:rFonts w:eastAsia="Times New Roman"/>
          <w:color w:val="000000"/>
          <w:sz w:val="20"/>
          <w:szCs w:val="20"/>
        </w:rPr>
        <w:t>The delinquency status of loans is determined based on the contractual terms of the notes. Loans are generally classified as delinquent once payments become 30 days</w:t>
      </w:r>
      <w:r>
        <w:rPr>
          <w:rFonts w:eastAsia="Times New Roman"/>
          <w:color w:val="000000"/>
          <w:sz w:val="20"/>
          <w:szCs w:val="20"/>
        </w:rPr>
        <w:t xml:space="preserve"> or more past due. The Company’s policy is to discontinue the accrual of interest income on any loan when, in the opinion of management, the ultimate collectability of interest or principal is no longer probable. In general, loans are placed on non-accrual</w:t>
      </w:r>
      <w:r>
        <w:rPr>
          <w:rFonts w:eastAsia="Times New Roman"/>
          <w:color w:val="000000"/>
          <w:sz w:val="20"/>
          <w:szCs w:val="20"/>
        </w:rPr>
        <w:t xml:space="preserve"> when they become 90 days or more past due. However, management considers many factors before placing a loan on non-accrual, including the delinquency status of the loan, the overall financial condition of the borrower, the progress of management’s collect</w:t>
      </w:r>
      <w:r>
        <w:rPr>
          <w:rFonts w:eastAsia="Times New Roman"/>
          <w:color w:val="000000"/>
          <w:sz w:val="20"/>
          <w:szCs w:val="20"/>
        </w:rPr>
        <w:t>ion efforts and the value of the underlying collateral. Subsequent interest payments received on non-accrual loans are applied to principal if any doubt exists as to the collectability of such principal; otherwise, such receipts are recorded as interest in</w:t>
      </w:r>
      <w:r>
        <w:rPr>
          <w:rFonts w:eastAsia="Times New Roman"/>
          <w:color w:val="000000"/>
          <w:sz w:val="20"/>
          <w:szCs w:val="20"/>
        </w:rPr>
        <w:t xml:space="preserve">come on a cash basis. Non-accrual loans are returned to accrual status when, in the opinion of management, the financial condition of the borrower indicates that the timely collectability of interest and principal is probable and the borrower demonstrates </w:t>
      </w:r>
      <w:r>
        <w:rPr>
          <w:rFonts w:eastAsia="Times New Roman"/>
          <w:color w:val="000000"/>
          <w:sz w:val="20"/>
          <w:szCs w:val="20"/>
        </w:rPr>
        <w:t>the ability to pay under the terms of the note through a sustained period of repayment performance, which is generally six months.</w:t>
      </w:r>
    </w:p>
    <w:p w:rsidR="00000000" w:rsidRDefault="002A246B">
      <w:pPr>
        <w:jc w:val="both"/>
        <w:divId w:val="1063480105"/>
        <w:rPr>
          <w:rFonts w:eastAsia="Times New Roman"/>
        </w:rPr>
      </w:pPr>
      <w:r>
        <w:rPr>
          <w:rFonts w:eastAsia="Times New Roman"/>
          <w:color w:val="000000"/>
          <w:sz w:val="20"/>
          <w:szCs w:val="20"/>
        </w:rPr>
        <w:t>The following table provides aging information for the Company’s past due and non-accrual loans at March 31, 2022 and Decembe</w:t>
      </w:r>
      <w:r>
        <w:rPr>
          <w:rFonts w:eastAsia="Times New Roman"/>
          <w:color w:val="000000"/>
          <w:sz w:val="20"/>
          <w:szCs w:val="20"/>
        </w:rPr>
        <w:t>r 31, 2021.</w:t>
      </w:r>
    </w:p>
    <w:tbl>
      <w:tblPr>
        <w:tblW w:w="5000" w:type="pct"/>
        <w:tblCellMar>
          <w:top w:w="15" w:type="dxa"/>
          <w:left w:w="15" w:type="dxa"/>
          <w:bottom w:w="15" w:type="dxa"/>
          <w:right w:w="15" w:type="dxa"/>
        </w:tblCellMar>
        <w:tblLook w:val="04A0" w:firstRow="1" w:lastRow="0" w:firstColumn="1" w:lastColumn="0" w:noHBand="0" w:noVBand="1"/>
      </w:tblPr>
      <w:tblGrid>
        <w:gridCol w:w="38"/>
        <w:gridCol w:w="3072"/>
        <w:gridCol w:w="37"/>
        <w:gridCol w:w="120"/>
        <w:gridCol w:w="901"/>
        <w:gridCol w:w="36"/>
        <w:gridCol w:w="36"/>
        <w:gridCol w:w="36"/>
        <w:gridCol w:w="36"/>
        <w:gridCol w:w="120"/>
        <w:gridCol w:w="793"/>
        <w:gridCol w:w="36"/>
        <w:gridCol w:w="36"/>
        <w:gridCol w:w="36"/>
        <w:gridCol w:w="36"/>
        <w:gridCol w:w="121"/>
        <w:gridCol w:w="633"/>
        <w:gridCol w:w="36"/>
        <w:gridCol w:w="36"/>
        <w:gridCol w:w="36"/>
        <w:gridCol w:w="36"/>
        <w:gridCol w:w="120"/>
        <w:gridCol w:w="759"/>
        <w:gridCol w:w="36"/>
        <w:gridCol w:w="36"/>
        <w:gridCol w:w="36"/>
        <w:gridCol w:w="36"/>
        <w:gridCol w:w="120"/>
        <w:gridCol w:w="860"/>
        <w:gridCol w:w="36"/>
      </w:tblGrid>
      <w:tr w:rsidR="00000000">
        <w:trPr>
          <w:divId w:val="235672676"/>
        </w:trPr>
        <w:tc>
          <w:tcPr>
            <w:tcW w:w="50" w:type="pct"/>
            <w:vAlign w:val="center"/>
            <w:hideMark/>
          </w:tcPr>
          <w:p w:rsidR="00000000" w:rsidRDefault="002A246B">
            <w:pPr>
              <w:jc w:val="both"/>
              <w:rPr>
                <w:rFonts w:eastAsia="Times New Roman"/>
              </w:rPr>
            </w:pPr>
          </w:p>
        </w:tc>
        <w:tc>
          <w:tcPr>
            <w:tcW w:w="188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73"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3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3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13"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7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235672676"/>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Current or Less Than 30 Days Past Due</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30 - 89 Days Past Due</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90 Days Past Due And Still Accruing</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Non-Accrual</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Total</w:t>
            </w:r>
          </w:p>
        </w:tc>
      </w:tr>
      <w:tr w:rsidR="00000000">
        <w:trPr>
          <w:divId w:val="23567267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March 31,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235672676"/>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Commercial, Financial, and Agricultural</w:t>
            </w: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220,703 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176 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136 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221,015 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235672676"/>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residential</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21,513 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21,515 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235672676"/>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commercial</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103,339 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103,478 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235672676"/>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286,007 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614 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1,258 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287,879 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235672676"/>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662,062 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15,477 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677,539 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235672676"/>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Installment and Other Consumer</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22,273 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96 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22,497 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235672676"/>
        </w:trPr>
        <w:tc>
          <w:tcPr>
            <w:tcW w:w="0" w:type="auto"/>
            <w:gridSpan w:val="3"/>
            <w:tcBorders>
              <w:top w:val="single" w:sz="6" w:space="0" w:color="000000"/>
            </w:tcBorders>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w:t>
            </w: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1,315,897 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927 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17,096 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1,333,923 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235672676"/>
          <w:trHeight w:val="28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235672676"/>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December 31, 2021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235672676"/>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Commercial, Financial, and Agricultural</w:t>
            </w: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217,058 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217,214 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235672676"/>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residential</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27,920</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27,920</w:t>
            </w:r>
          </w:p>
        </w:tc>
      </w:tr>
      <w:tr w:rsidR="00000000">
        <w:trPr>
          <w:divId w:val="235672676"/>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91,264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105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91,369</w:t>
            </w:r>
          </w:p>
        </w:tc>
      </w:tr>
      <w:tr w:rsidR="00000000">
        <w:trPr>
          <w:divId w:val="235672676"/>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277,532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671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14</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1,129</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279,346</w:t>
            </w:r>
          </w:p>
        </w:tc>
      </w:tr>
      <w:tr w:rsidR="00000000">
        <w:trPr>
          <w:divId w:val="235672676"/>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638,982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245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24,029</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663,256</w:t>
            </w:r>
          </w:p>
        </w:tc>
      </w:tr>
      <w:tr w:rsidR="00000000">
        <w:trPr>
          <w:divId w:val="235672676"/>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Installment and Other Consumer</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22,848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137</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43</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23,028</w:t>
            </w:r>
          </w:p>
        </w:tc>
      </w:tr>
      <w:tr w:rsidR="00000000">
        <w:trPr>
          <w:divId w:val="235672676"/>
        </w:trPr>
        <w:tc>
          <w:tcPr>
            <w:tcW w:w="0" w:type="auto"/>
            <w:gridSpan w:val="3"/>
            <w:tcBorders>
              <w:top w:val="single" w:sz="6" w:space="0" w:color="000000"/>
              <w:bottom w:val="double" w:sz="6" w:space="0" w:color="000000"/>
            </w:tcBorders>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1,275,604 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1,056 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25,459 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1,302,133 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divId w:val="1301811965"/>
        <w:rPr>
          <w:rFonts w:eastAsia="Times New Roman"/>
        </w:rPr>
      </w:pPr>
      <w:r>
        <w:rPr>
          <w:rFonts w:eastAsia="Times New Roman"/>
          <w:i/>
          <w:iCs/>
          <w:color w:val="000000"/>
          <w:sz w:val="20"/>
          <w:szCs w:val="20"/>
        </w:rPr>
        <w:t>Credit Quality</w:t>
      </w:r>
    </w:p>
    <w:p w:rsidR="00000000" w:rsidRDefault="002A246B">
      <w:pPr>
        <w:jc w:val="both"/>
        <w:divId w:val="262886377"/>
        <w:rPr>
          <w:rFonts w:eastAsia="Times New Roman"/>
        </w:rPr>
      </w:pPr>
      <w:r>
        <w:rPr>
          <w:rFonts w:eastAsia="Times New Roman"/>
          <w:color w:val="000000"/>
          <w:sz w:val="20"/>
          <w:szCs w:val="20"/>
        </w:rPr>
        <w:t xml:space="preserve">The Company categorizes loans into risk categories based upon an internal rating system reflecting management’s risk assessment. Loans are placed on </w:t>
      </w:r>
      <w:r>
        <w:rPr>
          <w:rFonts w:eastAsia="Times New Roman"/>
          <w:i/>
          <w:iCs/>
          <w:color w:val="000000"/>
          <w:sz w:val="20"/>
          <w:szCs w:val="20"/>
        </w:rPr>
        <w:t>watch</w:t>
      </w:r>
      <w:r>
        <w:rPr>
          <w:rFonts w:eastAsia="Times New Roman"/>
          <w:color w:val="000000"/>
          <w:sz w:val="20"/>
          <w:szCs w:val="20"/>
        </w:rPr>
        <w:t xml:space="preserve"> status when one or more weaknesses are identified that may result in the borrower being unable to mee</w:t>
      </w:r>
      <w:r>
        <w:rPr>
          <w:rFonts w:eastAsia="Times New Roman"/>
          <w:color w:val="000000"/>
          <w:sz w:val="20"/>
          <w:szCs w:val="20"/>
        </w:rPr>
        <w:t xml:space="preserve">t repayment terms or the Company’s credit position could deteriorate at some future date. Loans classified as </w:t>
      </w:r>
      <w:r>
        <w:rPr>
          <w:rFonts w:eastAsia="Times New Roman"/>
          <w:i/>
          <w:iCs/>
          <w:color w:val="000000"/>
          <w:sz w:val="20"/>
          <w:szCs w:val="20"/>
        </w:rPr>
        <w:t>substandard</w:t>
      </w:r>
      <w:r>
        <w:rPr>
          <w:rFonts w:eastAsia="Times New Roman"/>
          <w:color w:val="000000"/>
          <w:sz w:val="20"/>
          <w:szCs w:val="20"/>
        </w:rPr>
        <w:t xml:space="preserve"> are inadequately protected by the current sound worth and paying capacity of the obligor or by the collateral pledged, if any. Loans s</w:t>
      </w:r>
      <w:r>
        <w:rPr>
          <w:rFonts w:eastAsia="Times New Roman"/>
          <w:color w:val="000000"/>
          <w:sz w:val="20"/>
          <w:szCs w:val="20"/>
        </w:rPr>
        <w:t>o classified may have a well-defined weakness or weaknesses that jeopardize the repayment of the debt. Such loans are characterized by the distinct possibility that the Company may sustain some loss if the deficiencies are not corrected. A loan is classifi</w:t>
      </w:r>
      <w:r>
        <w:rPr>
          <w:rFonts w:eastAsia="Times New Roman"/>
          <w:color w:val="000000"/>
          <w:sz w:val="20"/>
          <w:szCs w:val="20"/>
        </w:rPr>
        <w:t>ed as a TDR when a borrower is experiencing financial difficulties that lead to the restructuring of a loan, and the Company grants concessions to the borrower in the restructuring that it would not otherwise consider. Loans classified as TDRs that are acc</w:t>
      </w:r>
      <w:r>
        <w:rPr>
          <w:rFonts w:eastAsia="Times New Roman"/>
          <w:color w:val="000000"/>
          <w:sz w:val="20"/>
          <w:szCs w:val="20"/>
        </w:rPr>
        <w:t>ruing interest are classified as performing TDRs. Loans classified as TDRs that are not accruing interest are classified as non-performing TDRs and are included with all other non-accrual loans for presentation purposes. It is the Company’s policy to disco</w:t>
      </w:r>
      <w:r>
        <w:rPr>
          <w:rFonts w:eastAsia="Times New Roman"/>
          <w:color w:val="000000"/>
          <w:sz w:val="20"/>
          <w:szCs w:val="20"/>
        </w:rPr>
        <w:t>ntinue the accrual of interest income on loans when management believes that the collection of interest or principal is doubtful.</w:t>
      </w:r>
    </w:p>
    <w:p w:rsidR="00000000" w:rsidRDefault="002A246B">
      <w:pPr>
        <w:jc w:val="center"/>
        <w:divId w:val="836581325"/>
        <w:rPr>
          <w:rFonts w:eastAsia="Times New Roman"/>
        </w:rPr>
      </w:pPr>
      <w:r>
        <w:rPr>
          <w:rFonts w:eastAsia="Times New Roman"/>
          <w:color w:val="000000"/>
          <w:sz w:val="20"/>
          <w:szCs w:val="20"/>
        </w:rPr>
        <w:t>13</w:t>
      </w:r>
    </w:p>
    <w:p w:rsidR="00000000" w:rsidRDefault="002A246B">
      <w:pPr>
        <w:rPr>
          <w:rFonts w:eastAsia="Times New Roman"/>
        </w:rPr>
      </w:pPr>
      <w:r>
        <w:rPr>
          <w:rFonts w:eastAsia="Times New Roman"/>
        </w:rPr>
        <w:pict>
          <v:rect id="_x0000_i1037" style="width:0;height:1.5pt" o:hralign="center" o:hrstd="t" o:hr="t" fillcolor="#a0a0a0" stroked="f"/>
        </w:pict>
      </w:r>
    </w:p>
    <w:p w:rsidR="00000000" w:rsidRDefault="002A246B">
      <w:pPr>
        <w:jc w:val="center"/>
        <w:divId w:val="474760496"/>
        <w:rPr>
          <w:rFonts w:eastAsia="Times New Roman"/>
        </w:rPr>
      </w:pPr>
      <w:r>
        <w:rPr>
          <w:rFonts w:eastAsia="Times New Roman"/>
          <w:b/>
          <w:bCs/>
          <w:color w:val="000000"/>
          <w:sz w:val="20"/>
          <w:szCs w:val="20"/>
        </w:rPr>
        <w:t>HAWTHORN BANCSHARES, INC.</w:t>
      </w:r>
    </w:p>
    <w:p w:rsidR="00000000" w:rsidRDefault="002A246B">
      <w:pPr>
        <w:jc w:val="center"/>
        <w:divId w:val="474760496"/>
        <w:rPr>
          <w:rFonts w:eastAsia="Times New Roman"/>
        </w:rPr>
      </w:pPr>
      <w:r>
        <w:rPr>
          <w:rFonts w:eastAsia="Times New Roman"/>
          <w:b/>
          <w:bCs/>
          <w:color w:val="000000"/>
          <w:sz w:val="20"/>
          <w:szCs w:val="20"/>
        </w:rPr>
        <w:t>AND SUBSIDIARIES</w:t>
      </w:r>
    </w:p>
    <w:p w:rsidR="00000000" w:rsidRDefault="002A246B">
      <w:pPr>
        <w:jc w:val="center"/>
        <w:divId w:val="474760496"/>
        <w:rPr>
          <w:rFonts w:eastAsia="Times New Roman"/>
        </w:rPr>
      </w:pPr>
      <w:r>
        <w:rPr>
          <w:rFonts w:eastAsia="Times New Roman"/>
          <w:color w:val="000000"/>
          <w:sz w:val="18"/>
          <w:szCs w:val="18"/>
        </w:rPr>
        <w:t>Notes to the Consolidated Financial Stateme</w:t>
      </w:r>
      <w:r>
        <w:rPr>
          <w:rFonts w:eastAsia="Times New Roman"/>
          <w:color w:val="000000"/>
          <w:sz w:val="18"/>
          <w:szCs w:val="18"/>
        </w:rPr>
        <w:t>nts</w:t>
      </w:r>
    </w:p>
    <w:p w:rsidR="00000000" w:rsidRDefault="002A246B">
      <w:pPr>
        <w:jc w:val="center"/>
        <w:divId w:val="474760496"/>
        <w:rPr>
          <w:rFonts w:eastAsia="Times New Roman"/>
        </w:rPr>
      </w:pPr>
      <w:r>
        <w:rPr>
          <w:rFonts w:eastAsia="Times New Roman"/>
          <w:i/>
          <w:iCs/>
          <w:color w:val="000000"/>
          <w:sz w:val="18"/>
          <w:szCs w:val="18"/>
        </w:rPr>
        <w:t>(Unaudited)</w:t>
      </w:r>
    </w:p>
    <w:p w:rsidR="00000000" w:rsidRDefault="002A246B">
      <w:pPr>
        <w:jc w:val="both"/>
        <w:divId w:val="1732264278"/>
        <w:rPr>
          <w:rFonts w:eastAsia="Times New Roman"/>
        </w:rPr>
      </w:pPr>
      <w:r>
        <w:rPr>
          <w:rFonts w:eastAsia="Times New Roman"/>
          <w:color w:val="000000"/>
          <w:sz w:val="20"/>
          <w:szCs w:val="20"/>
        </w:rPr>
        <w:t>The following table presents the risk categories by class at March 31, 2022 and December 31, 2021.</w:t>
      </w:r>
    </w:p>
    <w:tbl>
      <w:tblPr>
        <w:tblW w:w="5000" w:type="pct"/>
        <w:tblCellMar>
          <w:top w:w="15" w:type="dxa"/>
          <w:left w:w="15" w:type="dxa"/>
          <w:bottom w:w="15" w:type="dxa"/>
          <w:right w:w="15" w:type="dxa"/>
        </w:tblCellMar>
        <w:tblLook w:val="04A0" w:firstRow="1" w:lastRow="0" w:firstColumn="1" w:lastColumn="0" w:noHBand="0" w:noVBand="1"/>
      </w:tblPr>
      <w:tblGrid>
        <w:gridCol w:w="47"/>
        <w:gridCol w:w="996"/>
        <w:gridCol w:w="37"/>
        <w:gridCol w:w="121"/>
        <w:gridCol w:w="836"/>
        <w:gridCol w:w="36"/>
        <w:gridCol w:w="36"/>
        <w:gridCol w:w="36"/>
        <w:gridCol w:w="36"/>
        <w:gridCol w:w="121"/>
        <w:gridCol w:w="843"/>
        <w:gridCol w:w="36"/>
        <w:gridCol w:w="36"/>
        <w:gridCol w:w="36"/>
        <w:gridCol w:w="36"/>
        <w:gridCol w:w="121"/>
        <w:gridCol w:w="855"/>
        <w:gridCol w:w="36"/>
        <w:gridCol w:w="36"/>
        <w:gridCol w:w="36"/>
        <w:gridCol w:w="36"/>
        <w:gridCol w:w="121"/>
        <w:gridCol w:w="719"/>
        <w:gridCol w:w="36"/>
        <w:gridCol w:w="36"/>
        <w:gridCol w:w="36"/>
        <w:gridCol w:w="36"/>
        <w:gridCol w:w="121"/>
        <w:gridCol w:w="791"/>
        <w:gridCol w:w="36"/>
        <w:gridCol w:w="36"/>
        <w:gridCol w:w="36"/>
        <w:gridCol w:w="36"/>
        <w:gridCol w:w="121"/>
        <w:gridCol w:w="736"/>
        <w:gridCol w:w="36"/>
        <w:gridCol w:w="36"/>
        <w:gridCol w:w="36"/>
        <w:gridCol w:w="36"/>
        <w:gridCol w:w="120"/>
        <w:gridCol w:w="700"/>
        <w:gridCol w:w="36"/>
      </w:tblGrid>
      <w:tr w:rsidR="00000000">
        <w:trPr>
          <w:divId w:val="376513251"/>
        </w:trPr>
        <w:tc>
          <w:tcPr>
            <w:tcW w:w="50" w:type="pct"/>
            <w:vAlign w:val="center"/>
            <w:hideMark/>
          </w:tcPr>
          <w:p w:rsidR="00000000" w:rsidRDefault="002A246B">
            <w:pPr>
              <w:jc w:val="both"/>
              <w:rPr>
                <w:rFonts w:eastAsia="Times New Roman"/>
              </w:rPr>
            </w:pPr>
          </w:p>
        </w:tc>
        <w:tc>
          <w:tcPr>
            <w:tcW w:w="1043"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9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6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6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6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6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7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376513251"/>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Commercial, Financial, &amp; Agricultural</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Real Estate Construction - Residential</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Real Estate Construction - Commercial</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Real Estate Mortgage - Residential</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Real Estate Mortgage - Commercial</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Installment and other Consumer</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Total</w:t>
            </w:r>
          </w:p>
        </w:tc>
      </w:tr>
      <w:tr w:rsidR="00000000">
        <w:trPr>
          <w:divId w:val="37651325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At March 31,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2A246B">
        <w:trPr>
          <w:divId w:val="376513251"/>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Watch</w:t>
            </w: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8,618 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2,897 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12,061 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41,464 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65,040 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376513251"/>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Substandard</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6,143 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2,673 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537 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10,893 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20,246 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376513251"/>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Performing TDRs</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183 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1,170 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323 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1,691 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376513251"/>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Non-accrual loans</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1,258 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15,477 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17,096 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2A246B">
        <w:trPr>
          <w:divId w:val="376513251"/>
        </w:trPr>
        <w:tc>
          <w:tcPr>
            <w:tcW w:w="0" w:type="auto"/>
            <w:gridSpan w:val="3"/>
            <w:tcBorders>
              <w:top w:val="single" w:sz="8" w:space="0" w:color="000000"/>
            </w:tcBorders>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15,080 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5,670 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15,026 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68,157 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104,073 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376513251"/>
          <w:trHeight w:val="30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376513251"/>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At December 31, 2021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2A246B">
        <w:trPr>
          <w:divId w:val="376513251"/>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Watch</w:t>
            </w: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9,219 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4,304 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12,185 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43,348 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69,056 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376513251"/>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Substandard</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6,284 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2,673 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750 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2,305 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12,012 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376513251"/>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Performing TDRs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188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1,262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328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17</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1,795</w:t>
            </w:r>
          </w:p>
        </w:tc>
      </w:tr>
      <w:tr w:rsidR="00000000">
        <w:trPr>
          <w:divId w:val="376513251"/>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Non-accrual loans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153</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105</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1,129</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24,029</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43</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25,459</w:t>
            </w:r>
          </w:p>
        </w:tc>
      </w:tr>
      <w:tr w:rsidR="002A246B">
        <w:trPr>
          <w:divId w:val="376513251"/>
        </w:trPr>
        <w:tc>
          <w:tcPr>
            <w:tcW w:w="0" w:type="auto"/>
            <w:gridSpan w:val="3"/>
            <w:tcBorders>
              <w:top w:val="single" w:sz="6" w:space="0" w:color="000000"/>
              <w:bottom w:val="double" w:sz="6" w:space="0" w:color="000000"/>
            </w:tcBorders>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15,844 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7,082 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15,326 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70,010 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60 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108,322 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divId w:val="2134708340"/>
        <w:rPr>
          <w:rFonts w:eastAsia="Times New Roman"/>
        </w:rPr>
      </w:pPr>
      <w:r>
        <w:rPr>
          <w:rFonts w:eastAsia="Times New Roman"/>
          <w:i/>
          <w:iCs/>
          <w:color w:val="000000"/>
          <w:sz w:val="20"/>
          <w:szCs w:val="20"/>
        </w:rPr>
        <w:t>Troubled Debt Restructurings</w:t>
      </w:r>
    </w:p>
    <w:p w:rsidR="00000000" w:rsidRDefault="002A246B">
      <w:pPr>
        <w:jc w:val="both"/>
        <w:divId w:val="1021082708"/>
        <w:rPr>
          <w:rFonts w:eastAsia="Times New Roman"/>
        </w:rPr>
      </w:pPr>
      <w:r>
        <w:rPr>
          <w:rFonts w:eastAsia="Times New Roman"/>
          <w:color w:val="000000"/>
          <w:sz w:val="20"/>
          <w:szCs w:val="20"/>
        </w:rPr>
        <w:t xml:space="preserve">At March 31, 2022, loans classified as TDRs totaled $2.2 million, of which $0.6 </w:t>
      </w:r>
      <w:r>
        <w:rPr>
          <w:rFonts w:eastAsia="Times New Roman"/>
          <w:color w:val="000000"/>
          <w:sz w:val="20"/>
          <w:szCs w:val="20"/>
        </w:rPr>
        <w:t>million were classified as non-performing TDRs and $1.7 million were classified as performing TDRs. At December 31, 2021, loans classified as TDRs totaled $2.4 million, of which $0.6 million were classified as non-performing TDRs and $1.8 million were clas</w:t>
      </w:r>
      <w:r>
        <w:rPr>
          <w:rFonts w:eastAsia="Times New Roman"/>
          <w:color w:val="000000"/>
          <w:sz w:val="20"/>
          <w:szCs w:val="20"/>
        </w:rPr>
        <w:t>sified as performing TDRs. Both performing and non-performing TDRs are considered impaired loans. When an individual loan is determined to be a TDR, the amount of impairment is based upon the present value of expected future cash flows discounted at the lo</w:t>
      </w:r>
      <w:r>
        <w:rPr>
          <w:rFonts w:eastAsia="Times New Roman"/>
          <w:color w:val="000000"/>
          <w:sz w:val="20"/>
          <w:szCs w:val="20"/>
        </w:rPr>
        <w:t>an’s effective interest rate or the fair value of the underlying collateral less applicable selling costs. Accordingly, specific reserves of $179,000 and $159,000 related to TDRs were allocated to the allowance for loan losses at March 31, 2022 and Decembe</w:t>
      </w:r>
      <w:r>
        <w:rPr>
          <w:rFonts w:eastAsia="Times New Roman"/>
          <w:color w:val="000000"/>
          <w:sz w:val="20"/>
          <w:szCs w:val="20"/>
        </w:rPr>
        <w:t>r 31, 2021, respectively.</w:t>
      </w:r>
    </w:p>
    <w:p w:rsidR="00000000" w:rsidRDefault="002A246B">
      <w:pPr>
        <w:jc w:val="both"/>
        <w:divId w:val="1630430285"/>
        <w:rPr>
          <w:rFonts w:eastAsia="Times New Roman"/>
        </w:rPr>
      </w:pPr>
      <w:r>
        <w:rPr>
          <w:rFonts w:eastAsia="Times New Roman"/>
          <w:color w:val="000000"/>
          <w:sz w:val="20"/>
          <w:szCs w:val="20"/>
        </w:rPr>
        <w:t>The Company’s portfolio of loans classified as TDRs include concessions for the borrower given their financial condition such as applying interest rates below the current market rate, deferring principal payments, and extending ma</w:t>
      </w:r>
      <w:r>
        <w:rPr>
          <w:rFonts w:eastAsia="Times New Roman"/>
          <w:color w:val="000000"/>
          <w:sz w:val="20"/>
          <w:szCs w:val="20"/>
        </w:rPr>
        <w:t>turity dates. There were no loans meeting the TDR criteria that were modified during the three months ended March 31, 2022, and 2021, respectively. The Company considers a TDR to be in default when it is 90 days or more past due under the modified terms, a</w:t>
      </w:r>
      <w:r>
        <w:rPr>
          <w:rFonts w:eastAsia="Times New Roman"/>
          <w:color w:val="000000"/>
          <w:sz w:val="20"/>
          <w:szCs w:val="20"/>
        </w:rPr>
        <w:t xml:space="preserve"> charge-off occurs, or it is in the process of foreclosure. There were no loans modified as a TDR that defaulted during the three months ended March 31, 2022 and 2021, respectively, and within twelve months of their modification date. See </w:t>
      </w:r>
      <w:r>
        <w:rPr>
          <w:rFonts w:eastAsia="Times New Roman"/>
          <w:i/>
          <w:iCs/>
          <w:color w:val="000000"/>
          <w:sz w:val="20"/>
          <w:szCs w:val="20"/>
        </w:rPr>
        <w:t>Lending and Credi</w:t>
      </w:r>
      <w:r>
        <w:rPr>
          <w:rFonts w:eastAsia="Times New Roman"/>
          <w:i/>
          <w:iCs/>
          <w:color w:val="000000"/>
          <w:sz w:val="20"/>
          <w:szCs w:val="20"/>
        </w:rPr>
        <w:t>t Management</w:t>
      </w:r>
      <w:r>
        <w:rPr>
          <w:rFonts w:eastAsia="Times New Roman"/>
          <w:color w:val="000000"/>
          <w:sz w:val="20"/>
          <w:szCs w:val="20"/>
        </w:rPr>
        <w:t xml:space="preserve"> section for further information.</w:t>
      </w:r>
    </w:p>
    <w:p w:rsidR="00000000" w:rsidRDefault="002A246B">
      <w:pPr>
        <w:divId w:val="1988513527"/>
        <w:rPr>
          <w:rFonts w:eastAsia="Times New Roman"/>
        </w:rPr>
      </w:pPr>
      <w:r>
        <w:rPr>
          <w:rFonts w:eastAsia="Times New Roman"/>
          <w:i/>
          <w:iCs/>
          <w:color w:val="000000"/>
          <w:sz w:val="20"/>
          <w:szCs w:val="20"/>
        </w:rPr>
        <w:t>Loans Held For Sale</w:t>
      </w:r>
    </w:p>
    <w:p w:rsidR="00000000" w:rsidRDefault="002A246B">
      <w:pPr>
        <w:jc w:val="both"/>
        <w:divId w:val="94836838"/>
        <w:rPr>
          <w:rFonts w:eastAsia="Times New Roman"/>
        </w:rPr>
      </w:pPr>
      <w:r>
        <w:rPr>
          <w:rFonts w:eastAsia="Times New Roman"/>
          <w:color w:val="000000"/>
          <w:sz w:val="20"/>
          <w:szCs w:val="20"/>
        </w:rPr>
        <w:t>The Company designates certain long-term fixed rate personal real estate loans as held for sale. In the fourth quarter of 2021, the Company elected the fair value option for all newly origin</w:t>
      </w:r>
      <w:r>
        <w:rPr>
          <w:rFonts w:eastAsia="Times New Roman"/>
          <w:color w:val="000000"/>
          <w:sz w:val="20"/>
          <w:szCs w:val="20"/>
        </w:rPr>
        <w:t>ated long-term personal real estate loans held for sale. As of December 31, 2021, all loans held for sale were carried at fair value. The loans are primarily sold to Freddie Mac, Fannie Mae, PennyMac, and various other secondary market investors. At March </w:t>
      </w:r>
      <w:r>
        <w:rPr>
          <w:rFonts w:eastAsia="Times New Roman"/>
          <w:color w:val="000000"/>
          <w:sz w:val="20"/>
          <w:szCs w:val="20"/>
        </w:rPr>
        <w:t xml:space="preserve">31, 2022, the carrying amount of these loans was $0.9 million compared to $2.2 million at December 31, 2021. </w:t>
      </w:r>
    </w:p>
    <w:p w:rsidR="00000000" w:rsidRDefault="002A246B">
      <w:pPr>
        <w:jc w:val="center"/>
        <w:divId w:val="531921155"/>
        <w:rPr>
          <w:rFonts w:eastAsia="Times New Roman"/>
        </w:rPr>
      </w:pPr>
      <w:r>
        <w:rPr>
          <w:rFonts w:eastAsia="Times New Roman"/>
          <w:color w:val="000000"/>
          <w:sz w:val="20"/>
          <w:szCs w:val="20"/>
        </w:rPr>
        <w:t>14</w:t>
      </w:r>
    </w:p>
    <w:p w:rsidR="00000000" w:rsidRDefault="002A246B">
      <w:pPr>
        <w:rPr>
          <w:rFonts w:eastAsia="Times New Roman"/>
        </w:rPr>
      </w:pPr>
      <w:r>
        <w:rPr>
          <w:rFonts w:eastAsia="Times New Roman"/>
        </w:rPr>
        <w:pict>
          <v:rect id="_x0000_i1038" style="width:0;height:1.5pt" o:hralign="center" o:hrstd="t" o:hr="t" fillcolor="#a0a0a0" stroked="f"/>
        </w:pict>
      </w:r>
    </w:p>
    <w:p w:rsidR="00000000" w:rsidRDefault="002A246B">
      <w:pPr>
        <w:jc w:val="center"/>
        <w:divId w:val="170266802"/>
        <w:rPr>
          <w:rFonts w:eastAsia="Times New Roman"/>
        </w:rPr>
      </w:pPr>
      <w:r>
        <w:rPr>
          <w:rFonts w:eastAsia="Times New Roman"/>
          <w:b/>
          <w:bCs/>
          <w:color w:val="000000"/>
          <w:sz w:val="20"/>
          <w:szCs w:val="20"/>
        </w:rPr>
        <w:t>HAWTHORN BANCSHARES, INC.</w:t>
      </w:r>
    </w:p>
    <w:p w:rsidR="00000000" w:rsidRDefault="002A246B">
      <w:pPr>
        <w:jc w:val="center"/>
        <w:divId w:val="170266802"/>
        <w:rPr>
          <w:rFonts w:eastAsia="Times New Roman"/>
        </w:rPr>
      </w:pPr>
      <w:r>
        <w:rPr>
          <w:rFonts w:eastAsia="Times New Roman"/>
          <w:b/>
          <w:bCs/>
          <w:color w:val="000000"/>
          <w:sz w:val="20"/>
          <w:szCs w:val="20"/>
        </w:rPr>
        <w:t>AND SUBSIDIARIES</w:t>
      </w:r>
    </w:p>
    <w:p w:rsidR="00000000" w:rsidRDefault="002A246B">
      <w:pPr>
        <w:jc w:val="center"/>
        <w:divId w:val="170266802"/>
        <w:rPr>
          <w:rFonts w:eastAsia="Times New Roman"/>
        </w:rPr>
      </w:pPr>
      <w:r>
        <w:rPr>
          <w:rFonts w:eastAsia="Times New Roman"/>
          <w:color w:val="000000"/>
          <w:sz w:val="18"/>
          <w:szCs w:val="18"/>
        </w:rPr>
        <w:t>Notes to the Consolidated Financial Statements</w:t>
      </w:r>
    </w:p>
    <w:p w:rsidR="00000000" w:rsidRDefault="002A246B">
      <w:pPr>
        <w:jc w:val="center"/>
        <w:divId w:val="170266802"/>
        <w:rPr>
          <w:rFonts w:eastAsia="Times New Roman"/>
        </w:rPr>
      </w:pPr>
      <w:r>
        <w:rPr>
          <w:rFonts w:eastAsia="Times New Roman"/>
          <w:i/>
          <w:iCs/>
          <w:color w:val="000000"/>
          <w:sz w:val="18"/>
          <w:szCs w:val="18"/>
        </w:rPr>
        <w:t>(Unaudited)</w:t>
      </w:r>
    </w:p>
    <w:p w:rsidR="00000000" w:rsidRDefault="002A246B">
      <w:pPr>
        <w:divId w:val="370690626"/>
        <w:rPr>
          <w:rFonts w:eastAsia="Times New Roman"/>
        </w:rPr>
      </w:pPr>
      <w:r>
        <w:rPr>
          <w:rFonts w:eastAsia="Times New Roman"/>
          <w:b/>
          <w:bCs/>
          <w:color w:val="000000"/>
          <w:sz w:val="20"/>
          <w:szCs w:val="20"/>
        </w:rPr>
        <w:t xml:space="preserve">(3) </w:t>
      </w:r>
      <w:r>
        <w:rPr>
          <w:rFonts w:eastAsia="Times New Roman"/>
          <w:b/>
          <w:bCs/>
          <w:color w:val="000000"/>
          <w:sz w:val="20"/>
          <w:szCs w:val="20"/>
        </w:rPr>
        <w:t>Other Real Estate Acquired in Settlement of Loans</w:t>
      </w:r>
    </w:p>
    <w:tbl>
      <w:tblPr>
        <w:tblW w:w="5000" w:type="pct"/>
        <w:tblCellMar>
          <w:top w:w="15" w:type="dxa"/>
          <w:left w:w="15" w:type="dxa"/>
          <w:bottom w:w="15" w:type="dxa"/>
          <w:right w:w="15" w:type="dxa"/>
        </w:tblCellMar>
        <w:tblLook w:val="04A0" w:firstRow="1" w:lastRow="0" w:firstColumn="1" w:lastColumn="0" w:noHBand="0" w:noVBand="1"/>
      </w:tblPr>
      <w:tblGrid>
        <w:gridCol w:w="38"/>
        <w:gridCol w:w="5912"/>
        <w:gridCol w:w="36"/>
        <w:gridCol w:w="120"/>
        <w:gridCol w:w="950"/>
        <w:gridCol w:w="36"/>
        <w:gridCol w:w="36"/>
        <w:gridCol w:w="36"/>
        <w:gridCol w:w="36"/>
        <w:gridCol w:w="120"/>
        <w:gridCol w:w="950"/>
        <w:gridCol w:w="36"/>
      </w:tblGrid>
      <w:tr w:rsidR="00000000">
        <w:trPr>
          <w:divId w:val="2022121526"/>
        </w:trPr>
        <w:tc>
          <w:tcPr>
            <w:tcW w:w="50" w:type="pct"/>
            <w:vAlign w:val="center"/>
            <w:hideMark/>
          </w:tcPr>
          <w:p w:rsidR="00000000" w:rsidRDefault="002A246B">
            <w:pPr>
              <w:rPr>
                <w:rFonts w:eastAsia="Times New Roman"/>
              </w:rPr>
            </w:pPr>
          </w:p>
        </w:tc>
        <w:tc>
          <w:tcPr>
            <w:tcW w:w="359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2022121526"/>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March 31,</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December 31,</w:t>
            </w:r>
          </w:p>
        </w:tc>
      </w:tr>
      <w:tr w:rsidR="00000000">
        <w:trPr>
          <w:divId w:val="2022121526"/>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2021</w:t>
            </w:r>
          </w:p>
        </w:tc>
      </w:tr>
      <w:tr w:rsidR="00000000">
        <w:trPr>
          <w:divId w:val="202212152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Commercial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643 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2022121526"/>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Real estate construction - commercial</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10,094</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10,166</w:t>
            </w:r>
          </w:p>
        </w:tc>
      </w:tr>
      <w:tr w:rsidR="00000000">
        <w:trPr>
          <w:divId w:val="2022121526"/>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Real estate mortgage - residential</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117</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117</w:t>
            </w:r>
          </w:p>
        </w:tc>
      </w:tr>
      <w:tr w:rsidR="00000000">
        <w:trPr>
          <w:divId w:val="2022121526"/>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Real estate mortgage - commercial</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2,458</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2,510</w:t>
            </w:r>
          </w:p>
        </w:tc>
      </w:tr>
      <w:tr w:rsidR="00000000">
        <w:trPr>
          <w:divId w:val="202212152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12,669 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13,436 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2022121526"/>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Less valuation allowance for other real estate owned</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(2,911)</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(2,911)</w:t>
            </w:r>
          </w:p>
        </w:tc>
      </w:tr>
      <w:tr w:rsidR="00000000">
        <w:trPr>
          <w:divId w:val="2022121526"/>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 other real estate owned</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9,758 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10,525 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jc w:val="both"/>
        <w:divId w:val="970788441"/>
        <w:rPr>
          <w:rFonts w:eastAsia="Times New Roman"/>
        </w:rPr>
      </w:pPr>
      <w:r>
        <w:rPr>
          <w:rFonts w:eastAsia="Times New Roman"/>
          <w:color w:val="000000"/>
          <w:sz w:val="20"/>
          <w:szCs w:val="20"/>
        </w:rPr>
        <w:t>Changes in the net carrying amount of other real estate owned were as follows for the periods indicated:</w:t>
      </w:r>
    </w:p>
    <w:tbl>
      <w:tblPr>
        <w:tblW w:w="4977" w:type="pct"/>
        <w:tblCellMar>
          <w:top w:w="15" w:type="dxa"/>
          <w:left w:w="15" w:type="dxa"/>
          <w:bottom w:w="15" w:type="dxa"/>
          <w:right w:w="15" w:type="dxa"/>
        </w:tblCellMar>
        <w:tblLook w:val="04A0" w:firstRow="1" w:lastRow="0" w:firstColumn="1" w:lastColumn="0" w:noHBand="0" w:noVBand="1"/>
      </w:tblPr>
      <w:tblGrid>
        <w:gridCol w:w="38"/>
        <w:gridCol w:w="5401"/>
        <w:gridCol w:w="37"/>
        <w:gridCol w:w="36"/>
        <w:gridCol w:w="46"/>
        <w:gridCol w:w="489"/>
        <w:gridCol w:w="36"/>
        <w:gridCol w:w="36"/>
        <w:gridCol w:w="36"/>
        <w:gridCol w:w="121"/>
        <w:gridCol w:w="845"/>
        <w:gridCol w:w="37"/>
        <w:gridCol w:w="36"/>
        <w:gridCol w:w="36"/>
        <w:gridCol w:w="36"/>
        <w:gridCol w:w="121"/>
        <w:gridCol w:w="845"/>
        <w:gridCol w:w="36"/>
      </w:tblGrid>
      <w:tr w:rsidR="00000000">
        <w:trPr>
          <w:divId w:val="1846287918"/>
        </w:trPr>
        <w:tc>
          <w:tcPr>
            <w:tcW w:w="50" w:type="pct"/>
            <w:vAlign w:val="center"/>
            <w:hideMark/>
          </w:tcPr>
          <w:p w:rsidR="00000000" w:rsidRDefault="002A246B">
            <w:pPr>
              <w:jc w:val="both"/>
              <w:rPr>
                <w:rFonts w:eastAsia="Times New Roman"/>
              </w:rPr>
            </w:pPr>
          </w:p>
        </w:tc>
        <w:tc>
          <w:tcPr>
            <w:tcW w:w="354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846287918"/>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1846287918"/>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2021</w:t>
            </w:r>
          </w:p>
        </w:tc>
      </w:tr>
      <w:tr w:rsidR="00000000">
        <w:trPr>
          <w:divId w:val="1846287918"/>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Balance at beginning of period</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13,436</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14,905</w:t>
            </w:r>
          </w:p>
        </w:tc>
      </w:tr>
      <w:tr w:rsidR="00000000">
        <w:trPr>
          <w:divId w:val="1846287918"/>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Additions net of (charge-offs)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(52)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30</w:t>
            </w:r>
          </w:p>
        </w:tc>
      </w:tr>
      <w:tr w:rsidR="00000000">
        <w:trPr>
          <w:divId w:val="1846287918"/>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Proceeds from sales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(723)</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(108)</w:t>
            </w:r>
          </w:p>
        </w:tc>
      </w:tr>
      <w:tr w:rsidR="00000000">
        <w:trPr>
          <w:divId w:val="1846287918"/>
        </w:trPr>
        <w:tc>
          <w:tcPr>
            <w:tcW w:w="0" w:type="auto"/>
            <w:gridSpan w:val="3"/>
            <w:vAlign w:val="center"/>
            <w:hideMark/>
          </w:tcPr>
          <w:p w:rsidR="00000000" w:rsidRDefault="002A246B">
            <w:pPr>
              <w:spacing w:after="100"/>
              <w:jc w:val="right"/>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846287918"/>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Net gain on sales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8</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15</w:t>
            </w:r>
          </w:p>
        </w:tc>
      </w:tr>
      <w:tr w:rsidR="00000000">
        <w:trPr>
          <w:divId w:val="1846287918"/>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Total other real estate owned</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12,669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14,842</w:t>
            </w:r>
          </w:p>
        </w:tc>
      </w:tr>
      <w:tr w:rsidR="00000000">
        <w:trPr>
          <w:divId w:val="1846287918"/>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Less valuation allowance for other real estate owned</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(2,911)</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(2,702)</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846287918"/>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Balance at end of period</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9,758</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12,140</w:t>
            </w:r>
          </w:p>
        </w:tc>
      </w:tr>
    </w:tbl>
    <w:p w:rsidR="00000000" w:rsidRDefault="002A246B">
      <w:pPr>
        <w:jc w:val="both"/>
        <w:divId w:val="1427920106"/>
        <w:rPr>
          <w:rFonts w:eastAsia="Times New Roman"/>
        </w:rPr>
      </w:pPr>
      <w:r>
        <w:rPr>
          <w:rFonts w:eastAsia="Times New Roman"/>
          <w:color w:val="000000"/>
          <w:sz w:val="20"/>
          <w:szCs w:val="20"/>
        </w:rPr>
        <w:t>At March </w:t>
      </w:r>
      <w:r>
        <w:rPr>
          <w:rFonts w:eastAsia="Times New Roman"/>
          <w:color w:val="000000"/>
          <w:sz w:val="20"/>
          <w:szCs w:val="20"/>
        </w:rPr>
        <w:t>31, 2022, $0.2 million of consumer mortgage loans secured by residential real estate properties were in the process of foreclosure compared to $0.2 million of consumer mortgage loans at December 31, 2021.</w:t>
      </w:r>
    </w:p>
    <w:p w:rsidR="00000000" w:rsidRDefault="002A246B">
      <w:pPr>
        <w:jc w:val="both"/>
        <w:divId w:val="992953655"/>
        <w:rPr>
          <w:rFonts w:eastAsia="Times New Roman"/>
        </w:rPr>
      </w:pPr>
      <w:r>
        <w:rPr>
          <w:rFonts w:eastAsia="Times New Roman"/>
          <w:color w:val="000000"/>
          <w:sz w:val="20"/>
          <w:szCs w:val="20"/>
        </w:rPr>
        <w:t>Activity in the valuation allowance for other real estate owned was as follows for the periods indicated:</w:t>
      </w:r>
    </w:p>
    <w:tbl>
      <w:tblPr>
        <w:tblW w:w="4931" w:type="pct"/>
        <w:tblCellMar>
          <w:top w:w="15" w:type="dxa"/>
          <w:left w:w="15" w:type="dxa"/>
          <w:bottom w:w="15" w:type="dxa"/>
          <w:right w:w="15" w:type="dxa"/>
        </w:tblCellMar>
        <w:tblLook w:val="04A0" w:firstRow="1" w:lastRow="0" w:firstColumn="1" w:lastColumn="0" w:noHBand="0" w:noVBand="1"/>
      </w:tblPr>
      <w:tblGrid>
        <w:gridCol w:w="38"/>
        <w:gridCol w:w="5326"/>
        <w:gridCol w:w="37"/>
        <w:gridCol w:w="36"/>
        <w:gridCol w:w="46"/>
        <w:gridCol w:w="488"/>
        <w:gridCol w:w="36"/>
        <w:gridCol w:w="36"/>
        <w:gridCol w:w="36"/>
        <w:gridCol w:w="121"/>
        <w:gridCol w:w="844"/>
        <w:gridCol w:w="37"/>
        <w:gridCol w:w="36"/>
        <w:gridCol w:w="36"/>
        <w:gridCol w:w="36"/>
        <w:gridCol w:w="121"/>
        <w:gridCol w:w="845"/>
        <w:gridCol w:w="36"/>
      </w:tblGrid>
      <w:tr w:rsidR="00000000">
        <w:trPr>
          <w:divId w:val="1956983749"/>
        </w:trPr>
        <w:tc>
          <w:tcPr>
            <w:tcW w:w="50" w:type="pct"/>
            <w:vAlign w:val="center"/>
            <w:hideMark/>
          </w:tcPr>
          <w:p w:rsidR="00000000" w:rsidRDefault="002A246B">
            <w:pPr>
              <w:jc w:val="both"/>
              <w:rPr>
                <w:rFonts w:eastAsia="Times New Roman"/>
              </w:rPr>
            </w:pPr>
          </w:p>
        </w:tc>
        <w:tc>
          <w:tcPr>
            <w:tcW w:w="3531"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13"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13"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956983749"/>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1956983749"/>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2021</w:t>
            </w:r>
          </w:p>
        </w:tc>
      </w:tr>
      <w:tr w:rsidR="00000000">
        <w:trPr>
          <w:divId w:val="195698374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Balance, beginning of period</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2,911</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2,614</w:t>
            </w:r>
          </w:p>
        </w:tc>
      </w:tr>
      <w:tr w:rsidR="00000000">
        <w:trPr>
          <w:divId w:val="1956983749"/>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Provision for other real estate owned </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88</w:t>
            </w:r>
          </w:p>
        </w:tc>
      </w:tr>
      <w:tr w:rsidR="00000000">
        <w:trPr>
          <w:divId w:val="1956983749"/>
        </w:trPr>
        <w:tc>
          <w:tcPr>
            <w:tcW w:w="0" w:type="auto"/>
            <w:gridSpan w:val="3"/>
            <w:vAlign w:val="center"/>
            <w:hideMark/>
          </w:tcPr>
          <w:p w:rsidR="00000000" w:rsidRDefault="002A246B">
            <w:pPr>
              <w:spacing w:after="100"/>
              <w:jc w:val="right"/>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956983749"/>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Balance, end of period</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2,911</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2,702</w:t>
            </w:r>
          </w:p>
        </w:tc>
      </w:tr>
    </w:tbl>
    <w:p w:rsidR="00000000" w:rsidRDefault="002A246B">
      <w:pPr>
        <w:jc w:val="center"/>
        <w:divId w:val="293340585"/>
        <w:rPr>
          <w:rFonts w:eastAsia="Times New Roman"/>
        </w:rPr>
      </w:pPr>
      <w:r>
        <w:rPr>
          <w:rFonts w:eastAsia="Times New Roman"/>
          <w:color w:val="000000"/>
          <w:sz w:val="20"/>
          <w:szCs w:val="20"/>
        </w:rPr>
        <w:t>15</w:t>
      </w:r>
    </w:p>
    <w:p w:rsidR="00000000" w:rsidRDefault="002A246B">
      <w:pPr>
        <w:rPr>
          <w:rFonts w:eastAsia="Times New Roman"/>
        </w:rPr>
      </w:pPr>
      <w:r>
        <w:rPr>
          <w:rFonts w:eastAsia="Times New Roman"/>
        </w:rPr>
        <w:pict>
          <v:rect id="_x0000_i1039" style="width:0;height:1.5pt" o:hralign="center" o:hrstd="t" o:hr="t" fillcolor="#a0a0a0" stroked="f"/>
        </w:pict>
      </w:r>
    </w:p>
    <w:p w:rsidR="00000000" w:rsidRDefault="002A246B">
      <w:pPr>
        <w:jc w:val="center"/>
        <w:divId w:val="1235511627"/>
        <w:rPr>
          <w:rFonts w:eastAsia="Times New Roman"/>
        </w:rPr>
      </w:pPr>
      <w:r>
        <w:rPr>
          <w:rFonts w:eastAsia="Times New Roman"/>
          <w:b/>
          <w:bCs/>
          <w:color w:val="000000"/>
          <w:sz w:val="20"/>
          <w:szCs w:val="20"/>
        </w:rPr>
        <w:t>HAWTHORN BANCSHARES, INC.</w:t>
      </w:r>
    </w:p>
    <w:p w:rsidR="00000000" w:rsidRDefault="002A246B">
      <w:pPr>
        <w:jc w:val="center"/>
        <w:divId w:val="1235511627"/>
        <w:rPr>
          <w:rFonts w:eastAsia="Times New Roman"/>
        </w:rPr>
      </w:pPr>
      <w:r>
        <w:rPr>
          <w:rFonts w:eastAsia="Times New Roman"/>
          <w:b/>
          <w:bCs/>
          <w:color w:val="000000"/>
          <w:sz w:val="20"/>
          <w:szCs w:val="20"/>
        </w:rPr>
        <w:t>AND SUBSIDIARIES</w:t>
      </w:r>
    </w:p>
    <w:p w:rsidR="00000000" w:rsidRDefault="002A246B">
      <w:pPr>
        <w:jc w:val="center"/>
        <w:divId w:val="1235511627"/>
        <w:rPr>
          <w:rFonts w:eastAsia="Times New Roman"/>
        </w:rPr>
      </w:pPr>
      <w:r>
        <w:rPr>
          <w:rFonts w:eastAsia="Times New Roman"/>
          <w:color w:val="000000"/>
          <w:sz w:val="18"/>
          <w:szCs w:val="18"/>
        </w:rPr>
        <w:t>Notes to the Consolidated Financial Statements</w:t>
      </w:r>
    </w:p>
    <w:p w:rsidR="00000000" w:rsidRDefault="002A246B">
      <w:pPr>
        <w:jc w:val="center"/>
        <w:divId w:val="1235511627"/>
        <w:rPr>
          <w:rFonts w:eastAsia="Times New Roman"/>
        </w:rPr>
      </w:pPr>
      <w:r>
        <w:rPr>
          <w:rFonts w:eastAsia="Times New Roman"/>
          <w:i/>
          <w:iCs/>
          <w:color w:val="000000"/>
          <w:sz w:val="18"/>
          <w:szCs w:val="18"/>
        </w:rPr>
        <w:t>(Unaudited)</w:t>
      </w:r>
    </w:p>
    <w:p w:rsidR="00000000" w:rsidRDefault="002A246B">
      <w:pPr>
        <w:divId w:val="111751985"/>
        <w:rPr>
          <w:rFonts w:eastAsia="Times New Roman"/>
        </w:rPr>
      </w:pPr>
      <w:r>
        <w:rPr>
          <w:rFonts w:eastAsia="Times New Roman"/>
          <w:b/>
          <w:bCs/>
          <w:color w:val="000000"/>
          <w:sz w:val="20"/>
          <w:szCs w:val="20"/>
        </w:rPr>
        <w:t>(4) Investment Securities</w:t>
      </w:r>
    </w:p>
    <w:p w:rsidR="00000000" w:rsidRDefault="002A246B">
      <w:pPr>
        <w:jc w:val="both"/>
        <w:divId w:val="1805349877"/>
        <w:rPr>
          <w:rFonts w:eastAsia="Times New Roman"/>
        </w:rPr>
      </w:pPr>
      <w:r>
        <w:rPr>
          <w:rFonts w:eastAsia="Times New Roman"/>
          <w:color w:val="000000"/>
          <w:sz w:val="20"/>
          <w:szCs w:val="20"/>
        </w:rPr>
        <w:t>The amortized cost and fair value of debt securities classified as available-for-sale at March 31, 2022 and December 31,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705"/>
        <w:gridCol w:w="38"/>
        <w:gridCol w:w="120"/>
        <w:gridCol w:w="979"/>
        <w:gridCol w:w="36"/>
        <w:gridCol w:w="36"/>
        <w:gridCol w:w="36"/>
        <w:gridCol w:w="36"/>
        <w:gridCol w:w="120"/>
        <w:gridCol w:w="772"/>
        <w:gridCol w:w="36"/>
        <w:gridCol w:w="36"/>
        <w:gridCol w:w="36"/>
        <w:gridCol w:w="36"/>
        <w:gridCol w:w="120"/>
        <w:gridCol w:w="886"/>
        <w:gridCol w:w="36"/>
        <w:gridCol w:w="36"/>
        <w:gridCol w:w="36"/>
        <w:gridCol w:w="36"/>
        <w:gridCol w:w="120"/>
        <w:gridCol w:w="939"/>
        <w:gridCol w:w="36"/>
      </w:tblGrid>
      <w:tr w:rsidR="00000000">
        <w:trPr>
          <w:divId w:val="980696889"/>
        </w:trPr>
        <w:tc>
          <w:tcPr>
            <w:tcW w:w="50" w:type="pct"/>
            <w:vAlign w:val="center"/>
            <w:hideMark/>
          </w:tcPr>
          <w:p w:rsidR="00000000" w:rsidRDefault="002A246B">
            <w:pPr>
              <w:jc w:val="both"/>
              <w:rPr>
                <w:rFonts w:eastAsia="Times New Roman"/>
              </w:rPr>
            </w:pPr>
          </w:p>
        </w:tc>
        <w:tc>
          <w:tcPr>
            <w:tcW w:w="2263"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1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8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1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980696889"/>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Gross Unrealized</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980696889"/>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Total Amortized Cost</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Gains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Losses</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Fair Value</w:t>
            </w:r>
          </w:p>
        </w:tc>
      </w:tr>
      <w:tr w:rsidR="00000000">
        <w:trPr>
          <w:divId w:val="98069688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March 31,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980696889"/>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U.S. Treasury</w:t>
            </w: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3,154 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(12)</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3,145 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98069688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U.S. government and federal agency obligations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1,015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(40)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975</w:t>
            </w:r>
          </w:p>
        </w:tc>
      </w:tr>
      <w:tr w:rsidR="00000000">
        <w:trPr>
          <w:divId w:val="980696889"/>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U.S. government-sponsored enterprises</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26,498</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(1,233)</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25,265</w:t>
            </w:r>
          </w:p>
        </w:tc>
      </w:tr>
      <w:tr w:rsidR="00000000">
        <w:trPr>
          <w:divId w:val="98069688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Obligations of states and political subdivisions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134,882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(14,458)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120,434</w:t>
            </w:r>
          </w:p>
        </w:tc>
      </w:tr>
      <w:tr w:rsidR="00000000">
        <w:trPr>
          <w:divId w:val="980696889"/>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Mortgage-backed securities</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132,222</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81</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(8,455)</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123,848</w:t>
            </w:r>
          </w:p>
        </w:tc>
      </w:tr>
      <w:tr w:rsidR="00000000">
        <w:trPr>
          <w:divId w:val="98069688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Other debt securities (a)</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11,825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222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(226)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11,821</w:t>
            </w:r>
          </w:p>
        </w:tc>
      </w:tr>
      <w:tr w:rsidR="00000000">
        <w:trPr>
          <w:divId w:val="980696889"/>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Bank issued trust preferred securities (a)</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1,486</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(220)</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1,266</w:t>
            </w:r>
          </w:p>
        </w:tc>
      </w:tr>
      <w:tr w:rsidR="00000000">
        <w:trPr>
          <w:divId w:val="98069688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 available-for-sale securities</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311,082 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316 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(24,644)</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286,754 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980696889"/>
          <w:trHeight w:val="300"/>
        </w:trPr>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98069688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December 31, 2021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980696889"/>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U.S. Treasury</w:t>
            </w: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3,909 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11 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3,917 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98069688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U.S. government and federal agency obligations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1,314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1,319</w:t>
            </w:r>
          </w:p>
        </w:tc>
      </w:tr>
      <w:tr w:rsidR="00000000">
        <w:trPr>
          <w:divId w:val="980696889"/>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U.S. government-sponsored enterprises</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26,498</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70</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(196)</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26,372</w:t>
            </w:r>
          </w:p>
        </w:tc>
      </w:tr>
      <w:tr w:rsidR="00000000">
        <w:trPr>
          <w:divId w:val="98069688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Obligations of states and political subdivisions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128,093</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1,605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(474)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129,224</w:t>
            </w:r>
          </w:p>
        </w:tc>
      </w:tr>
      <w:tr w:rsidR="00000000">
        <w:trPr>
          <w:divId w:val="980696889"/>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Mortgage-backed securities</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137,286</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791</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(1,611)</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136,466</w:t>
            </w:r>
          </w:p>
        </w:tc>
      </w:tr>
      <w:tr w:rsidR="00000000">
        <w:trPr>
          <w:divId w:val="98069688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Other debt securities (a)</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11,825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482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(23)</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12,284</w:t>
            </w:r>
          </w:p>
        </w:tc>
      </w:tr>
      <w:tr w:rsidR="00000000">
        <w:trPr>
          <w:divId w:val="980696889"/>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Bank issued trust preferred securities (a)</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1,486</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(198)</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1,288</w:t>
            </w:r>
          </w:p>
        </w:tc>
      </w:tr>
      <w:tr w:rsidR="00000000">
        <w:trPr>
          <w:divId w:val="980696889"/>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 available-for-sale securities</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310,411 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2,964 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(2,505)</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310,870 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jc w:val="both"/>
        <w:divId w:val="85688089"/>
        <w:rPr>
          <w:rFonts w:eastAsia="Times New Roman"/>
        </w:rPr>
      </w:pPr>
      <w:r>
        <w:rPr>
          <w:rFonts w:eastAsia="Times New Roman"/>
          <w:color w:val="000000"/>
          <w:sz w:val="20"/>
          <w:szCs w:val="20"/>
        </w:rPr>
        <w:t xml:space="preserve">(a) Certain hybrid instruments possessing characteristics typically associated with debt obligations. </w:t>
      </w:r>
    </w:p>
    <w:p w:rsidR="00000000" w:rsidRDefault="002A246B">
      <w:pPr>
        <w:jc w:val="both"/>
        <w:divId w:val="574704767"/>
        <w:rPr>
          <w:rFonts w:eastAsia="Times New Roman"/>
        </w:rPr>
      </w:pPr>
      <w:r>
        <w:rPr>
          <w:rFonts w:eastAsia="Times New Roman"/>
          <w:color w:val="000000"/>
          <w:sz w:val="20"/>
          <w:szCs w:val="20"/>
        </w:rPr>
        <w:t>The Company’s investment se</w:t>
      </w:r>
      <w:r>
        <w:rPr>
          <w:rFonts w:eastAsia="Times New Roman"/>
          <w:color w:val="000000"/>
          <w:sz w:val="20"/>
          <w:szCs w:val="20"/>
        </w:rPr>
        <w:t>curities are classified as available for sale. Agency bonds and notes, SBA guaranteed loan certificates, residential and commercial agency mortgage-backed securities, and agency collateralized mortgage obligations (CMO) include securities issued by the Gov</w:t>
      </w:r>
      <w:r>
        <w:rPr>
          <w:rFonts w:eastAsia="Times New Roman"/>
          <w:color w:val="000000"/>
          <w:sz w:val="20"/>
          <w:szCs w:val="20"/>
        </w:rPr>
        <w:t>ernment National Mortgage Association (GNMA), a U.S. government agency, and the Federal National Mortgage Association (FNMA), the Federal Home Loan Mortgage Corporation (FHLMC), and the Federal Home Loan Bank (FHLB), which are U.S. government-sponsored ent</w:t>
      </w:r>
      <w:r>
        <w:rPr>
          <w:rFonts w:eastAsia="Times New Roman"/>
          <w:color w:val="000000"/>
          <w:sz w:val="20"/>
          <w:szCs w:val="20"/>
        </w:rPr>
        <w:t>erprises.</w:t>
      </w:r>
    </w:p>
    <w:p w:rsidR="00000000" w:rsidRDefault="002A246B">
      <w:pPr>
        <w:jc w:val="both"/>
        <w:divId w:val="1023246124"/>
        <w:rPr>
          <w:rFonts w:eastAsia="Times New Roman"/>
        </w:rPr>
      </w:pPr>
      <w:r>
        <w:rPr>
          <w:rFonts w:eastAsia="Times New Roman"/>
          <w:color w:val="000000"/>
          <w:sz w:val="20"/>
          <w:szCs w:val="20"/>
        </w:rPr>
        <w:t>Debt securities with carrying values aggregating approximately $189.5 million and $275.4 million at March 31, 2022 and December 31, 2021, respectively, were pledged to secure public funds, securities sold under agreements to repurchase, and for o</w:t>
      </w:r>
      <w:r>
        <w:rPr>
          <w:rFonts w:eastAsia="Times New Roman"/>
          <w:color w:val="000000"/>
          <w:sz w:val="20"/>
          <w:szCs w:val="20"/>
        </w:rPr>
        <w:t>ther purposes as required or permitted by law.</w:t>
      </w:r>
    </w:p>
    <w:p w:rsidR="00000000" w:rsidRDefault="002A246B">
      <w:pPr>
        <w:jc w:val="center"/>
        <w:divId w:val="1697004919"/>
        <w:rPr>
          <w:rFonts w:eastAsia="Times New Roman"/>
        </w:rPr>
      </w:pPr>
      <w:r>
        <w:rPr>
          <w:rFonts w:eastAsia="Times New Roman"/>
          <w:color w:val="000000"/>
          <w:sz w:val="20"/>
          <w:szCs w:val="20"/>
        </w:rPr>
        <w:t>16</w:t>
      </w:r>
    </w:p>
    <w:p w:rsidR="00000000" w:rsidRDefault="002A246B">
      <w:pPr>
        <w:rPr>
          <w:rFonts w:eastAsia="Times New Roman"/>
        </w:rPr>
      </w:pPr>
      <w:r>
        <w:rPr>
          <w:rFonts w:eastAsia="Times New Roman"/>
        </w:rPr>
        <w:pict>
          <v:rect id="_x0000_i1040" style="width:0;height:1.5pt" o:hralign="center" o:hrstd="t" o:hr="t" fillcolor="#a0a0a0" stroked="f"/>
        </w:pict>
      </w:r>
    </w:p>
    <w:p w:rsidR="00000000" w:rsidRDefault="002A246B">
      <w:pPr>
        <w:jc w:val="center"/>
        <w:divId w:val="270551181"/>
        <w:rPr>
          <w:rFonts w:eastAsia="Times New Roman"/>
        </w:rPr>
      </w:pPr>
      <w:r>
        <w:rPr>
          <w:rFonts w:eastAsia="Times New Roman"/>
          <w:b/>
          <w:bCs/>
          <w:color w:val="000000"/>
          <w:sz w:val="20"/>
          <w:szCs w:val="20"/>
        </w:rPr>
        <w:t>HAWTHORN BANCSHARES, INC.</w:t>
      </w:r>
    </w:p>
    <w:p w:rsidR="00000000" w:rsidRDefault="002A246B">
      <w:pPr>
        <w:jc w:val="center"/>
        <w:divId w:val="270551181"/>
        <w:rPr>
          <w:rFonts w:eastAsia="Times New Roman"/>
        </w:rPr>
      </w:pPr>
      <w:r>
        <w:rPr>
          <w:rFonts w:eastAsia="Times New Roman"/>
          <w:b/>
          <w:bCs/>
          <w:color w:val="000000"/>
          <w:sz w:val="20"/>
          <w:szCs w:val="20"/>
        </w:rPr>
        <w:t>AND SUBSIDIARIES</w:t>
      </w:r>
    </w:p>
    <w:p w:rsidR="00000000" w:rsidRDefault="002A246B">
      <w:pPr>
        <w:jc w:val="center"/>
        <w:divId w:val="270551181"/>
        <w:rPr>
          <w:rFonts w:eastAsia="Times New Roman"/>
        </w:rPr>
      </w:pPr>
      <w:r>
        <w:rPr>
          <w:rFonts w:eastAsia="Times New Roman"/>
          <w:color w:val="000000"/>
          <w:sz w:val="18"/>
          <w:szCs w:val="18"/>
        </w:rPr>
        <w:t>Notes to the Consolidated Financial Statements</w:t>
      </w:r>
    </w:p>
    <w:p w:rsidR="00000000" w:rsidRDefault="002A246B">
      <w:pPr>
        <w:jc w:val="center"/>
        <w:divId w:val="270551181"/>
        <w:rPr>
          <w:rFonts w:eastAsia="Times New Roman"/>
        </w:rPr>
      </w:pPr>
      <w:r>
        <w:rPr>
          <w:rFonts w:eastAsia="Times New Roman"/>
          <w:i/>
          <w:iCs/>
          <w:color w:val="000000"/>
          <w:sz w:val="18"/>
          <w:szCs w:val="18"/>
        </w:rPr>
        <w:t>(Unaudited)</w:t>
      </w:r>
    </w:p>
    <w:p w:rsidR="00000000" w:rsidRDefault="002A246B">
      <w:pPr>
        <w:jc w:val="both"/>
        <w:divId w:val="1658799934"/>
        <w:rPr>
          <w:rFonts w:eastAsia="Times New Roman"/>
        </w:rPr>
      </w:pPr>
      <w:r>
        <w:rPr>
          <w:rFonts w:eastAsia="Times New Roman"/>
          <w:color w:val="000000"/>
          <w:sz w:val="20"/>
          <w:szCs w:val="20"/>
        </w:rPr>
        <w:t xml:space="preserve">The amortized cost and fair value of debt securities classified as available-for-sale at March 31, 2022, by contractual maturity are shown below. Expected maturities may differ from contractual maturities because borrowers have the right to call or prepay </w:t>
      </w:r>
      <w:r>
        <w:rPr>
          <w:rFonts w:eastAsia="Times New Roman"/>
          <w:color w:val="000000"/>
          <w:sz w:val="20"/>
          <w:szCs w:val="20"/>
        </w:rPr>
        <w:t>obligations with or without prepayment penalties.</w:t>
      </w:r>
    </w:p>
    <w:tbl>
      <w:tblPr>
        <w:tblW w:w="5000" w:type="pct"/>
        <w:tblCellMar>
          <w:top w:w="15" w:type="dxa"/>
          <w:left w:w="15" w:type="dxa"/>
          <w:bottom w:w="15" w:type="dxa"/>
          <w:right w:w="15" w:type="dxa"/>
        </w:tblCellMar>
        <w:tblLook w:val="04A0" w:firstRow="1" w:lastRow="0" w:firstColumn="1" w:lastColumn="0" w:noHBand="0" w:noVBand="1"/>
      </w:tblPr>
      <w:tblGrid>
        <w:gridCol w:w="40"/>
        <w:gridCol w:w="5920"/>
        <w:gridCol w:w="37"/>
        <w:gridCol w:w="120"/>
        <w:gridCol w:w="961"/>
        <w:gridCol w:w="36"/>
        <w:gridCol w:w="36"/>
        <w:gridCol w:w="36"/>
        <w:gridCol w:w="36"/>
        <w:gridCol w:w="120"/>
        <w:gridCol w:w="928"/>
        <w:gridCol w:w="36"/>
      </w:tblGrid>
      <w:tr w:rsidR="00000000">
        <w:trPr>
          <w:divId w:val="1053121629"/>
        </w:trPr>
        <w:tc>
          <w:tcPr>
            <w:tcW w:w="50" w:type="pct"/>
            <w:vAlign w:val="center"/>
            <w:hideMark/>
          </w:tcPr>
          <w:p w:rsidR="00000000" w:rsidRDefault="002A246B">
            <w:pPr>
              <w:jc w:val="both"/>
              <w:rPr>
                <w:rFonts w:eastAsia="Times New Roman"/>
              </w:rPr>
            </w:pPr>
          </w:p>
        </w:tc>
        <w:tc>
          <w:tcPr>
            <w:tcW w:w="358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053121629"/>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Fair Value</w:t>
            </w:r>
          </w:p>
        </w:tc>
      </w:tr>
      <w:tr w:rsidR="00000000">
        <w:trPr>
          <w:divId w:val="105312162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Due in one year or less</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5,521 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5,517 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053121629"/>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Due after one year through five years</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23,271</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22,653</w:t>
            </w:r>
          </w:p>
        </w:tc>
      </w:tr>
      <w:tr w:rsidR="00000000">
        <w:trPr>
          <w:divId w:val="105312162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Due after five years through ten years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29,254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28,264</w:t>
            </w:r>
          </w:p>
        </w:tc>
      </w:tr>
      <w:tr w:rsidR="00000000">
        <w:trPr>
          <w:divId w:val="1053121629"/>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Due after ten years</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120,814</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106,472</w:t>
            </w:r>
          </w:p>
        </w:tc>
      </w:tr>
      <w:tr w:rsidR="00000000">
        <w:trPr>
          <w:divId w:val="105312162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Total</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178,860</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162,906</w:t>
            </w:r>
          </w:p>
        </w:tc>
      </w:tr>
      <w:tr w:rsidR="00000000">
        <w:trPr>
          <w:divId w:val="1053121629"/>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Mortgage-backed securities</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132,222</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123,848</w:t>
            </w:r>
          </w:p>
        </w:tc>
      </w:tr>
      <w:tr w:rsidR="00000000">
        <w:trPr>
          <w:divId w:val="1053121629"/>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 available-for-sale securities</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311,082 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286,754 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divId w:val="205024240"/>
        <w:rPr>
          <w:rFonts w:eastAsia="Times New Roman"/>
        </w:rPr>
      </w:pPr>
      <w:r>
        <w:rPr>
          <w:rFonts w:eastAsia="Times New Roman"/>
          <w:i/>
          <w:iCs/>
          <w:color w:val="000000"/>
          <w:sz w:val="20"/>
          <w:szCs w:val="20"/>
        </w:rPr>
        <w:t>Other Investment Securities</w:t>
      </w:r>
    </w:p>
    <w:p w:rsidR="00000000" w:rsidRDefault="002A246B">
      <w:pPr>
        <w:jc w:val="both"/>
        <w:divId w:val="1993214128"/>
        <w:rPr>
          <w:rFonts w:eastAsia="Times New Roman"/>
        </w:rPr>
      </w:pPr>
      <w:r>
        <w:rPr>
          <w:rFonts w:eastAsia="Times New Roman"/>
          <w:color w:val="000000"/>
          <w:sz w:val="20"/>
          <w:szCs w:val="20"/>
        </w:rPr>
        <w:t>Other investment securities include equity securities with readily determinable fair values and other investment securities that do not have readily determinable fair values. Investments in FHLB stock, and Midwest Independent Bank (MIB) bankers bank stock,</w:t>
      </w:r>
      <w:r>
        <w:rPr>
          <w:rFonts w:eastAsia="Times New Roman"/>
          <w:color w:val="000000"/>
          <w:sz w:val="20"/>
          <w:szCs w:val="20"/>
        </w:rPr>
        <w:t xml:space="preserve"> that do not have readily determinable fair values, are required for membership in those organizations.</w:t>
      </w:r>
    </w:p>
    <w:tbl>
      <w:tblPr>
        <w:tblW w:w="4992" w:type="pct"/>
        <w:tblCellMar>
          <w:top w:w="15" w:type="dxa"/>
          <w:left w:w="15" w:type="dxa"/>
          <w:bottom w:w="15" w:type="dxa"/>
          <w:right w:w="15" w:type="dxa"/>
        </w:tblCellMar>
        <w:tblLook w:val="04A0" w:firstRow="1" w:lastRow="0" w:firstColumn="1" w:lastColumn="0" w:noHBand="0" w:noVBand="1"/>
      </w:tblPr>
      <w:tblGrid>
        <w:gridCol w:w="39"/>
        <w:gridCol w:w="6023"/>
        <w:gridCol w:w="38"/>
        <w:gridCol w:w="121"/>
        <w:gridCol w:w="822"/>
        <w:gridCol w:w="36"/>
        <w:gridCol w:w="36"/>
        <w:gridCol w:w="36"/>
        <w:gridCol w:w="36"/>
        <w:gridCol w:w="121"/>
        <w:gridCol w:w="949"/>
        <w:gridCol w:w="36"/>
      </w:tblGrid>
      <w:tr w:rsidR="00000000">
        <w:trPr>
          <w:divId w:val="146946723"/>
        </w:trPr>
        <w:tc>
          <w:tcPr>
            <w:tcW w:w="50" w:type="pct"/>
            <w:vAlign w:val="center"/>
            <w:hideMark/>
          </w:tcPr>
          <w:p w:rsidR="00000000" w:rsidRDefault="002A246B">
            <w:pPr>
              <w:jc w:val="both"/>
              <w:rPr>
                <w:rFonts w:eastAsia="Times New Roman"/>
              </w:rPr>
            </w:pPr>
          </w:p>
        </w:tc>
        <w:tc>
          <w:tcPr>
            <w:tcW w:w="367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2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4694672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December 31, 2021</w:t>
            </w:r>
          </w:p>
        </w:tc>
      </w:tr>
      <w:tr w:rsidR="00000000">
        <w:trPr>
          <w:divId w:val="14694672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Other securities:</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4694672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FHLB stock</w:t>
            </w: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5,283</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5,197</w:t>
            </w:r>
          </w:p>
        </w:tc>
      </w:tr>
      <w:tr w:rsidR="00000000">
        <w:trPr>
          <w:divId w:val="14694672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MIB stock</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151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151</w:t>
            </w:r>
          </w:p>
        </w:tc>
      </w:tr>
      <w:tr w:rsidR="00000000">
        <w:trPr>
          <w:divId w:val="14694672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Equity securities with readily determinable fair values</w:t>
            </w:r>
          </w:p>
        </w:tc>
        <w:tc>
          <w:tcPr>
            <w:tcW w:w="0" w:type="auto"/>
            <w:gridSpan w:val="3"/>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56</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60</w:t>
            </w:r>
          </w:p>
        </w:tc>
      </w:tr>
      <w:tr w:rsidR="00000000">
        <w:trPr>
          <w:divId w:val="146946723"/>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 other investment securities</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5,490</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5,408</w:t>
            </w:r>
          </w:p>
        </w:tc>
      </w:tr>
    </w:tbl>
    <w:p w:rsidR="00000000" w:rsidRDefault="002A246B">
      <w:pPr>
        <w:jc w:val="center"/>
        <w:divId w:val="433522407"/>
        <w:rPr>
          <w:rFonts w:eastAsia="Times New Roman"/>
        </w:rPr>
      </w:pPr>
      <w:r>
        <w:rPr>
          <w:rFonts w:eastAsia="Times New Roman"/>
          <w:color w:val="000000"/>
          <w:sz w:val="20"/>
          <w:szCs w:val="20"/>
        </w:rPr>
        <w:t>17</w:t>
      </w:r>
    </w:p>
    <w:p w:rsidR="00000000" w:rsidRDefault="002A246B">
      <w:pPr>
        <w:rPr>
          <w:rFonts w:eastAsia="Times New Roman"/>
        </w:rPr>
      </w:pPr>
      <w:r>
        <w:rPr>
          <w:rFonts w:eastAsia="Times New Roman"/>
        </w:rPr>
        <w:pict>
          <v:rect id="_x0000_i1041" style="width:0;height:1.5pt" o:hralign="center" o:hrstd="t" o:hr="t" fillcolor="#a0a0a0" stroked="f"/>
        </w:pict>
      </w:r>
    </w:p>
    <w:p w:rsidR="00000000" w:rsidRDefault="002A246B">
      <w:pPr>
        <w:jc w:val="center"/>
        <w:divId w:val="1834176619"/>
        <w:rPr>
          <w:rFonts w:eastAsia="Times New Roman"/>
        </w:rPr>
      </w:pPr>
      <w:r>
        <w:rPr>
          <w:rFonts w:eastAsia="Times New Roman"/>
          <w:b/>
          <w:bCs/>
          <w:color w:val="000000"/>
          <w:sz w:val="20"/>
          <w:szCs w:val="20"/>
        </w:rPr>
        <w:t>HAWTHORN BANCSHARES, INC.</w:t>
      </w:r>
    </w:p>
    <w:p w:rsidR="00000000" w:rsidRDefault="002A246B">
      <w:pPr>
        <w:jc w:val="center"/>
        <w:divId w:val="1834176619"/>
        <w:rPr>
          <w:rFonts w:eastAsia="Times New Roman"/>
        </w:rPr>
      </w:pPr>
      <w:r>
        <w:rPr>
          <w:rFonts w:eastAsia="Times New Roman"/>
          <w:b/>
          <w:bCs/>
          <w:color w:val="000000"/>
          <w:sz w:val="20"/>
          <w:szCs w:val="20"/>
        </w:rPr>
        <w:t>AND SUBSIDIARIES</w:t>
      </w:r>
    </w:p>
    <w:p w:rsidR="00000000" w:rsidRDefault="002A246B">
      <w:pPr>
        <w:jc w:val="center"/>
        <w:divId w:val="1834176619"/>
        <w:rPr>
          <w:rFonts w:eastAsia="Times New Roman"/>
        </w:rPr>
      </w:pPr>
      <w:r>
        <w:rPr>
          <w:rFonts w:eastAsia="Times New Roman"/>
          <w:color w:val="000000"/>
          <w:sz w:val="18"/>
          <w:szCs w:val="18"/>
        </w:rPr>
        <w:t>Notes to the Consolidated Financial Statements</w:t>
      </w:r>
    </w:p>
    <w:p w:rsidR="00000000" w:rsidRDefault="002A246B">
      <w:pPr>
        <w:jc w:val="center"/>
        <w:divId w:val="1834176619"/>
        <w:rPr>
          <w:rFonts w:eastAsia="Times New Roman"/>
        </w:rPr>
      </w:pPr>
      <w:r>
        <w:rPr>
          <w:rFonts w:eastAsia="Times New Roman"/>
          <w:i/>
          <w:iCs/>
          <w:color w:val="000000"/>
          <w:sz w:val="18"/>
          <w:szCs w:val="18"/>
        </w:rPr>
        <w:t>(Unaudited)</w:t>
      </w:r>
    </w:p>
    <w:p w:rsidR="00000000" w:rsidRDefault="002A246B">
      <w:pPr>
        <w:jc w:val="both"/>
        <w:divId w:val="754548699"/>
        <w:rPr>
          <w:rFonts w:eastAsia="Times New Roman"/>
        </w:rPr>
      </w:pPr>
      <w:r>
        <w:rPr>
          <w:rFonts w:eastAsia="Times New Roman"/>
          <w:color w:val="000000"/>
          <w:sz w:val="20"/>
          <w:szCs w:val="20"/>
        </w:rPr>
        <w:t>Gross unrealized losses on debt securities and the fair value of the related securities, aggregated by investment cate</w:t>
      </w:r>
      <w:r>
        <w:rPr>
          <w:rFonts w:eastAsia="Times New Roman"/>
          <w:color w:val="000000"/>
          <w:sz w:val="20"/>
          <w:szCs w:val="20"/>
        </w:rPr>
        <w:t>gory and length of time that individual securities have been in a continuous unrealized loss position, at March 31, 2022 and December 31,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849"/>
        <w:gridCol w:w="38"/>
        <w:gridCol w:w="100"/>
        <w:gridCol w:w="708"/>
        <w:gridCol w:w="36"/>
        <w:gridCol w:w="36"/>
        <w:gridCol w:w="36"/>
        <w:gridCol w:w="36"/>
        <w:gridCol w:w="101"/>
        <w:gridCol w:w="696"/>
        <w:gridCol w:w="36"/>
        <w:gridCol w:w="36"/>
        <w:gridCol w:w="36"/>
        <w:gridCol w:w="36"/>
        <w:gridCol w:w="100"/>
        <w:gridCol w:w="534"/>
        <w:gridCol w:w="36"/>
        <w:gridCol w:w="36"/>
        <w:gridCol w:w="36"/>
        <w:gridCol w:w="36"/>
        <w:gridCol w:w="101"/>
        <w:gridCol w:w="697"/>
        <w:gridCol w:w="36"/>
        <w:gridCol w:w="36"/>
        <w:gridCol w:w="36"/>
        <w:gridCol w:w="36"/>
        <w:gridCol w:w="100"/>
        <w:gridCol w:w="674"/>
        <w:gridCol w:w="36"/>
        <w:gridCol w:w="36"/>
        <w:gridCol w:w="36"/>
        <w:gridCol w:w="36"/>
        <w:gridCol w:w="101"/>
        <w:gridCol w:w="712"/>
        <w:gridCol w:w="36"/>
      </w:tblGrid>
      <w:tr w:rsidR="00000000">
        <w:trPr>
          <w:divId w:val="1530219831"/>
        </w:trPr>
        <w:tc>
          <w:tcPr>
            <w:tcW w:w="50" w:type="pct"/>
            <w:vAlign w:val="center"/>
            <w:hideMark/>
          </w:tcPr>
          <w:p w:rsidR="00000000" w:rsidRDefault="002A246B">
            <w:pPr>
              <w:jc w:val="both"/>
              <w:rPr>
                <w:rFonts w:eastAsia="Times New Roman"/>
              </w:rPr>
            </w:pPr>
          </w:p>
        </w:tc>
        <w:tc>
          <w:tcPr>
            <w:tcW w:w="174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52"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6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6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6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52"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7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530219831"/>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Less than 12 months</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12 months or more</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530219831"/>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4"/>
                <w:szCs w:val="14"/>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Fair Value</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 xml:space="preserve">Unrealized Losses </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Fair Value</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Unrealized Losses</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Total Fair Value</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4"/>
                <w:szCs w:val="14"/>
              </w:rPr>
              <w:t>Total Unrealized Losses</w:t>
            </w:r>
          </w:p>
        </w:tc>
      </w:tr>
      <w:tr w:rsidR="00000000">
        <w:trPr>
          <w:divId w:val="153021983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At March 31,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530219831"/>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U.S. Treasury</w:t>
            </w: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2,145 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(9)</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248 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2,393 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530219831"/>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U.S. government and federal agency obligations</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975 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(40)</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975 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(40)</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530219831"/>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U.S. government-sponsored enterprises</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20,736 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(763)</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4,530 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(470)</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25,266 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(1,233)</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530219831"/>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Obligations of 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110,254 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(13,072)</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5,612 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(1,386)</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115,866 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(14,458)</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530219831"/>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Mortgage-backed securities</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87,136 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(5,018)</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30,475 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(3,437)</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117,611 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(8,455)</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530219831"/>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Other debt securities</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4,598 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(226)</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4,598 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(226)</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530219831"/>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Bank issued trust preferred securities</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1,266 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(220)</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1,266 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(220)</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530219831"/>
        </w:trPr>
        <w:tc>
          <w:tcPr>
            <w:tcW w:w="0" w:type="auto"/>
            <w:gridSpan w:val="3"/>
            <w:tcBorders>
              <w:top w:val="single" w:sz="6" w:space="0" w:color="000000"/>
            </w:tcBorders>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225,844 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(19,128)</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42,131 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(5,516)</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267,975 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(24,644)</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530219831"/>
          <w:trHeight w:val="30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530219831"/>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530219831"/>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At December 31, 2021</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530219831"/>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U.S. Treasury</w:t>
            </w: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1,758 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1,758 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530219831"/>
        </w:trPr>
        <w:tc>
          <w:tcPr>
            <w:tcW w:w="0" w:type="auto"/>
            <w:gridSpan w:val="3"/>
            <w:vAlign w:val="center"/>
            <w:hideMark/>
          </w:tcPr>
          <w:p w:rsidR="00000000" w:rsidRDefault="002A246B">
            <w:pPr>
              <w:spacing w:after="100"/>
              <w:jc w:val="right"/>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530219831"/>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U.S. government-sponsored enterprises</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18,304 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(196)</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18,304 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(196)</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530219831"/>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Obligations of 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39,221 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(474)</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39,221 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(474)</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530219831"/>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Mortgage-backed securities</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89,520 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(1,579)</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1,864 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(32)</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91,384 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(1,611)</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530219831"/>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Other debt securities</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3,802 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(23)</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3,802 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(23)</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530219831"/>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Bank issued trust preferred securities</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1,288 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(198)</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1,288 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(198)</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530219831"/>
        </w:trPr>
        <w:tc>
          <w:tcPr>
            <w:tcW w:w="0" w:type="auto"/>
            <w:gridSpan w:val="3"/>
            <w:tcBorders>
              <w:top w:val="single" w:sz="6" w:space="0" w:color="000000"/>
              <w:bottom w:val="double" w:sz="6" w:space="0" w:color="000000"/>
            </w:tcBorders>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152,605 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(2,275)</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3,152 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(230)</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155,757 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(2,505)</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jc w:val="both"/>
        <w:divId w:val="1427457404"/>
        <w:rPr>
          <w:rFonts w:eastAsia="Times New Roman"/>
        </w:rPr>
      </w:pPr>
      <w:r>
        <w:rPr>
          <w:rFonts w:eastAsia="Times New Roman"/>
          <w:color w:val="000000"/>
          <w:sz w:val="20"/>
          <w:szCs w:val="20"/>
        </w:rPr>
        <w:t>The total available-for-sale portfolio consisted of approximately 440 securities at March 31, 202</w:t>
      </w:r>
      <w:r>
        <w:rPr>
          <w:rFonts w:eastAsia="Times New Roman"/>
          <w:color w:val="000000"/>
          <w:sz w:val="20"/>
          <w:szCs w:val="20"/>
        </w:rPr>
        <w:t xml:space="preserve">2. The portfolio included 393 securities having an aggregate fair value of $268.0 million that were in a loss position at March 31, 2022. Securities identified as temporarily impaired which had been in a loss position for 12 months or longer totaled $42.1 </w:t>
      </w:r>
      <w:r>
        <w:rPr>
          <w:rFonts w:eastAsia="Times New Roman"/>
          <w:color w:val="000000"/>
          <w:sz w:val="20"/>
          <w:szCs w:val="20"/>
        </w:rPr>
        <w:t>million at fair value at March 31, 2022. The $24.6 million aggregate unrealized loss included in accumulated other comprehensive loss at March 31, 2022 was caused by interest rate fluctuations.</w:t>
      </w:r>
    </w:p>
    <w:p w:rsidR="00000000" w:rsidRDefault="002A246B">
      <w:pPr>
        <w:jc w:val="both"/>
        <w:divId w:val="1172335229"/>
        <w:rPr>
          <w:rFonts w:eastAsia="Times New Roman"/>
        </w:rPr>
      </w:pPr>
      <w:r>
        <w:rPr>
          <w:rFonts w:eastAsia="Times New Roman"/>
          <w:color w:val="000000"/>
          <w:sz w:val="20"/>
          <w:szCs w:val="20"/>
        </w:rPr>
        <w:t>The total available-for-sale portfolio consisted of approximat</w:t>
      </w:r>
      <w:r>
        <w:rPr>
          <w:rFonts w:eastAsia="Times New Roman"/>
          <w:color w:val="000000"/>
          <w:sz w:val="20"/>
          <w:szCs w:val="20"/>
        </w:rPr>
        <w:t>ely 435 securities at December 31, 2021. The portfolio included 134 securities having an aggregate fair value of $155.8 million that were in a loss position at December 31, 2021. Securities identified as temporarily impaired which had been in a loss positi</w:t>
      </w:r>
      <w:r>
        <w:rPr>
          <w:rFonts w:eastAsia="Times New Roman"/>
          <w:color w:val="000000"/>
          <w:sz w:val="20"/>
          <w:szCs w:val="20"/>
        </w:rPr>
        <w:t>on for 12 months or longer totaled $3.2 million at fair value at December 31, 2021. The $2.5 million aggregate unrealized loss included in accumulated other comprehensive loss at December 31, 2021 was caused by interest rate fluctuations.</w:t>
      </w:r>
    </w:p>
    <w:p w:rsidR="00000000" w:rsidRDefault="002A246B">
      <w:pPr>
        <w:jc w:val="both"/>
        <w:divId w:val="1849713607"/>
        <w:rPr>
          <w:rFonts w:eastAsia="Times New Roman"/>
        </w:rPr>
      </w:pPr>
      <w:r>
        <w:rPr>
          <w:rFonts w:eastAsia="Times New Roman"/>
          <w:color w:val="000000"/>
          <w:sz w:val="20"/>
          <w:szCs w:val="20"/>
        </w:rPr>
        <w:t>Because the decli</w:t>
      </w:r>
      <w:r>
        <w:rPr>
          <w:rFonts w:eastAsia="Times New Roman"/>
          <w:color w:val="000000"/>
          <w:sz w:val="20"/>
          <w:szCs w:val="20"/>
        </w:rPr>
        <w:t>ne in fair value is attributable to changes in interest rates and not credit quality, these investments were not considered other-than-temporarily impaired at March 31, 2022 and December 31, 2021, respectively. In the absence of changes in credit quality o</w:t>
      </w:r>
      <w:r>
        <w:rPr>
          <w:rFonts w:eastAsia="Times New Roman"/>
          <w:color w:val="000000"/>
          <w:sz w:val="20"/>
          <w:szCs w:val="20"/>
        </w:rPr>
        <w:t>f these investments, the fair value is expected to recover on all debt securities as they approach their maturity date or re-pricing date, or if market yields for such investments decline. In addition, the Company does not have the intent to sell these inv</w:t>
      </w:r>
      <w:r>
        <w:rPr>
          <w:rFonts w:eastAsia="Times New Roman"/>
          <w:color w:val="000000"/>
          <w:sz w:val="20"/>
          <w:szCs w:val="20"/>
        </w:rPr>
        <w:t>estments over the period of recovery, and it is not more likely than not that the Company will be required to sell such investment securities.</w:t>
      </w:r>
    </w:p>
    <w:p w:rsidR="00000000" w:rsidRDefault="002A246B">
      <w:pPr>
        <w:jc w:val="center"/>
        <w:divId w:val="1657762049"/>
        <w:rPr>
          <w:rFonts w:eastAsia="Times New Roman"/>
        </w:rPr>
      </w:pPr>
      <w:r>
        <w:rPr>
          <w:rFonts w:eastAsia="Times New Roman"/>
          <w:color w:val="000000"/>
          <w:sz w:val="20"/>
          <w:szCs w:val="20"/>
        </w:rPr>
        <w:t>18</w:t>
      </w:r>
    </w:p>
    <w:p w:rsidR="00000000" w:rsidRDefault="002A246B">
      <w:pPr>
        <w:rPr>
          <w:rFonts w:eastAsia="Times New Roman"/>
        </w:rPr>
      </w:pPr>
      <w:r>
        <w:rPr>
          <w:rFonts w:eastAsia="Times New Roman"/>
        </w:rPr>
        <w:pict>
          <v:rect id="_x0000_i1042" style="width:0;height:1.5pt" o:hralign="center" o:hrstd="t" o:hr="t" fillcolor="#a0a0a0" stroked="f"/>
        </w:pict>
      </w:r>
    </w:p>
    <w:p w:rsidR="00000000" w:rsidRDefault="002A246B">
      <w:pPr>
        <w:jc w:val="center"/>
        <w:divId w:val="804931881"/>
        <w:rPr>
          <w:rFonts w:eastAsia="Times New Roman"/>
        </w:rPr>
      </w:pPr>
      <w:r>
        <w:rPr>
          <w:rFonts w:eastAsia="Times New Roman"/>
          <w:b/>
          <w:bCs/>
          <w:color w:val="000000"/>
          <w:sz w:val="20"/>
          <w:szCs w:val="20"/>
        </w:rPr>
        <w:t>HAWTHORN BANCSHARES, INC.</w:t>
      </w:r>
    </w:p>
    <w:p w:rsidR="00000000" w:rsidRDefault="002A246B">
      <w:pPr>
        <w:jc w:val="center"/>
        <w:divId w:val="804931881"/>
        <w:rPr>
          <w:rFonts w:eastAsia="Times New Roman"/>
        </w:rPr>
      </w:pPr>
      <w:r>
        <w:rPr>
          <w:rFonts w:eastAsia="Times New Roman"/>
          <w:b/>
          <w:bCs/>
          <w:color w:val="000000"/>
          <w:sz w:val="20"/>
          <w:szCs w:val="20"/>
        </w:rPr>
        <w:t>AND SUBSIDIARIES</w:t>
      </w:r>
    </w:p>
    <w:p w:rsidR="00000000" w:rsidRDefault="002A246B">
      <w:pPr>
        <w:jc w:val="center"/>
        <w:divId w:val="804931881"/>
        <w:rPr>
          <w:rFonts w:eastAsia="Times New Roman"/>
        </w:rPr>
      </w:pPr>
      <w:r>
        <w:rPr>
          <w:rFonts w:eastAsia="Times New Roman"/>
          <w:color w:val="000000"/>
          <w:sz w:val="18"/>
          <w:szCs w:val="18"/>
        </w:rPr>
        <w:t>Notes to the Consolidated Finan</w:t>
      </w:r>
      <w:r>
        <w:rPr>
          <w:rFonts w:eastAsia="Times New Roman"/>
          <w:color w:val="000000"/>
          <w:sz w:val="18"/>
          <w:szCs w:val="18"/>
        </w:rPr>
        <w:t>cial Statements</w:t>
      </w:r>
    </w:p>
    <w:p w:rsidR="00000000" w:rsidRDefault="002A246B">
      <w:pPr>
        <w:jc w:val="center"/>
        <w:divId w:val="804931881"/>
        <w:rPr>
          <w:rFonts w:eastAsia="Times New Roman"/>
        </w:rPr>
      </w:pPr>
      <w:r>
        <w:rPr>
          <w:rFonts w:eastAsia="Times New Roman"/>
          <w:i/>
          <w:iCs/>
          <w:color w:val="000000"/>
          <w:sz w:val="18"/>
          <w:szCs w:val="18"/>
        </w:rPr>
        <w:t>(Unaudited)</w:t>
      </w:r>
    </w:p>
    <w:p w:rsidR="00000000" w:rsidRDefault="002A246B">
      <w:pPr>
        <w:jc w:val="both"/>
        <w:divId w:val="1320842279"/>
        <w:rPr>
          <w:rFonts w:eastAsia="Times New Roman"/>
        </w:rPr>
      </w:pPr>
      <w:r>
        <w:rPr>
          <w:rFonts w:eastAsia="Times New Roman"/>
          <w:color w:val="000000"/>
          <w:sz w:val="20"/>
          <w:szCs w:val="20"/>
        </w:rPr>
        <w:t>The following table presents the gross realized gains and losses from sales and calls of available-for-sale securities, as well as gains and losses on equity securities from fair value adjustments which have been recognized in earnings:</w:t>
      </w:r>
    </w:p>
    <w:tbl>
      <w:tblPr>
        <w:tblW w:w="4977" w:type="pct"/>
        <w:tblCellMar>
          <w:top w:w="15" w:type="dxa"/>
          <w:left w:w="15" w:type="dxa"/>
          <w:bottom w:w="15" w:type="dxa"/>
          <w:right w:w="15" w:type="dxa"/>
        </w:tblCellMar>
        <w:tblLook w:val="04A0" w:firstRow="1" w:lastRow="0" w:firstColumn="1" w:lastColumn="0" w:noHBand="0" w:noVBand="1"/>
      </w:tblPr>
      <w:tblGrid>
        <w:gridCol w:w="38"/>
        <w:gridCol w:w="5413"/>
        <w:gridCol w:w="37"/>
        <w:gridCol w:w="36"/>
        <w:gridCol w:w="46"/>
        <w:gridCol w:w="489"/>
        <w:gridCol w:w="36"/>
        <w:gridCol w:w="36"/>
        <w:gridCol w:w="36"/>
        <w:gridCol w:w="101"/>
        <w:gridCol w:w="859"/>
        <w:gridCol w:w="37"/>
        <w:gridCol w:w="36"/>
        <w:gridCol w:w="36"/>
        <w:gridCol w:w="36"/>
        <w:gridCol w:w="101"/>
        <w:gridCol w:w="859"/>
        <w:gridCol w:w="36"/>
      </w:tblGrid>
      <w:tr w:rsidR="00000000">
        <w:trPr>
          <w:divId w:val="2134590771"/>
        </w:trPr>
        <w:tc>
          <w:tcPr>
            <w:tcW w:w="50" w:type="pct"/>
            <w:vAlign w:val="center"/>
            <w:hideMark/>
          </w:tcPr>
          <w:p w:rsidR="00000000" w:rsidRDefault="002A246B">
            <w:pPr>
              <w:jc w:val="both"/>
              <w:rPr>
                <w:rFonts w:eastAsia="Times New Roman"/>
              </w:rPr>
            </w:pPr>
          </w:p>
        </w:tc>
        <w:tc>
          <w:tcPr>
            <w:tcW w:w="354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2134590771"/>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2134590771"/>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2021</w:t>
            </w:r>
          </w:p>
        </w:tc>
      </w:tr>
      <w:tr w:rsidR="00000000">
        <w:trPr>
          <w:divId w:val="213459077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i/>
                <w:iCs/>
                <w:color w:val="000000"/>
                <w:sz w:val="16"/>
                <w:szCs w:val="16"/>
              </w:rPr>
              <w:t>Investment securities (losses) gains, net</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2134590771"/>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Available-for-sale securities: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2134590771"/>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Gross realized gains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w:t>
            </w:r>
          </w:p>
        </w:tc>
      </w:tr>
      <w:tr w:rsidR="00000000">
        <w:trPr>
          <w:divId w:val="2134590771"/>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Gross realized losses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2134590771"/>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Other-than-temporary impairment recognized</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2134590771"/>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Other investment securities: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2134590771"/>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Fair value adjustments, net</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12</w:t>
            </w:r>
          </w:p>
        </w:tc>
      </w:tr>
      <w:tr w:rsidR="00000000">
        <w:trPr>
          <w:divId w:val="2134590771"/>
        </w:trPr>
        <w:tc>
          <w:tcPr>
            <w:tcW w:w="0" w:type="auto"/>
            <w:gridSpan w:val="3"/>
            <w:tcBorders>
              <w:top w:val="single" w:sz="6" w:space="0" w:color="000000"/>
              <w:bottom w:val="doub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Investment securities (losses) gains, net</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6" w:space="0" w:color="000000"/>
              <w:bottom w:val="double" w:sz="6" w:space="0" w:color="000000"/>
            </w:tcBorders>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w:t>
            </w: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6" w:space="0" w:color="000000"/>
              <w:bottom w:val="double" w:sz="6" w:space="0" w:color="000000"/>
            </w:tcBorders>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14</w:t>
            </w:r>
          </w:p>
        </w:tc>
      </w:tr>
    </w:tbl>
    <w:p w:rsidR="00000000" w:rsidRDefault="002A246B">
      <w:pPr>
        <w:divId w:val="1485050756"/>
        <w:rPr>
          <w:rFonts w:eastAsia="Times New Roman"/>
        </w:rPr>
      </w:pPr>
      <w:r>
        <w:rPr>
          <w:rFonts w:eastAsia="Times New Roman"/>
          <w:b/>
          <w:bCs/>
          <w:color w:val="000000"/>
          <w:sz w:val="20"/>
          <w:szCs w:val="20"/>
        </w:rPr>
        <w:t>(5) Intangible Assets</w:t>
      </w:r>
    </w:p>
    <w:p w:rsidR="00000000" w:rsidRDefault="002A246B">
      <w:pPr>
        <w:divId w:val="982808053"/>
        <w:rPr>
          <w:rFonts w:eastAsia="Times New Roman"/>
        </w:rPr>
      </w:pPr>
      <w:r>
        <w:rPr>
          <w:rFonts w:eastAsia="Times New Roman"/>
          <w:i/>
          <w:iCs/>
          <w:color w:val="000000"/>
          <w:sz w:val="20"/>
          <w:szCs w:val="20"/>
        </w:rPr>
        <w:t>Mortgage Servicing Rights</w:t>
      </w:r>
    </w:p>
    <w:p w:rsidR="00000000" w:rsidRDefault="002A246B">
      <w:pPr>
        <w:jc w:val="both"/>
        <w:divId w:val="1938631667"/>
        <w:rPr>
          <w:rFonts w:eastAsia="Times New Roman"/>
        </w:rPr>
      </w:pPr>
      <w:r>
        <w:rPr>
          <w:rFonts w:eastAsia="Times New Roman"/>
          <w:color w:val="000000"/>
          <w:sz w:val="20"/>
          <w:szCs w:val="20"/>
        </w:rPr>
        <w:t>At March </w:t>
      </w:r>
      <w:r>
        <w:rPr>
          <w:rFonts w:eastAsia="Times New Roman"/>
          <w:color w:val="000000"/>
          <w:sz w:val="20"/>
          <w:szCs w:val="20"/>
        </w:rPr>
        <w:t>31, 2022, the Company was servicing approximately $261.5 million of loans sold to the secondary market compared to $270.0 million at December 31, 2021, and $288.9 million at March 31, 2021. Mortgage loan servicing fees, reported in real estate servicing fe</w:t>
      </w:r>
      <w:r>
        <w:rPr>
          <w:rFonts w:eastAsia="Times New Roman"/>
          <w:color w:val="000000"/>
          <w:sz w:val="20"/>
          <w:szCs w:val="20"/>
        </w:rPr>
        <w:t>es, net, earned on loans sold were $0.3 million for the three months ended March 31, 2022 compared to $0.2 million for the three months ended March 31, 2021.</w:t>
      </w:r>
    </w:p>
    <w:p w:rsidR="00000000" w:rsidRDefault="002A246B">
      <w:pPr>
        <w:jc w:val="both"/>
        <w:divId w:val="273634293"/>
        <w:rPr>
          <w:rFonts w:eastAsia="Times New Roman"/>
        </w:rPr>
      </w:pPr>
      <w:r>
        <w:rPr>
          <w:rFonts w:eastAsia="Times New Roman"/>
          <w:color w:val="000000"/>
          <w:sz w:val="20"/>
          <w:szCs w:val="20"/>
        </w:rPr>
        <w:t>The table below presents changes in mortgage servicing rights (MSRs) for the periods indicated.</w:t>
      </w:r>
    </w:p>
    <w:tbl>
      <w:tblPr>
        <w:tblW w:w="4992" w:type="pct"/>
        <w:tblCellMar>
          <w:top w:w="15" w:type="dxa"/>
          <w:left w:w="15" w:type="dxa"/>
          <w:bottom w:w="15" w:type="dxa"/>
          <w:right w:w="15" w:type="dxa"/>
        </w:tblCellMar>
        <w:tblLook w:val="04A0" w:firstRow="1" w:lastRow="0" w:firstColumn="1" w:lastColumn="0" w:noHBand="0" w:noVBand="1"/>
      </w:tblPr>
      <w:tblGrid>
        <w:gridCol w:w="39"/>
        <w:gridCol w:w="5417"/>
        <w:gridCol w:w="38"/>
        <w:gridCol w:w="36"/>
        <w:gridCol w:w="46"/>
        <w:gridCol w:w="491"/>
        <w:gridCol w:w="36"/>
        <w:gridCol w:w="36"/>
        <w:gridCol w:w="36"/>
        <w:gridCol w:w="121"/>
        <w:gridCol w:w="847"/>
        <w:gridCol w:w="37"/>
        <w:gridCol w:w="36"/>
        <w:gridCol w:w="36"/>
        <w:gridCol w:w="36"/>
        <w:gridCol w:w="121"/>
        <w:gridCol w:w="848"/>
        <w:gridCol w:w="36"/>
      </w:tblGrid>
      <w:tr w:rsidR="00000000">
        <w:trPr>
          <w:divId w:val="551966852"/>
        </w:trPr>
        <w:tc>
          <w:tcPr>
            <w:tcW w:w="50" w:type="pct"/>
            <w:vAlign w:val="center"/>
            <w:hideMark/>
          </w:tcPr>
          <w:p w:rsidR="00000000" w:rsidRDefault="002A246B">
            <w:pPr>
              <w:jc w:val="both"/>
              <w:rPr>
                <w:rFonts w:eastAsia="Times New Roman"/>
              </w:rPr>
            </w:pPr>
          </w:p>
        </w:tc>
        <w:tc>
          <w:tcPr>
            <w:tcW w:w="357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9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9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551966852"/>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551966852"/>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2021</w:t>
            </w:r>
          </w:p>
        </w:tc>
      </w:tr>
      <w:tr w:rsidR="00000000">
        <w:trPr>
          <w:divId w:val="55196685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Balance at beginning of period</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2,659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2,445</w:t>
            </w:r>
          </w:p>
        </w:tc>
      </w:tr>
      <w:tr w:rsidR="00000000">
        <w:trPr>
          <w:divId w:val="551966852"/>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Originated mortgage servicing rights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28</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170</w:t>
            </w:r>
          </w:p>
        </w:tc>
      </w:tr>
      <w:tr w:rsidR="00000000">
        <w:trPr>
          <w:divId w:val="551966852"/>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Changes in fair value: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ind w:hanging="27"/>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ind w:hanging="27"/>
              <w:rPr>
                <w:rFonts w:eastAsia="Times New Roman"/>
                <w:sz w:val="20"/>
                <w:szCs w:val="20"/>
              </w:rPr>
            </w:pPr>
          </w:p>
        </w:tc>
      </w:tr>
      <w:tr w:rsidR="00000000">
        <w:trPr>
          <w:divId w:val="551966852"/>
        </w:trPr>
        <w:tc>
          <w:tcPr>
            <w:tcW w:w="0" w:type="auto"/>
            <w:gridSpan w:val="3"/>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Due to changes in model inputs and assumptions (1)</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30</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22 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551966852"/>
        </w:trPr>
        <w:tc>
          <w:tcPr>
            <w:tcW w:w="0" w:type="auto"/>
            <w:gridSpan w:val="3"/>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Other changes in fair value (2)</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(78)</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(143)</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551966852"/>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Total changes in fair value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(48)</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(121)</w:t>
            </w:r>
          </w:p>
        </w:tc>
      </w:tr>
      <w:tr w:rsidR="00000000">
        <w:trPr>
          <w:divId w:val="551966852"/>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Balance at end of period</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7" w:type="dxa"/>
            </w:tcMar>
            <w:vAlign w:val="center"/>
            <w:hideMark/>
          </w:tcPr>
          <w:p w:rsidR="00000000" w:rsidRDefault="002A246B">
            <w:pPr>
              <w:spacing w:after="100"/>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2,639</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7" w:type="dxa"/>
            </w:tcMar>
            <w:vAlign w:val="center"/>
            <w:hideMark/>
          </w:tcPr>
          <w:p w:rsidR="00000000" w:rsidRDefault="002A246B">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2,494</w:t>
            </w:r>
          </w:p>
        </w:tc>
      </w:tr>
    </w:tbl>
    <w:tbl>
      <w:tblPr>
        <w:tblW w:w="1219" w:type="pct"/>
        <w:tblCellMar>
          <w:top w:w="15" w:type="dxa"/>
          <w:left w:w="15" w:type="dxa"/>
          <w:bottom w:w="15" w:type="dxa"/>
          <w:right w:w="15" w:type="dxa"/>
        </w:tblCellMar>
        <w:tblLook w:val="04A0" w:firstRow="1" w:lastRow="0" w:firstColumn="1" w:lastColumn="0" w:noHBand="0" w:noVBand="1"/>
      </w:tblPr>
      <w:tblGrid>
        <w:gridCol w:w="144"/>
        <w:gridCol w:w="2002"/>
        <w:gridCol w:w="144"/>
      </w:tblGrid>
      <w:tr w:rsidR="00000000">
        <w:tc>
          <w:tcPr>
            <w:tcW w:w="50" w:type="pct"/>
            <w:vAlign w:val="center"/>
            <w:hideMark/>
          </w:tcPr>
          <w:p w:rsidR="00000000" w:rsidRDefault="002A246B">
            <w:pPr>
              <w:rPr>
                <w:rFonts w:eastAsia="Times New Roman"/>
              </w:rPr>
            </w:pPr>
          </w:p>
        </w:tc>
        <w:tc>
          <w:tcPr>
            <w:tcW w:w="494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r>
    </w:tbl>
    <w:p w:rsidR="00000000" w:rsidRDefault="002A246B">
      <w:pPr>
        <w:ind w:hanging="360"/>
        <w:divId w:val="181482550"/>
        <w:rPr>
          <w:rFonts w:eastAsia="Times New Roman"/>
        </w:rPr>
      </w:pPr>
      <w:r>
        <w:rPr>
          <w:rFonts w:eastAsia="Times New Roman"/>
          <w:color w:val="000000"/>
          <w:sz w:val="16"/>
          <w:szCs w:val="16"/>
        </w:rPr>
        <w:t>(1)The change in fair value resulting from changes in valuation inputs or assumptions, reported in real estate servicing fees, net, used in the valuation model reflects the change in discount rates and prepayment speed assumptions primarily due to chan</w:t>
      </w:r>
      <w:r>
        <w:rPr>
          <w:rFonts w:eastAsia="Times New Roman"/>
          <w:color w:val="000000"/>
          <w:sz w:val="16"/>
          <w:szCs w:val="16"/>
        </w:rPr>
        <w:t>ges in interest rates.</w:t>
      </w:r>
    </w:p>
    <w:p w:rsidR="00000000" w:rsidRDefault="002A246B">
      <w:pPr>
        <w:ind w:hanging="360"/>
        <w:divId w:val="125049548"/>
        <w:rPr>
          <w:rFonts w:eastAsia="Times New Roman"/>
        </w:rPr>
      </w:pPr>
      <w:r>
        <w:rPr>
          <w:rFonts w:eastAsia="Times New Roman"/>
          <w:color w:val="000000"/>
          <w:sz w:val="16"/>
          <w:szCs w:val="16"/>
        </w:rPr>
        <w:t>(2)Other changes in fair value, reported in real estate servicing fees, net, reflect changes due to customer payments and passage of time.</w:t>
      </w:r>
    </w:p>
    <w:p w:rsidR="00000000" w:rsidRDefault="002A246B">
      <w:pPr>
        <w:jc w:val="both"/>
        <w:divId w:val="540481216"/>
        <w:rPr>
          <w:rFonts w:eastAsia="Times New Roman"/>
        </w:rPr>
      </w:pPr>
      <w:r>
        <w:rPr>
          <w:rFonts w:eastAsia="Times New Roman"/>
          <w:color w:val="000000"/>
          <w:sz w:val="20"/>
          <w:szCs w:val="20"/>
        </w:rPr>
        <w:t>The following key data and assumptions were used in estimating the fair value of the Company’s</w:t>
      </w:r>
      <w:r>
        <w:rPr>
          <w:rFonts w:eastAsia="Times New Roman"/>
          <w:color w:val="000000"/>
          <w:sz w:val="20"/>
          <w:szCs w:val="20"/>
        </w:rPr>
        <w:t xml:space="preserve"> MSRs as of March 31, 2022 and 2021, respectively:</w:t>
      </w:r>
    </w:p>
    <w:tbl>
      <w:tblPr>
        <w:tblW w:w="5000" w:type="pct"/>
        <w:tblCellMar>
          <w:top w:w="15" w:type="dxa"/>
          <w:left w:w="15" w:type="dxa"/>
          <w:bottom w:w="15" w:type="dxa"/>
          <w:right w:w="15" w:type="dxa"/>
        </w:tblCellMar>
        <w:tblLook w:val="04A0" w:firstRow="1" w:lastRow="0" w:firstColumn="1" w:lastColumn="0" w:noHBand="0" w:noVBand="1"/>
      </w:tblPr>
      <w:tblGrid>
        <w:gridCol w:w="37"/>
        <w:gridCol w:w="5873"/>
        <w:gridCol w:w="36"/>
        <w:gridCol w:w="38"/>
        <w:gridCol w:w="900"/>
        <w:gridCol w:w="188"/>
        <w:gridCol w:w="36"/>
        <w:gridCol w:w="36"/>
        <w:gridCol w:w="36"/>
        <w:gridCol w:w="40"/>
        <w:gridCol w:w="898"/>
        <w:gridCol w:w="188"/>
      </w:tblGrid>
      <w:tr w:rsidR="00000000">
        <w:trPr>
          <w:divId w:val="630019129"/>
        </w:trPr>
        <w:tc>
          <w:tcPr>
            <w:tcW w:w="50" w:type="pct"/>
            <w:vAlign w:val="center"/>
            <w:hideMark/>
          </w:tcPr>
          <w:p w:rsidR="00000000" w:rsidRDefault="002A246B">
            <w:pPr>
              <w:jc w:val="both"/>
              <w:rPr>
                <w:rFonts w:eastAsia="Times New Roman"/>
              </w:rPr>
            </w:pPr>
          </w:p>
        </w:tc>
        <w:tc>
          <w:tcPr>
            <w:tcW w:w="359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630019129"/>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Three Months Ended March 31,</w:t>
            </w:r>
          </w:p>
        </w:tc>
      </w:tr>
      <w:tr w:rsidR="00000000">
        <w:trPr>
          <w:divId w:val="630019129"/>
        </w:trPr>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2021</w:t>
            </w:r>
          </w:p>
        </w:tc>
      </w:tr>
      <w:tr w:rsidR="00000000">
        <w:trPr>
          <w:divId w:val="63001912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Weighted average constant prepayment rate</w:t>
            </w: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9.40 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15.04 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630019129"/>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Weighted average note rate</w:t>
            </w: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3.36 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3.47 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63001912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Weighted average discount rate</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8.00 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7.75 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630019129"/>
        </w:trPr>
        <w:tc>
          <w:tcPr>
            <w:tcW w:w="0" w:type="auto"/>
            <w:gridSpan w:val="3"/>
            <w:tcBorders>
              <w:bottom w:val="sing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Weighted average expected life (in years)</w:t>
            </w:r>
          </w:p>
        </w:tc>
        <w:tc>
          <w:tcPr>
            <w:tcW w:w="0" w:type="auto"/>
            <w:gridSpan w:val="3"/>
            <w:tcBorders>
              <w:bottom w:val="single" w:sz="6" w:space="0" w:color="000000"/>
            </w:tcBorders>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6.2</w:t>
            </w:r>
          </w:p>
        </w:tc>
        <w:tc>
          <w:tcPr>
            <w:tcW w:w="0" w:type="auto"/>
            <w:gridSpan w:val="3"/>
            <w:tcBorders>
              <w:bottom w:val="sing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bottom w:val="single" w:sz="6" w:space="0" w:color="000000"/>
            </w:tcBorders>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5.0</w:t>
            </w:r>
          </w:p>
        </w:tc>
      </w:tr>
    </w:tbl>
    <w:p w:rsidR="00000000" w:rsidRDefault="002A246B">
      <w:pPr>
        <w:jc w:val="center"/>
        <w:divId w:val="890186998"/>
        <w:rPr>
          <w:rFonts w:eastAsia="Times New Roman"/>
        </w:rPr>
      </w:pPr>
      <w:r>
        <w:rPr>
          <w:rFonts w:eastAsia="Times New Roman"/>
          <w:color w:val="000000"/>
          <w:sz w:val="20"/>
          <w:szCs w:val="20"/>
        </w:rPr>
        <w:t>19</w:t>
      </w:r>
    </w:p>
    <w:p w:rsidR="00000000" w:rsidRDefault="002A246B">
      <w:pPr>
        <w:rPr>
          <w:rFonts w:eastAsia="Times New Roman"/>
        </w:rPr>
      </w:pPr>
      <w:r>
        <w:rPr>
          <w:rFonts w:eastAsia="Times New Roman"/>
        </w:rPr>
        <w:pict>
          <v:rect id="_x0000_i1043" style="width:0;height:1.5pt" o:hralign="center" o:hrstd="t" o:hr="t" fillcolor="#a0a0a0" stroked="f"/>
        </w:pict>
      </w:r>
    </w:p>
    <w:p w:rsidR="00000000" w:rsidRDefault="002A246B">
      <w:pPr>
        <w:jc w:val="center"/>
        <w:divId w:val="1178614331"/>
        <w:rPr>
          <w:rFonts w:eastAsia="Times New Roman"/>
        </w:rPr>
      </w:pPr>
      <w:r>
        <w:rPr>
          <w:rFonts w:eastAsia="Times New Roman"/>
          <w:b/>
          <w:bCs/>
          <w:color w:val="000000"/>
          <w:sz w:val="20"/>
          <w:szCs w:val="20"/>
        </w:rPr>
        <w:t>HAWTHORN BANCSHARES, INC.</w:t>
      </w:r>
    </w:p>
    <w:p w:rsidR="00000000" w:rsidRDefault="002A246B">
      <w:pPr>
        <w:jc w:val="center"/>
        <w:divId w:val="1178614331"/>
        <w:rPr>
          <w:rFonts w:eastAsia="Times New Roman"/>
        </w:rPr>
      </w:pPr>
      <w:r>
        <w:rPr>
          <w:rFonts w:eastAsia="Times New Roman"/>
          <w:b/>
          <w:bCs/>
          <w:color w:val="000000"/>
          <w:sz w:val="20"/>
          <w:szCs w:val="20"/>
        </w:rPr>
        <w:t>AND SUBSIDIARIES</w:t>
      </w:r>
    </w:p>
    <w:p w:rsidR="00000000" w:rsidRDefault="002A246B">
      <w:pPr>
        <w:jc w:val="center"/>
        <w:divId w:val="1178614331"/>
        <w:rPr>
          <w:rFonts w:eastAsia="Times New Roman"/>
        </w:rPr>
      </w:pPr>
      <w:r>
        <w:rPr>
          <w:rFonts w:eastAsia="Times New Roman"/>
          <w:color w:val="000000"/>
          <w:sz w:val="18"/>
          <w:szCs w:val="18"/>
        </w:rPr>
        <w:t>Notes to the Consolidated Financial Statements</w:t>
      </w:r>
    </w:p>
    <w:p w:rsidR="00000000" w:rsidRDefault="002A246B">
      <w:pPr>
        <w:jc w:val="center"/>
        <w:divId w:val="1178614331"/>
        <w:rPr>
          <w:rFonts w:eastAsia="Times New Roman"/>
        </w:rPr>
      </w:pPr>
      <w:r>
        <w:rPr>
          <w:rFonts w:eastAsia="Times New Roman"/>
          <w:i/>
          <w:iCs/>
          <w:color w:val="000000"/>
          <w:sz w:val="18"/>
          <w:szCs w:val="18"/>
        </w:rPr>
        <w:t>(Unaudited)</w:t>
      </w:r>
    </w:p>
    <w:p w:rsidR="00000000" w:rsidRDefault="002A246B">
      <w:pPr>
        <w:divId w:val="1976524606"/>
        <w:rPr>
          <w:rFonts w:eastAsia="Times New Roman"/>
        </w:rPr>
      </w:pPr>
      <w:r>
        <w:rPr>
          <w:rFonts w:eastAsia="Times New Roman"/>
          <w:b/>
          <w:bCs/>
          <w:color w:val="000000"/>
          <w:sz w:val="20"/>
          <w:szCs w:val="20"/>
        </w:rPr>
        <w:t>(6) Deposits</w:t>
      </w:r>
    </w:p>
    <w:p w:rsidR="00000000" w:rsidRDefault="002A246B">
      <w:pPr>
        <w:jc w:val="both"/>
        <w:divId w:val="2084641689"/>
        <w:rPr>
          <w:rFonts w:eastAsia="Times New Roman"/>
        </w:rPr>
      </w:pPr>
      <w:r>
        <w:rPr>
          <w:rFonts w:eastAsia="Times New Roman"/>
          <w:color w:val="000000"/>
          <w:sz w:val="20"/>
          <w:szCs w:val="20"/>
        </w:rPr>
        <w:t>The table below represents the aggregate amount of time deposits with balances that met or exceeded the Federal Deposit Insurance Corporation (FDIC) insurance limit of $250,000 and brokered deposits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890"/>
        <w:gridCol w:w="37"/>
        <w:gridCol w:w="36"/>
        <w:gridCol w:w="36"/>
        <w:gridCol w:w="36"/>
        <w:gridCol w:w="36"/>
        <w:gridCol w:w="36"/>
        <w:gridCol w:w="36"/>
        <w:gridCol w:w="120"/>
        <w:gridCol w:w="796"/>
        <w:gridCol w:w="36"/>
        <w:gridCol w:w="36"/>
        <w:gridCol w:w="36"/>
        <w:gridCol w:w="36"/>
        <w:gridCol w:w="120"/>
        <w:gridCol w:w="909"/>
        <w:gridCol w:w="36"/>
      </w:tblGrid>
      <w:tr w:rsidR="00000000">
        <w:trPr>
          <w:divId w:val="266544680"/>
        </w:trPr>
        <w:tc>
          <w:tcPr>
            <w:tcW w:w="50" w:type="pct"/>
            <w:vAlign w:val="center"/>
            <w:hideMark/>
          </w:tcPr>
          <w:p w:rsidR="00000000" w:rsidRDefault="002A246B">
            <w:pPr>
              <w:jc w:val="both"/>
              <w:rPr>
                <w:rFonts w:eastAsia="Times New Roman"/>
              </w:rPr>
            </w:pPr>
          </w:p>
        </w:tc>
        <w:tc>
          <w:tcPr>
            <w:tcW w:w="364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9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266544680"/>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(aggregate amounts in thousands)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December 31, 2021</w:t>
            </w:r>
          </w:p>
        </w:tc>
      </w:tr>
      <w:tr w:rsidR="00000000">
        <w:trPr>
          <w:divId w:val="266544680"/>
        </w:trPr>
        <w:tc>
          <w:tcPr>
            <w:tcW w:w="0" w:type="auto"/>
            <w:gridSpan w:val="3"/>
            <w:tcBorders>
              <w:top w:val="single" w:sz="8" w:space="0" w:color="000000"/>
            </w:tcBorders>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Time deposits with balances &gt; $250,000</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84,692 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69,075 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266544680"/>
        </w:trPr>
        <w:tc>
          <w:tcPr>
            <w:tcW w:w="0" w:type="auto"/>
            <w:gridSpan w:val="3"/>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Brokered deposits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20,209 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20,202 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bl>
    <w:tbl>
      <w:tblPr>
        <w:tblW w:w="1219" w:type="pct"/>
        <w:tblCellMar>
          <w:top w:w="15" w:type="dxa"/>
          <w:left w:w="15" w:type="dxa"/>
          <w:bottom w:w="15" w:type="dxa"/>
          <w:right w:w="15" w:type="dxa"/>
        </w:tblCellMar>
        <w:tblLook w:val="04A0" w:firstRow="1" w:lastRow="0" w:firstColumn="1" w:lastColumn="0" w:noHBand="0" w:noVBand="1"/>
      </w:tblPr>
      <w:tblGrid>
        <w:gridCol w:w="144"/>
        <w:gridCol w:w="2002"/>
        <w:gridCol w:w="144"/>
      </w:tblGrid>
      <w:tr w:rsidR="00000000">
        <w:tc>
          <w:tcPr>
            <w:tcW w:w="50" w:type="pct"/>
            <w:vAlign w:val="center"/>
            <w:hideMark/>
          </w:tcPr>
          <w:p w:rsidR="00000000" w:rsidRDefault="002A246B">
            <w:pPr>
              <w:rPr>
                <w:rFonts w:eastAsia="Times New Roman"/>
              </w:rPr>
            </w:pPr>
          </w:p>
        </w:tc>
        <w:tc>
          <w:tcPr>
            <w:tcW w:w="494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r>
    </w:tbl>
    <w:p w:rsidR="00000000" w:rsidRDefault="002A246B">
      <w:pPr>
        <w:divId w:val="1111781458"/>
        <w:rPr>
          <w:rFonts w:eastAsia="Times New Roman"/>
        </w:rPr>
      </w:pPr>
    </w:p>
    <w:p w:rsidR="00000000" w:rsidRDefault="002A246B">
      <w:pPr>
        <w:divId w:val="549420338"/>
        <w:rPr>
          <w:rFonts w:eastAsia="Times New Roman"/>
        </w:rPr>
      </w:pPr>
      <w:r>
        <w:rPr>
          <w:rFonts w:eastAsia="Times New Roman"/>
          <w:b/>
          <w:bCs/>
          <w:color w:val="000000"/>
          <w:sz w:val="20"/>
          <w:szCs w:val="20"/>
        </w:rPr>
        <w:t>(7) Federal Funds Purchased and Securities Sold under Agreements to Repurchase</w:t>
      </w:r>
    </w:p>
    <w:tbl>
      <w:tblPr>
        <w:tblW w:w="4984" w:type="pct"/>
        <w:tblCellMar>
          <w:top w:w="15" w:type="dxa"/>
          <w:left w:w="15" w:type="dxa"/>
          <w:bottom w:w="15" w:type="dxa"/>
          <w:right w:w="15" w:type="dxa"/>
        </w:tblCellMar>
        <w:tblLook w:val="04A0" w:firstRow="1" w:lastRow="0" w:firstColumn="1" w:lastColumn="0" w:noHBand="0" w:noVBand="1"/>
      </w:tblPr>
      <w:tblGrid>
        <w:gridCol w:w="39"/>
        <w:gridCol w:w="6072"/>
        <w:gridCol w:w="38"/>
        <w:gridCol w:w="120"/>
        <w:gridCol w:w="761"/>
        <w:gridCol w:w="36"/>
        <w:gridCol w:w="36"/>
        <w:gridCol w:w="36"/>
        <w:gridCol w:w="36"/>
        <w:gridCol w:w="120"/>
        <w:gridCol w:w="949"/>
        <w:gridCol w:w="36"/>
      </w:tblGrid>
      <w:tr w:rsidR="00000000">
        <w:trPr>
          <w:divId w:val="86584126"/>
        </w:trPr>
        <w:tc>
          <w:tcPr>
            <w:tcW w:w="50" w:type="pct"/>
            <w:vAlign w:val="center"/>
            <w:hideMark/>
          </w:tcPr>
          <w:p w:rsidR="00000000" w:rsidRDefault="002A246B">
            <w:pPr>
              <w:rPr>
                <w:rFonts w:eastAsia="Times New Roman"/>
              </w:rPr>
            </w:pPr>
          </w:p>
        </w:tc>
        <w:tc>
          <w:tcPr>
            <w:tcW w:w="370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92"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86584126"/>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December 31, 2021</w:t>
            </w:r>
          </w:p>
        </w:tc>
      </w:tr>
      <w:tr w:rsidR="00000000">
        <w:trPr>
          <w:divId w:val="8658412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Federal funds purchased</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6584126"/>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Repurchase agreements</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5,514 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23,829 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6584126"/>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Total</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5,514 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23,829 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jc w:val="both"/>
        <w:divId w:val="44530268"/>
        <w:rPr>
          <w:rFonts w:eastAsia="Times New Roman"/>
        </w:rPr>
      </w:pPr>
      <w:r>
        <w:rPr>
          <w:rFonts w:eastAsia="Times New Roman"/>
          <w:color w:val="000000"/>
          <w:sz w:val="20"/>
          <w:szCs w:val="20"/>
        </w:rPr>
        <w:t>The Company offers a sweep account program whereby amounts in excess of an established limit are “swept” from the customer’</w:t>
      </w:r>
      <w:r>
        <w:rPr>
          <w:rFonts w:eastAsia="Times New Roman"/>
          <w:color w:val="000000"/>
          <w:sz w:val="20"/>
          <w:szCs w:val="20"/>
        </w:rPr>
        <w:t>s demand deposit account on a daily basis into retail repurchase agreements pursuant to individual repurchase agreements between the Company and its customers</w:t>
      </w:r>
      <w:r>
        <w:rPr>
          <w:rFonts w:eastAsia="Times New Roman"/>
          <w:i/>
          <w:iCs/>
          <w:color w:val="000000"/>
          <w:sz w:val="20"/>
          <w:szCs w:val="20"/>
        </w:rPr>
        <w:t>.</w:t>
      </w:r>
      <w:r>
        <w:rPr>
          <w:rFonts w:eastAsia="Times New Roman"/>
          <w:color w:val="000000"/>
          <w:sz w:val="20"/>
          <w:szCs w:val="20"/>
        </w:rPr>
        <w:t xml:space="preserve"> Repurchase agreements are agreements to sell securities subject to an obligation to repurchase t</w:t>
      </w:r>
      <w:r>
        <w:rPr>
          <w:rFonts w:eastAsia="Times New Roman"/>
          <w:color w:val="000000"/>
          <w:sz w:val="20"/>
          <w:szCs w:val="20"/>
        </w:rPr>
        <w:t>he same or similar securities. They are accounted for as collateralized financing transactions, not as sales and purchases of the securities portfolio. The securities collateral pledged for the repurchase agreements with customers is maintained by a design</w:t>
      </w:r>
      <w:r>
        <w:rPr>
          <w:rFonts w:eastAsia="Times New Roman"/>
          <w:color w:val="000000"/>
          <w:sz w:val="20"/>
          <w:szCs w:val="20"/>
        </w:rPr>
        <w:t>ated third-party custodian</w:t>
      </w:r>
      <w:r>
        <w:rPr>
          <w:rFonts w:eastAsia="Times New Roman"/>
          <w:i/>
          <w:iCs/>
          <w:color w:val="000000"/>
          <w:sz w:val="20"/>
          <w:szCs w:val="20"/>
        </w:rPr>
        <w:t>.</w:t>
      </w:r>
      <w:r>
        <w:rPr>
          <w:rFonts w:eastAsia="Times New Roman"/>
          <w:color w:val="000000"/>
          <w:sz w:val="20"/>
          <w:szCs w:val="20"/>
        </w:rPr>
        <w:t xml:space="preserve"> The collateral amounts pledged to repurchase agreements by remaining maturity in the table below are limited to the outstanding balances of the related asset or liability; thus amounts of excess collateral are not shown.</w:t>
      </w:r>
    </w:p>
    <w:tbl>
      <w:tblPr>
        <w:tblW w:w="5000" w:type="pct"/>
        <w:tblCellMar>
          <w:top w:w="15" w:type="dxa"/>
          <w:left w:w="15" w:type="dxa"/>
          <w:bottom w:w="15" w:type="dxa"/>
          <w:right w:w="15" w:type="dxa"/>
        </w:tblCellMar>
        <w:tblLook w:val="04A0" w:firstRow="1" w:lastRow="0" w:firstColumn="1" w:lastColumn="0" w:noHBand="0" w:noVBand="1"/>
      </w:tblPr>
      <w:tblGrid>
        <w:gridCol w:w="38"/>
        <w:gridCol w:w="3601"/>
        <w:gridCol w:w="37"/>
        <w:gridCol w:w="111"/>
        <w:gridCol w:w="957"/>
        <w:gridCol w:w="37"/>
        <w:gridCol w:w="36"/>
        <w:gridCol w:w="36"/>
        <w:gridCol w:w="36"/>
        <w:gridCol w:w="110"/>
        <w:gridCol w:w="920"/>
        <w:gridCol w:w="36"/>
        <w:gridCol w:w="36"/>
        <w:gridCol w:w="36"/>
        <w:gridCol w:w="36"/>
        <w:gridCol w:w="111"/>
        <w:gridCol w:w="920"/>
        <w:gridCol w:w="36"/>
        <w:gridCol w:w="36"/>
        <w:gridCol w:w="36"/>
        <w:gridCol w:w="36"/>
        <w:gridCol w:w="110"/>
        <w:gridCol w:w="922"/>
        <w:gridCol w:w="36"/>
      </w:tblGrid>
      <w:tr w:rsidR="00000000">
        <w:trPr>
          <w:divId w:val="1300039650"/>
        </w:trPr>
        <w:tc>
          <w:tcPr>
            <w:tcW w:w="50" w:type="pct"/>
            <w:vAlign w:val="center"/>
            <w:hideMark/>
          </w:tcPr>
          <w:p w:rsidR="00000000" w:rsidRDefault="002A246B">
            <w:pPr>
              <w:jc w:val="both"/>
              <w:rPr>
                <w:rFonts w:eastAsia="Times New Roman"/>
              </w:rPr>
            </w:pPr>
          </w:p>
        </w:tc>
        <w:tc>
          <w:tcPr>
            <w:tcW w:w="219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300039650"/>
        </w:trPr>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Repurchase Agreements</w:t>
            </w:r>
          </w:p>
        </w:tc>
        <w:tc>
          <w:tcPr>
            <w:tcW w:w="0" w:type="auto"/>
            <w:gridSpan w:val="21"/>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Remaining Contractual Maturity of the Agreements</w:t>
            </w:r>
          </w:p>
        </w:tc>
      </w:tr>
      <w:tr w:rsidR="00000000">
        <w:trPr>
          <w:divId w:val="1300039650"/>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Overnight and continuous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Less than 90 days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Greater than 90 days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Total</w:t>
            </w:r>
          </w:p>
        </w:tc>
      </w:tr>
      <w:tr w:rsidR="00000000">
        <w:trPr>
          <w:divId w:val="1300039650"/>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8"/>
                <w:szCs w:val="18"/>
              </w:rPr>
              <w:t>At March 31,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300039650"/>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U.S. government-sponsored enterprises</w:t>
            </w: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5,514 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5,514 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300039650"/>
        </w:trPr>
        <w:tc>
          <w:tcPr>
            <w:tcW w:w="0" w:type="auto"/>
            <w:gridSpan w:val="3"/>
            <w:vAlign w:val="center"/>
            <w:hideMark/>
          </w:tcPr>
          <w:p w:rsidR="00000000" w:rsidRDefault="002A246B">
            <w:pPr>
              <w:spacing w:after="100"/>
              <w:jc w:val="right"/>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300039650"/>
        </w:trPr>
        <w:tc>
          <w:tcPr>
            <w:tcW w:w="0" w:type="auto"/>
            <w:gridSpan w:val="3"/>
            <w:tcBorders>
              <w:top w:val="single" w:sz="6" w:space="0" w:color="000000"/>
            </w:tcBorders>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8"/>
                <w:szCs w:val="18"/>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5,514 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5,514 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300039650"/>
          <w:trHeight w:val="30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30003965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8"/>
                <w:szCs w:val="18"/>
              </w:rPr>
              <w:t>At December 31, 2021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300039650"/>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300039650"/>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U.S. government-sponsored enterprises</w:t>
            </w: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9,113 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9,113 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30003965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Mortgage-backed securities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14,716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14,716</w:t>
            </w:r>
          </w:p>
        </w:tc>
      </w:tr>
      <w:tr w:rsidR="00000000">
        <w:trPr>
          <w:divId w:val="1300039650"/>
        </w:trPr>
        <w:tc>
          <w:tcPr>
            <w:tcW w:w="0" w:type="auto"/>
            <w:gridSpan w:val="3"/>
            <w:tcBorders>
              <w:top w:val="single" w:sz="6" w:space="0" w:color="000000"/>
              <w:bottom w:val="double" w:sz="6" w:space="0" w:color="000000"/>
            </w:tcBorders>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8"/>
                <w:szCs w:val="18"/>
              </w:rPr>
              <w:t>Total</w:t>
            </w: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23,829 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23,829 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divId w:val="1847675170"/>
        <w:rPr>
          <w:rFonts w:eastAsia="Times New Roman"/>
        </w:rPr>
      </w:pPr>
      <w:r>
        <w:rPr>
          <w:rFonts w:eastAsia="Times New Roman"/>
          <w:b/>
          <w:bCs/>
          <w:color w:val="000000"/>
          <w:sz w:val="20"/>
          <w:szCs w:val="20"/>
        </w:rPr>
        <w:t>(8) Leases</w:t>
      </w:r>
    </w:p>
    <w:p w:rsidR="00000000" w:rsidRDefault="002A246B">
      <w:pPr>
        <w:jc w:val="both"/>
        <w:divId w:val="782729134"/>
        <w:rPr>
          <w:rFonts w:eastAsia="Times New Roman"/>
        </w:rPr>
      </w:pPr>
      <w:r>
        <w:rPr>
          <w:rFonts w:eastAsia="Times New Roman"/>
          <w:color w:val="000000"/>
          <w:sz w:val="20"/>
          <w:szCs w:val="20"/>
        </w:rPr>
        <w:t xml:space="preserve">The Company's leases primarily consist of office space and bank branches with remaining lease terms of generally 1 </w:t>
      </w:r>
      <w:r>
        <w:rPr>
          <w:rFonts w:eastAsia="Times New Roman"/>
          <w:color w:val="000000"/>
          <w:sz w:val="20"/>
          <w:szCs w:val="20"/>
        </w:rPr>
        <w:t>to 10 years. As of March 31, 2022, operating right of use (ROU) assets and liabilities were $1.7 million and $1.8 million, respectively. As of March 31, 2022, the weighted-average remaining lease term on these operating leases is approximately 6.3 years an</w:t>
      </w:r>
      <w:r>
        <w:rPr>
          <w:rFonts w:eastAsia="Times New Roman"/>
          <w:color w:val="000000"/>
          <w:sz w:val="20"/>
          <w:szCs w:val="20"/>
        </w:rPr>
        <w:t>d the weighted-average discount rate used to measure the lease liabilities is approximately 4%.</w:t>
      </w:r>
    </w:p>
    <w:p w:rsidR="00000000" w:rsidRDefault="002A246B">
      <w:pPr>
        <w:jc w:val="both"/>
        <w:divId w:val="1781140529"/>
        <w:rPr>
          <w:rFonts w:eastAsia="Times New Roman"/>
        </w:rPr>
      </w:pPr>
      <w:r>
        <w:rPr>
          <w:rFonts w:eastAsia="Times New Roman"/>
          <w:color w:val="000000"/>
          <w:sz w:val="20"/>
          <w:szCs w:val="20"/>
        </w:rPr>
        <w:t xml:space="preserve">Operating leases in which the Company is the lessee are recorded as operating lease ROU assets and operating lease liabilities. Currently, the Company does not </w:t>
      </w:r>
      <w:r>
        <w:rPr>
          <w:rFonts w:eastAsia="Times New Roman"/>
          <w:color w:val="000000"/>
          <w:sz w:val="20"/>
          <w:szCs w:val="20"/>
        </w:rPr>
        <w:t>have any finance leases. The ROU assets are included in</w:t>
      </w:r>
      <w:r>
        <w:rPr>
          <w:rFonts w:eastAsia="Times New Roman"/>
          <w:color w:val="000000"/>
          <w:sz w:val="20"/>
          <w:szCs w:val="20"/>
        </w:rPr>
        <w:t xml:space="preserve"> </w:t>
      </w:r>
      <w:r>
        <w:rPr>
          <w:rFonts w:eastAsia="Times New Roman"/>
          <w:color w:val="000000"/>
          <w:sz w:val="20"/>
          <w:szCs w:val="20"/>
        </w:rPr>
        <w:t>premises and equipment, ne</w:t>
      </w:r>
      <w:r>
        <w:rPr>
          <w:rFonts w:eastAsia="Times New Roman"/>
          <w:color w:val="000000"/>
          <w:sz w:val="20"/>
          <w:szCs w:val="20"/>
        </w:rPr>
        <w:t>t</w:t>
      </w:r>
      <w:r>
        <w:rPr>
          <w:rFonts w:eastAsia="Times New Roman"/>
          <w:color w:val="000000"/>
          <w:sz w:val="20"/>
          <w:szCs w:val="20"/>
        </w:rPr>
        <w:t xml:space="preserve"> on the consolidated balance sheets. </w:t>
      </w:r>
    </w:p>
    <w:p w:rsidR="00000000" w:rsidRDefault="002A246B">
      <w:pPr>
        <w:jc w:val="both"/>
        <w:divId w:val="858662896"/>
        <w:rPr>
          <w:rFonts w:eastAsia="Times New Roman"/>
        </w:rPr>
      </w:pPr>
      <w:r>
        <w:rPr>
          <w:rFonts w:eastAsia="Times New Roman"/>
          <w:color w:val="000000"/>
          <w:sz w:val="20"/>
          <w:szCs w:val="20"/>
        </w:rPr>
        <w:t>Operating lease ROU assets represent the Company's right to use an underlying asset during the lease term and operating lease liabiliti</w:t>
      </w:r>
      <w:r>
        <w:rPr>
          <w:rFonts w:eastAsia="Times New Roman"/>
          <w:color w:val="000000"/>
          <w:sz w:val="20"/>
          <w:szCs w:val="20"/>
        </w:rPr>
        <w:t xml:space="preserve">es represent the Company's obligation to make lease payments arising from the lease. ROU assets and </w:t>
      </w:r>
    </w:p>
    <w:p w:rsidR="00000000" w:rsidRDefault="002A246B">
      <w:pPr>
        <w:jc w:val="center"/>
        <w:divId w:val="831798407"/>
        <w:rPr>
          <w:rFonts w:eastAsia="Times New Roman"/>
        </w:rPr>
      </w:pPr>
      <w:r>
        <w:rPr>
          <w:rFonts w:eastAsia="Times New Roman"/>
          <w:color w:val="000000"/>
          <w:sz w:val="20"/>
          <w:szCs w:val="20"/>
        </w:rPr>
        <w:t>20</w:t>
      </w:r>
    </w:p>
    <w:p w:rsidR="00000000" w:rsidRDefault="002A246B">
      <w:pPr>
        <w:rPr>
          <w:rFonts w:eastAsia="Times New Roman"/>
        </w:rPr>
      </w:pPr>
      <w:r>
        <w:rPr>
          <w:rFonts w:eastAsia="Times New Roman"/>
        </w:rPr>
        <w:pict>
          <v:rect id="_x0000_i1044" style="width:0;height:1.5pt" o:hralign="center" o:hrstd="t" o:hr="t" fillcolor="#a0a0a0" stroked="f"/>
        </w:pict>
      </w:r>
    </w:p>
    <w:p w:rsidR="00000000" w:rsidRDefault="002A246B">
      <w:pPr>
        <w:jc w:val="center"/>
        <w:divId w:val="318116117"/>
        <w:rPr>
          <w:rFonts w:eastAsia="Times New Roman"/>
        </w:rPr>
      </w:pPr>
      <w:r>
        <w:rPr>
          <w:rFonts w:eastAsia="Times New Roman"/>
          <w:b/>
          <w:bCs/>
          <w:color w:val="000000"/>
          <w:sz w:val="20"/>
          <w:szCs w:val="20"/>
        </w:rPr>
        <w:t>HAWTHORN BANCSHARES, INC.</w:t>
      </w:r>
    </w:p>
    <w:p w:rsidR="00000000" w:rsidRDefault="002A246B">
      <w:pPr>
        <w:jc w:val="center"/>
        <w:divId w:val="318116117"/>
        <w:rPr>
          <w:rFonts w:eastAsia="Times New Roman"/>
        </w:rPr>
      </w:pPr>
      <w:r>
        <w:rPr>
          <w:rFonts w:eastAsia="Times New Roman"/>
          <w:b/>
          <w:bCs/>
          <w:color w:val="000000"/>
          <w:sz w:val="20"/>
          <w:szCs w:val="20"/>
        </w:rPr>
        <w:t>AND SUBSIDIARIES</w:t>
      </w:r>
    </w:p>
    <w:p w:rsidR="00000000" w:rsidRDefault="002A246B">
      <w:pPr>
        <w:jc w:val="center"/>
        <w:divId w:val="318116117"/>
        <w:rPr>
          <w:rFonts w:eastAsia="Times New Roman"/>
        </w:rPr>
      </w:pPr>
      <w:r>
        <w:rPr>
          <w:rFonts w:eastAsia="Times New Roman"/>
          <w:color w:val="000000"/>
          <w:sz w:val="18"/>
          <w:szCs w:val="18"/>
        </w:rPr>
        <w:t>Notes to the Consolidated Financial Statements</w:t>
      </w:r>
    </w:p>
    <w:p w:rsidR="00000000" w:rsidRDefault="002A246B">
      <w:pPr>
        <w:jc w:val="center"/>
        <w:divId w:val="318116117"/>
        <w:rPr>
          <w:rFonts w:eastAsia="Times New Roman"/>
        </w:rPr>
      </w:pPr>
      <w:r>
        <w:rPr>
          <w:rFonts w:eastAsia="Times New Roman"/>
          <w:i/>
          <w:iCs/>
          <w:color w:val="000000"/>
          <w:sz w:val="18"/>
          <w:szCs w:val="18"/>
        </w:rPr>
        <w:t>(Unaudited)</w:t>
      </w:r>
    </w:p>
    <w:p w:rsidR="00000000" w:rsidRDefault="002A246B">
      <w:pPr>
        <w:jc w:val="both"/>
        <w:divId w:val="1605915052"/>
        <w:rPr>
          <w:rFonts w:eastAsia="Times New Roman"/>
        </w:rPr>
      </w:pPr>
      <w:r>
        <w:rPr>
          <w:rFonts w:eastAsia="Times New Roman"/>
          <w:color w:val="000000"/>
          <w:sz w:val="20"/>
          <w:szCs w:val="20"/>
        </w:rPr>
        <w:t>operating lease liabilities are recognized at lease commencement based on the present value of the remaining lease pay</w:t>
      </w:r>
      <w:r>
        <w:rPr>
          <w:rFonts w:eastAsia="Times New Roman"/>
          <w:color w:val="000000"/>
          <w:sz w:val="20"/>
          <w:szCs w:val="20"/>
        </w:rPr>
        <w:t xml:space="preserve">ments using a discount rate that represents the Company's incremental borrowing rate at the lease commencement date. </w:t>
      </w:r>
    </w:p>
    <w:p w:rsidR="00000000" w:rsidRDefault="002A246B">
      <w:pPr>
        <w:jc w:val="both"/>
        <w:divId w:val="1620264090"/>
        <w:rPr>
          <w:rFonts w:eastAsia="Times New Roman"/>
        </w:rPr>
      </w:pPr>
      <w:r>
        <w:rPr>
          <w:rFonts w:eastAsia="Times New Roman"/>
          <w:color w:val="000000"/>
          <w:sz w:val="20"/>
          <w:szCs w:val="20"/>
        </w:rPr>
        <w:t>Operating lease cost, which is comprised of amortization of the ROU asset and the implicit interest accreted on the operating lease liabil</w:t>
      </w:r>
      <w:r>
        <w:rPr>
          <w:rFonts w:eastAsia="Times New Roman"/>
          <w:color w:val="000000"/>
          <w:sz w:val="20"/>
          <w:szCs w:val="20"/>
        </w:rPr>
        <w:t xml:space="preserve">ity, is recognized on a straight-line basis over the lease term, and is recorded in net occupancy expense in the consolidated statements of income. The operating lease cost was $94,000 for the three months ended March 31, 2022 compared to $100,000 for the </w:t>
      </w:r>
      <w:r>
        <w:rPr>
          <w:rFonts w:eastAsia="Times New Roman"/>
          <w:color w:val="000000"/>
          <w:sz w:val="20"/>
          <w:szCs w:val="20"/>
        </w:rPr>
        <w:t>three months ended March 31, 2021.</w:t>
      </w:r>
    </w:p>
    <w:p w:rsidR="00000000" w:rsidRDefault="002A246B">
      <w:pPr>
        <w:jc w:val="both"/>
        <w:divId w:val="1895968118"/>
        <w:rPr>
          <w:rFonts w:eastAsia="Times New Roman"/>
        </w:rPr>
      </w:pPr>
      <w:r>
        <w:rPr>
          <w:rFonts w:eastAsia="Times New Roman"/>
          <w:color w:val="000000"/>
          <w:sz w:val="20"/>
          <w:szCs w:val="20"/>
        </w:rPr>
        <w:t>At adoption of Accounting Standards Update (ASU) 2016-02 on January 1, 2019, lease and non-lease components of new lease agreements are accounted for separately. Lease components include fixed payments including rent, rea</w:t>
      </w:r>
      <w:r>
        <w:rPr>
          <w:rFonts w:eastAsia="Times New Roman"/>
          <w:color w:val="000000"/>
          <w:sz w:val="20"/>
          <w:szCs w:val="20"/>
        </w:rPr>
        <w:t>l estate taxes and insurance costs and non-lease components include common-area maintenance costs. Leases with an initial term of 12 months or less are not recorded on the balance sheet; the Company recognizes lease expense for these leases on a straight-l</w:t>
      </w:r>
      <w:r>
        <w:rPr>
          <w:rFonts w:eastAsia="Times New Roman"/>
          <w:color w:val="000000"/>
          <w:sz w:val="20"/>
          <w:szCs w:val="20"/>
        </w:rPr>
        <w:t xml:space="preserve">ine basis over the lease term. Operating lease expense for these leases was $24,000 for the three months ended March 31, 2022 compared to $13,000 for the three months ended March 31, 2021. </w:t>
      </w:r>
    </w:p>
    <w:p w:rsidR="00000000" w:rsidRDefault="002A246B">
      <w:pPr>
        <w:jc w:val="both"/>
        <w:divId w:val="613098751"/>
        <w:rPr>
          <w:rFonts w:eastAsia="Times New Roman"/>
        </w:rPr>
      </w:pPr>
      <w:r>
        <w:rPr>
          <w:rFonts w:eastAsia="Times New Roman"/>
          <w:color w:val="000000"/>
          <w:sz w:val="20"/>
          <w:szCs w:val="20"/>
        </w:rPr>
        <w:t>The table below summarizes the maturity of remaining operating lea</w:t>
      </w:r>
      <w:r>
        <w:rPr>
          <w:rFonts w:eastAsia="Times New Roman"/>
          <w:color w:val="000000"/>
          <w:sz w:val="20"/>
          <w:szCs w:val="20"/>
        </w:rPr>
        <w:t>se liabilities:</w:t>
      </w:r>
    </w:p>
    <w:tbl>
      <w:tblPr>
        <w:tblW w:w="5000" w:type="pct"/>
        <w:tblCellMar>
          <w:top w:w="15" w:type="dxa"/>
          <w:left w:w="15" w:type="dxa"/>
          <w:bottom w:w="15" w:type="dxa"/>
          <w:right w:w="15" w:type="dxa"/>
        </w:tblCellMar>
        <w:tblLook w:val="04A0" w:firstRow="1" w:lastRow="0" w:firstColumn="1" w:lastColumn="0" w:noHBand="0" w:noVBand="1"/>
      </w:tblPr>
      <w:tblGrid>
        <w:gridCol w:w="51"/>
        <w:gridCol w:w="7089"/>
        <w:gridCol w:w="37"/>
        <w:gridCol w:w="121"/>
        <w:gridCol w:w="972"/>
        <w:gridCol w:w="36"/>
      </w:tblGrid>
      <w:tr w:rsidR="00000000">
        <w:trPr>
          <w:divId w:val="434327953"/>
        </w:trPr>
        <w:tc>
          <w:tcPr>
            <w:tcW w:w="50" w:type="pct"/>
            <w:vAlign w:val="center"/>
            <w:hideMark/>
          </w:tcPr>
          <w:p w:rsidR="00000000" w:rsidRDefault="002A246B">
            <w:pPr>
              <w:jc w:val="both"/>
              <w:rPr>
                <w:rFonts w:eastAsia="Times New Roman"/>
              </w:rPr>
            </w:pPr>
          </w:p>
        </w:tc>
        <w:tc>
          <w:tcPr>
            <w:tcW w:w="428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43432795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Lease payments due in:</w:t>
            </w: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Operating Lease</w:t>
            </w:r>
          </w:p>
        </w:tc>
      </w:tr>
      <w:tr w:rsidR="00000000">
        <w:trPr>
          <w:divId w:val="434327953"/>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rPr>
            </w:pPr>
          </w:p>
        </w:tc>
      </w:tr>
      <w:tr w:rsidR="00000000">
        <w:trPr>
          <w:divId w:val="43432795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divId w:val="1605502602"/>
              <w:rPr>
                <w:rFonts w:eastAsia="Times New Roman"/>
              </w:rPr>
            </w:pPr>
            <w:r>
              <w:rPr>
                <w:rFonts w:eastAsia="Times New Roman"/>
                <w:color w:val="000000"/>
                <w:sz w:val="20"/>
                <w:szCs w:val="20"/>
              </w:rPr>
              <w:t>2022 (excluding 3 months ended March 31, 2022)</w:t>
            </w: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276</w:t>
            </w:r>
          </w:p>
        </w:tc>
      </w:tr>
      <w:tr w:rsidR="00000000">
        <w:trPr>
          <w:divId w:val="43432795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2023</w:t>
            </w:r>
          </w:p>
        </w:tc>
        <w:tc>
          <w:tcPr>
            <w:tcW w:w="0" w:type="auto"/>
            <w:gridSpan w:val="3"/>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367</w:t>
            </w:r>
          </w:p>
        </w:tc>
      </w:tr>
      <w:tr w:rsidR="00000000">
        <w:trPr>
          <w:divId w:val="43432795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2024</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258</w:t>
            </w:r>
          </w:p>
        </w:tc>
      </w:tr>
      <w:tr w:rsidR="00000000">
        <w:trPr>
          <w:divId w:val="43432795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2025</w:t>
            </w:r>
          </w:p>
        </w:tc>
        <w:tc>
          <w:tcPr>
            <w:tcW w:w="0" w:type="auto"/>
            <w:gridSpan w:val="3"/>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257</w:t>
            </w:r>
          </w:p>
        </w:tc>
      </w:tr>
      <w:tr w:rsidR="00000000">
        <w:trPr>
          <w:divId w:val="43432795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2026</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259</w:t>
            </w:r>
          </w:p>
        </w:tc>
      </w:tr>
      <w:tr w:rsidR="00000000">
        <w:trPr>
          <w:divId w:val="434327953"/>
        </w:trPr>
        <w:tc>
          <w:tcPr>
            <w:tcW w:w="0" w:type="auto"/>
            <w:gridSpan w:val="3"/>
            <w:vAlign w:val="center"/>
            <w:hideMark/>
          </w:tcPr>
          <w:p w:rsidR="00000000" w:rsidRDefault="002A246B">
            <w:pPr>
              <w:spacing w:after="100"/>
              <w:jc w:val="right"/>
              <w:rPr>
                <w:rFonts w:eastAsia="Times New Roman"/>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434327953"/>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43432795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Thereafter</w:t>
            </w:r>
          </w:p>
        </w:tc>
        <w:tc>
          <w:tcPr>
            <w:tcW w:w="0" w:type="auto"/>
            <w:gridSpan w:val="3"/>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571</w:t>
            </w:r>
          </w:p>
        </w:tc>
      </w:tr>
      <w:tr w:rsidR="00000000">
        <w:trPr>
          <w:divId w:val="43432795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Total lease payments</w:t>
            </w: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1,988</w:t>
            </w:r>
          </w:p>
        </w:tc>
      </w:tr>
      <w:tr w:rsidR="00000000">
        <w:trPr>
          <w:divId w:val="43432795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Less imputed interest</w:t>
            </w: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(225)</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434327953"/>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Total lease liabilities, as reported</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1,763</w:t>
            </w:r>
          </w:p>
        </w:tc>
      </w:tr>
    </w:tbl>
    <w:p w:rsidR="00000000" w:rsidRDefault="002A246B">
      <w:pPr>
        <w:divId w:val="916134878"/>
        <w:rPr>
          <w:rFonts w:eastAsia="Times New Roman"/>
        </w:rPr>
      </w:pPr>
      <w:r>
        <w:rPr>
          <w:rFonts w:eastAsia="Times New Roman"/>
          <w:b/>
          <w:bCs/>
          <w:color w:val="000000"/>
          <w:sz w:val="20"/>
          <w:szCs w:val="20"/>
        </w:rPr>
        <w:t>(9) Income Taxes</w:t>
      </w:r>
    </w:p>
    <w:p w:rsidR="00000000" w:rsidRDefault="002A246B">
      <w:pPr>
        <w:jc w:val="both"/>
        <w:divId w:val="657198638"/>
        <w:rPr>
          <w:rFonts w:eastAsia="Times New Roman"/>
        </w:rPr>
      </w:pPr>
      <w:r>
        <w:rPr>
          <w:rFonts w:eastAsia="Times New Roman"/>
          <w:color w:val="000000"/>
          <w:sz w:val="20"/>
          <w:szCs w:val="20"/>
        </w:rPr>
        <w:t xml:space="preserve">Income taxes as a percentage of earnings before income taxes as reported in the consolidated financial statements were 18.8% for the three months ended March 31, 2022 compared to 18.9% for the three months ended March 31, 2021. </w:t>
      </w:r>
    </w:p>
    <w:p w:rsidR="00000000" w:rsidRDefault="002A246B">
      <w:pPr>
        <w:jc w:val="both"/>
        <w:divId w:val="4596855"/>
        <w:rPr>
          <w:rFonts w:eastAsia="Times New Roman"/>
        </w:rPr>
      </w:pPr>
      <w:r>
        <w:rPr>
          <w:rFonts w:eastAsia="Times New Roman"/>
          <w:color w:val="000000"/>
          <w:sz w:val="20"/>
          <w:szCs w:val="20"/>
        </w:rPr>
        <w:t>The decrease in the effecti</w:t>
      </w:r>
      <w:r>
        <w:rPr>
          <w:rFonts w:eastAsia="Times New Roman"/>
          <w:color w:val="000000"/>
          <w:sz w:val="20"/>
          <w:szCs w:val="20"/>
        </w:rPr>
        <w:t>ve tax rate for the three months ended March 31, 2022 compared to the three months ended March 31, 2021 was primarily attributable to the increase in earnings and an increase in state taxes attributed to elevated earnings partially offset by the benefit re</w:t>
      </w:r>
      <w:r>
        <w:rPr>
          <w:rFonts w:eastAsia="Times New Roman"/>
          <w:color w:val="000000"/>
          <w:sz w:val="20"/>
          <w:szCs w:val="20"/>
        </w:rPr>
        <w:t>corded pertaining to the historical tax credit. The effective tax rate for each of the three months ended March 31, 2022 and 2021, respectively, is lower than the U.S. federal statutory rate of 21% primarily due to tax-free revenues.</w:t>
      </w:r>
    </w:p>
    <w:p w:rsidR="00000000" w:rsidRDefault="002A246B">
      <w:pPr>
        <w:jc w:val="both"/>
        <w:divId w:val="1912886874"/>
        <w:rPr>
          <w:rFonts w:eastAsia="Times New Roman"/>
        </w:rPr>
      </w:pPr>
      <w:r>
        <w:rPr>
          <w:rFonts w:eastAsia="Times New Roman"/>
          <w:color w:val="000000"/>
          <w:sz w:val="20"/>
          <w:szCs w:val="20"/>
        </w:rPr>
        <w:t>Included in the effect</w:t>
      </w:r>
      <w:r>
        <w:rPr>
          <w:rFonts w:eastAsia="Times New Roman"/>
          <w:color w:val="000000"/>
          <w:sz w:val="20"/>
          <w:szCs w:val="20"/>
        </w:rPr>
        <w:t>ive tax rate for the quarter ended March 31, 2022 is a $13,000 benefit associated with a historic tax credit investment. The investment is expected to generate a $321,000 tax benefit over the life of the project and is being recognized under the deferral m</w:t>
      </w:r>
      <w:r>
        <w:rPr>
          <w:rFonts w:eastAsia="Times New Roman"/>
          <w:color w:val="000000"/>
          <w:sz w:val="20"/>
          <w:szCs w:val="20"/>
        </w:rPr>
        <w:t xml:space="preserve">ethod of accounting. </w:t>
      </w:r>
    </w:p>
    <w:p w:rsidR="00000000" w:rsidRDefault="002A246B">
      <w:pPr>
        <w:jc w:val="both"/>
        <w:divId w:val="1702707211"/>
        <w:rPr>
          <w:rFonts w:eastAsia="Times New Roman"/>
        </w:rPr>
      </w:pPr>
      <w:r>
        <w:rPr>
          <w:rFonts w:eastAsia="Times New Roman"/>
          <w:color w:val="000000"/>
          <w:sz w:val="20"/>
          <w:szCs w:val="20"/>
        </w:rPr>
        <w:t>The ultimate realization of deferred tax assets is dependent upon the generation of future taxable income of the appropriate character during the periods in which those temporary differences become deductible. Management considers the scheduled reversal of</w:t>
      </w:r>
      <w:r>
        <w:rPr>
          <w:rFonts w:eastAsia="Times New Roman"/>
          <w:color w:val="000000"/>
          <w:sz w:val="20"/>
          <w:szCs w:val="20"/>
        </w:rPr>
        <w:t xml:space="preserve"> deferred tax liabilities, projected future taxable income, and tax planning initiatives in making this assessment. In management's opinion, the Company will more likely than not realize the benefits of its deferred tax assets and, therefore, has not estab</w:t>
      </w:r>
      <w:r>
        <w:rPr>
          <w:rFonts w:eastAsia="Times New Roman"/>
          <w:color w:val="000000"/>
          <w:sz w:val="20"/>
          <w:szCs w:val="20"/>
        </w:rPr>
        <w:t>lished a valuation allowance against its deferred tax assets as of March 31, 2022. Management arrived at this conclusion based upon the level of historical taxable income and projections for future taxable income of the appropriate character over the perio</w:t>
      </w:r>
      <w:r>
        <w:rPr>
          <w:rFonts w:eastAsia="Times New Roman"/>
          <w:color w:val="000000"/>
          <w:sz w:val="20"/>
          <w:szCs w:val="20"/>
        </w:rPr>
        <w:t xml:space="preserve">ds in which the deferred tax assets are deductible. </w:t>
      </w:r>
    </w:p>
    <w:p w:rsidR="00000000" w:rsidRDefault="002A246B">
      <w:pPr>
        <w:jc w:val="both"/>
        <w:divId w:val="214511534"/>
        <w:rPr>
          <w:rFonts w:eastAsia="Times New Roman"/>
        </w:rPr>
      </w:pPr>
      <w:r>
        <w:rPr>
          <w:rFonts w:eastAsia="Times New Roman"/>
          <w:color w:val="000000"/>
          <w:sz w:val="20"/>
          <w:szCs w:val="20"/>
        </w:rPr>
        <w:t xml:space="preserve">The Company follows ASC Topic 740, </w:t>
      </w:r>
      <w:r>
        <w:rPr>
          <w:rFonts w:eastAsia="Times New Roman"/>
          <w:i/>
          <w:iCs/>
          <w:color w:val="000000"/>
          <w:sz w:val="20"/>
          <w:szCs w:val="20"/>
        </w:rPr>
        <w:t xml:space="preserve">Income Taxes, </w:t>
      </w:r>
      <w:r>
        <w:rPr>
          <w:rFonts w:eastAsia="Times New Roman"/>
          <w:color w:val="000000"/>
          <w:sz w:val="20"/>
          <w:szCs w:val="20"/>
        </w:rPr>
        <w:t>which addresses the accounting for uncertain tax positions</w:t>
      </w:r>
      <w:r>
        <w:rPr>
          <w:rFonts w:eastAsia="Times New Roman"/>
          <w:i/>
          <w:iCs/>
          <w:color w:val="000000"/>
          <w:sz w:val="20"/>
          <w:szCs w:val="20"/>
        </w:rPr>
        <w:t>.</w:t>
      </w:r>
      <w:r>
        <w:rPr>
          <w:rFonts w:eastAsia="Times New Roman"/>
          <w:color w:val="000000"/>
          <w:sz w:val="20"/>
          <w:szCs w:val="20"/>
        </w:rPr>
        <w:t xml:space="preserve"> For each of the three months ended March 31, 2022 and 2021, respectively, the Company did not </w:t>
      </w:r>
      <w:r>
        <w:rPr>
          <w:rFonts w:eastAsia="Times New Roman"/>
          <w:color w:val="000000"/>
          <w:sz w:val="20"/>
          <w:szCs w:val="20"/>
        </w:rPr>
        <w:t xml:space="preserve">have any uncertain tax provisions, and did not record any related tax liabilities. </w:t>
      </w:r>
    </w:p>
    <w:p w:rsidR="00000000" w:rsidRDefault="002A246B">
      <w:pPr>
        <w:jc w:val="center"/>
        <w:divId w:val="834108740"/>
        <w:rPr>
          <w:rFonts w:eastAsia="Times New Roman"/>
        </w:rPr>
      </w:pPr>
      <w:r>
        <w:rPr>
          <w:rFonts w:eastAsia="Times New Roman"/>
          <w:color w:val="000000"/>
          <w:sz w:val="20"/>
          <w:szCs w:val="20"/>
        </w:rPr>
        <w:t>21</w:t>
      </w:r>
    </w:p>
    <w:p w:rsidR="00000000" w:rsidRDefault="002A246B">
      <w:pPr>
        <w:rPr>
          <w:rFonts w:eastAsia="Times New Roman"/>
        </w:rPr>
      </w:pPr>
      <w:r>
        <w:rPr>
          <w:rFonts w:eastAsia="Times New Roman"/>
        </w:rPr>
        <w:pict>
          <v:rect id="_x0000_i1045" style="width:0;height:1.5pt" o:hralign="center" o:hrstd="t" o:hr="t" fillcolor="#a0a0a0" stroked="f"/>
        </w:pict>
      </w:r>
    </w:p>
    <w:p w:rsidR="00000000" w:rsidRDefault="002A246B">
      <w:pPr>
        <w:jc w:val="center"/>
        <w:divId w:val="52122407"/>
        <w:rPr>
          <w:rFonts w:eastAsia="Times New Roman"/>
        </w:rPr>
      </w:pPr>
      <w:r>
        <w:rPr>
          <w:rFonts w:eastAsia="Times New Roman"/>
          <w:b/>
          <w:bCs/>
          <w:color w:val="000000"/>
          <w:sz w:val="20"/>
          <w:szCs w:val="20"/>
        </w:rPr>
        <w:t>HAWTHORN BANCSHARES, INC.</w:t>
      </w:r>
    </w:p>
    <w:p w:rsidR="00000000" w:rsidRDefault="002A246B">
      <w:pPr>
        <w:jc w:val="center"/>
        <w:divId w:val="52122407"/>
        <w:rPr>
          <w:rFonts w:eastAsia="Times New Roman"/>
        </w:rPr>
      </w:pPr>
      <w:r>
        <w:rPr>
          <w:rFonts w:eastAsia="Times New Roman"/>
          <w:b/>
          <w:bCs/>
          <w:color w:val="000000"/>
          <w:sz w:val="20"/>
          <w:szCs w:val="20"/>
        </w:rPr>
        <w:t>AND SUBSIDIARIES</w:t>
      </w:r>
    </w:p>
    <w:p w:rsidR="00000000" w:rsidRDefault="002A246B">
      <w:pPr>
        <w:jc w:val="center"/>
        <w:divId w:val="52122407"/>
        <w:rPr>
          <w:rFonts w:eastAsia="Times New Roman"/>
        </w:rPr>
      </w:pPr>
      <w:r>
        <w:rPr>
          <w:rFonts w:eastAsia="Times New Roman"/>
          <w:color w:val="000000"/>
          <w:sz w:val="18"/>
          <w:szCs w:val="18"/>
        </w:rPr>
        <w:t>Notes to the Consolidated Financial Statements</w:t>
      </w:r>
    </w:p>
    <w:p w:rsidR="00000000" w:rsidRDefault="002A246B">
      <w:pPr>
        <w:jc w:val="center"/>
        <w:divId w:val="52122407"/>
        <w:rPr>
          <w:rFonts w:eastAsia="Times New Roman"/>
        </w:rPr>
      </w:pPr>
      <w:r>
        <w:rPr>
          <w:rFonts w:eastAsia="Times New Roman"/>
          <w:i/>
          <w:iCs/>
          <w:color w:val="000000"/>
          <w:sz w:val="18"/>
          <w:szCs w:val="18"/>
        </w:rPr>
        <w:t>(Unaudited)</w:t>
      </w:r>
    </w:p>
    <w:p w:rsidR="00000000" w:rsidRDefault="002A246B">
      <w:pPr>
        <w:jc w:val="both"/>
        <w:divId w:val="543518313"/>
        <w:rPr>
          <w:rFonts w:eastAsia="Times New Roman"/>
        </w:rPr>
      </w:pPr>
      <w:r>
        <w:rPr>
          <w:rFonts w:eastAsia="Times New Roman"/>
          <w:b/>
          <w:bCs/>
          <w:color w:val="000000"/>
          <w:sz w:val="20"/>
          <w:szCs w:val="20"/>
        </w:rPr>
        <w:t>(10) Stockholders’ Equity</w:t>
      </w:r>
    </w:p>
    <w:p w:rsidR="00000000" w:rsidRDefault="002A246B">
      <w:pPr>
        <w:divId w:val="1474756964"/>
        <w:rPr>
          <w:rFonts w:eastAsia="Times New Roman"/>
        </w:rPr>
      </w:pPr>
      <w:r>
        <w:rPr>
          <w:rFonts w:eastAsia="Times New Roman"/>
          <w:i/>
          <w:iCs/>
          <w:color w:val="000000"/>
          <w:sz w:val="20"/>
          <w:szCs w:val="20"/>
        </w:rPr>
        <w:t>Accumulated Other Comprehensive Income (Loss)</w:t>
      </w:r>
    </w:p>
    <w:p w:rsidR="00000000" w:rsidRDefault="002A246B">
      <w:pPr>
        <w:jc w:val="both"/>
        <w:divId w:val="1705666658"/>
        <w:rPr>
          <w:rFonts w:eastAsia="Times New Roman"/>
        </w:rPr>
      </w:pPr>
      <w:r>
        <w:rPr>
          <w:rFonts w:eastAsia="Times New Roman"/>
          <w:color w:val="000000"/>
          <w:sz w:val="20"/>
          <w:szCs w:val="20"/>
        </w:rPr>
        <w:t>The following details the change in the compon</w:t>
      </w:r>
      <w:r>
        <w:rPr>
          <w:rFonts w:eastAsia="Times New Roman"/>
          <w:color w:val="000000"/>
          <w:sz w:val="20"/>
          <w:szCs w:val="20"/>
        </w:rPr>
        <w:t>ents of the Company’s accumulated other comprehensive income (loss) for the three months ended March 31, 2022 and 2021:</w:t>
      </w:r>
    </w:p>
    <w:tbl>
      <w:tblPr>
        <w:tblW w:w="5000" w:type="pct"/>
        <w:tblCellMar>
          <w:top w:w="15" w:type="dxa"/>
          <w:left w:w="15" w:type="dxa"/>
          <w:bottom w:w="15" w:type="dxa"/>
          <w:right w:w="15" w:type="dxa"/>
        </w:tblCellMar>
        <w:tblLook w:val="04A0" w:firstRow="1" w:lastRow="0" w:firstColumn="1" w:lastColumn="0" w:noHBand="0" w:noVBand="1"/>
      </w:tblPr>
      <w:tblGrid>
        <w:gridCol w:w="38"/>
        <w:gridCol w:w="4706"/>
        <w:gridCol w:w="37"/>
        <w:gridCol w:w="101"/>
        <w:gridCol w:w="909"/>
        <w:gridCol w:w="37"/>
        <w:gridCol w:w="36"/>
        <w:gridCol w:w="36"/>
        <w:gridCol w:w="36"/>
        <w:gridCol w:w="101"/>
        <w:gridCol w:w="973"/>
        <w:gridCol w:w="36"/>
        <w:gridCol w:w="36"/>
        <w:gridCol w:w="36"/>
        <w:gridCol w:w="36"/>
        <w:gridCol w:w="101"/>
        <w:gridCol w:w="1015"/>
        <w:gridCol w:w="36"/>
      </w:tblGrid>
      <w:tr w:rsidR="00000000">
        <w:trPr>
          <w:divId w:val="110441118"/>
        </w:trPr>
        <w:tc>
          <w:tcPr>
            <w:tcW w:w="50" w:type="pct"/>
            <w:vAlign w:val="center"/>
            <w:hideMark/>
          </w:tcPr>
          <w:p w:rsidR="00000000" w:rsidRDefault="002A246B">
            <w:pPr>
              <w:jc w:val="both"/>
              <w:rPr>
                <w:rFonts w:eastAsia="Times New Roman"/>
              </w:rPr>
            </w:pPr>
          </w:p>
        </w:tc>
        <w:tc>
          <w:tcPr>
            <w:tcW w:w="290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10441118"/>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Three Months Ended March 31, 2022</w:t>
            </w:r>
          </w:p>
        </w:tc>
      </w:tr>
      <w:tr w:rsidR="00000000">
        <w:trPr>
          <w:divId w:val="110441118"/>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Unrealized Gains (Losses) on Securities (1)</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Unrecognized Net Pension and Postretirement Costs (2)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Accumulated Other Comprehensive Income (Loss)</w:t>
            </w:r>
          </w:p>
        </w:tc>
      </w:tr>
      <w:tr w:rsidR="00000000">
        <w:trPr>
          <w:divId w:val="11044111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Balance at beginning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2,931 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3,293 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10441118"/>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Other comprehensive loss, before reclassifications</w:t>
            </w: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(24,787)</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(24,787)</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10441118"/>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Amounts reclassified from accumulated 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10441118"/>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Current period other comprehensive loss, before tax</w:t>
            </w: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(24,787)</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(24,787)</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10441118"/>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Income tax benefit</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5,205 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5,205 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10441118"/>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Current period other comprehensive loss, net of tax</w:t>
            </w: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(19,582)</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(19,582)</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10441118"/>
        </w:trPr>
        <w:tc>
          <w:tcPr>
            <w:tcW w:w="0" w:type="auto"/>
            <w:gridSpan w:val="3"/>
            <w:tcBorders>
              <w:top w:val="single" w:sz="6" w:space="0" w:color="000000"/>
              <w:bottom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Balance at end of period</w:t>
            </w:r>
          </w:p>
        </w:tc>
        <w:tc>
          <w:tcPr>
            <w:tcW w:w="0" w:type="auto"/>
            <w:tcBorders>
              <w:top w:val="single" w:sz="6" w:space="0" w:color="000000"/>
              <w:bottom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(19,220)</w:t>
            </w:r>
          </w:p>
        </w:tc>
        <w:tc>
          <w:tcPr>
            <w:tcW w:w="0" w:type="auto"/>
            <w:tcBorders>
              <w:top w:val="single" w:sz="6" w:space="0" w:color="000000"/>
              <w:bottom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2,931 </w:t>
            </w:r>
          </w:p>
        </w:tc>
        <w:tc>
          <w:tcPr>
            <w:tcW w:w="0" w:type="auto"/>
            <w:tcBorders>
              <w:top w:val="single" w:sz="6" w:space="0" w:color="000000"/>
              <w:bottom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(16,289)</w:t>
            </w:r>
          </w:p>
        </w:tc>
        <w:tc>
          <w:tcPr>
            <w:tcW w:w="0" w:type="auto"/>
            <w:tcBorders>
              <w:top w:val="single" w:sz="6" w:space="0" w:color="000000"/>
              <w:bottom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829"/>
        <w:gridCol w:w="144"/>
        <w:gridCol w:w="144"/>
        <w:gridCol w:w="1003"/>
        <w:gridCol w:w="144"/>
        <w:gridCol w:w="144"/>
        <w:gridCol w:w="144"/>
        <w:gridCol w:w="144"/>
        <w:gridCol w:w="144"/>
        <w:gridCol w:w="1003"/>
        <w:gridCol w:w="144"/>
        <w:gridCol w:w="144"/>
        <w:gridCol w:w="144"/>
        <w:gridCol w:w="144"/>
        <w:gridCol w:w="144"/>
        <w:gridCol w:w="1003"/>
        <w:gridCol w:w="144"/>
      </w:tblGrid>
      <w:tr w:rsidR="00000000">
        <w:tc>
          <w:tcPr>
            <w:tcW w:w="50" w:type="pct"/>
            <w:vAlign w:val="center"/>
            <w:hideMark/>
          </w:tcPr>
          <w:p w:rsidR="00000000" w:rsidRDefault="002A246B">
            <w:pPr>
              <w:rPr>
                <w:rFonts w:eastAsia="Times New Roman"/>
              </w:rPr>
            </w:pPr>
          </w:p>
        </w:tc>
        <w:tc>
          <w:tcPr>
            <w:tcW w:w="290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Three Months Ended March 31, 2021</w:t>
            </w:r>
          </w:p>
        </w:tc>
      </w:tr>
      <w:tr w:rsidR="00000000">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Unrealized Gains (Losses) on Securities (1)</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Unrecognized Net Pension and Postretirement Costs (2)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Accumulated Other Comprehensive Income (Loss)</w:t>
            </w: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Balance at beginning of period</w:t>
            </w:r>
          </w:p>
        </w:tc>
        <w:tc>
          <w:tcPr>
            <w:tcW w:w="0" w:type="auto"/>
            <w:tcBorders>
              <w:top w:val="single" w:sz="8"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3,353 </w:t>
            </w:r>
          </w:p>
        </w:tc>
        <w:tc>
          <w:tcPr>
            <w:tcW w:w="0" w:type="auto"/>
            <w:tcBorders>
              <w:top w:val="single" w:sz="8"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(1,825)</w:t>
            </w:r>
          </w:p>
        </w:tc>
        <w:tc>
          <w:tcPr>
            <w:tcW w:w="0" w:type="auto"/>
            <w:tcBorders>
              <w:top w:val="single" w:sz="8"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1,528 </w:t>
            </w:r>
          </w:p>
        </w:tc>
        <w:tc>
          <w:tcPr>
            <w:tcW w:w="0" w:type="auto"/>
            <w:tcBorders>
              <w:top w:val="single" w:sz="8"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Other comprehensive (loss) income, before reclassifications</w:t>
            </w: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(3,518)</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(3,473)</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Amounts reclassified from accumulated other comprehensive (loss) income</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Current period other comprehensive (loss) income, before tax</w:t>
            </w: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(3,520)</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(3,475)</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Income tax benefit (expense)</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740 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(10)</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730 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Current period other comprehensive (loss) income, net of tax</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(2,780)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(2,745)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c>
          <w:tcPr>
            <w:tcW w:w="0" w:type="auto"/>
            <w:gridSpan w:val="3"/>
            <w:tcBorders>
              <w:top w:val="single" w:sz="6" w:space="0" w:color="000000"/>
              <w:bottom w:val="sing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Balance at end of period</w:t>
            </w:r>
          </w:p>
        </w:tc>
        <w:tc>
          <w:tcPr>
            <w:tcW w:w="0" w:type="auto"/>
            <w:tcBorders>
              <w:top w:val="single" w:sz="6" w:space="0" w:color="000000"/>
              <w:bottom w:val="sing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573 </w:t>
            </w:r>
          </w:p>
        </w:tc>
        <w:tc>
          <w:tcPr>
            <w:tcW w:w="0" w:type="auto"/>
            <w:tcBorders>
              <w:top w:val="single" w:sz="6" w:space="0" w:color="000000"/>
              <w:bottom w:val="sing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sing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sing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(1,790)</w:t>
            </w:r>
          </w:p>
        </w:tc>
        <w:tc>
          <w:tcPr>
            <w:tcW w:w="0" w:type="auto"/>
            <w:tcBorders>
              <w:top w:val="single" w:sz="6" w:space="0" w:color="000000"/>
              <w:bottom w:val="sing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sing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sing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(1,217)</w:t>
            </w:r>
          </w:p>
        </w:tc>
        <w:tc>
          <w:tcPr>
            <w:tcW w:w="0" w:type="auto"/>
            <w:tcBorders>
              <w:top w:val="single" w:sz="6" w:space="0" w:color="000000"/>
              <w:bottom w:val="sing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divId w:val="405225397"/>
        <w:rPr>
          <w:rFonts w:eastAsia="Times New Roman"/>
          <w:vanish/>
        </w:rPr>
      </w:pPr>
    </w:p>
    <w:tbl>
      <w:tblPr>
        <w:tblW w:w="1219" w:type="pct"/>
        <w:tblCellMar>
          <w:top w:w="15" w:type="dxa"/>
          <w:left w:w="15" w:type="dxa"/>
          <w:bottom w:w="15" w:type="dxa"/>
          <w:right w:w="15" w:type="dxa"/>
        </w:tblCellMar>
        <w:tblLook w:val="04A0" w:firstRow="1" w:lastRow="0" w:firstColumn="1" w:lastColumn="0" w:noHBand="0" w:noVBand="1"/>
      </w:tblPr>
      <w:tblGrid>
        <w:gridCol w:w="36"/>
        <w:gridCol w:w="1953"/>
        <w:gridCol w:w="36"/>
      </w:tblGrid>
      <w:tr w:rsidR="00000000">
        <w:trPr>
          <w:divId w:val="405225397"/>
        </w:trPr>
        <w:tc>
          <w:tcPr>
            <w:tcW w:w="50" w:type="pct"/>
            <w:vAlign w:val="center"/>
            <w:hideMark/>
          </w:tcPr>
          <w:p w:rsidR="00000000" w:rsidRDefault="002A246B">
            <w:pPr>
              <w:rPr>
                <w:rFonts w:eastAsia="Times New Roman"/>
              </w:rPr>
            </w:pPr>
          </w:p>
        </w:tc>
        <w:tc>
          <w:tcPr>
            <w:tcW w:w="494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405225397"/>
          <w:trHeight w:val="60"/>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r>
    </w:tbl>
    <w:p w:rsidR="00000000" w:rsidRDefault="002A246B">
      <w:pPr>
        <w:ind w:hanging="360"/>
        <w:jc w:val="both"/>
        <w:rPr>
          <w:rFonts w:eastAsia="Times New Roman"/>
        </w:rPr>
      </w:pPr>
      <w:r>
        <w:rPr>
          <w:rFonts w:eastAsia="Times New Roman"/>
          <w:color w:val="000000"/>
          <w:sz w:val="16"/>
          <w:szCs w:val="16"/>
        </w:rPr>
        <w:t>(1)The pre-tax amounts rec</w:t>
      </w:r>
      <w:r>
        <w:rPr>
          <w:rFonts w:eastAsia="Times New Roman"/>
          <w:color w:val="000000"/>
          <w:sz w:val="16"/>
          <w:szCs w:val="16"/>
        </w:rPr>
        <w:t>lassified from accumulated other comprehensive income (loss) are included in investment securities gains (losses), net in the consolidated statements of income.</w:t>
      </w:r>
    </w:p>
    <w:p w:rsidR="00000000" w:rsidRDefault="002A246B">
      <w:pPr>
        <w:ind w:hanging="360"/>
        <w:jc w:val="both"/>
        <w:rPr>
          <w:rFonts w:eastAsia="Times New Roman"/>
        </w:rPr>
      </w:pPr>
      <w:r>
        <w:rPr>
          <w:rFonts w:eastAsia="Times New Roman"/>
          <w:color w:val="000000"/>
          <w:sz w:val="16"/>
          <w:szCs w:val="16"/>
        </w:rPr>
        <w:t>(2)The pre-tax amounts reclassified from accumulated other comprehensive income (loss) are incl</w:t>
      </w:r>
      <w:r>
        <w:rPr>
          <w:rFonts w:eastAsia="Times New Roman"/>
          <w:color w:val="000000"/>
          <w:sz w:val="16"/>
          <w:szCs w:val="16"/>
        </w:rPr>
        <w:t>uded in the computation of net periodic pension cost.</w:t>
      </w:r>
    </w:p>
    <w:p w:rsidR="00000000" w:rsidRDefault="002A246B">
      <w:pPr>
        <w:divId w:val="256983439"/>
        <w:rPr>
          <w:rFonts w:eastAsia="Times New Roman"/>
        </w:rPr>
      </w:pPr>
      <w:r>
        <w:rPr>
          <w:rFonts w:eastAsia="Times New Roman"/>
          <w:b/>
          <w:bCs/>
          <w:color w:val="000000"/>
          <w:sz w:val="20"/>
          <w:szCs w:val="20"/>
        </w:rPr>
        <w:t>(11) Employee Benefit Plans</w:t>
      </w:r>
    </w:p>
    <w:p w:rsidR="00000000" w:rsidRDefault="002A246B">
      <w:pPr>
        <w:divId w:val="786123409"/>
        <w:rPr>
          <w:rFonts w:eastAsia="Times New Roman"/>
        </w:rPr>
      </w:pPr>
      <w:r>
        <w:rPr>
          <w:rFonts w:eastAsia="Times New Roman"/>
          <w:i/>
          <w:iCs/>
          <w:color w:val="000000"/>
          <w:sz w:val="20"/>
          <w:szCs w:val="20"/>
        </w:rPr>
        <w:t>Employee Benefits</w:t>
      </w:r>
    </w:p>
    <w:p w:rsidR="00000000" w:rsidRDefault="002A246B">
      <w:pPr>
        <w:jc w:val="both"/>
        <w:divId w:val="1165783678"/>
        <w:rPr>
          <w:rFonts w:eastAsia="Times New Roman"/>
        </w:rPr>
      </w:pPr>
      <w:r>
        <w:rPr>
          <w:rFonts w:eastAsia="Times New Roman"/>
          <w:color w:val="000000"/>
          <w:sz w:val="20"/>
          <w:szCs w:val="20"/>
        </w:rPr>
        <w:t>Employee benefits charged to operating expenses are summarized in the table below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5428"/>
        <w:gridCol w:w="36"/>
        <w:gridCol w:w="36"/>
        <w:gridCol w:w="46"/>
        <w:gridCol w:w="490"/>
        <w:gridCol w:w="36"/>
        <w:gridCol w:w="36"/>
        <w:gridCol w:w="36"/>
        <w:gridCol w:w="101"/>
        <w:gridCol w:w="870"/>
        <w:gridCol w:w="38"/>
        <w:gridCol w:w="36"/>
        <w:gridCol w:w="36"/>
        <w:gridCol w:w="36"/>
        <w:gridCol w:w="101"/>
        <w:gridCol w:w="871"/>
        <w:gridCol w:w="36"/>
      </w:tblGrid>
      <w:tr w:rsidR="00000000">
        <w:trPr>
          <w:divId w:val="1375348653"/>
        </w:trPr>
        <w:tc>
          <w:tcPr>
            <w:tcW w:w="50" w:type="pct"/>
            <w:vAlign w:val="center"/>
            <w:hideMark/>
          </w:tcPr>
          <w:p w:rsidR="00000000" w:rsidRDefault="002A246B">
            <w:pPr>
              <w:jc w:val="both"/>
              <w:rPr>
                <w:rFonts w:eastAsia="Times New Roman"/>
              </w:rPr>
            </w:pPr>
          </w:p>
        </w:tc>
        <w:tc>
          <w:tcPr>
            <w:tcW w:w="356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375348653"/>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137534865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 </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2021</w:t>
            </w:r>
          </w:p>
        </w:tc>
      </w:tr>
      <w:tr w:rsidR="00000000">
        <w:trPr>
          <w:divId w:val="137534865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Payroll taxes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441</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435</w:t>
            </w:r>
          </w:p>
        </w:tc>
      </w:tr>
      <w:tr w:rsidR="00000000">
        <w:trPr>
          <w:divId w:val="137534865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Medical plans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475</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450</w:t>
            </w:r>
          </w:p>
        </w:tc>
      </w:tr>
      <w:tr w:rsidR="00000000">
        <w:trPr>
          <w:divId w:val="137534865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401(k) match and profit sharing</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369</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499</w:t>
            </w:r>
          </w:p>
        </w:tc>
      </w:tr>
      <w:tr w:rsidR="00000000">
        <w:trPr>
          <w:divId w:val="137534865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Periodic pension cost</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437</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416</w:t>
            </w:r>
          </w:p>
        </w:tc>
      </w:tr>
      <w:tr w:rsidR="00000000">
        <w:trPr>
          <w:divId w:val="137534865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Other</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w:t>
            </w:r>
          </w:p>
        </w:tc>
      </w:tr>
      <w:tr w:rsidR="00000000">
        <w:trPr>
          <w:divId w:val="1375348653"/>
        </w:trPr>
        <w:tc>
          <w:tcPr>
            <w:tcW w:w="0" w:type="auto"/>
            <w:gridSpan w:val="3"/>
            <w:tcBorders>
              <w:top w:val="single" w:sz="6" w:space="0" w:color="000000"/>
              <w:bottom w:val="doub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 employee benefits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6" w:space="0" w:color="000000"/>
              <w:bottom w:val="double" w:sz="6" w:space="0" w:color="000000"/>
            </w:tcBorders>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1,730</w:t>
            </w: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6" w:space="0" w:color="000000"/>
              <w:bottom w:val="double" w:sz="6" w:space="0" w:color="000000"/>
            </w:tcBorders>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1,804</w:t>
            </w:r>
          </w:p>
        </w:tc>
      </w:tr>
    </w:tbl>
    <w:p w:rsidR="00000000" w:rsidRDefault="002A246B">
      <w:pPr>
        <w:jc w:val="both"/>
        <w:divId w:val="983967229"/>
        <w:rPr>
          <w:rFonts w:eastAsia="Times New Roman"/>
        </w:rPr>
      </w:pPr>
      <w:r>
        <w:rPr>
          <w:rFonts w:eastAsia="Times New Roman"/>
          <w:color w:val="000000"/>
          <w:sz w:val="20"/>
          <w:szCs w:val="20"/>
        </w:rPr>
        <w:t>The Company's profit-sharing plan includes a matching 401(k) portion, in which the Company matches the first 3% of eligible employee contributions. The Company made annual contributions for the discretionary portion in an amount up to 6% of income before i</w:t>
      </w:r>
      <w:r>
        <w:rPr>
          <w:rFonts w:eastAsia="Times New Roman"/>
          <w:color w:val="000000"/>
          <w:sz w:val="20"/>
          <w:szCs w:val="20"/>
        </w:rPr>
        <w:t xml:space="preserve">ncome taxes and before contributions to the profit-sharing and pension plans for all participants, </w:t>
      </w:r>
    </w:p>
    <w:p w:rsidR="00000000" w:rsidRDefault="002A246B">
      <w:pPr>
        <w:jc w:val="center"/>
        <w:divId w:val="1579945972"/>
        <w:rPr>
          <w:rFonts w:eastAsia="Times New Roman"/>
        </w:rPr>
      </w:pPr>
      <w:r>
        <w:rPr>
          <w:rFonts w:eastAsia="Times New Roman"/>
          <w:color w:val="000000"/>
          <w:sz w:val="20"/>
          <w:szCs w:val="20"/>
        </w:rPr>
        <w:t>22</w:t>
      </w:r>
    </w:p>
    <w:p w:rsidR="00000000" w:rsidRDefault="002A246B">
      <w:pPr>
        <w:rPr>
          <w:rFonts w:eastAsia="Times New Roman"/>
        </w:rPr>
      </w:pPr>
      <w:r>
        <w:rPr>
          <w:rFonts w:eastAsia="Times New Roman"/>
        </w:rPr>
        <w:pict>
          <v:rect id="_x0000_i1046" style="width:0;height:1.5pt" o:hralign="center" o:hrstd="t" o:hr="t" fillcolor="#a0a0a0" stroked="f"/>
        </w:pict>
      </w:r>
    </w:p>
    <w:p w:rsidR="00000000" w:rsidRDefault="002A246B">
      <w:pPr>
        <w:jc w:val="center"/>
        <w:divId w:val="2064720035"/>
        <w:rPr>
          <w:rFonts w:eastAsia="Times New Roman"/>
        </w:rPr>
      </w:pPr>
      <w:r>
        <w:rPr>
          <w:rFonts w:eastAsia="Times New Roman"/>
          <w:b/>
          <w:bCs/>
          <w:color w:val="000000"/>
          <w:sz w:val="20"/>
          <w:szCs w:val="20"/>
        </w:rPr>
        <w:t>HAWTHORN BANCSHARES, INC.</w:t>
      </w:r>
    </w:p>
    <w:p w:rsidR="00000000" w:rsidRDefault="002A246B">
      <w:pPr>
        <w:jc w:val="center"/>
        <w:divId w:val="2064720035"/>
        <w:rPr>
          <w:rFonts w:eastAsia="Times New Roman"/>
        </w:rPr>
      </w:pPr>
      <w:r>
        <w:rPr>
          <w:rFonts w:eastAsia="Times New Roman"/>
          <w:b/>
          <w:bCs/>
          <w:color w:val="000000"/>
          <w:sz w:val="20"/>
          <w:szCs w:val="20"/>
        </w:rPr>
        <w:t>AND SUBSIDIARIES</w:t>
      </w:r>
    </w:p>
    <w:p w:rsidR="00000000" w:rsidRDefault="002A246B">
      <w:pPr>
        <w:jc w:val="center"/>
        <w:divId w:val="2064720035"/>
        <w:rPr>
          <w:rFonts w:eastAsia="Times New Roman"/>
        </w:rPr>
      </w:pPr>
      <w:r>
        <w:rPr>
          <w:rFonts w:eastAsia="Times New Roman"/>
          <w:color w:val="000000"/>
          <w:sz w:val="18"/>
          <w:szCs w:val="18"/>
        </w:rPr>
        <w:t>Notes to the Consolidated Financial Statements</w:t>
      </w:r>
    </w:p>
    <w:p w:rsidR="00000000" w:rsidRDefault="002A246B">
      <w:pPr>
        <w:jc w:val="center"/>
        <w:divId w:val="2064720035"/>
        <w:rPr>
          <w:rFonts w:eastAsia="Times New Roman"/>
        </w:rPr>
      </w:pPr>
      <w:r>
        <w:rPr>
          <w:rFonts w:eastAsia="Times New Roman"/>
          <w:i/>
          <w:iCs/>
          <w:color w:val="000000"/>
          <w:sz w:val="18"/>
          <w:szCs w:val="18"/>
        </w:rPr>
        <w:t>(Unaudited)</w:t>
      </w:r>
    </w:p>
    <w:p w:rsidR="00000000" w:rsidRDefault="002A246B">
      <w:pPr>
        <w:jc w:val="both"/>
        <w:divId w:val="646595954"/>
        <w:rPr>
          <w:rFonts w:eastAsia="Times New Roman"/>
        </w:rPr>
      </w:pPr>
      <w:r>
        <w:rPr>
          <w:rFonts w:eastAsia="Times New Roman"/>
          <w:color w:val="000000"/>
          <w:sz w:val="20"/>
          <w:szCs w:val="20"/>
        </w:rPr>
        <w:t>limited to the maximum amount deductible for federal income tax purposes, for each of the periods shown. In addition, employees were able to make additional tax-deferred contributions.</w:t>
      </w:r>
    </w:p>
    <w:p w:rsidR="00000000" w:rsidRDefault="002A246B">
      <w:pPr>
        <w:divId w:val="1047756741"/>
        <w:rPr>
          <w:rFonts w:eastAsia="Times New Roman"/>
        </w:rPr>
      </w:pPr>
      <w:r>
        <w:rPr>
          <w:rFonts w:eastAsia="Times New Roman"/>
          <w:i/>
          <w:iCs/>
          <w:color w:val="000000"/>
          <w:sz w:val="20"/>
          <w:szCs w:val="20"/>
        </w:rPr>
        <w:t>Other Plans</w:t>
      </w:r>
    </w:p>
    <w:p w:rsidR="00000000" w:rsidRDefault="002A246B">
      <w:pPr>
        <w:divId w:val="1622954867"/>
        <w:rPr>
          <w:rFonts w:eastAsia="Times New Roman"/>
        </w:rPr>
      </w:pPr>
      <w:r>
        <w:rPr>
          <w:rFonts w:eastAsia="Times New Roman"/>
          <w:color w:val="000000"/>
          <w:sz w:val="20"/>
          <w:szCs w:val="20"/>
        </w:rPr>
        <w:t xml:space="preserve">On November 7, 2018, the Board of Directors of the Company </w:t>
      </w:r>
      <w:r>
        <w:rPr>
          <w:rFonts w:eastAsia="Times New Roman"/>
          <w:color w:val="000000"/>
          <w:sz w:val="20"/>
          <w:szCs w:val="20"/>
        </w:rPr>
        <w:t xml:space="preserve">adopted a supplemental executive retirement plan (SERP), effective as of January 1, 2018. The SERP provides select employees who satisfy certain eligibility requirements with certain benefits upon retirement, termination of employment or death. </w:t>
      </w:r>
    </w:p>
    <w:p w:rsidR="00000000" w:rsidRDefault="002A246B">
      <w:pPr>
        <w:jc w:val="both"/>
        <w:divId w:val="2128566"/>
        <w:rPr>
          <w:rFonts w:eastAsia="Times New Roman"/>
        </w:rPr>
      </w:pPr>
      <w:r>
        <w:rPr>
          <w:rFonts w:eastAsia="Times New Roman"/>
          <w:color w:val="000000"/>
          <w:sz w:val="20"/>
          <w:szCs w:val="20"/>
        </w:rPr>
        <w:t>The accrue</w:t>
      </w:r>
      <w:r>
        <w:rPr>
          <w:rFonts w:eastAsia="Times New Roman"/>
          <w:color w:val="000000"/>
          <w:sz w:val="20"/>
          <w:szCs w:val="20"/>
        </w:rPr>
        <w:t xml:space="preserve">d liability relating to the SERP was $1.8 million as of March 31, 2022, and the expense for the three months ended March 31, 2022 was $93,000 compared to $97,000 for the three months ended March 31, 2021 and is recognized over the required service period. </w:t>
      </w:r>
    </w:p>
    <w:p w:rsidR="00000000" w:rsidRDefault="002A246B">
      <w:pPr>
        <w:divId w:val="1470518120"/>
        <w:rPr>
          <w:rFonts w:eastAsia="Times New Roman"/>
        </w:rPr>
      </w:pPr>
      <w:r>
        <w:rPr>
          <w:rFonts w:eastAsia="Times New Roman"/>
          <w:i/>
          <w:iCs/>
          <w:color w:val="000000"/>
          <w:sz w:val="20"/>
          <w:szCs w:val="20"/>
        </w:rPr>
        <w:t>Pension</w:t>
      </w:r>
    </w:p>
    <w:p w:rsidR="00000000" w:rsidRDefault="002A246B">
      <w:pPr>
        <w:jc w:val="both"/>
        <w:divId w:val="1297880866"/>
        <w:rPr>
          <w:rFonts w:eastAsia="Times New Roman"/>
        </w:rPr>
      </w:pPr>
      <w:r>
        <w:rPr>
          <w:rFonts w:eastAsia="Times New Roman"/>
          <w:color w:val="000000"/>
          <w:sz w:val="20"/>
          <w:szCs w:val="20"/>
        </w:rPr>
        <w:t xml:space="preserve">The Company provides a noncontributory defined benefit pension plan for all full-time and eligible employees. Beginning January 1, 2018 and for all retrospective periods presented, the Company adopted the guidance under ASU 2017-07, </w:t>
      </w:r>
      <w:r>
        <w:rPr>
          <w:rFonts w:eastAsia="Times New Roman"/>
          <w:i/>
          <w:iCs/>
          <w:color w:val="000000"/>
          <w:sz w:val="20"/>
          <w:szCs w:val="20"/>
        </w:rPr>
        <w:t xml:space="preserve">Improving the </w:t>
      </w:r>
      <w:r>
        <w:rPr>
          <w:rFonts w:eastAsia="Times New Roman"/>
          <w:i/>
          <w:iCs/>
          <w:color w:val="000000"/>
          <w:sz w:val="20"/>
          <w:szCs w:val="20"/>
        </w:rPr>
        <w:t>Presentation of Net Periodic Pension Cost and Net Periodic Postretirement Benefit Cost</w:t>
      </w:r>
      <w:r>
        <w:rPr>
          <w:rFonts w:eastAsia="Times New Roman"/>
          <w:color w:val="000000"/>
          <w:sz w:val="20"/>
          <w:szCs w:val="20"/>
        </w:rPr>
        <w:t>. Under the guidance, only the service cost component of the net periodic benefit cost is reported in the same income statement line item as salaries and benefits, and th</w:t>
      </w:r>
      <w:r>
        <w:rPr>
          <w:rFonts w:eastAsia="Times New Roman"/>
          <w:color w:val="000000"/>
          <w:sz w:val="20"/>
          <w:szCs w:val="20"/>
        </w:rPr>
        <w:t xml:space="preserve">e remaining components are reported as other non-interest expense. An employer is required to recognize the funded status of a defined benefit postretirement plan as an asset or liability in its balance sheet and to recognize changes in that funded status </w:t>
      </w:r>
      <w:r>
        <w:rPr>
          <w:rFonts w:eastAsia="Times New Roman"/>
          <w:color w:val="000000"/>
          <w:sz w:val="20"/>
          <w:szCs w:val="20"/>
        </w:rPr>
        <w:t>in the year in which the changes occur through comprehensive income. Under the Company’s funding policy for the defined benefit pension plan, contributions are made to a trust as necessary to provide for current service and for any unfunded accrued actuari</w:t>
      </w:r>
      <w:r>
        <w:rPr>
          <w:rFonts w:eastAsia="Times New Roman"/>
          <w:color w:val="000000"/>
          <w:sz w:val="20"/>
          <w:szCs w:val="20"/>
        </w:rPr>
        <w:t xml:space="preserve">al liabilities over a reasonable period. To the extent that these requirements are fully covered by assets in the trust, a contribution might not be made in a particular year. The Company made a pension contribution of $1.0 million on April 1, 2022. </w:t>
      </w:r>
    </w:p>
    <w:p w:rsidR="00000000" w:rsidRDefault="002A246B">
      <w:pPr>
        <w:jc w:val="both"/>
        <w:divId w:val="265506441"/>
        <w:rPr>
          <w:rFonts w:eastAsia="Times New Roman"/>
        </w:rPr>
      </w:pPr>
      <w:r>
        <w:rPr>
          <w:rFonts w:eastAsia="Times New Roman"/>
          <w:color w:val="000000"/>
          <w:sz w:val="20"/>
          <w:szCs w:val="20"/>
        </w:rPr>
        <w:t>Effec</w:t>
      </w:r>
      <w:r>
        <w:rPr>
          <w:rFonts w:eastAsia="Times New Roman"/>
          <w:color w:val="000000"/>
          <w:sz w:val="20"/>
          <w:szCs w:val="20"/>
        </w:rPr>
        <w:t>tive July 1, 2017, the Company amended the pension plan to effectuate a “soft freeze” such that no individual hired (or rehired in the case of a former employee) by the Company after September 30, 2017, whether or not such individual is or was a vested mem</w:t>
      </w:r>
      <w:r>
        <w:rPr>
          <w:rFonts w:eastAsia="Times New Roman"/>
          <w:color w:val="000000"/>
          <w:sz w:val="20"/>
          <w:szCs w:val="20"/>
        </w:rPr>
        <w:t xml:space="preserve">ber in the plan, will be eligible to be an active member and be entitled to accrue any benefits under the plan. </w:t>
      </w:r>
    </w:p>
    <w:p w:rsidR="00000000" w:rsidRDefault="002A246B">
      <w:pPr>
        <w:divId w:val="10424824"/>
        <w:rPr>
          <w:rFonts w:eastAsia="Times New Roman"/>
        </w:rPr>
      </w:pPr>
      <w:r>
        <w:rPr>
          <w:rFonts w:eastAsia="Times New Roman"/>
          <w:i/>
          <w:iCs/>
          <w:color w:val="000000"/>
          <w:sz w:val="20"/>
          <w:szCs w:val="20"/>
        </w:rPr>
        <w:t>Components of Net Pension Cost and Other Amounts Recognized in Accumulated Other Comprehensive Income (Loss)</w:t>
      </w:r>
    </w:p>
    <w:p w:rsidR="00000000" w:rsidRDefault="002A246B">
      <w:pPr>
        <w:jc w:val="both"/>
        <w:divId w:val="1492523069"/>
        <w:rPr>
          <w:rFonts w:eastAsia="Times New Roman"/>
        </w:rPr>
      </w:pPr>
      <w:r>
        <w:rPr>
          <w:rFonts w:eastAsia="Times New Roman"/>
          <w:color w:val="000000"/>
          <w:sz w:val="20"/>
          <w:szCs w:val="20"/>
        </w:rPr>
        <w:t>The following items are components</w:t>
      </w:r>
      <w:r>
        <w:rPr>
          <w:rFonts w:eastAsia="Times New Roman"/>
          <w:color w:val="000000"/>
          <w:sz w:val="20"/>
          <w:szCs w:val="20"/>
        </w:rPr>
        <w:t xml:space="preserve"> of net pension cost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5931"/>
        <w:gridCol w:w="37"/>
        <w:gridCol w:w="100"/>
        <w:gridCol w:w="959"/>
        <w:gridCol w:w="36"/>
        <w:gridCol w:w="36"/>
        <w:gridCol w:w="36"/>
        <w:gridCol w:w="36"/>
        <w:gridCol w:w="100"/>
        <w:gridCol w:w="960"/>
        <w:gridCol w:w="36"/>
      </w:tblGrid>
      <w:tr w:rsidR="00000000">
        <w:trPr>
          <w:divId w:val="947661108"/>
        </w:trPr>
        <w:tc>
          <w:tcPr>
            <w:tcW w:w="50" w:type="pct"/>
            <w:vAlign w:val="center"/>
            <w:hideMark/>
          </w:tcPr>
          <w:p w:rsidR="00000000" w:rsidRDefault="002A246B">
            <w:pPr>
              <w:jc w:val="both"/>
              <w:rPr>
                <w:rFonts w:eastAsia="Times New Roman"/>
              </w:rPr>
            </w:pPr>
          </w:p>
        </w:tc>
        <w:tc>
          <w:tcPr>
            <w:tcW w:w="359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947661108"/>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Three Months Ended March 31,</w:t>
            </w:r>
          </w:p>
        </w:tc>
      </w:tr>
      <w:tr w:rsidR="00000000">
        <w:trPr>
          <w:divId w:val="947661108"/>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2021</w:t>
            </w:r>
          </w:p>
        </w:tc>
      </w:tr>
      <w:tr w:rsidR="00000000">
        <w:trPr>
          <w:divId w:val="947661108"/>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Service cost - benefits earned during the year</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1,630 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1,663 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947661108"/>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Interest costs on projected benefit obligations (a)</w:t>
            </w: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1,183 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1,023 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947661108"/>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Expected return on plan assets (a)</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(2,231)</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(1,825)</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947661108"/>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Expected administrative expenses</w:t>
            </w: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118 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104 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947661108"/>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Amortization of prior service cost (a)</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947661108"/>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Amortization of unrecognized net loss (a)</w:t>
            </w: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181 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947661108"/>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Net periodic pension cost</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700 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1,146 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bl>
    <w:tbl>
      <w:tblPr>
        <w:tblW w:w="1219" w:type="pct"/>
        <w:tblCellMar>
          <w:top w:w="15" w:type="dxa"/>
          <w:left w:w="15" w:type="dxa"/>
          <w:bottom w:w="15" w:type="dxa"/>
          <w:right w:w="15" w:type="dxa"/>
        </w:tblCellMar>
        <w:tblLook w:val="04A0" w:firstRow="1" w:lastRow="0" w:firstColumn="1" w:lastColumn="0" w:noHBand="0" w:noVBand="1"/>
      </w:tblPr>
      <w:tblGrid>
        <w:gridCol w:w="144"/>
        <w:gridCol w:w="2002"/>
        <w:gridCol w:w="144"/>
      </w:tblGrid>
      <w:tr w:rsidR="00000000">
        <w:tc>
          <w:tcPr>
            <w:tcW w:w="50" w:type="pct"/>
            <w:vAlign w:val="center"/>
            <w:hideMark/>
          </w:tcPr>
          <w:p w:rsidR="00000000" w:rsidRDefault="002A246B">
            <w:pPr>
              <w:rPr>
                <w:rFonts w:eastAsia="Times New Roman"/>
              </w:rPr>
            </w:pPr>
          </w:p>
        </w:tc>
        <w:tc>
          <w:tcPr>
            <w:tcW w:w="494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r>
    </w:tbl>
    <w:p w:rsidR="00000000" w:rsidRDefault="002A246B">
      <w:pPr>
        <w:ind w:hanging="360"/>
        <w:jc w:val="both"/>
        <w:rPr>
          <w:rFonts w:eastAsia="Times New Roman"/>
        </w:rPr>
      </w:pPr>
      <w:r>
        <w:rPr>
          <w:rFonts w:eastAsia="Times New Roman"/>
          <w:color w:val="000000"/>
          <w:sz w:val="16"/>
          <w:szCs w:val="16"/>
        </w:rPr>
        <w:t>(a)</w:t>
      </w:r>
      <w:r>
        <w:rPr>
          <w:rFonts w:eastAsia="Times New Roman"/>
          <w:color w:val="000000"/>
          <w:sz w:val="16"/>
          <w:szCs w:val="16"/>
        </w:rPr>
        <w:t xml:space="preserve">The components of net periodic pension cost other than the service cost component are included in other non-interest expense. </w:t>
      </w:r>
    </w:p>
    <w:p w:rsidR="00000000" w:rsidRDefault="002A246B">
      <w:pPr>
        <w:jc w:val="both"/>
        <w:divId w:val="1872109721"/>
        <w:rPr>
          <w:rFonts w:eastAsia="Times New Roman"/>
        </w:rPr>
      </w:pPr>
      <w:r>
        <w:rPr>
          <w:rFonts w:eastAsia="Times New Roman"/>
          <w:color w:val="000000"/>
          <w:sz w:val="20"/>
          <w:szCs w:val="20"/>
        </w:rPr>
        <w:t>Net periodic pension benefit costs include interest costs based on an assumed discount rate, the expected return on plan assets b</w:t>
      </w:r>
      <w:r>
        <w:rPr>
          <w:rFonts w:eastAsia="Times New Roman"/>
          <w:color w:val="000000"/>
          <w:sz w:val="20"/>
          <w:szCs w:val="20"/>
        </w:rPr>
        <w:t>ased on actuarially derived market-related values, and the amortization of net actuarial losses. Net periodic postretirement benefit costs include service costs, interest costs based on an assumed discount rate, and the amortization of prior service credit</w:t>
      </w:r>
      <w:r>
        <w:rPr>
          <w:rFonts w:eastAsia="Times New Roman"/>
          <w:color w:val="000000"/>
          <w:sz w:val="20"/>
          <w:szCs w:val="20"/>
        </w:rPr>
        <w:t xml:space="preserve">s and net actuarial gains. Differences between expected and actual results in each year are included in the net actuarial gain or loss amount, which is recognized in other comprehensive income. The net actuarial gain or loss in excess of a 10% corridor is </w:t>
      </w:r>
      <w:r>
        <w:rPr>
          <w:rFonts w:eastAsia="Times New Roman"/>
          <w:color w:val="000000"/>
          <w:sz w:val="20"/>
          <w:szCs w:val="20"/>
        </w:rPr>
        <w:t>amortized in net periodic benefit cost over the average remaining service period of active participants in the pension plan. The prior service credit is amortized over the average remaining service period to full eligibility for participating employees exp</w:t>
      </w:r>
      <w:r>
        <w:rPr>
          <w:rFonts w:eastAsia="Times New Roman"/>
          <w:color w:val="000000"/>
          <w:sz w:val="20"/>
          <w:szCs w:val="20"/>
        </w:rPr>
        <w:t>ected to receive benefits. Currently, there is no prior service cost or net transition (asset)/obligation to be amortized.</w:t>
      </w:r>
    </w:p>
    <w:p w:rsidR="00000000" w:rsidRDefault="002A246B">
      <w:pPr>
        <w:jc w:val="center"/>
        <w:divId w:val="328599342"/>
        <w:rPr>
          <w:rFonts w:eastAsia="Times New Roman"/>
        </w:rPr>
      </w:pPr>
      <w:r>
        <w:rPr>
          <w:rFonts w:eastAsia="Times New Roman"/>
          <w:color w:val="000000"/>
          <w:sz w:val="20"/>
          <w:szCs w:val="20"/>
        </w:rPr>
        <w:t>23</w:t>
      </w:r>
    </w:p>
    <w:p w:rsidR="00000000" w:rsidRDefault="002A246B">
      <w:pPr>
        <w:rPr>
          <w:rFonts w:eastAsia="Times New Roman"/>
        </w:rPr>
      </w:pPr>
      <w:r>
        <w:rPr>
          <w:rFonts w:eastAsia="Times New Roman"/>
        </w:rPr>
        <w:pict>
          <v:rect id="_x0000_i1047" style="width:0;height:1.5pt" o:hralign="center" o:hrstd="t" o:hr="t" fillcolor="#a0a0a0" stroked="f"/>
        </w:pict>
      </w:r>
    </w:p>
    <w:p w:rsidR="00000000" w:rsidRDefault="002A246B">
      <w:pPr>
        <w:jc w:val="center"/>
        <w:divId w:val="390079752"/>
        <w:rPr>
          <w:rFonts w:eastAsia="Times New Roman"/>
        </w:rPr>
      </w:pPr>
      <w:r>
        <w:rPr>
          <w:rFonts w:eastAsia="Times New Roman"/>
          <w:b/>
          <w:bCs/>
          <w:color w:val="000000"/>
          <w:sz w:val="20"/>
          <w:szCs w:val="20"/>
        </w:rPr>
        <w:t>HAWTHORN BANCSHARES, INC.</w:t>
      </w:r>
    </w:p>
    <w:p w:rsidR="00000000" w:rsidRDefault="002A246B">
      <w:pPr>
        <w:jc w:val="center"/>
        <w:divId w:val="390079752"/>
        <w:rPr>
          <w:rFonts w:eastAsia="Times New Roman"/>
        </w:rPr>
      </w:pPr>
      <w:r>
        <w:rPr>
          <w:rFonts w:eastAsia="Times New Roman"/>
          <w:b/>
          <w:bCs/>
          <w:color w:val="000000"/>
          <w:sz w:val="20"/>
          <w:szCs w:val="20"/>
        </w:rPr>
        <w:t>AND SUBSIDIARIES</w:t>
      </w:r>
    </w:p>
    <w:p w:rsidR="00000000" w:rsidRDefault="002A246B">
      <w:pPr>
        <w:jc w:val="center"/>
        <w:divId w:val="390079752"/>
        <w:rPr>
          <w:rFonts w:eastAsia="Times New Roman"/>
        </w:rPr>
      </w:pPr>
      <w:r>
        <w:rPr>
          <w:rFonts w:eastAsia="Times New Roman"/>
          <w:color w:val="000000"/>
          <w:sz w:val="18"/>
          <w:szCs w:val="18"/>
        </w:rPr>
        <w:t>Notes to the Consolidated Financial Statements</w:t>
      </w:r>
    </w:p>
    <w:p w:rsidR="00000000" w:rsidRDefault="002A246B">
      <w:pPr>
        <w:jc w:val="center"/>
        <w:divId w:val="390079752"/>
        <w:rPr>
          <w:rFonts w:eastAsia="Times New Roman"/>
        </w:rPr>
      </w:pPr>
      <w:r>
        <w:rPr>
          <w:rFonts w:eastAsia="Times New Roman"/>
          <w:i/>
          <w:iCs/>
          <w:color w:val="000000"/>
          <w:sz w:val="18"/>
          <w:szCs w:val="18"/>
        </w:rPr>
        <w:t>(Unaudited)</w:t>
      </w:r>
    </w:p>
    <w:p w:rsidR="00000000" w:rsidRDefault="002A246B">
      <w:pPr>
        <w:divId w:val="1060858556"/>
        <w:rPr>
          <w:rFonts w:eastAsia="Times New Roman"/>
        </w:rPr>
      </w:pPr>
      <w:r>
        <w:rPr>
          <w:rFonts w:eastAsia="Times New Roman"/>
          <w:b/>
          <w:bCs/>
          <w:color w:val="000000"/>
          <w:sz w:val="20"/>
          <w:szCs w:val="20"/>
        </w:rPr>
        <w:t>(12) Earnings per Share</w:t>
      </w:r>
    </w:p>
    <w:p w:rsidR="00000000" w:rsidRDefault="002A246B">
      <w:pPr>
        <w:jc w:val="both"/>
        <w:divId w:val="1447500107"/>
        <w:rPr>
          <w:rFonts w:eastAsia="Times New Roman"/>
        </w:rPr>
      </w:pPr>
      <w:r>
        <w:rPr>
          <w:rFonts w:eastAsia="Times New Roman"/>
          <w:i/>
          <w:iCs/>
          <w:color w:val="000000"/>
          <w:sz w:val="20"/>
          <w:szCs w:val="20"/>
        </w:rPr>
        <w:t>Stock Dividend</w:t>
      </w:r>
    </w:p>
    <w:p w:rsidR="00000000" w:rsidRDefault="002A246B">
      <w:pPr>
        <w:jc w:val="both"/>
        <w:divId w:val="1536650219"/>
        <w:rPr>
          <w:rFonts w:eastAsia="Times New Roman"/>
        </w:rPr>
      </w:pPr>
      <w:r>
        <w:rPr>
          <w:rFonts w:eastAsia="Times New Roman"/>
          <w:color w:val="000000"/>
          <w:sz w:val="20"/>
          <w:szCs w:val="20"/>
        </w:rPr>
        <w:t>On July 1, 2021, the Company paid a special stock dividend of 4</w:t>
      </w:r>
      <w:r>
        <w:rPr>
          <w:rFonts w:eastAsia="Times New Roman"/>
          <w:color w:val="000000"/>
          <w:sz w:val="20"/>
          <w:szCs w:val="20"/>
        </w:rPr>
        <w:t>% to common shareholders of record at the close of business on June 15, 2021. For all periods presented, share information, including basic and diluted earnings per share, has been adjusted retroactively to reflect this change.</w:t>
      </w:r>
    </w:p>
    <w:p w:rsidR="00000000" w:rsidRDefault="002A246B">
      <w:pPr>
        <w:jc w:val="both"/>
        <w:divId w:val="870607175"/>
        <w:rPr>
          <w:rFonts w:eastAsia="Times New Roman"/>
        </w:rPr>
      </w:pPr>
      <w:r>
        <w:rPr>
          <w:rFonts w:eastAsia="Times New Roman"/>
          <w:color w:val="000000"/>
          <w:sz w:val="20"/>
          <w:szCs w:val="20"/>
        </w:rPr>
        <w:t xml:space="preserve">Basic earnings per share is </w:t>
      </w:r>
      <w:r>
        <w:rPr>
          <w:rFonts w:eastAsia="Times New Roman"/>
          <w:color w:val="000000"/>
          <w:sz w:val="20"/>
          <w:szCs w:val="20"/>
        </w:rPr>
        <w:t>computed by dividing income available to shareholders by the weighted average number of shares outstanding during the period. Diluted earnings per share gives effect to all dilutive potential shares that were outstanding during the period.</w:t>
      </w:r>
    </w:p>
    <w:p w:rsidR="00000000" w:rsidRDefault="002A246B">
      <w:pPr>
        <w:jc w:val="both"/>
        <w:divId w:val="1840076780"/>
        <w:rPr>
          <w:rFonts w:eastAsia="Times New Roman"/>
        </w:rPr>
      </w:pPr>
      <w:r>
        <w:rPr>
          <w:rFonts w:eastAsia="Times New Roman"/>
          <w:color w:val="000000"/>
          <w:sz w:val="20"/>
          <w:szCs w:val="20"/>
        </w:rPr>
        <w:t xml:space="preserve">Presented below </w:t>
      </w:r>
      <w:r>
        <w:rPr>
          <w:rFonts w:eastAsia="Times New Roman"/>
          <w:color w:val="000000"/>
          <w:sz w:val="20"/>
          <w:szCs w:val="20"/>
        </w:rPr>
        <w:t>is a summary of the components used to calculate basic and diluted earnings per common share, which have been restated for all stock dividends:</w:t>
      </w:r>
    </w:p>
    <w:tbl>
      <w:tblPr>
        <w:tblW w:w="4931" w:type="pct"/>
        <w:tblCellMar>
          <w:top w:w="15" w:type="dxa"/>
          <w:left w:w="15" w:type="dxa"/>
          <w:bottom w:w="15" w:type="dxa"/>
          <w:right w:w="15" w:type="dxa"/>
        </w:tblCellMar>
        <w:tblLook w:val="04A0" w:firstRow="1" w:lastRow="0" w:firstColumn="1" w:lastColumn="0" w:noHBand="0" w:noVBand="1"/>
      </w:tblPr>
      <w:tblGrid>
        <w:gridCol w:w="38"/>
        <w:gridCol w:w="5338"/>
        <w:gridCol w:w="37"/>
        <w:gridCol w:w="36"/>
        <w:gridCol w:w="46"/>
        <w:gridCol w:w="488"/>
        <w:gridCol w:w="36"/>
        <w:gridCol w:w="36"/>
        <w:gridCol w:w="36"/>
        <w:gridCol w:w="102"/>
        <w:gridCol w:w="856"/>
        <w:gridCol w:w="39"/>
        <w:gridCol w:w="36"/>
        <w:gridCol w:w="36"/>
        <w:gridCol w:w="36"/>
        <w:gridCol w:w="102"/>
        <w:gridCol w:w="857"/>
        <w:gridCol w:w="36"/>
      </w:tblGrid>
      <w:tr w:rsidR="00000000">
        <w:trPr>
          <w:divId w:val="658188663"/>
        </w:trPr>
        <w:tc>
          <w:tcPr>
            <w:tcW w:w="50" w:type="pct"/>
            <w:vAlign w:val="center"/>
            <w:hideMark/>
          </w:tcPr>
          <w:p w:rsidR="00000000" w:rsidRDefault="002A246B">
            <w:pPr>
              <w:jc w:val="both"/>
              <w:rPr>
                <w:rFonts w:eastAsia="Times New Roman"/>
              </w:rPr>
            </w:pPr>
          </w:p>
        </w:tc>
        <w:tc>
          <w:tcPr>
            <w:tcW w:w="3531"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13"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13"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658188663"/>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65818866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(dollars in thousands, except per share data)</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2021</w:t>
            </w:r>
          </w:p>
        </w:tc>
      </w:tr>
      <w:tr w:rsidR="00000000">
        <w:trPr>
          <w:divId w:val="65818866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Basic earnings per share: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ind w:hanging="6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ind w:hanging="60"/>
              <w:rPr>
                <w:rFonts w:eastAsia="Times New Roman"/>
                <w:sz w:val="20"/>
                <w:szCs w:val="20"/>
              </w:rPr>
            </w:pPr>
          </w:p>
        </w:tc>
      </w:tr>
      <w:tr w:rsidR="00000000">
        <w:trPr>
          <w:divId w:val="65818866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Net income available to shareholders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6,609</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5,839</w:t>
            </w:r>
          </w:p>
        </w:tc>
      </w:tr>
      <w:tr w:rsidR="00000000">
        <w:trPr>
          <w:divId w:val="65818866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Average shares outstanding</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6,604,493</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6,617,368</w:t>
            </w:r>
          </w:p>
        </w:tc>
      </w:tr>
      <w:tr w:rsidR="00000000">
        <w:trPr>
          <w:divId w:val="658188663"/>
        </w:trPr>
        <w:tc>
          <w:tcPr>
            <w:tcW w:w="0" w:type="auto"/>
            <w:gridSpan w:val="3"/>
            <w:tcBorders>
              <w:top w:val="doub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Basic earnings per share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double" w:sz="6" w:space="0" w:color="000000"/>
            </w:tcBorders>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1.00</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double" w:sz="6" w:space="0" w:color="000000"/>
            </w:tcBorders>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0.88</w:t>
            </w:r>
          </w:p>
        </w:tc>
      </w:tr>
      <w:tr w:rsidR="00000000">
        <w:trPr>
          <w:divId w:val="658188663"/>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Diluted earnings per share: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ind w:hanging="6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ind w:hanging="60"/>
              <w:rPr>
                <w:rFonts w:eastAsia="Times New Roman"/>
                <w:sz w:val="20"/>
                <w:szCs w:val="20"/>
              </w:rPr>
            </w:pPr>
          </w:p>
        </w:tc>
      </w:tr>
      <w:tr w:rsidR="00000000">
        <w:trPr>
          <w:divId w:val="65818866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Net income available to shareholders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6,609</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5,839</w:t>
            </w:r>
          </w:p>
        </w:tc>
      </w:tr>
      <w:tr w:rsidR="00000000">
        <w:trPr>
          <w:divId w:val="658188663"/>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Average shares outstanding</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6,604,493</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6,617,368</w:t>
            </w:r>
          </w:p>
        </w:tc>
      </w:tr>
      <w:tr w:rsidR="00000000">
        <w:trPr>
          <w:divId w:val="658188663"/>
        </w:trPr>
        <w:tc>
          <w:tcPr>
            <w:tcW w:w="0" w:type="auto"/>
            <w:gridSpan w:val="3"/>
            <w:tcBorders>
              <w:bottom w:val="doub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Diluted earnings per share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bottom w:val="double" w:sz="6" w:space="0" w:color="000000"/>
            </w:tcBorders>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1.00</w:t>
            </w: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bottom w:val="double" w:sz="6" w:space="0" w:color="000000"/>
            </w:tcBorders>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0.88</w:t>
            </w:r>
          </w:p>
        </w:tc>
      </w:tr>
    </w:tbl>
    <w:p w:rsidR="00000000" w:rsidRDefault="002A246B">
      <w:pPr>
        <w:jc w:val="both"/>
        <w:divId w:val="1336610629"/>
        <w:rPr>
          <w:rFonts w:eastAsia="Times New Roman"/>
        </w:rPr>
      </w:pPr>
      <w:r>
        <w:rPr>
          <w:rFonts w:eastAsia="Times New Roman"/>
          <w:i/>
          <w:iCs/>
          <w:color w:val="000000"/>
          <w:sz w:val="20"/>
          <w:szCs w:val="20"/>
        </w:rPr>
        <w:t>Repurchase Program</w:t>
      </w:r>
      <w:r>
        <w:rPr>
          <w:rFonts w:eastAsia="Times New Roman"/>
          <w:b/>
          <w:bCs/>
          <w:i/>
          <w:iCs/>
          <w:color w:val="000000"/>
          <w:sz w:val="20"/>
          <w:szCs w:val="20"/>
        </w:rPr>
        <w:t xml:space="preserve"> </w:t>
      </w:r>
    </w:p>
    <w:p w:rsidR="00000000" w:rsidRDefault="002A246B">
      <w:pPr>
        <w:jc w:val="both"/>
        <w:divId w:val="1135951169"/>
        <w:rPr>
          <w:rFonts w:eastAsia="Times New Roman"/>
        </w:rPr>
      </w:pPr>
      <w:r>
        <w:rPr>
          <w:rFonts w:eastAsia="Times New Roman"/>
          <w:color w:val="000000"/>
          <w:sz w:val="20"/>
          <w:szCs w:val="20"/>
        </w:rPr>
        <w:t>The Company's 2019 Repurchase Plan was amended during the second quarter of 2021 to authorize the purchase of up to an additional $5.0 million in market value of the Company's common stock. Management was given discretion to determine the number and pricin</w:t>
      </w:r>
      <w:r>
        <w:rPr>
          <w:rFonts w:eastAsia="Times New Roman"/>
          <w:color w:val="000000"/>
          <w:sz w:val="20"/>
          <w:szCs w:val="20"/>
        </w:rPr>
        <w:t>g of the shares to be purchased, as well as the timing of any such purchases.</w:t>
      </w:r>
    </w:p>
    <w:p w:rsidR="00000000" w:rsidRDefault="002A246B">
      <w:pPr>
        <w:jc w:val="both"/>
        <w:divId w:val="1915387373"/>
        <w:rPr>
          <w:rFonts w:eastAsia="Times New Roman"/>
        </w:rPr>
      </w:pPr>
      <w:r>
        <w:rPr>
          <w:rFonts w:eastAsia="Times New Roman"/>
          <w:color w:val="000000"/>
          <w:sz w:val="20"/>
          <w:szCs w:val="20"/>
        </w:rPr>
        <w:t>During the first quarter 2022, the Company repurchased 23,536 common shares at an average cost of $25.75 per share totaling $0.6 million. As of March 31, 2022, $4.4 million remai</w:t>
      </w:r>
      <w:r>
        <w:rPr>
          <w:rFonts w:eastAsia="Times New Roman"/>
          <w:color w:val="000000"/>
          <w:sz w:val="20"/>
          <w:szCs w:val="20"/>
        </w:rPr>
        <w:t>ned available for share repurchases pursuant to that authorization.</w:t>
      </w:r>
    </w:p>
    <w:p w:rsidR="00000000" w:rsidRDefault="002A246B">
      <w:pPr>
        <w:divId w:val="497036170"/>
        <w:rPr>
          <w:rFonts w:eastAsia="Times New Roman"/>
        </w:rPr>
      </w:pPr>
      <w:r>
        <w:rPr>
          <w:rFonts w:eastAsia="Times New Roman"/>
          <w:b/>
          <w:bCs/>
          <w:color w:val="000000"/>
          <w:sz w:val="20"/>
          <w:szCs w:val="20"/>
        </w:rPr>
        <w:t>(13) Fair Value Measurements</w:t>
      </w:r>
    </w:p>
    <w:p w:rsidR="00000000" w:rsidRDefault="002A246B">
      <w:pPr>
        <w:jc w:val="both"/>
        <w:divId w:val="1419447723"/>
        <w:rPr>
          <w:rFonts w:eastAsia="Times New Roman"/>
        </w:rPr>
      </w:pPr>
      <w:r>
        <w:rPr>
          <w:rFonts w:eastAsia="Times New Roman"/>
          <w:color w:val="000000"/>
          <w:sz w:val="20"/>
          <w:szCs w:val="20"/>
        </w:rPr>
        <w:t>Fair value represents the amount expected to be received to sell an asset or paid to transfer a liability in its principal or most advantageous market in an or</w:t>
      </w:r>
      <w:r>
        <w:rPr>
          <w:rFonts w:eastAsia="Times New Roman"/>
          <w:color w:val="000000"/>
          <w:sz w:val="20"/>
          <w:szCs w:val="20"/>
        </w:rPr>
        <w:t>derly transaction between market participants at the measurement date.</w:t>
      </w:r>
    </w:p>
    <w:p w:rsidR="00000000" w:rsidRDefault="002A246B">
      <w:pPr>
        <w:jc w:val="both"/>
        <w:divId w:val="1995982582"/>
        <w:rPr>
          <w:rFonts w:eastAsia="Times New Roman"/>
        </w:rPr>
      </w:pPr>
      <w:r>
        <w:rPr>
          <w:rFonts w:eastAsia="Times New Roman"/>
          <w:color w:val="000000"/>
          <w:sz w:val="20"/>
          <w:szCs w:val="20"/>
        </w:rPr>
        <w:t>Depending on the nature of the asset or liability, the Company uses various valuation methodologies and assumptions to estimate fair value. The measurement of fair value under U.S. GAAP</w:t>
      </w:r>
      <w:r>
        <w:rPr>
          <w:rFonts w:eastAsia="Times New Roman"/>
          <w:color w:val="000000"/>
          <w:sz w:val="20"/>
          <w:szCs w:val="20"/>
        </w:rPr>
        <w:t xml:space="preserve"> uses a hierarchy intended to maximize the use of observable inputs and minimize the use of unobservable inputs. This hierarchy uses three levels of inputs to measure the fair value of assets and liabilities as follows. </w:t>
      </w:r>
    </w:p>
    <w:p w:rsidR="00000000" w:rsidRDefault="002A246B">
      <w:pPr>
        <w:jc w:val="both"/>
        <w:divId w:val="1759322629"/>
        <w:rPr>
          <w:rFonts w:eastAsia="Times New Roman"/>
        </w:rPr>
      </w:pPr>
      <w:r>
        <w:rPr>
          <w:rFonts w:eastAsia="Times New Roman"/>
          <w:color w:val="000000"/>
          <w:sz w:val="20"/>
          <w:szCs w:val="20"/>
        </w:rPr>
        <w:t>The fair value hierarchy is as foll</w:t>
      </w:r>
      <w:r>
        <w:rPr>
          <w:rFonts w:eastAsia="Times New Roman"/>
          <w:color w:val="000000"/>
          <w:sz w:val="20"/>
          <w:szCs w:val="20"/>
        </w:rPr>
        <w:t>ows:</w:t>
      </w:r>
    </w:p>
    <w:p w:rsidR="00000000" w:rsidRDefault="002A246B">
      <w:pPr>
        <w:jc w:val="both"/>
        <w:divId w:val="995916666"/>
        <w:rPr>
          <w:rFonts w:eastAsia="Times New Roman"/>
        </w:rPr>
      </w:pPr>
      <w:r>
        <w:rPr>
          <w:rFonts w:eastAsia="Times New Roman"/>
          <w:color w:val="000000"/>
          <w:sz w:val="20"/>
          <w:szCs w:val="20"/>
        </w:rPr>
        <w:t>Level 1 – Inputs are unadjusted quoted prices for identical assets or liabilities in active markets. A quoted price in an active market provides the most reliable evidence of fair value and is used to measure fair value whenever available. A contractu</w:t>
      </w:r>
      <w:r>
        <w:rPr>
          <w:rFonts w:eastAsia="Times New Roman"/>
          <w:color w:val="000000"/>
          <w:sz w:val="20"/>
          <w:szCs w:val="20"/>
        </w:rPr>
        <w:t>ally binding sales price also provides reliable evidence of fair value.</w:t>
      </w:r>
    </w:p>
    <w:p w:rsidR="00000000" w:rsidRDefault="002A246B">
      <w:pPr>
        <w:jc w:val="both"/>
        <w:divId w:val="603462142"/>
        <w:rPr>
          <w:rFonts w:eastAsia="Times New Roman"/>
        </w:rPr>
      </w:pPr>
      <w:r>
        <w:rPr>
          <w:rFonts w:eastAsia="Times New Roman"/>
          <w:color w:val="000000"/>
          <w:sz w:val="20"/>
          <w:szCs w:val="20"/>
        </w:rPr>
        <w:t xml:space="preserve">Level 2 – </w:t>
      </w:r>
      <w:r>
        <w:rPr>
          <w:rFonts w:eastAsia="Times New Roman"/>
          <w:color w:val="000000"/>
          <w:sz w:val="20"/>
          <w:szCs w:val="20"/>
        </w:rPr>
        <w:t>Inputs other than quoted prices included in Level 1 that are observable for the asset or liability, either directly or indirectly. These might include quoted prices for similar assets and liabilities in active markets, such as interest rates and yield curv</w:t>
      </w:r>
      <w:r>
        <w:rPr>
          <w:rFonts w:eastAsia="Times New Roman"/>
          <w:color w:val="000000"/>
          <w:sz w:val="20"/>
          <w:szCs w:val="20"/>
        </w:rPr>
        <w:t>es that are observable at commonly quoted intervals.</w:t>
      </w:r>
    </w:p>
    <w:p w:rsidR="00000000" w:rsidRDefault="002A246B">
      <w:pPr>
        <w:jc w:val="center"/>
        <w:divId w:val="861213535"/>
        <w:rPr>
          <w:rFonts w:eastAsia="Times New Roman"/>
        </w:rPr>
      </w:pPr>
      <w:r>
        <w:rPr>
          <w:rFonts w:eastAsia="Times New Roman"/>
          <w:color w:val="000000"/>
          <w:sz w:val="20"/>
          <w:szCs w:val="20"/>
        </w:rPr>
        <w:t>24</w:t>
      </w:r>
    </w:p>
    <w:p w:rsidR="00000000" w:rsidRDefault="002A246B">
      <w:pPr>
        <w:rPr>
          <w:rFonts w:eastAsia="Times New Roman"/>
        </w:rPr>
      </w:pPr>
      <w:r>
        <w:rPr>
          <w:rFonts w:eastAsia="Times New Roman"/>
        </w:rPr>
        <w:pict>
          <v:rect id="_x0000_i1048" style="width:0;height:1.5pt" o:hralign="center" o:hrstd="t" o:hr="t" fillcolor="#a0a0a0" stroked="f"/>
        </w:pict>
      </w:r>
    </w:p>
    <w:p w:rsidR="00000000" w:rsidRDefault="002A246B">
      <w:pPr>
        <w:jc w:val="center"/>
        <w:divId w:val="645667730"/>
        <w:rPr>
          <w:rFonts w:eastAsia="Times New Roman"/>
        </w:rPr>
      </w:pPr>
      <w:r>
        <w:rPr>
          <w:rFonts w:eastAsia="Times New Roman"/>
          <w:b/>
          <w:bCs/>
          <w:color w:val="000000"/>
          <w:sz w:val="20"/>
          <w:szCs w:val="20"/>
        </w:rPr>
        <w:t>HAWTHORN BANCSHARES, INC.</w:t>
      </w:r>
    </w:p>
    <w:p w:rsidR="00000000" w:rsidRDefault="002A246B">
      <w:pPr>
        <w:jc w:val="center"/>
        <w:divId w:val="645667730"/>
        <w:rPr>
          <w:rFonts w:eastAsia="Times New Roman"/>
        </w:rPr>
      </w:pPr>
      <w:r>
        <w:rPr>
          <w:rFonts w:eastAsia="Times New Roman"/>
          <w:b/>
          <w:bCs/>
          <w:color w:val="000000"/>
          <w:sz w:val="20"/>
          <w:szCs w:val="20"/>
        </w:rPr>
        <w:t>AND SUBSIDIARIES</w:t>
      </w:r>
    </w:p>
    <w:p w:rsidR="00000000" w:rsidRDefault="002A246B">
      <w:pPr>
        <w:jc w:val="center"/>
        <w:divId w:val="645667730"/>
        <w:rPr>
          <w:rFonts w:eastAsia="Times New Roman"/>
        </w:rPr>
      </w:pPr>
      <w:r>
        <w:rPr>
          <w:rFonts w:eastAsia="Times New Roman"/>
          <w:color w:val="000000"/>
          <w:sz w:val="18"/>
          <w:szCs w:val="18"/>
        </w:rPr>
        <w:t>Notes to the Consolidated Financial Statements</w:t>
      </w:r>
    </w:p>
    <w:p w:rsidR="00000000" w:rsidRDefault="002A246B">
      <w:pPr>
        <w:jc w:val="center"/>
        <w:divId w:val="645667730"/>
        <w:rPr>
          <w:rFonts w:eastAsia="Times New Roman"/>
        </w:rPr>
      </w:pPr>
      <w:r>
        <w:rPr>
          <w:rFonts w:eastAsia="Times New Roman"/>
          <w:i/>
          <w:iCs/>
          <w:color w:val="000000"/>
          <w:sz w:val="18"/>
          <w:szCs w:val="18"/>
        </w:rPr>
        <w:t>(Unaudited)</w:t>
      </w:r>
    </w:p>
    <w:p w:rsidR="00000000" w:rsidRDefault="002A246B">
      <w:pPr>
        <w:jc w:val="both"/>
        <w:divId w:val="1100951167"/>
        <w:rPr>
          <w:rFonts w:eastAsia="Times New Roman"/>
        </w:rPr>
      </w:pPr>
      <w:r>
        <w:rPr>
          <w:rFonts w:eastAsia="Times New Roman"/>
          <w:color w:val="000000"/>
          <w:sz w:val="20"/>
          <w:szCs w:val="20"/>
        </w:rPr>
        <w:t xml:space="preserve">Level 3 – </w:t>
      </w:r>
      <w:r>
        <w:rPr>
          <w:rFonts w:eastAsia="Times New Roman"/>
          <w:color w:val="000000"/>
          <w:sz w:val="20"/>
          <w:szCs w:val="20"/>
        </w:rPr>
        <w:t>Inputs are unobservable inputs for the asset or liability and significant to the fair value. These may be internally developed using the Company’s best information and assumptions that a market participant would consider.</w:t>
      </w:r>
    </w:p>
    <w:p w:rsidR="00000000" w:rsidRDefault="002A246B">
      <w:pPr>
        <w:jc w:val="both"/>
        <w:divId w:val="1489899350"/>
        <w:rPr>
          <w:rFonts w:eastAsia="Times New Roman"/>
        </w:rPr>
      </w:pPr>
      <w:r>
        <w:rPr>
          <w:rFonts w:eastAsia="Times New Roman"/>
          <w:color w:val="000000"/>
          <w:sz w:val="20"/>
          <w:szCs w:val="20"/>
        </w:rPr>
        <w:t>In accordance with fair value acco</w:t>
      </w:r>
      <w:r>
        <w:rPr>
          <w:rFonts w:eastAsia="Times New Roman"/>
          <w:color w:val="000000"/>
          <w:sz w:val="20"/>
          <w:szCs w:val="20"/>
        </w:rPr>
        <w:t>unting guidance, the Company measures, records, and reports various types of assets and liabilities at fair value on either a recurring or non-recurring basis in the Consolidated Financial Statements. Nonfinancial assets measured at fair value on a non-rec</w:t>
      </w:r>
      <w:r>
        <w:rPr>
          <w:rFonts w:eastAsia="Times New Roman"/>
          <w:color w:val="000000"/>
          <w:sz w:val="20"/>
          <w:szCs w:val="20"/>
        </w:rPr>
        <w:t>urring basis would include foreclosed real estate, long-lived assets, and core deposit intangible assets, which are reviewed when circumstances or other events indicate that impairment may have occurred.</w:t>
      </w:r>
    </w:p>
    <w:p w:rsidR="00000000" w:rsidRDefault="002A246B">
      <w:pPr>
        <w:divId w:val="1456950176"/>
        <w:rPr>
          <w:rFonts w:eastAsia="Times New Roman"/>
        </w:rPr>
      </w:pPr>
      <w:r>
        <w:rPr>
          <w:rFonts w:eastAsia="Times New Roman"/>
          <w:b/>
          <w:bCs/>
          <w:i/>
          <w:iCs/>
          <w:color w:val="000000"/>
          <w:sz w:val="20"/>
          <w:szCs w:val="20"/>
        </w:rPr>
        <w:t>Valuation Methods for Assets and Liabilities Measure</w:t>
      </w:r>
      <w:r>
        <w:rPr>
          <w:rFonts w:eastAsia="Times New Roman"/>
          <w:b/>
          <w:bCs/>
          <w:i/>
          <w:iCs/>
          <w:color w:val="000000"/>
          <w:sz w:val="20"/>
          <w:szCs w:val="20"/>
        </w:rPr>
        <w:t>d at Fair Value on a Recurring Basis</w:t>
      </w:r>
    </w:p>
    <w:p w:rsidR="00000000" w:rsidRDefault="002A246B">
      <w:pPr>
        <w:jc w:val="both"/>
        <w:divId w:val="1442803561"/>
        <w:rPr>
          <w:rFonts w:eastAsia="Times New Roman"/>
        </w:rPr>
      </w:pPr>
      <w:r>
        <w:rPr>
          <w:rFonts w:eastAsia="Times New Roman"/>
          <w:color w:val="000000"/>
          <w:sz w:val="20"/>
          <w:szCs w:val="20"/>
        </w:rPr>
        <w:t>Following is a description of the Company’s valuation methodologies used for assets and liabilities recorded at fair value on a recurring basis:</w:t>
      </w:r>
    </w:p>
    <w:p w:rsidR="00000000" w:rsidRDefault="002A246B">
      <w:pPr>
        <w:jc w:val="both"/>
        <w:divId w:val="670641696"/>
        <w:rPr>
          <w:rFonts w:eastAsia="Times New Roman"/>
        </w:rPr>
      </w:pPr>
      <w:r>
        <w:rPr>
          <w:rFonts w:eastAsia="Times New Roman"/>
          <w:i/>
          <w:iCs/>
          <w:color w:val="000000"/>
          <w:sz w:val="20"/>
          <w:szCs w:val="20"/>
        </w:rPr>
        <w:t>Available-for-sale Securities</w:t>
      </w:r>
    </w:p>
    <w:p w:rsidR="00000000" w:rsidRDefault="002A246B">
      <w:pPr>
        <w:jc w:val="both"/>
        <w:divId w:val="331299393"/>
        <w:rPr>
          <w:rFonts w:eastAsia="Times New Roman"/>
        </w:rPr>
      </w:pPr>
      <w:r>
        <w:rPr>
          <w:rFonts w:eastAsia="Times New Roman"/>
          <w:color w:val="000000"/>
          <w:sz w:val="20"/>
          <w:szCs w:val="20"/>
        </w:rPr>
        <w:t>The fair value measurements of the Company’s</w:t>
      </w:r>
      <w:r>
        <w:rPr>
          <w:rFonts w:eastAsia="Times New Roman"/>
          <w:color w:val="000000"/>
          <w:sz w:val="20"/>
          <w:szCs w:val="20"/>
        </w:rPr>
        <w:t xml:space="preserve"> investment securities are determined by a third party pricing service which considers observable data that may include dealer quotes, market spreads, cash flows, the U.S. Treasury yield curve, live trading levels, trade execution data, market consensus pr</w:t>
      </w:r>
      <w:r>
        <w:rPr>
          <w:rFonts w:eastAsia="Times New Roman"/>
          <w:color w:val="000000"/>
          <w:sz w:val="20"/>
          <w:szCs w:val="20"/>
        </w:rPr>
        <w:t>epayment speeds, credit information and the bond’s terms and conditions, among other things. The fair value measurements are subject to independent verification to another pricing source by management each quarter for reasonableness.</w:t>
      </w:r>
    </w:p>
    <w:p w:rsidR="00000000" w:rsidRDefault="002A246B">
      <w:pPr>
        <w:jc w:val="both"/>
        <w:divId w:val="1626428450"/>
        <w:rPr>
          <w:rFonts w:eastAsia="Times New Roman"/>
        </w:rPr>
      </w:pPr>
      <w:r>
        <w:rPr>
          <w:rFonts w:eastAsia="Times New Roman"/>
          <w:i/>
          <w:iCs/>
          <w:color w:val="000000"/>
          <w:sz w:val="20"/>
          <w:szCs w:val="20"/>
        </w:rPr>
        <w:t>Other Investment Secur</w:t>
      </w:r>
      <w:r>
        <w:rPr>
          <w:rFonts w:eastAsia="Times New Roman"/>
          <w:i/>
          <w:iCs/>
          <w:color w:val="000000"/>
          <w:sz w:val="20"/>
          <w:szCs w:val="20"/>
        </w:rPr>
        <w:t xml:space="preserve">ities </w:t>
      </w:r>
    </w:p>
    <w:p w:rsidR="00000000" w:rsidRDefault="002A246B">
      <w:pPr>
        <w:jc w:val="both"/>
        <w:divId w:val="1130131818"/>
        <w:rPr>
          <w:rFonts w:eastAsia="Times New Roman"/>
        </w:rPr>
      </w:pPr>
      <w:r>
        <w:rPr>
          <w:rFonts w:eastAsia="Times New Roman"/>
          <w:color w:val="000000"/>
          <w:sz w:val="20"/>
          <w:szCs w:val="20"/>
        </w:rPr>
        <w:t>Other investment securities include equity securities with readily determinable fair values and other investment securities that do not have readily determinable fair values. Investments in Federal Home Loan Bank (FHLB) stock, and Midwest Independen</w:t>
      </w:r>
      <w:r>
        <w:rPr>
          <w:rFonts w:eastAsia="Times New Roman"/>
          <w:color w:val="000000"/>
          <w:sz w:val="20"/>
          <w:szCs w:val="20"/>
        </w:rPr>
        <w:t>t Bank (MIB) bankers bank stock, that do not have readily determinable fair values, are required for membership in those organizations. Equity securities that are not actively traded are classified in level 2.</w:t>
      </w:r>
    </w:p>
    <w:p w:rsidR="00000000" w:rsidRDefault="002A246B">
      <w:pPr>
        <w:jc w:val="both"/>
        <w:divId w:val="202446693"/>
        <w:rPr>
          <w:rFonts w:eastAsia="Times New Roman"/>
        </w:rPr>
      </w:pPr>
      <w:r>
        <w:rPr>
          <w:rFonts w:eastAsia="Times New Roman"/>
          <w:color w:val="000000"/>
          <w:sz w:val="20"/>
          <w:szCs w:val="20"/>
        </w:rPr>
        <w:t>Equity securities with readily determinable fa</w:t>
      </w:r>
      <w:r>
        <w:rPr>
          <w:rFonts w:eastAsia="Times New Roman"/>
          <w:color w:val="000000"/>
          <w:sz w:val="20"/>
          <w:szCs w:val="20"/>
        </w:rPr>
        <w:t>ir values are recorded at fair value, with changes in fair value reflected in earnings. Equity securities that do not have readily determinable fair values are carried at cost and are periodically assessed for impairment. The Company uses level 1 inputs to</w:t>
      </w:r>
      <w:r>
        <w:rPr>
          <w:rFonts w:eastAsia="Times New Roman"/>
          <w:color w:val="000000"/>
          <w:sz w:val="20"/>
          <w:szCs w:val="20"/>
        </w:rPr>
        <w:t xml:space="preserve"> value equity securities that are traded in active markets.</w:t>
      </w:r>
    </w:p>
    <w:p w:rsidR="00000000" w:rsidRDefault="002A246B">
      <w:pPr>
        <w:jc w:val="both"/>
        <w:divId w:val="2141875854"/>
        <w:rPr>
          <w:rFonts w:eastAsia="Times New Roman"/>
        </w:rPr>
      </w:pPr>
      <w:r>
        <w:rPr>
          <w:rFonts w:eastAsia="Times New Roman"/>
          <w:i/>
          <w:iCs/>
          <w:color w:val="000000"/>
          <w:sz w:val="20"/>
          <w:szCs w:val="20"/>
        </w:rPr>
        <w:t>Loans Held for Sale</w:t>
      </w:r>
    </w:p>
    <w:p w:rsidR="00000000" w:rsidRDefault="002A246B">
      <w:pPr>
        <w:jc w:val="both"/>
        <w:divId w:val="1914776686"/>
        <w:rPr>
          <w:rFonts w:eastAsia="Times New Roman"/>
        </w:rPr>
      </w:pPr>
      <w:r>
        <w:rPr>
          <w:rFonts w:eastAsia="Times New Roman"/>
          <w:color w:val="000000"/>
          <w:sz w:val="20"/>
          <w:szCs w:val="20"/>
        </w:rPr>
        <w:t>The fair value of the committed in forward sale agreements loans is the price at which they could be sold in the principal market at the measurement date, therefore the Company</w:t>
      </w:r>
      <w:r>
        <w:rPr>
          <w:rFonts w:eastAsia="Times New Roman"/>
          <w:color w:val="000000"/>
          <w:sz w:val="20"/>
          <w:szCs w:val="20"/>
        </w:rPr>
        <w:t xml:space="preserve"> classifies as level 2.</w:t>
      </w:r>
    </w:p>
    <w:p w:rsidR="00000000" w:rsidRDefault="002A246B">
      <w:pPr>
        <w:jc w:val="both"/>
        <w:divId w:val="71658192"/>
        <w:rPr>
          <w:rFonts w:eastAsia="Times New Roman"/>
        </w:rPr>
      </w:pPr>
      <w:r>
        <w:rPr>
          <w:rFonts w:eastAsia="Times New Roman"/>
          <w:i/>
          <w:iCs/>
          <w:color w:val="000000"/>
          <w:sz w:val="20"/>
          <w:szCs w:val="20"/>
        </w:rPr>
        <w:t>Derivative Assets and Liabilities</w:t>
      </w:r>
    </w:p>
    <w:p w:rsidR="00000000" w:rsidRDefault="002A246B">
      <w:pPr>
        <w:jc w:val="both"/>
        <w:divId w:val="1577276889"/>
        <w:rPr>
          <w:rFonts w:eastAsia="Times New Roman"/>
        </w:rPr>
      </w:pPr>
      <w:r>
        <w:rPr>
          <w:rFonts w:eastAsia="Times New Roman"/>
          <w:color w:val="000000"/>
          <w:sz w:val="20"/>
          <w:szCs w:val="20"/>
        </w:rPr>
        <w:t>Derivative assets and liabilities include interest rate lock commitments (IRLCs) and forward sale commitments. The fair values of IRLCs and forward sale commitments are determined using readily obse</w:t>
      </w:r>
      <w:r>
        <w:rPr>
          <w:rFonts w:eastAsia="Times New Roman"/>
          <w:color w:val="000000"/>
          <w:sz w:val="20"/>
          <w:szCs w:val="20"/>
        </w:rPr>
        <w:t>rvable market data such as interest rates, prices, volatility factors, and customer credit-related adjustments. For IRLCs, the fair value is subject to the anticipated loan funding probability (pull-through rate), which is considered an unobservable factor</w:t>
      </w:r>
      <w:r>
        <w:rPr>
          <w:rFonts w:eastAsia="Times New Roman"/>
          <w:color w:val="000000"/>
          <w:sz w:val="20"/>
          <w:szCs w:val="20"/>
        </w:rPr>
        <w:t>. Factors that affect pull-through rates include origination channel, current mortgage interest rates in the market versus the interest rate incorporated in the IRLC, the purpose of the mortgage, stage of completion of the underlying application and underw</w:t>
      </w:r>
      <w:r>
        <w:rPr>
          <w:rFonts w:eastAsia="Times New Roman"/>
          <w:color w:val="000000"/>
          <w:sz w:val="20"/>
          <w:szCs w:val="20"/>
        </w:rPr>
        <w:t>riting process, and the time remaining until the IRLC expires. The Company classifies IRLCs as level 3 due to the unobservable input of pull-through rates.</w:t>
      </w:r>
    </w:p>
    <w:p w:rsidR="00000000" w:rsidRDefault="002A246B">
      <w:pPr>
        <w:divId w:val="75516534"/>
        <w:rPr>
          <w:rFonts w:eastAsia="Times New Roman"/>
        </w:rPr>
      </w:pPr>
      <w:r>
        <w:rPr>
          <w:rFonts w:eastAsia="Times New Roman"/>
          <w:i/>
          <w:iCs/>
          <w:color w:val="000000"/>
          <w:sz w:val="20"/>
          <w:szCs w:val="20"/>
        </w:rPr>
        <w:t>Mortgage Servicing Rights</w:t>
      </w:r>
    </w:p>
    <w:p w:rsidR="00000000" w:rsidRDefault="002A246B">
      <w:pPr>
        <w:jc w:val="both"/>
        <w:divId w:val="663047464"/>
        <w:rPr>
          <w:rFonts w:eastAsia="Times New Roman"/>
        </w:rPr>
      </w:pPr>
      <w:r>
        <w:rPr>
          <w:rFonts w:eastAsia="Times New Roman"/>
          <w:color w:val="000000"/>
          <w:sz w:val="20"/>
          <w:szCs w:val="20"/>
        </w:rPr>
        <w:t>The fair value of mortgage servicing rights is based on the discounted val</w:t>
      </w:r>
      <w:r>
        <w:rPr>
          <w:rFonts w:eastAsia="Times New Roman"/>
          <w:color w:val="000000"/>
          <w:sz w:val="20"/>
          <w:szCs w:val="20"/>
        </w:rPr>
        <w:t>ue of estimated future cash flows utilizing contractual cash flows, servicing rate, constant prepayment rate, servicing cost, and discount rate factors. Accordingly, the fair value is estimated based on a valuation model that calculates the present value o</w:t>
      </w:r>
      <w:r>
        <w:rPr>
          <w:rFonts w:eastAsia="Times New Roman"/>
          <w:color w:val="000000"/>
          <w:sz w:val="20"/>
          <w:szCs w:val="20"/>
        </w:rPr>
        <w:t xml:space="preserve">f estimated future net servicing income. The model incorporates assumptions that market participants use in estimating future net servicing income, including estimates of prepayment speeds, market discount rates, cost to service, float earnings </w:t>
      </w:r>
    </w:p>
    <w:p w:rsidR="00000000" w:rsidRDefault="002A246B">
      <w:pPr>
        <w:jc w:val="center"/>
        <w:divId w:val="210924440"/>
        <w:rPr>
          <w:rFonts w:eastAsia="Times New Roman"/>
        </w:rPr>
      </w:pPr>
      <w:r>
        <w:rPr>
          <w:rFonts w:eastAsia="Times New Roman"/>
          <w:color w:val="000000"/>
          <w:sz w:val="20"/>
          <w:szCs w:val="20"/>
        </w:rPr>
        <w:t>25</w:t>
      </w:r>
    </w:p>
    <w:p w:rsidR="00000000" w:rsidRDefault="002A246B">
      <w:pPr>
        <w:rPr>
          <w:rFonts w:eastAsia="Times New Roman"/>
        </w:rPr>
      </w:pPr>
      <w:r>
        <w:rPr>
          <w:rFonts w:eastAsia="Times New Roman"/>
        </w:rPr>
        <w:pict>
          <v:rect id="_x0000_i1049" style="width:0;height:1.5pt" o:hralign="center" o:hrstd="t" o:hr="t" fillcolor="#a0a0a0" stroked="f"/>
        </w:pict>
      </w:r>
    </w:p>
    <w:p w:rsidR="00000000" w:rsidRDefault="002A246B">
      <w:pPr>
        <w:jc w:val="center"/>
        <w:divId w:val="2093351635"/>
        <w:rPr>
          <w:rFonts w:eastAsia="Times New Roman"/>
        </w:rPr>
      </w:pPr>
      <w:r>
        <w:rPr>
          <w:rFonts w:eastAsia="Times New Roman"/>
          <w:b/>
          <w:bCs/>
          <w:color w:val="000000"/>
          <w:sz w:val="20"/>
          <w:szCs w:val="20"/>
        </w:rPr>
        <w:t>HAWTHORN BANCSHARES, INC.</w:t>
      </w:r>
    </w:p>
    <w:p w:rsidR="00000000" w:rsidRDefault="002A246B">
      <w:pPr>
        <w:jc w:val="center"/>
        <w:divId w:val="2093351635"/>
        <w:rPr>
          <w:rFonts w:eastAsia="Times New Roman"/>
        </w:rPr>
      </w:pPr>
      <w:r>
        <w:rPr>
          <w:rFonts w:eastAsia="Times New Roman"/>
          <w:b/>
          <w:bCs/>
          <w:color w:val="000000"/>
          <w:sz w:val="20"/>
          <w:szCs w:val="20"/>
        </w:rPr>
        <w:t>AND SUBSIDIARIES</w:t>
      </w:r>
    </w:p>
    <w:p w:rsidR="00000000" w:rsidRDefault="002A246B">
      <w:pPr>
        <w:jc w:val="center"/>
        <w:divId w:val="2093351635"/>
        <w:rPr>
          <w:rFonts w:eastAsia="Times New Roman"/>
        </w:rPr>
      </w:pPr>
      <w:r>
        <w:rPr>
          <w:rFonts w:eastAsia="Times New Roman"/>
          <w:color w:val="000000"/>
          <w:sz w:val="18"/>
          <w:szCs w:val="18"/>
        </w:rPr>
        <w:t>Notes to the Consolidated Financial Statements</w:t>
      </w:r>
    </w:p>
    <w:p w:rsidR="00000000" w:rsidRDefault="002A246B">
      <w:pPr>
        <w:jc w:val="center"/>
        <w:divId w:val="2093351635"/>
        <w:rPr>
          <w:rFonts w:eastAsia="Times New Roman"/>
        </w:rPr>
      </w:pPr>
      <w:r>
        <w:rPr>
          <w:rFonts w:eastAsia="Times New Roman"/>
          <w:i/>
          <w:iCs/>
          <w:color w:val="000000"/>
          <w:sz w:val="18"/>
          <w:szCs w:val="18"/>
        </w:rPr>
        <w:t>(Unaudited)</w:t>
      </w:r>
    </w:p>
    <w:p w:rsidR="00000000" w:rsidRDefault="002A246B">
      <w:pPr>
        <w:jc w:val="both"/>
        <w:divId w:val="1694262240"/>
        <w:rPr>
          <w:rFonts w:eastAsia="Times New Roman"/>
        </w:rPr>
      </w:pPr>
      <w:r>
        <w:rPr>
          <w:rFonts w:eastAsia="Times New Roman"/>
          <w:color w:val="000000"/>
          <w:sz w:val="20"/>
          <w:szCs w:val="20"/>
        </w:rPr>
        <w:t>rates, and other ancillary income, including late fees. The valuation models estimate the present value of estimated future net servicing income. The Company classifies its servicing rights as Level 3.</w:t>
      </w:r>
    </w:p>
    <w:tbl>
      <w:tblPr>
        <w:tblW w:w="5000" w:type="pct"/>
        <w:tblCellMar>
          <w:top w:w="15" w:type="dxa"/>
          <w:left w:w="15" w:type="dxa"/>
          <w:bottom w:w="15" w:type="dxa"/>
          <w:right w:w="15" w:type="dxa"/>
        </w:tblCellMar>
        <w:tblLook w:val="04A0" w:firstRow="1" w:lastRow="0" w:firstColumn="1" w:lastColumn="0" w:noHBand="0" w:noVBand="1"/>
      </w:tblPr>
      <w:tblGrid>
        <w:gridCol w:w="41"/>
        <w:gridCol w:w="4085"/>
        <w:gridCol w:w="40"/>
        <w:gridCol w:w="120"/>
        <w:gridCol w:w="855"/>
        <w:gridCol w:w="36"/>
        <w:gridCol w:w="36"/>
        <w:gridCol w:w="36"/>
        <w:gridCol w:w="36"/>
        <w:gridCol w:w="120"/>
        <w:gridCol w:w="755"/>
        <w:gridCol w:w="36"/>
        <w:gridCol w:w="36"/>
        <w:gridCol w:w="36"/>
        <w:gridCol w:w="36"/>
        <w:gridCol w:w="120"/>
        <w:gridCol w:w="700"/>
        <w:gridCol w:w="36"/>
        <w:gridCol w:w="36"/>
        <w:gridCol w:w="36"/>
        <w:gridCol w:w="36"/>
        <w:gridCol w:w="121"/>
        <w:gridCol w:w="881"/>
        <w:gridCol w:w="36"/>
      </w:tblGrid>
      <w:tr w:rsidR="00000000">
        <w:trPr>
          <w:divId w:val="775946487"/>
        </w:trPr>
        <w:tc>
          <w:tcPr>
            <w:tcW w:w="50" w:type="pct"/>
            <w:vAlign w:val="center"/>
            <w:hideMark/>
          </w:tcPr>
          <w:p w:rsidR="00000000" w:rsidRDefault="002A246B">
            <w:pPr>
              <w:jc w:val="both"/>
              <w:rPr>
                <w:rFonts w:eastAsia="Times New Roman"/>
              </w:rPr>
            </w:pPr>
          </w:p>
        </w:tc>
        <w:tc>
          <w:tcPr>
            <w:tcW w:w="258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43"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22"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7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775946487"/>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Fair Value Measurements</w:t>
            </w:r>
          </w:p>
        </w:tc>
      </w:tr>
      <w:tr w:rsidR="00000000">
        <w:trPr>
          <w:divId w:val="775946487"/>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Quoted Prices in Active Markets for Identical Assets (Level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Other Observable Inputs (Level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Significant Unobservable Inputs (Level 3)</w:t>
            </w:r>
          </w:p>
        </w:tc>
      </w:tr>
      <w:tr w:rsidR="00000000">
        <w:trPr>
          <w:divId w:val="77594648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March 31, 2022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775946487"/>
        </w:trPr>
        <w:tc>
          <w:tcPr>
            <w:tcW w:w="0" w:type="auto"/>
            <w:gridSpan w:val="3"/>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Assets:</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775946487"/>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U.S. Treasury</w:t>
            </w: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3,145 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3,145 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775946487"/>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U.S. government and federal agency obligations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975</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975</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775946487"/>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U.S. government-sponsored enterprises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25,265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25,265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775946487"/>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Obligations of states and political subdivisions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120,434</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120,434</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775946487"/>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Mortgage-backed securities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123,848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123,848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775946487"/>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Other debt securities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11,821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11,821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775946487"/>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Bank-issued trust preferred securities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1,266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1,266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775946487"/>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Equity securities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56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56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775946487"/>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Interest rate lock commitments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64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64</w:t>
            </w:r>
          </w:p>
        </w:tc>
      </w:tr>
      <w:tr w:rsidR="00000000">
        <w:trPr>
          <w:divId w:val="775946487"/>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Forward sale commitments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775946487"/>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Loans held for sale</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909</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909</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775946487"/>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Mortgage servicing rights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2,639</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2,639</w:t>
            </w:r>
          </w:p>
        </w:tc>
      </w:tr>
      <w:tr w:rsidR="00000000">
        <w:trPr>
          <w:divId w:val="775946487"/>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290,443 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3,201 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284,539 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2,703 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775946487"/>
        </w:trPr>
        <w:tc>
          <w:tcPr>
            <w:tcW w:w="0" w:type="auto"/>
            <w:gridSpan w:val="3"/>
            <w:tcBorders>
              <w:top w:val="double" w:sz="6" w:space="0" w:color="000000"/>
            </w:tcBorders>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775946487"/>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Interest rate lock commitments</w:t>
            </w: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775946487"/>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w:t>
            </w: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47 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47 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775946487"/>
          <w:trHeight w:val="30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775946487"/>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December 31, 2021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775946487"/>
        </w:trPr>
        <w:tc>
          <w:tcPr>
            <w:tcW w:w="0" w:type="auto"/>
            <w:gridSpan w:val="3"/>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775946487"/>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U.S. Treasury</w:t>
            </w: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3,917 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3,917 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775946487"/>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U.S. government and federal agency obligations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1,319</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1,319</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775946487"/>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U.S. government-sponsored enterprises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26,372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26,372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775946487"/>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Obligations of states and political subdivisions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129,224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129,224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775946487"/>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Mortgage-backed securities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136,466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136,466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775946487"/>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Other debt securities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12,284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12,284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775946487"/>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Bank-issued trust preferred securities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1,288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1,288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775946487"/>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Equity securities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60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60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775946487"/>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Interest rate lock commitments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312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312</w:t>
            </w:r>
          </w:p>
        </w:tc>
      </w:tr>
      <w:tr w:rsidR="00000000">
        <w:trPr>
          <w:divId w:val="775946487"/>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Forward sale commitments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775946487"/>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Loans held for sale</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2,249</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2,249</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775946487"/>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Mortgage servicing rights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2,659</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2,659</w:t>
            </w:r>
          </w:p>
        </w:tc>
      </w:tr>
      <w:tr w:rsidR="00000000">
        <w:trPr>
          <w:divId w:val="775946487"/>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w:t>
            </w: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316,162 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3,977 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309,214 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2,971 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775946487"/>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775946487"/>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Interest rate lock commitments</w:t>
            </w: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775946487"/>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jc w:val="center"/>
        <w:divId w:val="432239514"/>
        <w:rPr>
          <w:rFonts w:eastAsia="Times New Roman"/>
        </w:rPr>
      </w:pPr>
      <w:r>
        <w:rPr>
          <w:rFonts w:eastAsia="Times New Roman"/>
          <w:color w:val="000000"/>
          <w:sz w:val="20"/>
          <w:szCs w:val="20"/>
        </w:rPr>
        <w:t>26</w:t>
      </w:r>
    </w:p>
    <w:p w:rsidR="00000000" w:rsidRDefault="002A246B">
      <w:pPr>
        <w:rPr>
          <w:rFonts w:eastAsia="Times New Roman"/>
        </w:rPr>
      </w:pPr>
      <w:r>
        <w:rPr>
          <w:rFonts w:eastAsia="Times New Roman"/>
        </w:rPr>
        <w:pict>
          <v:rect id="_x0000_i1050" style="width:0;height:1.5pt" o:hralign="center" o:hrstd="t" o:hr="t" fillcolor="#a0a0a0" stroked="f"/>
        </w:pict>
      </w:r>
    </w:p>
    <w:p w:rsidR="00000000" w:rsidRDefault="002A246B">
      <w:pPr>
        <w:jc w:val="center"/>
        <w:divId w:val="641545451"/>
        <w:rPr>
          <w:rFonts w:eastAsia="Times New Roman"/>
        </w:rPr>
      </w:pPr>
      <w:r>
        <w:rPr>
          <w:rFonts w:eastAsia="Times New Roman"/>
          <w:b/>
          <w:bCs/>
          <w:color w:val="000000"/>
          <w:sz w:val="20"/>
          <w:szCs w:val="20"/>
        </w:rPr>
        <w:t>HAWTHORN BANCSHARES, INC.</w:t>
      </w:r>
    </w:p>
    <w:p w:rsidR="00000000" w:rsidRDefault="002A246B">
      <w:pPr>
        <w:jc w:val="center"/>
        <w:divId w:val="641545451"/>
        <w:rPr>
          <w:rFonts w:eastAsia="Times New Roman"/>
        </w:rPr>
      </w:pPr>
      <w:r>
        <w:rPr>
          <w:rFonts w:eastAsia="Times New Roman"/>
          <w:b/>
          <w:bCs/>
          <w:color w:val="000000"/>
          <w:sz w:val="20"/>
          <w:szCs w:val="20"/>
        </w:rPr>
        <w:t>AND SUBSIDIARIES</w:t>
      </w:r>
    </w:p>
    <w:p w:rsidR="00000000" w:rsidRDefault="002A246B">
      <w:pPr>
        <w:jc w:val="center"/>
        <w:divId w:val="641545451"/>
        <w:rPr>
          <w:rFonts w:eastAsia="Times New Roman"/>
        </w:rPr>
      </w:pPr>
      <w:r>
        <w:rPr>
          <w:rFonts w:eastAsia="Times New Roman"/>
          <w:color w:val="000000"/>
          <w:sz w:val="18"/>
          <w:szCs w:val="18"/>
        </w:rPr>
        <w:t>Notes to the Consolidated Financial Statements</w:t>
      </w:r>
    </w:p>
    <w:p w:rsidR="00000000" w:rsidRDefault="002A246B">
      <w:pPr>
        <w:jc w:val="center"/>
        <w:divId w:val="641545451"/>
        <w:rPr>
          <w:rFonts w:eastAsia="Times New Roman"/>
        </w:rPr>
      </w:pPr>
      <w:r>
        <w:rPr>
          <w:rFonts w:eastAsia="Times New Roman"/>
          <w:i/>
          <w:iCs/>
          <w:color w:val="000000"/>
          <w:sz w:val="18"/>
          <w:szCs w:val="18"/>
        </w:rPr>
        <w:t>(Unaudited)</w:t>
      </w:r>
    </w:p>
    <w:p w:rsidR="00000000" w:rsidRDefault="002A246B">
      <w:pPr>
        <w:jc w:val="both"/>
        <w:divId w:val="1019308448"/>
        <w:rPr>
          <w:rFonts w:eastAsia="Times New Roman"/>
        </w:rPr>
      </w:pPr>
      <w:r>
        <w:rPr>
          <w:rFonts w:eastAsia="Times New Roman"/>
          <w:color w:val="000000"/>
          <w:sz w:val="20"/>
          <w:szCs w:val="20"/>
        </w:rPr>
        <w:t>The changes in Level 3 assets and liabilities measured at fair value on a recurring basis are summarized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588"/>
        <w:gridCol w:w="38"/>
        <w:gridCol w:w="121"/>
        <w:gridCol w:w="951"/>
        <w:gridCol w:w="38"/>
        <w:gridCol w:w="37"/>
        <w:gridCol w:w="37"/>
        <w:gridCol w:w="37"/>
        <w:gridCol w:w="121"/>
        <w:gridCol w:w="907"/>
        <w:gridCol w:w="38"/>
        <w:gridCol w:w="36"/>
        <w:gridCol w:w="36"/>
        <w:gridCol w:w="36"/>
        <w:gridCol w:w="121"/>
        <w:gridCol w:w="910"/>
        <w:gridCol w:w="37"/>
        <w:gridCol w:w="37"/>
        <w:gridCol w:w="37"/>
        <w:gridCol w:w="37"/>
        <w:gridCol w:w="121"/>
        <w:gridCol w:w="909"/>
        <w:gridCol w:w="37"/>
      </w:tblGrid>
      <w:tr w:rsidR="00000000">
        <w:trPr>
          <w:divId w:val="1502696308"/>
        </w:trPr>
        <w:tc>
          <w:tcPr>
            <w:tcW w:w="50" w:type="pct"/>
            <w:vAlign w:val="center"/>
            <w:hideMark/>
          </w:tcPr>
          <w:p w:rsidR="00000000" w:rsidRDefault="002A246B">
            <w:pPr>
              <w:jc w:val="both"/>
              <w:rPr>
                <w:rFonts w:eastAsia="Times New Roman"/>
              </w:rPr>
            </w:pPr>
          </w:p>
        </w:tc>
        <w:tc>
          <w:tcPr>
            <w:tcW w:w="219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0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502696308"/>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21"/>
            <w:tcBorders>
              <w:bottom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Fair Value Measurements Using Significant Unobservable Inputs (Level 3)</w:t>
            </w:r>
          </w:p>
        </w:tc>
      </w:tr>
      <w:tr w:rsidR="00000000">
        <w:trPr>
          <w:divId w:val="1502696308"/>
        </w:trPr>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9"/>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Mortgage Servicing Rights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9"/>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Interest Rate Lock Commitments</w:t>
            </w:r>
          </w:p>
        </w:tc>
      </w:tr>
      <w:tr w:rsidR="00000000">
        <w:trPr>
          <w:divId w:val="1502696308"/>
        </w:trPr>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Three Months Ended March 31,</w:t>
            </w:r>
          </w:p>
        </w:tc>
      </w:tr>
      <w:tr w:rsidR="00000000">
        <w:trPr>
          <w:divId w:val="1502696308"/>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2021</w:t>
            </w:r>
          </w:p>
        </w:tc>
      </w:tr>
      <w:tr w:rsidR="00000000">
        <w:trPr>
          <w:divId w:val="1502696308"/>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Balance at beginning of period</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2,659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2,445</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286</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1502696308"/>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Total gains or (losses) (realized/unrealized):</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502696308"/>
        </w:trPr>
        <w:tc>
          <w:tcPr>
            <w:tcW w:w="0" w:type="auto"/>
            <w:gridSpan w:val="3"/>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Included in earnings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(48)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(121)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502696308"/>
        </w:trPr>
        <w:tc>
          <w:tcPr>
            <w:tcW w:w="0" w:type="auto"/>
            <w:gridSpan w:val="3"/>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Included in other comprehensive income</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1502696308"/>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Purchases</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1502696308"/>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Sales</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(286)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1502696308"/>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Issues</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170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1502696308"/>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Settlements</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1502696308"/>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Balance at end of period</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2,639</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2,494</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17</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bl>
    <w:p w:rsidR="00000000" w:rsidRDefault="002A246B">
      <w:pPr>
        <w:divId w:val="718364029"/>
        <w:rPr>
          <w:rFonts w:eastAsia="Times New Roman"/>
        </w:rPr>
      </w:pPr>
      <w:r>
        <w:rPr>
          <w:rFonts w:eastAsia="Times New Roman"/>
          <w:b/>
          <w:bCs/>
          <w:i/>
          <w:iCs/>
          <w:color w:val="000000"/>
          <w:sz w:val="20"/>
          <w:szCs w:val="20"/>
        </w:rPr>
        <w:t>Valuation Methods for Assets and Liabilities Measured at Fair Value on a Non-recurring Basis</w:t>
      </w:r>
    </w:p>
    <w:p w:rsidR="00000000" w:rsidRDefault="002A246B">
      <w:pPr>
        <w:jc w:val="both"/>
        <w:divId w:val="838084572"/>
        <w:rPr>
          <w:rFonts w:eastAsia="Times New Roman"/>
        </w:rPr>
      </w:pPr>
      <w:r>
        <w:rPr>
          <w:rFonts w:eastAsia="Times New Roman"/>
          <w:color w:val="000000"/>
          <w:sz w:val="20"/>
          <w:szCs w:val="20"/>
        </w:rPr>
        <w:t>Following is a description of the Company’s valuation methodologies used for assets and liabilities recor</w:t>
      </w:r>
      <w:r>
        <w:rPr>
          <w:rFonts w:eastAsia="Times New Roman"/>
          <w:color w:val="000000"/>
          <w:sz w:val="20"/>
          <w:szCs w:val="20"/>
        </w:rPr>
        <w:t>ded at fair value on a non-recurring basis:</w:t>
      </w:r>
    </w:p>
    <w:p w:rsidR="00000000" w:rsidRDefault="002A246B">
      <w:pPr>
        <w:divId w:val="800920399"/>
        <w:rPr>
          <w:rFonts w:eastAsia="Times New Roman"/>
        </w:rPr>
      </w:pPr>
      <w:r>
        <w:rPr>
          <w:rFonts w:eastAsia="Times New Roman"/>
          <w:i/>
          <w:iCs/>
          <w:color w:val="000000"/>
          <w:sz w:val="20"/>
          <w:szCs w:val="20"/>
        </w:rPr>
        <w:t>Collateral Dependent Impaired Loans</w:t>
      </w:r>
    </w:p>
    <w:p w:rsidR="00000000" w:rsidRDefault="002A246B">
      <w:pPr>
        <w:jc w:val="both"/>
        <w:divId w:val="1523088554"/>
        <w:rPr>
          <w:rFonts w:eastAsia="Times New Roman"/>
        </w:rPr>
      </w:pPr>
      <w:r>
        <w:rPr>
          <w:rFonts w:eastAsia="Times New Roman"/>
          <w:color w:val="000000"/>
          <w:sz w:val="20"/>
          <w:szCs w:val="20"/>
        </w:rPr>
        <w:t xml:space="preserve">While the overall loan portfolio is not carried at fair value, the Company periodically records non-recurring adjustments to the carrying value of loans based on fair value measurements for partial charge-offs of the uncollectible portions of those loans. </w:t>
      </w:r>
      <w:r>
        <w:rPr>
          <w:rFonts w:eastAsia="Times New Roman"/>
          <w:color w:val="000000"/>
          <w:sz w:val="20"/>
          <w:szCs w:val="20"/>
        </w:rPr>
        <w:t>Non-recurring adjustments also include certain impairment amounts for collateral dependent loans when establishing the allowance for loan losses. Such amounts are generally based on the fair value of the underlying collateral supporting the loan. In determ</w:t>
      </w:r>
      <w:r>
        <w:rPr>
          <w:rFonts w:eastAsia="Times New Roman"/>
          <w:color w:val="000000"/>
          <w:sz w:val="20"/>
          <w:szCs w:val="20"/>
        </w:rPr>
        <w:t>ining the value of real estate collateral, the Company relies on external and internal appraisals of property values depending on the size and complexity of the real estate collateral. The Company maintains staff that is trained to perform in-house evaluat</w:t>
      </w:r>
      <w:r>
        <w:rPr>
          <w:rFonts w:eastAsia="Times New Roman"/>
          <w:color w:val="000000"/>
          <w:sz w:val="20"/>
          <w:szCs w:val="20"/>
        </w:rPr>
        <w:t>ions and also review third-party appraisal reports for reasonableness. In the case of non-real estate collateral, reliance is placed on a variety of sources, including external estimates of value and judgments based on the experience and expertise of inter</w:t>
      </w:r>
      <w:r>
        <w:rPr>
          <w:rFonts w:eastAsia="Times New Roman"/>
          <w:color w:val="000000"/>
          <w:sz w:val="20"/>
          <w:szCs w:val="20"/>
        </w:rPr>
        <w:t>nal specialists. Values of all loan collateral are regularly reviewed by a senior loan committee. Because many of these inputs are not observable, the measurements are classified as Level 3. As of March 31, 2022, the Company identified $15.4 million in col</w:t>
      </w:r>
      <w:r>
        <w:rPr>
          <w:rFonts w:eastAsia="Times New Roman"/>
          <w:color w:val="000000"/>
          <w:sz w:val="20"/>
          <w:szCs w:val="20"/>
        </w:rPr>
        <w:t>lateral dependent impaired loans that required no specific allowance for loan losses. Related to these loans, there were $23,000 in charge-offs recorded during the three months ended March 31, 2022. As of March 31, 2021, the Company identified $31.8 millio</w:t>
      </w:r>
      <w:r>
        <w:rPr>
          <w:rFonts w:eastAsia="Times New Roman"/>
          <w:color w:val="000000"/>
          <w:sz w:val="20"/>
          <w:szCs w:val="20"/>
        </w:rPr>
        <w:t>n in collateral dependent impaired loans that had specific allowances for losses aggregating $4.8 million. Related to these loans, there were $23,000 in charge-offs recorded during the three months ended March 31, 2021.</w:t>
      </w:r>
    </w:p>
    <w:p w:rsidR="00000000" w:rsidRDefault="002A246B">
      <w:pPr>
        <w:divId w:val="629434139"/>
        <w:rPr>
          <w:rFonts w:eastAsia="Times New Roman"/>
        </w:rPr>
      </w:pPr>
      <w:r>
        <w:rPr>
          <w:rFonts w:eastAsia="Times New Roman"/>
          <w:i/>
          <w:iCs/>
          <w:color w:val="000000"/>
          <w:sz w:val="20"/>
          <w:szCs w:val="20"/>
        </w:rPr>
        <w:t>Other Real Estate and Foreclosed Ass</w:t>
      </w:r>
      <w:r>
        <w:rPr>
          <w:rFonts w:eastAsia="Times New Roman"/>
          <w:i/>
          <w:iCs/>
          <w:color w:val="000000"/>
          <w:sz w:val="20"/>
          <w:szCs w:val="20"/>
        </w:rPr>
        <w:t>ets</w:t>
      </w:r>
    </w:p>
    <w:p w:rsidR="00000000" w:rsidRDefault="002A246B">
      <w:pPr>
        <w:jc w:val="both"/>
        <w:divId w:val="415058336"/>
        <w:rPr>
          <w:rFonts w:eastAsia="Times New Roman"/>
        </w:rPr>
      </w:pPr>
      <w:r>
        <w:rPr>
          <w:rFonts w:eastAsia="Times New Roman"/>
          <w:color w:val="000000"/>
          <w:sz w:val="20"/>
          <w:szCs w:val="20"/>
        </w:rPr>
        <w:t>Other real estate owned (OREO) and foreclosed assets consisted of loan collateral that has been repossessed through foreclosure. This collateral is comprised of commercial and residential real estate and other non-real estate property, including autos,</w:t>
      </w:r>
      <w:r>
        <w:rPr>
          <w:rFonts w:eastAsia="Times New Roman"/>
          <w:color w:val="000000"/>
          <w:sz w:val="20"/>
          <w:szCs w:val="20"/>
        </w:rPr>
        <w:t xml:space="preserve"> manufactured homes, and construction equipment. Subsequent to foreclosure, these assets initially are carried at fair value of the collateral less estimated selling costs. Fair value, when recorded, is generally based upon appraisals by approved, independ</w:t>
      </w:r>
      <w:r>
        <w:rPr>
          <w:rFonts w:eastAsia="Times New Roman"/>
          <w:color w:val="000000"/>
          <w:sz w:val="20"/>
          <w:szCs w:val="20"/>
        </w:rPr>
        <w:t>ent state-certified appraisers. Like impaired loans, appraisals on OREO may be discounted based on the Company’s historical knowledge, changes in market conditions from the time of appraisal or other information available. During the holding period, valuat</w:t>
      </w:r>
      <w:r>
        <w:rPr>
          <w:rFonts w:eastAsia="Times New Roman"/>
          <w:color w:val="000000"/>
          <w:sz w:val="20"/>
          <w:szCs w:val="20"/>
        </w:rPr>
        <w:t>ions are updated periodically, and the assets may be written down to reflect a new cost basis. Because many of these inputs are not observable, the measurements are classified as Level 3.</w:t>
      </w:r>
    </w:p>
    <w:p w:rsidR="00000000" w:rsidRDefault="002A246B">
      <w:pPr>
        <w:jc w:val="center"/>
        <w:divId w:val="371151174"/>
        <w:rPr>
          <w:rFonts w:eastAsia="Times New Roman"/>
        </w:rPr>
      </w:pPr>
      <w:r>
        <w:rPr>
          <w:rFonts w:eastAsia="Times New Roman"/>
          <w:color w:val="000000"/>
          <w:sz w:val="20"/>
          <w:szCs w:val="20"/>
        </w:rPr>
        <w:t>27</w:t>
      </w:r>
    </w:p>
    <w:p w:rsidR="00000000" w:rsidRDefault="002A246B">
      <w:pPr>
        <w:rPr>
          <w:rFonts w:eastAsia="Times New Roman"/>
        </w:rPr>
      </w:pPr>
      <w:r>
        <w:rPr>
          <w:rFonts w:eastAsia="Times New Roman"/>
        </w:rPr>
        <w:pict>
          <v:rect id="_x0000_i1051" style="width:0;height:1.5pt" o:hralign="center" o:hrstd="t" o:hr="t" fillcolor="#a0a0a0" stroked="f"/>
        </w:pict>
      </w:r>
    </w:p>
    <w:p w:rsidR="00000000" w:rsidRDefault="002A246B">
      <w:pPr>
        <w:jc w:val="center"/>
        <w:divId w:val="2047363663"/>
        <w:rPr>
          <w:rFonts w:eastAsia="Times New Roman"/>
        </w:rPr>
      </w:pPr>
      <w:r>
        <w:rPr>
          <w:rFonts w:eastAsia="Times New Roman"/>
          <w:b/>
          <w:bCs/>
          <w:color w:val="000000"/>
          <w:sz w:val="20"/>
          <w:szCs w:val="20"/>
        </w:rPr>
        <w:t>HAWTHORN BANCSHARES, INC.</w:t>
      </w:r>
    </w:p>
    <w:p w:rsidR="00000000" w:rsidRDefault="002A246B">
      <w:pPr>
        <w:jc w:val="center"/>
        <w:divId w:val="2047363663"/>
        <w:rPr>
          <w:rFonts w:eastAsia="Times New Roman"/>
        </w:rPr>
      </w:pPr>
      <w:r>
        <w:rPr>
          <w:rFonts w:eastAsia="Times New Roman"/>
          <w:b/>
          <w:bCs/>
          <w:color w:val="000000"/>
          <w:sz w:val="20"/>
          <w:szCs w:val="20"/>
        </w:rPr>
        <w:t>AND SUBSIDIARIES</w:t>
      </w:r>
    </w:p>
    <w:p w:rsidR="00000000" w:rsidRDefault="002A246B">
      <w:pPr>
        <w:jc w:val="center"/>
        <w:divId w:val="2047363663"/>
        <w:rPr>
          <w:rFonts w:eastAsia="Times New Roman"/>
        </w:rPr>
      </w:pPr>
      <w:r>
        <w:rPr>
          <w:rFonts w:eastAsia="Times New Roman"/>
          <w:color w:val="000000"/>
          <w:sz w:val="18"/>
          <w:szCs w:val="18"/>
        </w:rPr>
        <w:t>Notes to the Consolidated Financial Statements</w:t>
      </w:r>
    </w:p>
    <w:p w:rsidR="00000000" w:rsidRDefault="002A246B">
      <w:pPr>
        <w:jc w:val="center"/>
        <w:divId w:val="2047363663"/>
        <w:rPr>
          <w:rFonts w:eastAsia="Times New Roman"/>
        </w:rPr>
      </w:pPr>
      <w:r>
        <w:rPr>
          <w:rFonts w:eastAsia="Times New Roman"/>
          <w:i/>
          <w:iCs/>
          <w:color w:val="000000"/>
          <w:sz w:val="18"/>
          <w:szCs w:val="18"/>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238"/>
        <w:gridCol w:w="38"/>
        <w:gridCol w:w="100"/>
        <w:gridCol w:w="704"/>
        <w:gridCol w:w="36"/>
        <w:gridCol w:w="36"/>
        <w:gridCol w:w="36"/>
        <w:gridCol w:w="36"/>
        <w:gridCol w:w="101"/>
        <w:gridCol w:w="815"/>
        <w:gridCol w:w="36"/>
        <w:gridCol w:w="36"/>
        <w:gridCol w:w="36"/>
        <w:gridCol w:w="36"/>
        <w:gridCol w:w="101"/>
        <w:gridCol w:w="725"/>
        <w:gridCol w:w="36"/>
        <w:gridCol w:w="36"/>
        <w:gridCol w:w="36"/>
        <w:gridCol w:w="36"/>
        <w:gridCol w:w="101"/>
        <w:gridCol w:w="882"/>
        <w:gridCol w:w="36"/>
        <w:gridCol w:w="36"/>
        <w:gridCol w:w="36"/>
        <w:gridCol w:w="36"/>
        <w:gridCol w:w="36"/>
        <w:gridCol w:w="36"/>
        <w:gridCol w:w="36"/>
        <w:gridCol w:w="36"/>
        <w:gridCol w:w="101"/>
        <w:gridCol w:w="605"/>
        <w:gridCol w:w="36"/>
      </w:tblGrid>
      <w:tr w:rsidR="00000000">
        <w:trPr>
          <w:divId w:val="2039694866"/>
        </w:trPr>
        <w:tc>
          <w:tcPr>
            <w:tcW w:w="50" w:type="pct"/>
            <w:vAlign w:val="center"/>
            <w:hideMark/>
          </w:tcPr>
          <w:p w:rsidR="00000000" w:rsidRDefault="002A246B">
            <w:pPr>
              <w:jc w:val="center"/>
              <w:rPr>
                <w:rFonts w:eastAsia="Times New Roman"/>
              </w:rPr>
            </w:pPr>
          </w:p>
        </w:tc>
        <w:tc>
          <w:tcPr>
            <w:tcW w:w="2073"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9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6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0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82"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9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2039694866"/>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19"/>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Fair Value Measurements Using</w:t>
            </w: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2039694866"/>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Total Fair Value</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Quoted Prices in Active Markets for Identical Assets (Level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Other Observable Inputs (Level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Significant Unobservable Inputs (Level 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Three Months Ended March 31, Total Gains (Losses)*</w:t>
            </w:r>
          </w:p>
        </w:tc>
      </w:tr>
      <w:tr w:rsidR="00000000">
        <w:trPr>
          <w:divId w:val="203969486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March 31, 2022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2039694866"/>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Assets:</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2039694866"/>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Collateral dependent impaired loans:</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2039694866"/>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2039694866"/>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2039694866"/>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2039694866"/>
        </w:trPr>
        <w:tc>
          <w:tcPr>
            <w:tcW w:w="0" w:type="auto"/>
            <w:gridSpan w:val="3"/>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Real estate mortgage - commercial</w:t>
            </w: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15,365 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15,365 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(23)</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2039694866"/>
        </w:trPr>
        <w:tc>
          <w:tcPr>
            <w:tcW w:w="0" w:type="auto"/>
            <w:gridSpan w:val="3"/>
            <w:vAlign w:val="center"/>
            <w:hideMark/>
          </w:tcPr>
          <w:p w:rsidR="00000000" w:rsidRDefault="002A246B">
            <w:pPr>
              <w:spacing w:after="100"/>
              <w:jc w:val="right"/>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2039694866"/>
        </w:trPr>
        <w:tc>
          <w:tcPr>
            <w:tcW w:w="0" w:type="auto"/>
            <w:gridSpan w:val="3"/>
            <w:tcBorders>
              <w:top w:val="single" w:sz="8" w:space="0" w:color="000000"/>
            </w:tcBorders>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15,365 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15,365 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2039694866"/>
        </w:trPr>
        <w:tc>
          <w:tcPr>
            <w:tcW w:w="0" w:type="auto"/>
            <w:gridSpan w:val="3"/>
            <w:tcBorders>
              <w:top w:val="double" w:sz="6" w:space="0" w:color="000000"/>
            </w:tcBorders>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Other real estate and repossessed assets</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9,758 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9,758 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(45)</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2039694866"/>
          <w:trHeight w:val="24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2039694866"/>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March 31, 2021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2039694866"/>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Assets:</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2039694866"/>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Collateral dependent impaired loans:</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2039694866"/>
        </w:trPr>
        <w:tc>
          <w:tcPr>
            <w:tcW w:w="0" w:type="auto"/>
            <w:gridSpan w:val="3"/>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Commercial, financial, &amp; agricultural</w:t>
            </w: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4,188 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4,188 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2039694866"/>
        </w:trPr>
        <w:tc>
          <w:tcPr>
            <w:tcW w:w="0" w:type="auto"/>
            <w:gridSpan w:val="3"/>
            <w:vAlign w:val="center"/>
            <w:hideMark/>
          </w:tcPr>
          <w:p w:rsidR="00000000" w:rsidRDefault="002A246B">
            <w:pPr>
              <w:spacing w:after="100"/>
              <w:jc w:val="right"/>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2039694866"/>
        </w:trPr>
        <w:tc>
          <w:tcPr>
            <w:tcW w:w="0" w:type="auto"/>
            <w:gridSpan w:val="3"/>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Real estate mortgage - residential</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403 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403 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2039694866"/>
        </w:trPr>
        <w:tc>
          <w:tcPr>
            <w:tcW w:w="0" w:type="auto"/>
            <w:gridSpan w:val="3"/>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Real estate mortgage - commercial</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22,484 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22,484 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(23)</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2039694866"/>
        </w:trPr>
        <w:tc>
          <w:tcPr>
            <w:tcW w:w="0" w:type="auto"/>
            <w:gridSpan w:val="3"/>
            <w:vAlign w:val="center"/>
            <w:hideMark/>
          </w:tcPr>
          <w:p w:rsidR="00000000" w:rsidRDefault="002A246B">
            <w:pPr>
              <w:spacing w:after="100"/>
              <w:jc w:val="right"/>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2039694866"/>
        </w:trPr>
        <w:tc>
          <w:tcPr>
            <w:tcW w:w="0" w:type="auto"/>
            <w:gridSpan w:val="3"/>
            <w:tcBorders>
              <w:top w:val="single" w:sz="8" w:space="0" w:color="000000"/>
            </w:tcBorders>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27,075 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27,075 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2039694866"/>
        </w:trPr>
        <w:tc>
          <w:tcPr>
            <w:tcW w:w="0" w:type="auto"/>
            <w:gridSpan w:val="3"/>
            <w:tcBorders>
              <w:top w:val="double" w:sz="6" w:space="0" w:color="000000"/>
              <w:bottom w:val="double" w:sz="6" w:space="0" w:color="000000"/>
            </w:tcBorders>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Other real estate and repossessed assets</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12,140 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doub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doub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doub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12,140 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doub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(73)</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bl>
    <w:tbl>
      <w:tblPr>
        <w:tblW w:w="1219" w:type="pct"/>
        <w:tblCellMar>
          <w:top w:w="15" w:type="dxa"/>
          <w:left w:w="15" w:type="dxa"/>
          <w:bottom w:w="15" w:type="dxa"/>
          <w:right w:w="15" w:type="dxa"/>
        </w:tblCellMar>
        <w:tblLook w:val="04A0" w:firstRow="1" w:lastRow="0" w:firstColumn="1" w:lastColumn="0" w:noHBand="0" w:noVBand="1"/>
      </w:tblPr>
      <w:tblGrid>
        <w:gridCol w:w="144"/>
        <w:gridCol w:w="2002"/>
        <w:gridCol w:w="144"/>
      </w:tblGrid>
      <w:tr w:rsidR="00000000">
        <w:tc>
          <w:tcPr>
            <w:tcW w:w="50" w:type="pct"/>
            <w:vAlign w:val="center"/>
            <w:hideMark/>
          </w:tcPr>
          <w:p w:rsidR="00000000" w:rsidRDefault="002A246B">
            <w:pPr>
              <w:rPr>
                <w:rFonts w:eastAsia="Times New Roman"/>
              </w:rPr>
            </w:pPr>
          </w:p>
        </w:tc>
        <w:tc>
          <w:tcPr>
            <w:tcW w:w="494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r>
    </w:tbl>
    <w:p w:rsidR="00000000" w:rsidRDefault="002A246B">
      <w:pPr>
        <w:ind w:hanging="360"/>
        <w:divId w:val="1558786453"/>
        <w:rPr>
          <w:rFonts w:eastAsia="Times New Roman"/>
        </w:rPr>
      </w:pPr>
      <w:r>
        <w:rPr>
          <w:rFonts w:eastAsia="Times New Roman"/>
          <w:color w:val="000000"/>
          <w:sz w:val="16"/>
          <w:szCs w:val="16"/>
        </w:rPr>
        <w:t>*</w:t>
      </w:r>
      <w:r>
        <w:rPr>
          <w:rFonts w:eastAsia="Times New Roman"/>
          <w:color w:val="000000"/>
          <w:sz w:val="16"/>
          <w:szCs w:val="16"/>
        </w:rPr>
        <w:t>Total losses reported for other real estate and foreclosed assets includes charge-offs, valuation write downs, and net losses taken during the periods reported.</w:t>
      </w:r>
    </w:p>
    <w:p w:rsidR="00000000" w:rsidRDefault="002A246B">
      <w:pPr>
        <w:divId w:val="805394445"/>
        <w:rPr>
          <w:rFonts w:eastAsia="Times New Roman"/>
        </w:rPr>
      </w:pPr>
      <w:r>
        <w:rPr>
          <w:rFonts w:eastAsia="Times New Roman"/>
          <w:b/>
          <w:bCs/>
          <w:color w:val="000000"/>
          <w:sz w:val="20"/>
          <w:szCs w:val="20"/>
        </w:rPr>
        <w:t>(14) Fair Value of Financial Instruments</w:t>
      </w:r>
    </w:p>
    <w:p w:rsidR="00000000" w:rsidRDefault="002A246B">
      <w:pPr>
        <w:jc w:val="both"/>
        <w:divId w:val="49884160"/>
        <w:rPr>
          <w:rFonts w:eastAsia="Times New Roman"/>
        </w:rPr>
      </w:pPr>
      <w:r>
        <w:rPr>
          <w:rFonts w:eastAsia="Times New Roman"/>
          <w:color w:val="000000"/>
          <w:sz w:val="20"/>
          <w:szCs w:val="20"/>
        </w:rPr>
        <w:t>The following methods and assumptions were used to est</w:t>
      </w:r>
      <w:r>
        <w:rPr>
          <w:rFonts w:eastAsia="Times New Roman"/>
          <w:color w:val="000000"/>
          <w:sz w:val="20"/>
          <w:szCs w:val="20"/>
        </w:rPr>
        <w:t>imate the fair value of each class of financial instruments for which it is practicable to estimate such value:</w:t>
      </w:r>
    </w:p>
    <w:p w:rsidR="00000000" w:rsidRDefault="002A246B">
      <w:pPr>
        <w:divId w:val="215820096"/>
        <w:rPr>
          <w:rFonts w:eastAsia="Times New Roman"/>
        </w:rPr>
      </w:pPr>
      <w:r>
        <w:rPr>
          <w:rFonts w:eastAsia="Times New Roman"/>
          <w:b/>
          <w:bCs/>
          <w:i/>
          <w:iCs/>
          <w:color w:val="000000"/>
          <w:sz w:val="20"/>
          <w:szCs w:val="20"/>
        </w:rPr>
        <w:t>Loans</w:t>
      </w:r>
    </w:p>
    <w:p w:rsidR="00000000" w:rsidRDefault="002A246B">
      <w:pPr>
        <w:jc w:val="both"/>
        <w:divId w:val="1512253240"/>
        <w:rPr>
          <w:rFonts w:eastAsia="Times New Roman"/>
        </w:rPr>
      </w:pPr>
      <w:r>
        <w:rPr>
          <w:rFonts w:eastAsia="Times New Roman"/>
          <w:color w:val="000000"/>
          <w:sz w:val="20"/>
          <w:szCs w:val="20"/>
        </w:rPr>
        <w:t>Fair values are estimated for portfolios with similar financial characteristics. Loans are segregated by type, such as commercial, real es</w:t>
      </w:r>
      <w:r>
        <w:rPr>
          <w:rFonts w:eastAsia="Times New Roman"/>
          <w:color w:val="000000"/>
          <w:sz w:val="20"/>
          <w:szCs w:val="20"/>
        </w:rPr>
        <w:t xml:space="preserve">tate, and consumer. Each loan category is further segmented into fixed and variable interest rate categories. The fair value of loans, or exit price, is estimated by using the future value of discounted cash flows using comparable market rates for similar </w:t>
      </w:r>
      <w:r>
        <w:rPr>
          <w:rFonts w:eastAsia="Times New Roman"/>
          <w:color w:val="000000"/>
          <w:sz w:val="20"/>
          <w:szCs w:val="20"/>
        </w:rPr>
        <w:t>types of loan products and adjusted for market factors. The discount rates used are estimated using comparable market rates for similar types of loan products adjusted to be commensurate with the credit risk, overhead costs, and optionality of such instrum</w:t>
      </w:r>
      <w:r>
        <w:rPr>
          <w:rFonts w:eastAsia="Times New Roman"/>
          <w:color w:val="000000"/>
          <w:sz w:val="20"/>
          <w:szCs w:val="20"/>
        </w:rPr>
        <w:t>ents.</w:t>
      </w:r>
    </w:p>
    <w:p w:rsidR="00000000" w:rsidRDefault="002A246B">
      <w:pPr>
        <w:divId w:val="668750677"/>
        <w:rPr>
          <w:rFonts w:eastAsia="Times New Roman"/>
        </w:rPr>
      </w:pPr>
      <w:r>
        <w:rPr>
          <w:rFonts w:eastAsia="Times New Roman"/>
          <w:b/>
          <w:bCs/>
          <w:i/>
          <w:iCs/>
          <w:color w:val="000000"/>
          <w:sz w:val="20"/>
          <w:szCs w:val="20"/>
        </w:rPr>
        <w:t>Federal Funds Sold, Cash, and Due from Banks</w:t>
      </w:r>
    </w:p>
    <w:p w:rsidR="00000000" w:rsidRDefault="002A246B">
      <w:pPr>
        <w:jc w:val="both"/>
        <w:divId w:val="28920072"/>
        <w:rPr>
          <w:rFonts w:eastAsia="Times New Roman"/>
        </w:rPr>
      </w:pPr>
      <w:r>
        <w:rPr>
          <w:rFonts w:eastAsia="Times New Roman"/>
          <w:color w:val="000000"/>
          <w:sz w:val="20"/>
          <w:szCs w:val="20"/>
        </w:rPr>
        <w:t>The carrying amounts of short-term federal funds sold, interest earning deposits with banks, and cash and due from banks approximate fair value. Federal funds sold classified as short-term generally mature</w:t>
      </w:r>
      <w:r>
        <w:rPr>
          <w:rFonts w:eastAsia="Times New Roman"/>
          <w:color w:val="000000"/>
          <w:sz w:val="20"/>
          <w:szCs w:val="20"/>
        </w:rPr>
        <w:t xml:space="preserve"> in 90 days or less.</w:t>
      </w:r>
    </w:p>
    <w:p w:rsidR="00000000" w:rsidRDefault="002A246B">
      <w:pPr>
        <w:divId w:val="1685590690"/>
        <w:rPr>
          <w:rFonts w:eastAsia="Times New Roman"/>
        </w:rPr>
      </w:pPr>
      <w:r>
        <w:rPr>
          <w:rFonts w:eastAsia="Times New Roman"/>
          <w:b/>
          <w:bCs/>
          <w:i/>
          <w:iCs/>
          <w:color w:val="000000"/>
          <w:sz w:val="20"/>
          <w:szCs w:val="20"/>
        </w:rPr>
        <w:t>Certificates of Deposit in Other Banks</w:t>
      </w:r>
    </w:p>
    <w:p w:rsidR="00000000" w:rsidRDefault="002A246B">
      <w:pPr>
        <w:jc w:val="both"/>
        <w:divId w:val="1820924686"/>
        <w:rPr>
          <w:rFonts w:eastAsia="Times New Roman"/>
        </w:rPr>
      </w:pPr>
      <w:r>
        <w:rPr>
          <w:rFonts w:eastAsia="Times New Roman"/>
          <w:color w:val="000000"/>
          <w:sz w:val="20"/>
          <w:szCs w:val="20"/>
        </w:rPr>
        <w:t>Certificates of deposit are other investments made by the Company with other financial institutions that are carried at cost which is equal to fair value.</w:t>
      </w:r>
    </w:p>
    <w:p w:rsidR="00000000" w:rsidRDefault="002A246B">
      <w:pPr>
        <w:divId w:val="2146389639"/>
        <w:rPr>
          <w:rFonts w:eastAsia="Times New Roman"/>
        </w:rPr>
      </w:pPr>
      <w:r>
        <w:rPr>
          <w:rFonts w:eastAsia="Times New Roman"/>
          <w:b/>
          <w:bCs/>
          <w:i/>
          <w:iCs/>
          <w:color w:val="000000"/>
          <w:sz w:val="20"/>
          <w:szCs w:val="20"/>
        </w:rPr>
        <w:t>Cash Surrender Value - Life Insurance</w:t>
      </w:r>
    </w:p>
    <w:p w:rsidR="00000000" w:rsidRDefault="002A246B">
      <w:pPr>
        <w:jc w:val="both"/>
        <w:divId w:val="942612157"/>
        <w:rPr>
          <w:rFonts w:eastAsia="Times New Roman"/>
        </w:rPr>
      </w:pPr>
      <w:r>
        <w:rPr>
          <w:rFonts w:eastAsia="Times New Roman"/>
          <w:color w:val="000000"/>
          <w:sz w:val="20"/>
          <w:szCs w:val="20"/>
        </w:rPr>
        <w:t>The</w:t>
      </w:r>
      <w:r>
        <w:rPr>
          <w:rFonts w:eastAsia="Times New Roman"/>
          <w:color w:val="000000"/>
          <w:sz w:val="20"/>
          <w:szCs w:val="20"/>
        </w:rPr>
        <w:t xml:space="preserve"> fair value of Bank-owned life insurance (BOLI) approximates the carrying amount. Upon liquidation of these investments, the Company would receive the cash surrender value which equals the carrying amount.</w:t>
      </w:r>
    </w:p>
    <w:p w:rsidR="00000000" w:rsidRDefault="002A246B">
      <w:pPr>
        <w:jc w:val="center"/>
        <w:divId w:val="1526677532"/>
        <w:rPr>
          <w:rFonts w:eastAsia="Times New Roman"/>
        </w:rPr>
      </w:pPr>
      <w:r>
        <w:rPr>
          <w:rFonts w:eastAsia="Times New Roman"/>
          <w:color w:val="000000"/>
          <w:sz w:val="20"/>
          <w:szCs w:val="20"/>
        </w:rPr>
        <w:t>28</w:t>
      </w:r>
    </w:p>
    <w:p w:rsidR="00000000" w:rsidRDefault="002A246B">
      <w:pPr>
        <w:rPr>
          <w:rFonts w:eastAsia="Times New Roman"/>
        </w:rPr>
      </w:pPr>
      <w:r>
        <w:rPr>
          <w:rFonts w:eastAsia="Times New Roman"/>
        </w:rPr>
        <w:pict>
          <v:rect id="_x0000_i1052" style="width:0;height:1.5pt" o:hralign="center" o:hrstd="t" o:hr="t" fillcolor="#a0a0a0" stroked="f"/>
        </w:pict>
      </w:r>
    </w:p>
    <w:p w:rsidR="00000000" w:rsidRDefault="002A246B">
      <w:pPr>
        <w:jc w:val="center"/>
        <w:divId w:val="409355687"/>
        <w:rPr>
          <w:rFonts w:eastAsia="Times New Roman"/>
        </w:rPr>
      </w:pPr>
      <w:r>
        <w:rPr>
          <w:rFonts w:eastAsia="Times New Roman"/>
          <w:b/>
          <w:bCs/>
          <w:color w:val="000000"/>
          <w:sz w:val="20"/>
          <w:szCs w:val="20"/>
        </w:rPr>
        <w:t>HAWTHORN B</w:t>
      </w:r>
      <w:r>
        <w:rPr>
          <w:rFonts w:eastAsia="Times New Roman"/>
          <w:b/>
          <w:bCs/>
          <w:color w:val="000000"/>
          <w:sz w:val="20"/>
          <w:szCs w:val="20"/>
        </w:rPr>
        <w:t>ANCSHARES, INC.</w:t>
      </w:r>
    </w:p>
    <w:p w:rsidR="00000000" w:rsidRDefault="002A246B">
      <w:pPr>
        <w:jc w:val="center"/>
        <w:divId w:val="409355687"/>
        <w:rPr>
          <w:rFonts w:eastAsia="Times New Roman"/>
        </w:rPr>
      </w:pPr>
      <w:r>
        <w:rPr>
          <w:rFonts w:eastAsia="Times New Roman"/>
          <w:b/>
          <w:bCs/>
          <w:color w:val="000000"/>
          <w:sz w:val="20"/>
          <w:szCs w:val="20"/>
        </w:rPr>
        <w:t>AND SUBSIDIARIES</w:t>
      </w:r>
    </w:p>
    <w:p w:rsidR="00000000" w:rsidRDefault="002A246B">
      <w:pPr>
        <w:jc w:val="center"/>
        <w:divId w:val="409355687"/>
        <w:rPr>
          <w:rFonts w:eastAsia="Times New Roman"/>
        </w:rPr>
      </w:pPr>
      <w:r>
        <w:rPr>
          <w:rFonts w:eastAsia="Times New Roman"/>
          <w:color w:val="000000"/>
          <w:sz w:val="18"/>
          <w:szCs w:val="18"/>
        </w:rPr>
        <w:t>Notes to the Consolidated Financial Statements</w:t>
      </w:r>
    </w:p>
    <w:p w:rsidR="00000000" w:rsidRDefault="002A246B">
      <w:pPr>
        <w:jc w:val="center"/>
        <w:divId w:val="409355687"/>
        <w:rPr>
          <w:rFonts w:eastAsia="Times New Roman"/>
        </w:rPr>
      </w:pPr>
      <w:r>
        <w:rPr>
          <w:rFonts w:eastAsia="Times New Roman"/>
          <w:i/>
          <w:iCs/>
          <w:color w:val="000000"/>
          <w:sz w:val="18"/>
          <w:szCs w:val="18"/>
        </w:rPr>
        <w:t>(Unaudited)</w:t>
      </w:r>
    </w:p>
    <w:p w:rsidR="00000000" w:rsidRDefault="002A246B">
      <w:pPr>
        <w:divId w:val="605693470"/>
        <w:rPr>
          <w:rFonts w:eastAsia="Times New Roman"/>
        </w:rPr>
      </w:pPr>
      <w:r>
        <w:rPr>
          <w:rFonts w:eastAsia="Times New Roman"/>
          <w:b/>
          <w:bCs/>
          <w:i/>
          <w:iCs/>
          <w:color w:val="000000"/>
          <w:sz w:val="20"/>
          <w:szCs w:val="20"/>
        </w:rPr>
        <w:t>Accrued Interest Receivable and Payable</w:t>
      </w:r>
    </w:p>
    <w:p w:rsidR="00000000" w:rsidRDefault="002A246B">
      <w:pPr>
        <w:jc w:val="both"/>
        <w:divId w:val="1418672367"/>
        <w:rPr>
          <w:rFonts w:eastAsia="Times New Roman"/>
        </w:rPr>
      </w:pPr>
      <w:r>
        <w:rPr>
          <w:rFonts w:eastAsia="Times New Roman"/>
          <w:color w:val="000000"/>
          <w:sz w:val="20"/>
          <w:szCs w:val="20"/>
        </w:rPr>
        <w:t>For accrued interest receivable and payable, the carrying amount is a reasonable estimate of fair value because of the short maturity for these financial instruments.</w:t>
      </w:r>
    </w:p>
    <w:p w:rsidR="00000000" w:rsidRDefault="002A246B">
      <w:pPr>
        <w:divId w:val="1284773816"/>
        <w:rPr>
          <w:rFonts w:eastAsia="Times New Roman"/>
        </w:rPr>
      </w:pPr>
      <w:r>
        <w:rPr>
          <w:rFonts w:eastAsia="Times New Roman"/>
          <w:b/>
          <w:bCs/>
          <w:i/>
          <w:iCs/>
          <w:color w:val="000000"/>
          <w:sz w:val="20"/>
          <w:szCs w:val="20"/>
        </w:rPr>
        <w:t>Deposits</w:t>
      </w:r>
    </w:p>
    <w:p w:rsidR="00000000" w:rsidRDefault="002A246B">
      <w:pPr>
        <w:jc w:val="both"/>
        <w:divId w:val="1849519730"/>
        <w:rPr>
          <w:rFonts w:eastAsia="Times New Roman"/>
        </w:rPr>
      </w:pPr>
      <w:r>
        <w:rPr>
          <w:rFonts w:eastAsia="Times New Roman"/>
          <w:color w:val="000000"/>
          <w:sz w:val="20"/>
          <w:szCs w:val="20"/>
        </w:rPr>
        <w:t>The fair value of deposits with no stated maturity, such as non-interest-bearing</w:t>
      </w:r>
      <w:r>
        <w:rPr>
          <w:rFonts w:eastAsia="Times New Roman"/>
          <w:color w:val="000000"/>
          <w:sz w:val="20"/>
          <w:szCs w:val="20"/>
        </w:rPr>
        <w:t xml:space="preserve"> demand, NOW accounts, savings, and money market, is equal to the amount payable on demand. The fair value of time deposits is based on the discounted value of contractual cash flows. The discount rate is estimated using the rates currently offered for dep</w:t>
      </w:r>
      <w:r>
        <w:rPr>
          <w:rFonts w:eastAsia="Times New Roman"/>
          <w:color w:val="000000"/>
          <w:sz w:val="20"/>
          <w:szCs w:val="20"/>
        </w:rPr>
        <w:t>osits of similar remaining maturities.</w:t>
      </w:r>
    </w:p>
    <w:p w:rsidR="00000000" w:rsidRDefault="002A246B">
      <w:pPr>
        <w:jc w:val="both"/>
        <w:divId w:val="954100864"/>
        <w:rPr>
          <w:rFonts w:eastAsia="Times New Roman"/>
        </w:rPr>
      </w:pPr>
      <w:r>
        <w:rPr>
          <w:rFonts w:eastAsia="Times New Roman"/>
          <w:b/>
          <w:bCs/>
          <w:i/>
          <w:iCs/>
          <w:color w:val="000000"/>
          <w:sz w:val="20"/>
          <w:szCs w:val="20"/>
        </w:rPr>
        <w:t xml:space="preserve">Federal Funds Purchased and Securities Sold Under Agreements to Repurchase </w:t>
      </w:r>
    </w:p>
    <w:p w:rsidR="00000000" w:rsidRDefault="002A246B">
      <w:pPr>
        <w:jc w:val="both"/>
        <w:divId w:val="140509453"/>
        <w:rPr>
          <w:rFonts w:eastAsia="Times New Roman"/>
        </w:rPr>
      </w:pPr>
      <w:r>
        <w:rPr>
          <w:rFonts w:eastAsia="Times New Roman"/>
          <w:color w:val="000000"/>
          <w:sz w:val="20"/>
          <w:szCs w:val="20"/>
        </w:rPr>
        <w:t>For Federal funds purchased and securities sold under agreements to repurchase, the carrying amount is a reasonable estimate of fair value, a</w:t>
      </w:r>
      <w:r>
        <w:rPr>
          <w:rFonts w:eastAsia="Times New Roman"/>
          <w:color w:val="000000"/>
          <w:sz w:val="20"/>
          <w:szCs w:val="20"/>
        </w:rPr>
        <w:t>s such instruments reprice in a short time period.</w:t>
      </w:r>
    </w:p>
    <w:p w:rsidR="00000000" w:rsidRDefault="002A246B">
      <w:pPr>
        <w:divId w:val="1549025806"/>
        <w:rPr>
          <w:rFonts w:eastAsia="Times New Roman"/>
        </w:rPr>
      </w:pPr>
      <w:r>
        <w:rPr>
          <w:rFonts w:eastAsia="Times New Roman"/>
          <w:b/>
          <w:bCs/>
          <w:i/>
          <w:iCs/>
          <w:color w:val="000000"/>
          <w:sz w:val="20"/>
          <w:szCs w:val="20"/>
        </w:rPr>
        <w:t>Subordinated Notes and Other Borrowings</w:t>
      </w:r>
    </w:p>
    <w:p w:rsidR="00000000" w:rsidRDefault="002A246B">
      <w:pPr>
        <w:jc w:val="both"/>
        <w:divId w:val="984360505"/>
        <w:rPr>
          <w:rFonts w:eastAsia="Times New Roman"/>
        </w:rPr>
      </w:pPr>
      <w:r>
        <w:rPr>
          <w:rFonts w:eastAsia="Times New Roman"/>
          <w:color w:val="000000"/>
          <w:sz w:val="20"/>
          <w:szCs w:val="20"/>
        </w:rPr>
        <w:t xml:space="preserve">The fair value of subordinated notes and other borrowings is based on the discounted value of contractual cash-flows. The discount rate is estimated using the rates </w:t>
      </w:r>
      <w:r>
        <w:rPr>
          <w:rFonts w:eastAsia="Times New Roman"/>
          <w:color w:val="000000"/>
          <w:sz w:val="20"/>
          <w:szCs w:val="20"/>
        </w:rPr>
        <w:t>currently offered for other borrowed money of similar remaining maturities.</w:t>
      </w:r>
    </w:p>
    <w:p w:rsidR="00000000" w:rsidRDefault="002A246B">
      <w:pPr>
        <w:jc w:val="center"/>
        <w:divId w:val="1854146396"/>
        <w:rPr>
          <w:rFonts w:eastAsia="Times New Roman"/>
        </w:rPr>
      </w:pPr>
      <w:r>
        <w:rPr>
          <w:rFonts w:eastAsia="Times New Roman"/>
          <w:color w:val="000000"/>
          <w:sz w:val="20"/>
          <w:szCs w:val="20"/>
        </w:rPr>
        <w:t>29</w:t>
      </w:r>
    </w:p>
    <w:p w:rsidR="00000000" w:rsidRDefault="002A246B">
      <w:pPr>
        <w:rPr>
          <w:rFonts w:eastAsia="Times New Roman"/>
        </w:rPr>
      </w:pPr>
      <w:r>
        <w:rPr>
          <w:rFonts w:eastAsia="Times New Roman"/>
        </w:rPr>
        <w:pict>
          <v:rect id="_x0000_i1053" style="width:0;height:1.5pt" o:hralign="center" o:hrstd="t" o:hr="t" fillcolor="#a0a0a0" stroked="f"/>
        </w:pict>
      </w:r>
    </w:p>
    <w:p w:rsidR="00000000" w:rsidRDefault="002A246B">
      <w:pPr>
        <w:jc w:val="center"/>
        <w:divId w:val="932713022"/>
        <w:rPr>
          <w:rFonts w:eastAsia="Times New Roman"/>
        </w:rPr>
      </w:pPr>
      <w:r>
        <w:rPr>
          <w:rFonts w:eastAsia="Times New Roman"/>
          <w:b/>
          <w:bCs/>
          <w:color w:val="000000"/>
          <w:sz w:val="20"/>
          <w:szCs w:val="20"/>
        </w:rPr>
        <w:t>HAWTHORN BANCSHARES, INC.</w:t>
      </w:r>
    </w:p>
    <w:p w:rsidR="00000000" w:rsidRDefault="002A246B">
      <w:pPr>
        <w:jc w:val="center"/>
        <w:divId w:val="932713022"/>
        <w:rPr>
          <w:rFonts w:eastAsia="Times New Roman"/>
        </w:rPr>
      </w:pPr>
      <w:r>
        <w:rPr>
          <w:rFonts w:eastAsia="Times New Roman"/>
          <w:b/>
          <w:bCs/>
          <w:color w:val="000000"/>
          <w:sz w:val="20"/>
          <w:szCs w:val="20"/>
        </w:rPr>
        <w:t>AND SUBSIDIARIES</w:t>
      </w:r>
    </w:p>
    <w:p w:rsidR="00000000" w:rsidRDefault="002A246B">
      <w:pPr>
        <w:jc w:val="center"/>
        <w:divId w:val="932713022"/>
        <w:rPr>
          <w:rFonts w:eastAsia="Times New Roman"/>
        </w:rPr>
      </w:pPr>
      <w:r>
        <w:rPr>
          <w:rFonts w:eastAsia="Times New Roman"/>
          <w:color w:val="000000"/>
          <w:sz w:val="18"/>
          <w:szCs w:val="18"/>
        </w:rPr>
        <w:t>Notes to the Consolidated Financial Statements</w:t>
      </w:r>
    </w:p>
    <w:p w:rsidR="00000000" w:rsidRDefault="002A246B">
      <w:pPr>
        <w:jc w:val="center"/>
        <w:divId w:val="932713022"/>
        <w:rPr>
          <w:rFonts w:eastAsia="Times New Roman"/>
        </w:rPr>
      </w:pPr>
      <w:r>
        <w:rPr>
          <w:rFonts w:eastAsia="Times New Roman"/>
          <w:i/>
          <w:iCs/>
          <w:color w:val="000000"/>
          <w:sz w:val="18"/>
          <w:szCs w:val="18"/>
        </w:rPr>
        <w:t>(Unaudited)</w:t>
      </w:r>
    </w:p>
    <w:p w:rsidR="00000000" w:rsidRDefault="002A246B">
      <w:pPr>
        <w:jc w:val="both"/>
        <w:divId w:val="1942562188"/>
        <w:rPr>
          <w:rFonts w:eastAsia="Times New Roman"/>
        </w:rPr>
      </w:pPr>
      <w:r>
        <w:rPr>
          <w:rFonts w:eastAsia="Times New Roman"/>
          <w:color w:val="000000"/>
          <w:sz w:val="20"/>
          <w:szCs w:val="20"/>
        </w:rPr>
        <w:t>A summary of the carrying amounts and fair values of the Company’s financial instruments at March 31, 2022 and December 31, 2021 is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2877"/>
        <w:gridCol w:w="37"/>
        <w:gridCol w:w="100"/>
        <w:gridCol w:w="836"/>
        <w:gridCol w:w="36"/>
        <w:gridCol w:w="36"/>
        <w:gridCol w:w="36"/>
        <w:gridCol w:w="36"/>
        <w:gridCol w:w="100"/>
        <w:gridCol w:w="837"/>
        <w:gridCol w:w="36"/>
        <w:gridCol w:w="36"/>
        <w:gridCol w:w="36"/>
        <w:gridCol w:w="36"/>
        <w:gridCol w:w="100"/>
        <w:gridCol w:w="837"/>
        <w:gridCol w:w="36"/>
        <w:gridCol w:w="36"/>
        <w:gridCol w:w="36"/>
        <w:gridCol w:w="36"/>
        <w:gridCol w:w="101"/>
        <w:gridCol w:w="837"/>
        <w:gridCol w:w="36"/>
        <w:gridCol w:w="36"/>
        <w:gridCol w:w="36"/>
        <w:gridCol w:w="36"/>
        <w:gridCol w:w="101"/>
        <w:gridCol w:w="893"/>
        <w:gridCol w:w="36"/>
      </w:tblGrid>
      <w:tr w:rsidR="00000000">
        <w:trPr>
          <w:divId w:val="1036929109"/>
        </w:trPr>
        <w:tc>
          <w:tcPr>
            <w:tcW w:w="50" w:type="pct"/>
            <w:vAlign w:val="center"/>
            <w:hideMark/>
          </w:tcPr>
          <w:p w:rsidR="00000000" w:rsidRDefault="002A246B">
            <w:pPr>
              <w:jc w:val="both"/>
              <w:rPr>
                <w:rFonts w:eastAsia="Times New Roman"/>
              </w:rPr>
            </w:pPr>
          </w:p>
        </w:tc>
        <w:tc>
          <w:tcPr>
            <w:tcW w:w="1793"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51"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51"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51"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51"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51"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036929109"/>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March 31, 2022</w:t>
            </w:r>
          </w:p>
        </w:tc>
      </w:tr>
      <w:tr w:rsidR="00000000">
        <w:trPr>
          <w:divId w:val="1036929109"/>
        </w:trPr>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Fair Value Measurements</w:t>
            </w:r>
          </w:p>
        </w:tc>
      </w:tr>
      <w:tr w:rsidR="00000000">
        <w:trPr>
          <w:divId w:val="1036929109"/>
        </w:trPr>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Quoted Prices in Active Markets for Identical Assets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Other Observable Inputs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Net Significant Unobservable Inputs</w:t>
            </w:r>
          </w:p>
        </w:tc>
      </w:tr>
      <w:tr w:rsidR="00000000">
        <w:trPr>
          <w:divId w:val="1036929109"/>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Carrying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(Level 3)</w:t>
            </w:r>
          </w:p>
        </w:tc>
      </w:tr>
      <w:tr w:rsidR="00000000">
        <w:trPr>
          <w:divId w:val="103692910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036929109"/>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Cash and due from banks</w:t>
            </w: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22,544 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22,544 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22,544 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03692910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Federal funds sold and overnight interest-bearing deposits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27,971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27,971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27,971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1036929109"/>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Certificates of deposit in other banks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4,701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4,701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4,701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103692910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Available-for-sale securities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286,754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286,754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3,145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283,609</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1036929109"/>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Other investment securities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5,490</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5,490</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56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5,434</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103692910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Loans, net</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1,319,644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1,326,968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1,326,968</w:t>
            </w:r>
          </w:p>
        </w:tc>
      </w:tr>
      <w:tr w:rsidR="00000000">
        <w:trPr>
          <w:divId w:val="1036929109"/>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Loans held for sale</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909</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909</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909</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103692910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Cash surrender value - life insurance</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2,524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2,524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2,524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1036929109"/>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Interest rate lock commitments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64</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64</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64</w:t>
            </w:r>
          </w:p>
        </w:tc>
      </w:tr>
      <w:tr w:rsidR="00000000">
        <w:trPr>
          <w:divId w:val="103692910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Forward sale commitments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1036929109"/>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Accrued interest receivable</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6,241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6,241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6,241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1036929109"/>
        </w:trPr>
        <w:tc>
          <w:tcPr>
            <w:tcW w:w="0" w:type="auto"/>
            <w:gridSpan w:val="3"/>
            <w:tcBorders>
              <w:top w:val="single" w:sz="6" w:space="0" w:color="000000"/>
            </w:tcBorders>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1,676,863 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1,684,187 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64,658 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292,497 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1,327,032 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036929109"/>
        </w:trPr>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03692910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036929109"/>
        </w:trPr>
        <w:tc>
          <w:tcPr>
            <w:tcW w:w="0" w:type="auto"/>
            <w:gridSpan w:val="3"/>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Non-interest bearing demand</w:t>
            </w: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450,225 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450,225 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450,225 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036929109"/>
        </w:trPr>
        <w:tc>
          <w:tcPr>
            <w:tcW w:w="0" w:type="auto"/>
            <w:gridSpan w:val="3"/>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Savings, interest checking and money market</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752,164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752,164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752,164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1036929109"/>
        </w:trPr>
        <w:tc>
          <w:tcPr>
            <w:tcW w:w="0" w:type="auto"/>
            <w:gridSpan w:val="3"/>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Time deposits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253,754</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252,878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252,878</w:t>
            </w:r>
          </w:p>
        </w:tc>
      </w:tr>
      <w:tr w:rsidR="00000000">
        <w:trPr>
          <w:divId w:val="103692910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Federal funds purchased and securities sold under agreements to repurchase</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5,514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5,514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5,514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1036929109"/>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Federal Home Loan Bank advances and other borrowings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77,357</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77,364</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77,364</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103692910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Subordinated notes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49,486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42,166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42,166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1036929109"/>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Interest rate lock commitments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47</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47</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47</w:t>
            </w:r>
          </w:p>
        </w:tc>
      </w:tr>
      <w:tr w:rsidR="00000000">
        <w:trPr>
          <w:divId w:val="103692910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Accrued interest payable</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298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298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298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1036929109"/>
        </w:trPr>
        <w:tc>
          <w:tcPr>
            <w:tcW w:w="0" w:type="auto"/>
            <w:gridSpan w:val="3"/>
            <w:tcBorders>
              <w:top w:val="single" w:sz="6" w:space="0" w:color="000000"/>
              <w:bottom w:val="double" w:sz="6" w:space="0" w:color="000000"/>
            </w:tcBorders>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Total</w:t>
            </w: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1,588,845 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1,580,656 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1,208,201 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119,530 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252,925 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jc w:val="center"/>
        <w:divId w:val="328024949"/>
        <w:rPr>
          <w:rFonts w:eastAsia="Times New Roman"/>
        </w:rPr>
      </w:pPr>
      <w:r>
        <w:rPr>
          <w:rFonts w:eastAsia="Times New Roman"/>
          <w:color w:val="000000"/>
          <w:sz w:val="20"/>
          <w:szCs w:val="20"/>
        </w:rPr>
        <w:t>30</w:t>
      </w:r>
    </w:p>
    <w:p w:rsidR="00000000" w:rsidRDefault="002A246B">
      <w:pPr>
        <w:rPr>
          <w:rFonts w:eastAsia="Times New Roman"/>
        </w:rPr>
      </w:pPr>
      <w:r>
        <w:rPr>
          <w:rFonts w:eastAsia="Times New Roman"/>
        </w:rPr>
        <w:pict>
          <v:rect id="_x0000_i1054" style="width:0;height:1.5pt" o:hralign="center" o:hrstd="t" o:hr="t" fillcolor="#a0a0a0" stroked="f"/>
        </w:pict>
      </w:r>
    </w:p>
    <w:p w:rsidR="00000000" w:rsidRDefault="002A246B">
      <w:pPr>
        <w:jc w:val="center"/>
        <w:divId w:val="1218004718"/>
        <w:rPr>
          <w:rFonts w:eastAsia="Times New Roman"/>
        </w:rPr>
      </w:pPr>
      <w:r>
        <w:rPr>
          <w:rFonts w:eastAsia="Times New Roman"/>
          <w:b/>
          <w:bCs/>
          <w:color w:val="000000"/>
          <w:sz w:val="20"/>
          <w:szCs w:val="20"/>
        </w:rPr>
        <w:t>HAWTHORN BANCSHARES, INC.</w:t>
      </w:r>
    </w:p>
    <w:p w:rsidR="00000000" w:rsidRDefault="002A246B">
      <w:pPr>
        <w:jc w:val="center"/>
        <w:divId w:val="1218004718"/>
        <w:rPr>
          <w:rFonts w:eastAsia="Times New Roman"/>
        </w:rPr>
      </w:pPr>
      <w:r>
        <w:rPr>
          <w:rFonts w:eastAsia="Times New Roman"/>
          <w:b/>
          <w:bCs/>
          <w:color w:val="000000"/>
          <w:sz w:val="20"/>
          <w:szCs w:val="20"/>
        </w:rPr>
        <w:t>AND SUBSIDIARIES</w:t>
      </w:r>
    </w:p>
    <w:p w:rsidR="00000000" w:rsidRDefault="002A246B">
      <w:pPr>
        <w:jc w:val="center"/>
        <w:divId w:val="1218004718"/>
        <w:rPr>
          <w:rFonts w:eastAsia="Times New Roman"/>
        </w:rPr>
      </w:pPr>
      <w:r>
        <w:rPr>
          <w:rFonts w:eastAsia="Times New Roman"/>
          <w:color w:val="000000"/>
          <w:sz w:val="18"/>
          <w:szCs w:val="18"/>
        </w:rPr>
        <w:t>Notes to the Consolidated Financial Statements</w:t>
      </w:r>
    </w:p>
    <w:p w:rsidR="00000000" w:rsidRDefault="002A246B">
      <w:pPr>
        <w:jc w:val="center"/>
        <w:divId w:val="1218004718"/>
        <w:rPr>
          <w:rFonts w:eastAsia="Times New Roman"/>
        </w:rPr>
      </w:pPr>
      <w:r>
        <w:rPr>
          <w:rFonts w:eastAsia="Times New Roman"/>
          <w:i/>
          <w:iCs/>
          <w:color w:val="000000"/>
          <w:sz w:val="18"/>
          <w:szCs w:val="18"/>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2877"/>
        <w:gridCol w:w="37"/>
        <w:gridCol w:w="100"/>
        <w:gridCol w:w="836"/>
        <w:gridCol w:w="36"/>
        <w:gridCol w:w="36"/>
        <w:gridCol w:w="36"/>
        <w:gridCol w:w="36"/>
        <w:gridCol w:w="100"/>
        <w:gridCol w:w="837"/>
        <w:gridCol w:w="36"/>
        <w:gridCol w:w="36"/>
        <w:gridCol w:w="36"/>
        <w:gridCol w:w="36"/>
        <w:gridCol w:w="100"/>
        <w:gridCol w:w="837"/>
        <w:gridCol w:w="36"/>
        <w:gridCol w:w="36"/>
        <w:gridCol w:w="36"/>
        <w:gridCol w:w="36"/>
        <w:gridCol w:w="101"/>
        <w:gridCol w:w="837"/>
        <w:gridCol w:w="36"/>
        <w:gridCol w:w="36"/>
        <w:gridCol w:w="36"/>
        <w:gridCol w:w="36"/>
        <w:gridCol w:w="101"/>
        <w:gridCol w:w="893"/>
        <w:gridCol w:w="36"/>
      </w:tblGrid>
      <w:tr w:rsidR="00000000">
        <w:trPr>
          <w:divId w:val="1689018003"/>
        </w:trPr>
        <w:tc>
          <w:tcPr>
            <w:tcW w:w="50" w:type="pct"/>
            <w:vAlign w:val="center"/>
            <w:hideMark/>
          </w:tcPr>
          <w:p w:rsidR="00000000" w:rsidRDefault="002A246B">
            <w:pPr>
              <w:jc w:val="center"/>
              <w:rPr>
                <w:rFonts w:eastAsia="Times New Roman"/>
              </w:rPr>
            </w:pPr>
          </w:p>
        </w:tc>
        <w:tc>
          <w:tcPr>
            <w:tcW w:w="1793"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51"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51"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51"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51"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51"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689018003"/>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December 31, 2021</w:t>
            </w:r>
          </w:p>
        </w:tc>
      </w:tr>
      <w:tr w:rsidR="00000000">
        <w:trPr>
          <w:divId w:val="1689018003"/>
        </w:trPr>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Fair Value Measurements</w:t>
            </w:r>
          </w:p>
        </w:tc>
      </w:tr>
      <w:tr w:rsidR="00000000">
        <w:trPr>
          <w:divId w:val="1689018003"/>
        </w:trPr>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Quoted Prices in Active Markets for Identical Assets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Other Observable Inputs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Net Significant Unobservable Inputs</w:t>
            </w:r>
          </w:p>
        </w:tc>
      </w:tr>
      <w:tr w:rsidR="00000000">
        <w:trPr>
          <w:divId w:val="168901800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Carrying amount</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 </w:t>
            </w:r>
            <w:r>
              <w:rPr>
                <w:rFonts w:eastAsia="Times New Roman"/>
                <w:b/>
                <w:bCs/>
                <w:color w:val="000000"/>
                <w:sz w:val="16"/>
                <w:szCs w:val="16"/>
              </w:rPr>
              <w:t>(Level 1)</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(Level 3)</w:t>
            </w:r>
          </w:p>
        </w:tc>
      </w:tr>
      <w:tr w:rsidR="00000000">
        <w:trPr>
          <w:divId w:val="168901800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Assets:</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689018003"/>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Cash and due from banks</w:t>
            </w: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17,287 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17,287 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17,287 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68901800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Federal funds sold and overnight interest-bearing deposits</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142,622 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142,622 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142,622 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689018003"/>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Certificates of deposit in other banks</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5,193 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5,193 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5,193 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68901800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Available-for-sale securities</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310,870 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310,870 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3,917 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306,953 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689018003"/>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Other investment securities</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5,408 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5,408 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5,348 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68901800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Loans, net</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1,285,230 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1,308,539 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1,308,539 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689018003"/>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Loans held for sale</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2,249 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2,249 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2,249 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68901800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Cash surrender value - life insurance</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2,509 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2,509 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2,509 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689018003"/>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Interest rate lock commitments</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312 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312 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312 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68901800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Forward sale commitments</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689018003"/>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Accrued interest receivable</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6,621 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6,621 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6,621 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689018003"/>
        </w:trPr>
        <w:tc>
          <w:tcPr>
            <w:tcW w:w="0" w:type="auto"/>
            <w:gridSpan w:val="3"/>
            <w:tcBorders>
              <w:top w:val="single" w:sz="6" w:space="0" w:color="000000"/>
            </w:tcBorders>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1,778,313 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1,801,622 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175,700 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317,071 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1,308,851 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689018003"/>
        </w:trPr>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68901800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689018003"/>
        </w:trPr>
        <w:tc>
          <w:tcPr>
            <w:tcW w:w="0" w:type="auto"/>
            <w:gridSpan w:val="3"/>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Non-interest bearing demand</w:t>
            </w: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453,066 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453,066 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453,066 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689018003"/>
        </w:trPr>
        <w:tc>
          <w:tcPr>
            <w:tcW w:w="0" w:type="auto"/>
            <w:gridSpan w:val="3"/>
            <w:shd w:val="clear" w:color="auto" w:fill="CCEE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Savings, interest checking and money market</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818,358 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818,358 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818,358 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689018003"/>
        </w:trPr>
        <w:tc>
          <w:tcPr>
            <w:tcW w:w="0" w:type="auto"/>
            <w:gridSpan w:val="3"/>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Time deposits</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245,396 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246,025 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246,025 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68901800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Federal funds purchased and securities sold under agreements to repurchase</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23,829 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23,829 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23,829 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689018003"/>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Federal Home Loan Bank advances and other borrowings</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77,418 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78,152 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78,152 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68901800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Subordinated notes</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49,486 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42,908 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42,908 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689018003"/>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Interest rate lock commitments</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689018003"/>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Accrued interest payable</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282 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282 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282 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689018003"/>
        </w:trPr>
        <w:tc>
          <w:tcPr>
            <w:tcW w:w="0" w:type="auto"/>
            <w:gridSpan w:val="3"/>
            <w:tcBorders>
              <w:top w:val="single" w:sz="6" w:space="0" w:color="000000"/>
              <w:bottom w:val="double" w:sz="6" w:space="0" w:color="000000"/>
            </w:tcBorders>
            <w:shd w:val="clear" w:color="auto" w:fill="FFFFFF"/>
            <w:tcMar>
              <w:top w:w="30" w:type="dxa"/>
              <w:left w:w="14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Total</w:t>
            </w: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1,667,861 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1,662,646 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1,295,535 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121,060 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246,051 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divId w:val="1331061018"/>
        <w:rPr>
          <w:rFonts w:eastAsia="Times New Roman"/>
        </w:rPr>
      </w:pPr>
      <w:r>
        <w:rPr>
          <w:rFonts w:eastAsia="Times New Roman"/>
          <w:b/>
          <w:bCs/>
          <w:i/>
          <w:iCs/>
          <w:color w:val="000000"/>
          <w:sz w:val="20"/>
          <w:szCs w:val="20"/>
        </w:rPr>
        <w:t>Off-Balance Sheet Financial Instruments</w:t>
      </w:r>
    </w:p>
    <w:p w:rsidR="00000000" w:rsidRDefault="002A246B">
      <w:pPr>
        <w:ind w:hanging="1"/>
        <w:jc w:val="both"/>
        <w:divId w:val="1117408393"/>
        <w:rPr>
          <w:rFonts w:eastAsia="Times New Roman"/>
        </w:rPr>
      </w:pPr>
      <w:r>
        <w:rPr>
          <w:rFonts w:eastAsia="Times New Roman"/>
          <w:color w:val="000000"/>
          <w:sz w:val="20"/>
          <w:szCs w:val="20"/>
        </w:rPr>
        <w:t>The</w:t>
      </w:r>
      <w:r>
        <w:rPr>
          <w:rFonts w:eastAsia="Times New Roman"/>
          <w:color w:val="000000"/>
          <w:sz w:val="20"/>
          <w:szCs w:val="20"/>
        </w:rPr>
        <w:t xml:space="preserve"> fair value of commitments to extend credit and standby letters of credit is estimated using the fees currently charged to enter into similar agreements, taking into account the remaining terms of the agreements, the likelihood of the counterparties drawin</w:t>
      </w:r>
      <w:r>
        <w:rPr>
          <w:rFonts w:eastAsia="Times New Roman"/>
          <w:color w:val="000000"/>
          <w:sz w:val="20"/>
          <w:szCs w:val="20"/>
        </w:rPr>
        <w:t>g on such financial instruments, and the present creditworthiness of such counterparties. The Company believes such commitments have been made on terms that are competitive in the markets in which it operates.</w:t>
      </w:r>
    </w:p>
    <w:p w:rsidR="00000000" w:rsidRDefault="002A246B">
      <w:pPr>
        <w:divId w:val="901479308"/>
        <w:rPr>
          <w:rFonts w:eastAsia="Times New Roman"/>
        </w:rPr>
      </w:pPr>
      <w:r>
        <w:rPr>
          <w:rFonts w:eastAsia="Times New Roman"/>
          <w:b/>
          <w:bCs/>
          <w:i/>
          <w:iCs/>
          <w:color w:val="000000"/>
          <w:sz w:val="20"/>
          <w:szCs w:val="20"/>
        </w:rPr>
        <w:t>Limitations</w:t>
      </w:r>
    </w:p>
    <w:p w:rsidR="00000000" w:rsidRDefault="002A246B">
      <w:pPr>
        <w:jc w:val="both"/>
        <w:divId w:val="1303384794"/>
        <w:rPr>
          <w:rFonts w:eastAsia="Times New Roman"/>
        </w:rPr>
      </w:pPr>
      <w:r>
        <w:rPr>
          <w:rFonts w:eastAsia="Times New Roman"/>
          <w:color w:val="000000"/>
          <w:sz w:val="20"/>
          <w:szCs w:val="20"/>
        </w:rPr>
        <w:t xml:space="preserve">The fair value estimates provided </w:t>
      </w:r>
      <w:r>
        <w:rPr>
          <w:rFonts w:eastAsia="Times New Roman"/>
          <w:color w:val="000000"/>
          <w:sz w:val="20"/>
          <w:szCs w:val="20"/>
        </w:rPr>
        <w:t>are made at a point in time based on market information and information about the financial instruments. Because no market exists for a portion of the Company’s financial instruments, fair value estimates are based on judgments regarding future expected lo</w:t>
      </w:r>
      <w:r>
        <w:rPr>
          <w:rFonts w:eastAsia="Times New Roman"/>
          <w:color w:val="000000"/>
          <w:sz w:val="20"/>
          <w:szCs w:val="20"/>
        </w:rPr>
        <w:t>ss experience, current economic conditions, risk characteristics of various financial instruments, and other factors. These estimates are subjective in nature and involve uncertainties and matters of significant judgment and, therefore, cannot be determine</w:t>
      </w:r>
      <w:r>
        <w:rPr>
          <w:rFonts w:eastAsia="Times New Roman"/>
          <w:color w:val="000000"/>
          <w:sz w:val="20"/>
          <w:szCs w:val="20"/>
        </w:rPr>
        <w:t>d with precision. Changes in assumptions could significantly affect the fair value estimates.</w:t>
      </w:r>
    </w:p>
    <w:p w:rsidR="00000000" w:rsidRDefault="002A246B">
      <w:pPr>
        <w:jc w:val="center"/>
        <w:divId w:val="1370958963"/>
        <w:rPr>
          <w:rFonts w:eastAsia="Times New Roman"/>
        </w:rPr>
      </w:pPr>
      <w:r>
        <w:rPr>
          <w:rFonts w:eastAsia="Times New Roman"/>
          <w:color w:val="000000"/>
          <w:sz w:val="20"/>
          <w:szCs w:val="20"/>
        </w:rPr>
        <w:t>31</w:t>
      </w:r>
    </w:p>
    <w:p w:rsidR="00000000" w:rsidRDefault="002A246B">
      <w:pPr>
        <w:rPr>
          <w:rFonts w:eastAsia="Times New Roman"/>
        </w:rPr>
      </w:pPr>
      <w:r>
        <w:rPr>
          <w:rFonts w:eastAsia="Times New Roman"/>
        </w:rPr>
        <w:pict>
          <v:rect id="_x0000_i1055" style="width:0;height:1.5pt" o:hralign="center" o:hrstd="t" o:hr="t" fillcolor="#a0a0a0" stroked="f"/>
        </w:pict>
      </w:r>
    </w:p>
    <w:p w:rsidR="00000000" w:rsidRDefault="002A246B">
      <w:pPr>
        <w:jc w:val="center"/>
        <w:divId w:val="2034264149"/>
        <w:rPr>
          <w:rFonts w:eastAsia="Times New Roman"/>
        </w:rPr>
      </w:pPr>
      <w:r>
        <w:rPr>
          <w:rFonts w:eastAsia="Times New Roman"/>
          <w:b/>
          <w:bCs/>
          <w:color w:val="000000"/>
          <w:sz w:val="20"/>
          <w:szCs w:val="20"/>
        </w:rPr>
        <w:t>HAWTHORN BANCSHARES, INC.</w:t>
      </w:r>
    </w:p>
    <w:p w:rsidR="00000000" w:rsidRDefault="002A246B">
      <w:pPr>
        <w:jc w:val="center"/>
        <w:divId w:val="2034264149"/>
        <w:rPr>
          <w:rFonts w:eastAsia="Times New Roman"/>
        </w:rPr>
      </w:pPr>
      <w:r>
        <w:rPr>
          <w:rFonts w:eastAsia="Times New Roman"/>
          <w:b/>
          <w:bCs/>
          <w:color w:val="000000"/>
          <w:sz w:val="20"/>
          <w:szCs w:val="20"/>
        </w:rPr>
        <w:t>AND SUBSIDIARIES</w:t>
      </w:r>
    </w:p>
    <w:p w:rsidR="00000000" w:rsidRDefault="002A246B">
      <w:pPr>
        <w:jc w:val="center"/>
        <w:divId w:val="2034264149"/>
        <w:rPr>
          <w:rFonts w:eastAsia="Times New Roman"/>
        </w:rPr>
      </w:pPr>
      <w:r>
        <w:rPr>
          <w:rFonts w:eastAsia="Times New Roman"/>
          <w:color w:val="000000"/>
          <w:sz w:val="18"/>
          <w:szCs w:val="18"/>
        </w:rPr>
        <w:t>Notes to the Consolidated Financial Statements</w:t>
      </w:r>
    </w:p>
    <w:p w:rsidR="00000000" w:rsidRDefault="002A246B">
      <w:pPr>
        <w:jc w:val="center"/>
        <w:divId w:val="2034264149"/>
        <w:rPr>
          <w:rFonts w:eastAsia="Times New Roman"/>
        </w:rPr>
      </w:pPr>
      <w:r>
        <w:rPr>
          <w:rFonts w:eastAsia="Times New Roman"/>
          <w:i/>
          <w:iCs/>
          <w:color w:val="000000"/>
          <w:sz w:val="18"/>
          <w:szCs w:val="18"/>
        </w:rPr>
        <w:t>(Unaudited)</w:t>
      </w:r>
    </w:p>
    <w:p w:rsidR="00000000" w:rsidRDefault="002A246B">
      <w:pPr>
        <w:divId w:val="853300628"/>
        <w:rPr>
          <w:rFonts w:eastAsia="Times New Roman"/>
        </w:rPr>
      </w:pPr>
    </w:p>
    <w:p w:rsidR="00000000" w:rsidRDefault="002A246B">
      <w:pPr>
        <w:divId w:val="754668278"/>
        <w:rPr>
          <w:rFonts w:eastAsia="Times New Roman"/>
        </w:rPr>
      </w:pPr>
      <w:r>
        <w:rPr>
          <w:rFonts w:eastAsia="Times New Roman"/>
          <w:b/>
          <w:bCs/>
          <w:color w:val="000000"/>
          <w:sz w:val="20"/>
          <w:szCs w:val="20"/>
        </w:rPr>
        <w:t>(15) Commitments a</w:t>
      </w:r>
      <w:r>
        <w:rPr>
          <w:rFonts w:eastAsia="Times New Roman"/>
          <w:b/>
          <w:bCs/>
          <w:color w:val="000000"/>
          <w:sz w:val="20"/>
          <w:szCs w:val="20"/>
        </w:rPr>
        <w:t>nd Contingencies</w:t>
      </w:r>
    </w:p>
    <w:p w:rsidR="00000000" w:rsidRDefault="002A246B">
      <w:pPr>
        <w:jc w:val="both"/>
        <w:divId w:val="904679834"/>
        <w:rPr>
          <w:rFonts w:eastAsia="Times New Roman"/>
        </w:rPr>
      </w:pPr>
      <w:r>
        <w:rPr>
          <w:rFonts w:eastAsia="Times New Roman"/>
          <w:color w:val="000000"/>
          <w:sz w:val="20"/>
          <w:szCs w:val="20"/>
        </w:rPr>
        <w:t xml:space="preserve">The Company issues financial instruments with off-balance-sheet risk in the normal course of business of meeting the financing needs of its customers. These financial instruments include commitments to extend credit and standby letters of </w:t>
      </w:r>
      <w:r>
        <w:rPr>
          <w:rFonts w:eastAsia="Times New Roman"/>
          <w:color w:val="000000"/>
          <w:sz w:val="20"/>
          <w:szCs w:val="20"/>
        </w:rPr>
        <w:t>credit. These instruments may involve, to varying degrees, elements of credit and interest rate risk in excess of the amounts recognized in the consolidated balance sheets.</w:t>
      </w:r>
    </w:p>
    <w:p w:rsidR="00000000" w:rsidRDefault="002A246B">
      <w:pPr>
        <w:jc w:val="both"/>
        <w:divId w:val="630788875"/>
        <w:rPr>
          <w:rFonts w:eastAsia="Times New Roman"/>
        </w:rPr>
      </w:pPr>
      <w:r>
        <w:rPr>
          <w:rFonts w:eastAsia="Times New Roman"/>
          <w:color w:val="000000"/>
          <w:sz w:val="20"/>
          <w:szCs w:val="20"/>
        </w:rPr>
        <w:t>The Company’s extent of involvement and maximum potential exposure to credit loss i</w:t>
      </w:r>
      <w:r>
        <w:rPr>
          <w:rFonts w:eastAsia="Times New Roman"/>
          <w:color w:val="000000"/>
          <w:sz w:val="20"/>
          <w:szCs w:val="20"/>
        </w:rPr>
        <w:t xml:space="preserve">n the event of non-performance by the other party to the financial instrument for commitments to extend credit and standby letters of credit is represented by the contractual amount of these instruments. The Company uses the same credit policies in making </w:t>
      </w:r>
      <w:r>
        <w:rPr>
          <w:rFonts w:eastAsia="Times New Roman"/>
          <w:color w:val="000000"/>
          <w:sz w:val="20"/>
          <w:szCs w:val="20"/>
        </w:rPr>
        <w:t>commitments and conditional obligations as it does for financial instruments included on its consolidated balance sheets. At March 31, 2022, no amounts have been accrued for any estimated losses for these financial instruments.</w:t>
      </w:r>
    </w:p>
    <w:p w:rsidR="00000000" w:rsidRDefault="002A246B">
      <w:pPr>
        <w:jc w:val="both"/>
        <w:divId w:val="654604740"/>
        <w:rPr>
          <w:rFonts w:eastAsia="Times New Roman"/>
        </w:rPr>
      </w:pPr>
      <w:r>
        <w:rPr>
          <w:rFonts w:eastAsia="Times New Roman"/>
          <w:color w:val="000000"/>
          <w:sz w:val="20"/>
          <w:szCs w:val="20"/>
        </w:rPr>
        <w:t>The contractual amount of of</w:t>
      </w:r>
      <w:r>
        <w:rPr>
          <w:rFonts w:eastAsia="Times New Roman"/>
          <w:color w:val="000000"/>
          <w:sz w:val="20"/>
          <w:szCs w:val="20"/>
        </w:rPr>
        <w:t>f-balance-sheet financial instruments were as follows as of the dates indicated:</w:t>
      </w:r>
    </w:p>
    <w:tbl>
      <w:tblPr>
        <w:tblW w:w="4909" w:type="pct"/>
        <w:tblCellMar>
          <w:top w:w="15" w:type="dxa"/>
          <w:left w:w="15" w:type="dxa"/>
          <w:bottom w:w="15" w:type="dxa"/>
          <w:right w:w="15" w:type="dxa"/>
        </w:tblCellMar>
        <w:tblLook w:val="04A0" w:firstRow="1" w:lastRow="0" w:firstColumn="1" w:lastColumn="0" w:noHBand="0" w:noVBand="1"/>
      </w:tblPr>
      <w:tblGrid>
        <w:gridCol w:w="38"/>
        <w:gridCol w:w="5910"/>
        <w:gridCol w:w="36"/>
        <w:gridCol w:w="121"/>
        <w:gridCol w:w="798"/>
        <w:gridCol w:w="37"/>
        <w:gridCol w:w="36"/>
        <w:gridCol w:w="36"/>
        <w:gridCol w:w="36"/>
        <w:gridCol w:w="121"/>
        <w:gridCol w:w="950"/>
        <w:gridCol w:w="36"/>
      </w:tblGrid>
      <w:tr w:rsidR="00000000">
        <w:trPr>
          <w:divId w:val="661087758"/>
        </w:trPr>
        <w:tc>
          <w:tcPr>
            <w:tcW w:w="50" w:type="pct"/>
            <w:vAlign w:val="center"/>
            <w:hideMark/>
          </w:tcPr>
          <w:p w:rsidR="00000000" w:rsidRDefault="002A246B">
            <w:pPr>
              <w:jc w:val="both"/>
              <w:rPr>
                <w:rFonts w:eastAsia="Times New Roman"/>
              </w:rPr>
            </w:pPr>
          </w:p>
        </w:tc>
        <w:tc>
          <w:tcPr>
            <w:tcW w:w="366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23"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1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661087758"/>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December 31, 2021</w:t>
            </w:r>
          </w:p>
        </w:tc>
      </w:tr>
      <w:tr w:rsidR="00000000">
        <w:trPr>
          <w:divId w:val="661087758"/>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Commitments to extend credit</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398,543</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396,958</w:t>
            </w:r>
          </w:p>
        </w:tc>
      </w:tr>
      <w:tr w:rsidR="00000000">
        <w:trPr>
          <w:divId w:val="661087758"/>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Interest rate lock commitments</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14,684</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16,161</w:t>
            </w:r>
          </w:p>
        </w:tc>
      </w:tr>
      <w:tr w:rsidR="00000000">
        <w:trPr>
          <w:divId w:val="661087758"/>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Forward sale commitments</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909</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2,199</w:t>
            </w:r>
          </w:p>
        </w:tc>
      </w:tr>
      <w:tr w:rsidR="00000000">
        <w:trPr>
          <w:divId w:val="661087758"/>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Standby letters of credit</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4,329</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35,514</w:t>
            </w:r>
          </w:p>
        </w:tc>
      </w:tr>
      <w:tr w:rsidR="00000000">
        <w:trPr>
          <w:divId w:val="661087758"/>
        </w:trPr>
        <w:tc>
          <w:tcPr>
            <w:tcW w:w="0" w:type="auto"/>
            <w:gridSpan w:val="3"/>
            <w:tcBorders>
              <w:top w:val="single" w:sz="6" w:space="0" w:color="000000"/>
              <w:bottom w:val="double" w:sz="6" w:space="0" w:color="000000"/>
            </w:tcBorders>
            <w:shd w:val="clear" w:color="auto" w:fill="CCEEFF"/>
            <w:tcMar>
              <w:top w:w="30" w:type="dxa"/>
              <w:left w:w="87"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418,465</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450,832</w:t>
            </w:r>
          </w:p>
        </w:tc>
      </w:tr>
    </w:tbl>
    <w:p w:rsidR="00000000" w:rsidRDefault="002A246B">
      <w:pPr>
        <w:divId w:val="1549877333"/>
        <w:rPr>
          <w:rFonts w:eastAsia="Times New Roman"/>
        </w:rPr>
      </w:pPr>
      <w:r>
        <w:rPr>
          <w:rFonts w:eastAsia="Times New Roman"/>
          <w:b/>
          <w:bCs/>
          <w:i/>
          <w:iCs/>
          <w:color w:val="000000"/>
          <w:sz w:val="20"/>
          <w:szCs w:val="20"/>
        </w:rPr>
        <w:t>Commitments</w:t>
      </w:r>
    </w:p>
    <w:p w:rsidR="00000000" w:rsidRDefault="002A246B">
      <w:pPr>
        <w:jc w:val="both"/>
        <w:divId w:val="137502738"/>
        <w:rPr>
          <w:rFonts w:eastAsia="Times New Roman"/>
        </w:rPr>
      </w:pPr>
      <w:r>
        <w:rPr>
          <w:rFonts w:eastAsia="Times New Roman"/>
          <w:color w:val="000000"/>
          <w:sz w:val="20"/>
          <w:szCs w:val="20"/>
        </w:rPr>
        <w:t>Commitments to extend credit are agreements to lend to a customer as long as there is no violation of any condition established in the contract. Commitments generally have fixed expiration dates or other termination clauses and may require payment of a fee</w:t>
      </w:r>
      <w:r>
        <w:rPr>
          <w:rFonts w:eastAsia="Times New Roman"/>
          <w:color w:val="000000"/>
          <w:sz w:val="20"/>
          <w:szCs w:val="20"/>
        </w:rPr>
        <w:t>. Since certain of the commitments and letters of credit are expected to expire without being drawn upon, the total commitment amounts do not necessarily represent future cash requirements. The Company evaluates each customer’s creditworthiness on a case-b</w:t>
      </w:r>
      <w:r>
        <w:rPr>
          <w:rFonts w:eastAsia="Times New Roman"/>
          <w:color w:val="000000"/>
          <w:sz w:val="20"/>
          <w:szCs w:val="20"/>
        </w:rPr>
        <w:t xml:space="preserve">y-case basis. The amount of collateral obtained, if deemed necessary by the Company upon extension of credit, is based on management’s credit evaluation of the customer. Collateral held varies, but may include accounts receivable, inventory, furniture and </w:t>
      </w:r>
      <w:r>
        <w:rPr>
          <w:rFonts w:eastAsia="Times New Roman"/>
          <w:color w:val="000000"/>
          <w:sz w:val="20"/>
          <w:szCs w:val="20"/>
        </w:rPr>
        <w:t>equipment, and real estate.</w:t>
      </w:r>
    </w:p>
    <w:p w:rsidR="00000000" w:rsidRDefault="002A246B">
      <w:pPr>
        <w:jc w:val="both"/>
        <w:divId w:val="1619019982"/>
        <w:rPr>
          <w:rFonts w:eastAsia="Times New Roman"/>
        </w:rPr>
      </w:pPr>
      <w:r>
        <w:rPr>
          <w:rFonts w:eastAsia="Times New Roman"/>
          <w:color w:val="000000"/>
          <w:sz w:val="20"/>
          <w:szCs w:val="20"/>
        </w:rPr>
        <w:t>The Company has two types of commitments related to mortgage loans held for sale: interest rate lock commitments and forward loan sale commitments. Interest rate lock commitments are commitments to extend credit to a customer th</w:t>
      </w:r>
      <w:r>
        <w:rPr>
          <w:rFonts w:eastAsia="Times New Roman"/>
          <w:color w:val="000000"/>
          <w:sz w:val="20"/>
          <w:szCs w:val="20"/>
        </w:rPr>
        <w:t>at has an interest rate lock and are considered derivative instruments.</w:t>
      </w:r>
    </w:p>
    <w:p w:rsidR="00000000" w:rsidRDefault="002A246B">
      <w:pPr>
        <w:jc w:val="both"/>
        <w:divId w:val="499009455"/>
        <w:rPr>
          <w:rFonts w:eastAsia="Times New Roman"/>
        </w:rPr>
      </w:pPr>
      <w:r>
        <w:rPr>
          <w:rFonts w:eastAsia="Times New Roman"/>
          <w:color w:val="000000"/>
          <w:sz w:val="20"/>
          <w:szCs w:val="20"/>
        </w:rPr>
        <w:t>Standby letters of credit are conditional commitments issued by the Company to guarantee the performance of a customer to a third-party. These standby letters of credit are primarily i</w:t>
      </w:r>
      <w:r>
        <w:rPr>
          <w:rFonts w:eastAsia="Times New Roman"/>
          <w:color w:val="000000"/>
          <w:sz w:val="20"/>
          <w:szCs w:val="20"/>
        </w:rPr>
        <w:t>ssued to support contractual obligations of the Company’s customers. The approximate remaining term of standby letters of credit range from one month to five years at March 31, 2022.</w:t>
      </w:r>
    </w:p>
    <w:p w:rsidR="00000000" w:rsidRDefault="002A246B">
      <w:pPr>
        <w:divId w:val="274336258"/>
        <w:rPr>
          <w:rFonts w:eastAsia="Times New Roman"/>
        </w:rPr>
      </w:pPr>
      <w:r>
        <w:rPr>
          <w:rFonts w:eastAsia="Times New Roman"/>
          <w:b/>
          <w:bCs/>
          <w:i/>
          <w:iCs/>
          <w:color w:val="000000"/>
          <w:sz w:val="20"/>
          <w:szCs w:val="20"/>
        </w:rPr>
        <w:t>Pending Litigation</w:t>
      </w:r>
    </w:p>
    <w:p w:rsidR="00000000" w:rsidRDefault="002A246B">
      <w:pPr>
        <w:jc w:val="both"/>
        <w:rPr>
          <w:rFonts w:eastAsia="Times New Roman"/>
        </w:rPr>
      </w:pPr>
      <w:r>
        <w:rPr>
          <w:rFonts w:eastAsia="Times New Roman"/>
          <w:color w:val="000000"/>
          <w:sz w:val="20"/>
          <w:szCs w:val="20"/>
        </w:rPr>
        <w:t>The Company and its subsidiaries are defendants in var</w:t>
      </w:r>
      <w:r>
        <w:rPr>
          <w:rFonts w:eastAsia="Times New Roman"/>
          <w:color w:val="000000"/>
          <w:sz w:val="20"/>
          <w:szCs w:val="20"/>
        </w:rPr>
        <w:t>ious legal actions incidental to the Company’s past and current business activities. Based on the Company’s analysis, and considering the inherent uncertainties associated with litigation, management does not believe that it is reasonably possible that the</w:t>
      </w:r>
      <w:r>
        <w:rPr>
          <w:rFonts w:eastAsia="Times New Roman"/>
          <w:color w:val="000000"/>
          <w:sz w:val="20"/>
          <w:szCs w:val="20"/>
        </w:rPr>
        <w:t>se legal actions will materially adversely affect the Company’s consolidated financial condition or results of operations in the near term. The Company records a loss accrual for all legal matters for which it deems a loss is probable and can be reasonably</w:t>
      </w:r>
      <w:r>
        <w:rPr>
          <w:rFonts w:eastAsia="Times New Roman"/>
          <w:color w:val="000000"/>
          <w:sz w:val="20"/>
          <w:szCs w:val="20"/>
        </w:rPr>
        <w:t xml:space="preserve"> estimated. Some legal matters, which are at early stages in the legal process, have not yet progressed to the point where a loss is deemed probable or an amount can be estimated.</w:t>
      </w:r>
    </w:p>
    <w:p w:rsidR="00000000" w:rsidRDefault="002A246B">
      <w:pPr>
        <w:jc w:val="center"/>
        <w:divId w:val="1724670161"/>
        <w:rPr>
          <w:rFonts w:eastAsia="Times New Roman"/>
        </w:rPr>
      </w:pPr>
      <w:r>
        <w:rPr>
          <w:rFonts w:eastAsia="Times New Roman"/>
          <w:color w:val="000000"/>
          <w:sz w:val="20"/>
          <w:szCs w:val="20"/>
        </w:rPr>
        <w:t>32</w:t>
      </w:r>
    </w:p>
    <w:p w:rsidR="00000000" w:rsidRDefault="002A246B">
      <w:pPr>
        <w:rPr>
          <w:rFonts w:eastAsia="Times New Roman"/>
        </w:rPr>
      </w:pPr>
      <w:r>
        <w:rPr>
          <w:rFonts w:eastAsia="Times New Roman"/>
        </w:rPr>
        <w:pict>
          <v:rect id="_x0000_i1056" style="width:0;height:1.5pt" o:hralign="center" o:hrstd="t" o:hr="t" fillcolor="#a0a0a0" stroked="f"/>
        </w:pict>
      </w:r>
    </w:p>
    <w:p w:rsidR="00000000" w:rsidRDefault="002A246B">
      <w:pPr>
        <w:divId w:val="304897160"/>
        <w:rPr>
          <w:rFonts w:eastAsia="Times New Roman"/>
        </w:rPr>
      </w:pPr>
    </w:p>
    <w:p w:rsidR="00000000" w:rsidRDefault="002A246B">
      <w:pPr>
        <w:divId w:val="2128233546"/>
        <w:rPr>
          <w:rFonts w:eastAsia="Times New Roman"/>
        </w:rPr>
      </w:pPr>
    </w:p>
    <w:p w:rsidR="00000000" w:rsidRDefault="002A246B">
      <w:pPr>
        <w:divId w:val="1801150665"/>
        <w:rPr>
          <w:rFonts w:eastAsia="Times New Roman"/>
        </w:rPr>
      </w:pPr>
      <w:r>
        <w:rPr>
          <w:rFonts w:eastAsia="Times New Roman"/>
          <w:b/>
          <w:bCs/>
          <w:color w:val="000000"/>
          <w:sz w:val="20"/>
          <w:szCs w:val="20"/>
        </w:rPr>
        <w:t>Item 2 -</w:t>
      </w:r>
      <w:r>
        <w:rPr>
          <w:rFonts w:eastAsia="Times New Roman"/>
          <w:b/>
          <w:bCs/>
          <w:i/>
          <w:iCs/>
          <w:color w:val="000000"/>
          <w:sz w:val="20"/>
          <w:szCs w:val="20"/>
        </w:rPr>
        <w:t xml:space="preserve"> Management’s Discussion and Analysis of Financial Condition and Results of Operations</w:t>
      </w:r>
    </w:p>
    <w:p w:rsidR="00000000" w:rsidRDefault="002A246B">
      <w:pPr>
        <w:divId w:val="846987583"/>
        <w:rPr>
          <w:rFonts w:eastAsia="Times New Roman"/>
        </w:rPr>
      </w:pPr>
    </w:p>
    <w:p w:rsidR="00000000" w:rsidRDefault="002A246B">
      <w:pPr>
        <w:divId w:val="1683817961"/>
        <w:rPr>
          <w:rFonts w:eastAsia="Times New Roman"/>
        </w:rPr>
      </w:pPr>
      <w:r>
        <w:rPr>
          <w:rFonts w:eastAsia="Times New Roman"/>
          <w:b/>
          <w:bCs/>
          <w:i/>
          <w:iCs/>
          <w:color w:val="000000"/>
          <w:sz w:val="20"/>
          <w:szCs w:val="20"/>
        </w:rPr>
        <w:t>Forward-Looking Statements</w:t>
      </w:r>
    </w:p>
    <w:p w:rsidR="00000000" w:rsidRDefault="002A246B">
      <w:pPr>
        <w:jc w:val="both"/>
        <w:divId w:val="968896716"/>
        <w:rPr>
          <w:rFonts w:eastAsia="Times New Roman"/>
        </w:rPr>
      </w:pPr>
      <w:r>
        <w:rPr>
          <w:rFonts w:eastAsia="Times New Roman"/>
          <w:color w:val="000000"/>
          <w:sz w:val="20"/>
          <w:szCs w:val="20"/>
        </w:rPr>
        <w:t>This report contains certain forward-looking statements with respect to the financial condition, results of operations, plans, objectives, future performance and business of Hawthorn Bancshares, Inc., and its subsidiaries (collectively, the Company, we, ou</w:t>
      </w:r>
      <w:r>
        <w:rPr>
          <w:rFonts w:eastAsia="Times New Roman"/>
          <w:color w:val="000000"/>
          <w:sz w:val="20"/>
          <w:szCs w:val="20"/>
        </w:rPr>
        <w:t>r, or us), including, without limitation:</w:t>
      </w:r>
    </w:p>
    <w:p w:rsidR="00000000" w:rsidRDefault="002A246B">
      <w:pPr>
        <w:ind w:hanging="360"/>
        <w:divId w:val="423958471"/>
        <w:rPr>
          <w:rFonts w:eastAsia="Times New Roman"/>
        </w:rPr>
      </w:pPr>
      <w:r>
        <w:rPr>
          <w:rFonts w:eastAsia="Times New Roman"/>
          <w:color w:val="000000"/>
          <w:sz w:val="20"/>
          <w:szCs w:val="20"/>
        </w:rPr>
        <w:t>•statements that are not historical in nature, and</w:t>
      </w:r>
    </w:p>
    <w:p w:rsidR="00000000" w:rsidRDefault="002A246B">
      <w:pPr>
        <w:ind w:hanging="360"/>
        <w:divId w:val="943223538"/>
        <w:rPr>
          <w:rFonts w:eastAsia="Times New Roman"/>
        </w:rPr>
      </w:pPr>
      <w:r>
        <w:rPr>
          <w:rFonts w:eastAsia="Times New Roman"/>
          <w:color w:val="000000"/>
          <w:sz w:val="20"/>
          <w:szCs w:val="20"/>
        </w:rPr>
        <w:t xml:space="preserve">•statements preceded by, followed by or that include the words </w:t>
      </w:r>
      <w:r>
        <w:rPr>
          <w:rFonts w:eastAsia="Times New Roman"/>
          <w:i/>
          <w:iCs/>
          <w:color w:val="000000"/>
          <w:sz w:val="20"/>
          <w:szCs w:val="20"/>
        </w:rPr>
        <w:t>believes</w:t>
      </w:r>
      <w:r>
        <w:rPr>
          <w:rFonts w:eastAsia="Times New Roman"/>
          <w:color w:val="000000"/>
          <w:sz w:val="20"/>
          <w:szCs w:val="20"/>
        </w:rPr>
        <w:t xml:space="preserve">, </w:t>
      </w:r>
      <w:r>
        <w:rPr>
          <w:rFonts w:eastAsia="Times New Roman"/>
          <w:i/>
          <w:iCs/>
          <w:color w:val="000000"/>
          <w:sz w:val="20"/>
          <w:szCs w:val="20"/>
        </w:rPr>
        <w:t>expects, may, will, should, could, anticipates, estimates, intends, plans, hopes</w:t>
      </w:r>
      <w:r>
        <w:rPr>
          <w:rFonts w:eastAsia="Times New Roman"/>
          <w:color w:val="000000"/>
          <w:sz w:val="20"/>
          <w:szCs w:val="20"/>
        </w:rPr>
        <w:t xml:space="preserve"> or simila</w:t>
      </w:r>
      <w:r>
        <w:rPr>
          <w:rFonts w:eastAsia="Times New Roman"/>
          <w:color w:val="000000"/>
          <w:sz w:val="20"/>
          <w:szCs w:val="20"/>
        </w:rPr>
        <w:t>r expressions.</w:t>
      </w:r>
    </w:p>
    <w:p w:rsidR="00000000" w:rsidRDefault="002A246B">
      <w:pPr>
        <w:jc w:val="both"/>
        <w:divId w:val="1646859469"/>
        <w:rPr>
          <w:rFonts w:eastAsia="Times New Roman"/>
        </w:rPr>
      </w:pPr>
      <w:r>
        <w:rPr>
          <w:rFonts w:eastAsia="Times New Roman"/>
          <w:color w:val="000000"/>
          <w:sz w:val="20"/>
          <w:szCs w:val="20"/>
        </w:rPr>
        <w:t>Forward-looking statements are not guarantees of future performance or results. They involve risks, uncertainties and assumptions. Actual results may differ materially from those contemplated by the forward-looking statements due to, among o</w:t>
      </w:r>
      <w:r>
        <w:rPr>
          <w:rFonts w:eastAsia="Times New Roman"/>
          <w:color w:val="000000"/>
          <w:sz w:val="20"/>
          <w:szCs w:val="20"/>
        </w:rPr>
        <w:t>thers, the following factors:</w:t>
      </w:r>
    </w:p>
    <w:p w:rsidR="00000000" w:rsidRDefault="002A246B">
      <w:pPr>
        <w:ind w:hanging="360"/>
        <w:jc w:val="both"/>
        <w:rPr>
          <w:rFonts w:eastAsia="Times New Roman"/>
        </w:rPr>
      </w:pPr>
      <w:r>
        <w:rPr>
          <w:rFonts w:eastAsia="Times New Roman"/>
          <w:color w:val="000000"/>
          <w:sz w:val="20"/>
          <w:szCs w:val="20"/>
        </w:rPr>
        <w:t>•competitive pressures among financial services companies may increase significantly,</w:t>
      </w:r>
    </w:p>
    <w:p w:rsidR="00000000" w:rsidRDefault="002A246B">
      <w:pPr>
        <w:ind w:hanging="360"/>
        <w:jc w:val="both"/>
        <w:rPr>
          <w:rFonts w:eastAsia="Times New Roman"/>
        </w:rPr>
      </w:pPr>
      <w:r>
        <w:rPr>
          <w:rFonts w:eastAsia="Times New Roman"/>
          <w:color w:val="000000"/>
          <w:sz w:val="20"/>
          <w:szCs w:val="20"/>
        </w:rPr>
        <w:t>•changes in the interest rate environment may reduce interest margins,</w:t>
      </w:r>
    </w:p>
    <w:p w:rsidR="00000000" w:rsidRDefault="002A246B">
      <w:pPr>
        <w:ind w:hanging="360"/>
        <w:jc w:val="both"/>
        <w:rPr>
          <w:rFonts w:eastAsia="Times New Roman"/>
        </w:rPr>
      </w:pPr>
      <w:r>
        <w:rPr>
          <w:rFonts w:eastAsia="Times New Roman"/>
          <w:color w:val="000000"/>
          <w:sz w:val="20"/>
          <w:szCs w:val="20"/>
        </w:rPr>
        <w:t>•general economic conditions, either nationally or in Missouri, may b</w:t>
      </w:r>
      <w:r>
        <w:rPr>
          <w:rFonts w:eastAsia="Times New Roman"/>
          <w:color w:val="000000"/>
          <w:sz w:val="20"/>
          <w:szCs w:val="20"/>
        </w:rPr>
        <w:t>e less favorable than expected and may adversely affect the quality of our loans and other assets,</w:t>
      </w:r>
    </w:p>
    <w:p w:rsidR="00000000" w:rsidRDefault="002A246B">
      <w:pPr>
        <w:ind w:hanging="360"/>
        <w:jc w:val="both"/>
        <w:rPr>
          <w:rFonts w:eastAsia="Times New Roman"/>
        </w:rPr>
      </w:pPr>
      <w:r>
        <w:rPr>
          <w:rFonts w:eastAsia="Times New Roman"/>
          <w:color w:val="000000"/>
          <w:sz w:val="20"/>
          <w:szCs w:val="20"/>
        </w:rPr>
        <w:t>•increases in non-performing assets in the Company’s loan portfolios and adverse economic conditions may necessitate increases to our provisions for loan los</w:t>
      </w:r>
      <w:r>
        <w:rPr>
          <w:rFonts w:eastAsia="Times New Roman"/>
          <w:color w:val="000000"/>
          <w:sz w:val="20"/>
          <w:szCs w:val="20"/>
        </w:rPr>
        <w:t>ses,</w:t>
      </w:r>
    </w:p>
    <w:p w:rsidR="00000000" w:rsidRDefault="002A246B">
      <w:pPr>
        <w:ind w:hanging="360"/>
        <w:jc w:val="both"/>
        <w:rPr>
          <w:rFonts w:eastAsia="Times New Roman"/>
        </w:rPr>
      </w:pPr>
      <w:r>
        <w:rPr>
          <w:rFonts w:eastAsia="Times New Roman"/>
          <w:color w:val="000000"/>
          <w:sz w:val="20"/>
          <w:szCs w:val="20"/>
        </w:rPr>
        <w:t>•costs or difficulties related to any integration of any business of the Company and its acquisition targets may be greater than expected,</w:t>
      </w:r>
    </w:p>
    <w:p w:rsidR="00000000" w:rsidRDefault="002A246B">
      <w:pPr>
        <w:ind w:hanging="360"/>
        <w:jc w:val="both"/>
        <w:rPr>
          <w:rFonts w:eastAsia="Times New Roman"/>
        </w:rPr>
      </w:pPr>
      <w:r>
        <w:rPr>
          <w:rFonts w:eastAsia="Times New Roman"/>
          <w:color w:val="000000"/>
          <w:sz w:val="20"/>
          <w:szCs w:val="20"/>
        </w:rPr>
        <w:t>•legislative, regulatory or tax law changes may adversely affect the business in which the Company and its subsi</w:t>
      </w:r>
      <w:r>
        <w:rPr>
          <w:rFonts w:eastAsia="Times New Roman"/>
          <w:color w:val="000000"/>
          <w:sz w:val="20"/>
          <w:szCs w:val="20"/>
        </w:rPr>
        <w:t xml:space="preserve">diaries are engaged, </w:t>
      </w:r>
    </w:p>
    <w:p w:rsidR="00000000" w:rsidRDefault="002A246B">
      <w:pPr>
        <w:ind w:hanging="360"/>
        <w:jc w:val="both"/>
        <w:rPr>
          <w:rFonts w:eastAsia="Times New Roman"/>
        </w:rPr>
      </w:pPr>
      <w:r>
        <w:rPr>
          <w:rFonts w:eastAsia="Times New Roman"/>
          <w:color w:val="000000"/>
          <w:sz w:val="20"/>
          <w:szCs w:val="20"/>
        </w:rPr>
        <w:t>•changes may occur in the securities markets, and</w:t>
      </w:r>
    </w:p>
    <w:p w:rsidR="00000000" w:rsidRDefault="002A246B">
      <w:pPr>
        <w:ind w:hanging="360"/>
        <w:jc w:val="both"/>
        <w:divId w:val="21899767"/>
        <w:rPr>
          <w:rFonts w:eastAsia="Times New Roman"/>
        </w:rPr>
      </w:pPr>
      <w:r>
        <w:rPr>
          <w:rFonts w:eastAsia="Times New Roman"/>
          <w:color w:val="000000"/>
          <w:sz w:val="20"/>
          <w:szCs w:val="20"/>
        </w:rPr>
        <w:t>•the COVID-19 pandemic, or other external events may adversely affect the Company.</w:t>
      </w:r>
    </w:p>
    <w:p w:rsidR="00000000" w:rsidRDefault="002A246B">
      <w:pPr>
        <w:jc w:val="both"/>
        <w:divId w:val="1971594576"/>
        <w:rPr>
          <w:rFonts w:eastAsia="Times New Roman"/>
        </w:rPr>
      </w:pPr>
      <w:r>
        <w:rPr>
          <w:rFonts w:eastAsia="Times New Roman"/>
          <w:color w:val="000000"/>
          <w:sz w:val="20"/>
          <w:szCs w:val="20"/>
        </w:rPr>
        <w:t xml:space="preserve">We have described under the caption </w:t>
      </w:r>
      <w:r>
        <w:rPr>
          <w:rFonts w:eastAsia="Times New Roman"/>
          <w:i/>
          <w:iCs/>
          <w:color w:val="000000"/>
          <w:sz w:val="20"/>
          <w:szCs w:val="20"/>
        </w:rPr>
        <w:t>Risk Factors</w:t>
      </w:r>
      <w:r>
        <w:rPr>
          <w:rFonts w:eastAsia="Times New Roman"/>
          <w:color w:val="000000"/>
          <w:sz w:val="20"/>
          <w:szCs w:val="20"/>
        </w:rPr>
        <w:t xml:space="preserve"> in the Company’s Annual Report on Form 10-K for the </w:t>
      </w:r>
      <w:r>
        <w:rPr>
          <w:rFonts w:eastAsia="Times New Roman"/>
          <w:color w:val="000000"/>
          <w:sz w:val="20"/>
          <w:szCs w:val="20"/>
        </w:rPr>
        <w:t xml:space="preserve">year ended December 31, 2021, and in other reports filed with the SEC from time to time, additional factors that could cause actual results to be materially different from those described in the forward-looking statements. Other factors that have not been </w:t>
      </w:r>
      <w:r>
        <w:rPr>
          <w:rFonts w:eastAsia="Times New Roman"/>
          <w:color w:val="000000"/>
          <w:sz w:val="20"/>
          <w:szCs w:val="20"/>
        </w:rPr>
        <w:t>identified in this report could also have this effect. You are cautioned not to put undue reliance on any forward-looking statement, which speak only as of the date they were made. Except as required by law, the Company undertakes no obligation to update o</w:t>
      </w:r>
      <w:r>
        <w:rPr>
          <w:rFonts w:eastAsia="Times New Roman"/>
          <w:color w:val="000000"/>
          <w:sz w:val="20"/>
          <w:szCs w:val="20"/>
        </w:rPr>
        <w:t>r revise forward-looking statements to reflect changed assumptions, the occurrence of unanticipated events, or changes in its business, results of operations or financial condition over time.</w:t>
      </w:r>
    </w:p>
    <w:p w:rsidR="00000000" w:rsidRDefault="002A246B">
      <w:pPr>
        <w:jc w:val="center"/>
        <w:divId w:val="1933125146"/>
        <w:rPr>
          <w:rFonts w:eastAsia="Times New Roman"/>
        </w:rPr>
      </w:pPr>
      <w:r>
        <w:rPr>
          <w:rFonts w:eastAsia="Times New Roman"/>
          <w:color w:val="000000"/>
          <w:sz w:val="20"/>
          <w:szCs w:val="20"/>
        </w:rPr>
        <w:t>33</w:t>
      </w:r>
    </w:p>
    <w:p w:rsidR="00000000" w:rsidRDefault="002A246B">
      <w:pPr>
        <w:rPr>
          <w:rFonts w:eastAsia="Times New Roman"/>
        </w:rPr>
      </w:pPr>
      <w:r>
        <w:rPr>
          <w:rFonts w:eastAsia="Times New Roman"/>
        </w:rPr>
        <w:pict>
          <v:rect id="_x0000_i1057" style="width:0;height:1.5pt" o:hralign="center" o:hrstd="t" o:hr="t" fillcolor="#a0a0a0" stroked="f"/>
        </w:pict>
      </w:r>
    </w:p>
    <w:p w:rsidR="00000000" w:rsidRDefault="002A246B">
      <w:pPr>
        <w:divId w:val="745223304"/>
        <w:rPr>
          <w:rFonts w:eastAsia="Times New Roman"/>
        </w:rPr>
      </w:pPr>
    </w:p>
    <w:p w:rsidR="00000000" w:rsidRDefault="002A246B">
      <w:pPr>
        <w:divId w:val="1576429232"/>
        <w:rPr>
          <w:rFonts w:eastAsia="Times New Roman"/>
        </w:rPr>
      </w:pPr>
      <w:r>
        <w:rPr>
          <w:rFonts w:eastAsia="Times New Roman"/>
          <w:b/>
          <w:bCs/>
          <w:i/>
          <w:iCs/>
          <w:color w:val="000000"/>
          <w:sz w:val="20"/>
          <w:szCs w:val="20"/>
        </w:rPr>
        <w:t>Overview</w:t>
      </w:r>
    </w:p>
    <w:p w:rsidR="00000000" w:rsidRDefault="002A246B">
      <w:pPr>
        <w:jc w:val="both"/>
        <w:divId w:val="490563846"/>
        <w:rPr>
          <w:rFonts w:eastAsia="Times New Roman"/>
        </w:rPr>
      </w:pPr>
      <w:r>
        <w:rPr>
          <w:rFonts w:eastAsia="Times New Roman"/>
          <w:color w:val="000000"/>
          <w:sz w:val="20"/>
          <w:szCs w:val="20"/>
        </w:rPr>
        <w:t>Crucial to th</w:t>
      </w:r>
      <w:r>
        <w:rPr>
          <w:rFonts w:eastAsia="Times New Roman"/>
          <w:color w:val="000000"/>
          <w:sz w:val="20"/>
          <w:szCs w:val="20"/>
        </w:rPr>
        <w:t xml:space="preserve">e Company’s community banking strategy is growth in its commercial banking services, retail mortgage lending and retail banking services. Through the branch network of its subsidiary bank, Hawthorn Bank (the Bank), the Company, with $1.7 billion in assets </w:t>
      </w:r>
      <w:r>
        <w:rPr>
          <w:rFonts w:eastAsia="Times New Roman"/>
          <w:color w:val="000000"/>
          <w:sz w:val="20"/>
          <w:szCs w:val="20"/>
        </w:rPr>
        <w:t>at March 31, 2022, provides a broad range of commercial and personal banking services. The Bank’s specialties include commercial banking for small and mid-sized businesses, including equipment, operating, commercial real estate, Small Business Administrati</w:t>
      </w:r>
      <w:r>
        <w:rPr>
          <w:rFonts w:eastAsia="Times New Roman"/>
          <w:color w:val="000000"/>
          <w:sz w:val="20"/>
          <w:szCs w:val="20"/>
        </w:rPr>
        <w:t>on (SBA) loans, and personal banking services including real estate mortgage lending, installment and consumer loans, certificates of deposit, individual retirement and other time deposit accounts, checking accounts, savings accounts, and money market acco</w:t>
      </w:r>
      <w:r>
        <w:rPr>
          <w:rFonts w:eastAsia="Times New Roman"/>
          <w:color w:val="000000"/>
          <w:sz w:val="20"/>
          <w:szCs w:val="20"/>
        </w:rPr>
        <w:t>unts. Other financial services that the Company provides include trust services that include estate planning, investment and asset management services and a comprehensive suite of cash management services. The geographic areas in which the Company provides</w:t>
      </w:r>
      <w:r>
        <w:rPr>
          <w:rFonts w:eastAsia="Times New Roman"/>
          <w:color w:val="000000"/>
          <w:sz w:val="20"/>
          <w:szCs w:val="20"/>
        </w:rPr>
        <w:t xml:space="preserve"> products and services include the Missouri communities in and surrounding Jefferson City, Columbia, Clinton, Warsaw, Springfield, St. Louis, and the greater Kansas City metropolitan area.</w:t>
      </w:r>
    </w:p>
    <w:p w:rsidR="00000000" w:rsidRDefault="002A246B">
      <w:pPr>
        <w:jc w:val="both"/>
        <w:divId w:val="1012607983"/>
        <w:rPr>
          <w:rFonts w:eastAsia="Times New Roman"/>
        </w:rPr>
      </w:pPr>
      <w:r>
        <w:rPr>
          <w:rFonts w:eastAsia="Times New Roman"/>
          <w:color w:val="000000"/>
          <w:sz w:val="20"/>
          <w:szCs w:val="20"/>
        </w:rPr>
        <w:t>The Company’s primary source of revenue is net interest income deri</w:t>
      </w:r>
      <w:r>
        <w:rPr>
          <w:rFonts w:eastAsia="Times New Roman"/>
          <w:color w:val="000000"/>
          <w:sz w:val="20"/>
          <w:szCs w:val="20"/>
        </w:rPr>
        <w:t>ved primarily from lending and deposit taking activities. Much of the Company’s business is commercial, commercial real estate development, and residential mortgage lending. The Company’s income from mortgage brokerage activities is directly dependent on m</w:t>
      </w:r>
      <w:r>
        <w:rPr>
          <w:rFonts w:eastAsia="Times New Roman"/>
          <w:color w:val="000000"/>
          <w:sz w:val="20"/>
          <w:szCs w:val="20"/>
        </w:rPr>
        <w:t>ortgage rates and the level of home purchases and refinancing activity.</w:t>
      </w:r>
    </w:p>
    <w:p w:rsidR="00000000" w:rsidRDefault="002A246B">
      <w:pPr>
        <w:jc w:val="both"/>
        <w:divId w:val="56057718"/>
        <w:rPr>
          <w:rFonts w:eastAsia="Times New Roman"/>
        </w:rPr>
      </w:pPr>
      <w:r>
        <w:rPr>
          <w:rFonts w:eastAsia="Times New Roman"/>
          <w:color w:val="000000"/>
          <w:sz w:val="20"/>
          <w:szCs w:val="20"/>
        </w:rPr>
        <w:t>The success of the Company’</w:t>
      </w:r>
      <w:r>
        <w:rPr>
          <w:rFonts w:eastAsia="Times New Roman"/>
          <w:color w:val="000000"/>
          <w:sz w:val="20"/>
          <w:szCs w:val="20"/>
        </w:rPr>
        <w:t>s growth strategy depends primarily on the ability of the Bank to generate an increasing level of loans and deposits at acceptable risk levels and on acceptable terms without significant increases in non-interest expenses relative to revenues generated. Th</w:t>
      </w:r>
      <w:r>
        <w:rPr>
          <w:rFonts w:eastAsia="Times New Roman"/>
          <w:color w:val="000000"/>
          <w:sz w:val="20"/>
          <w:szCs w:val="20"/>
        </w:rPr>
        <w:t>e Company’s financial performance also depends, in part, on its ability to manage various portfolios and to successfully introduce additional financial products and services by expanding new and existing customer relationships, utilizing improved technolog</w:t>
      </w:r>
      <w:r>
        <w:rPr>
          <w:rFonts w:eastAsia="Times New Roman"/>
          <w:color w:val="000000"/>
          <w:sz w:val="20"/>
          <w:szCs w:val="20"/>
        </w:rPr>
        <w:t>y, and enhancing customer satisfaction. Furthermore, the success of the Company’s growth strategy depends on its ability to maintain sufficient regulatory capital levels during periods in which general economic conditions are unfavorable and despite econom</w:t>
      </w:r>
      <w:r>
        <w:rPr>
          <w:rFonts w:eastAsia="Times New Roman"/>
          <w:color w:val="000000"/>
          <w:sz w:val="20"/>
          <w:szCs w:val="20"/>
        </w:rPr>
        <w:t>ic conditions being beyond its control.</w:t>
      </w:r>
    </w:p>
    <w:p w:rsidR="00000000" w:rsidRDefault="002A246B">
      <w:pPr>
        <w:jc w:val="both"/>
        <w:divId w:val="1256286418"/>
        <w:rPr>
          <w:rFonts w:eastAsia="Times New Roman"/>
        </w:rPr>
      </w:pPr>
      <w:r>
        <w:rPr>
          <w:rFonts w:eastAsia="Times New Roman"/>
          <w:color w:val="000000"/>
          <w:sz w:val="20"/>
          <w:szCs w:val="20"/>
        </w:rPr>
        <w:t>The Bank is a full-service bank conducting a general banking business, offering its customers checking and savings accounts, debit cards, certificates of deposit, safety deposit boxes and a wide range of lending serv</w:t>
      </w:r>
      <w:r>
        <w:rPr>
          <w:rFonts w:eastAsia="Times New Roman"/>
          <w:color w:val="000000"/>
          <w:sz w:val="20"/>
          <w:szCs w:val="20"/>
        </w:rPr>
        <w:t>ices, including commercial and industrial loans, residential real estate loans, single payment personal loans, installment loans and credit card accounts. In addition, the Bank provides trust services.</w:t>
      </w:r>
    </w:p>
    <w:p w:rsidR="00000000" w:rsidRDefault="002A246B">
      <w:pPr>
        <w:jc w:val="both"/>
        <w:divId w:val="1848670082"/>
        <w:rPr>
          <w:rFonts w:eastAsia="Times New Roman"/>
        </w:rPr>
      </w:pPr>
      <w:r>
        <w:rPr>
          <w:rFonts w:eastAsia="Times New Roman"/>
          <w:color w:val="000000"/>
          <w:sz w:val="20"/>
          <w:szCs w:val="20"/>
        </w:rPr>
        <w:t>The deposit accounts of the Bank are insured by the Fe</w:t>
      </w:r>
      <w:r>
        <w:rPr>
          <w:rFonts w:eastAsia="Times New Roman"/>
          <w:color w:val="000000"/>
          <w:sz w:val="20"/>
          <w:szCs w:val="20"/>
        </w:rPr>
        <w:t>deral Deposit Insurance Corporation (FDIC) to the extent provided by law. The operations of the Bank are supervised and regulated by the FDIC and the Missouri Division of Finance. Periodic examinations of the Bank are conducted by representatives of the FD</w:t>
      </w:r>
      <w:r>
        <w:rPr>
          <w:rFonts w:eastAsia="Times New Roman"/>
          <w:color w:val="000000"/>
          <w:sz w:val="20"/>
          <w:szCs w:val="20"/>
        </w:rPr>
        <w:t>IC and the Missouri Division of Finance. Such regulations, supervision and examinations are principally for the benefit of depositors, rather than for the benefit of shareholders. The Company is subject to supervision and examination by the Board of Govern</w:t>
      </w:r>
      <w:r>
        <w:rPr>
          <w:rFonts w:eastAsia="Times New Roman"/>
          <w:color w:val="000000"/>
          <w:sz w:val="20"/>
          <w:szCs w:val="20"/>
        </w:rPr>
        <w:t>ors of the Federal Reserve System.</w:t>
      </w:r>
    </w:p>
    <w:p w:rsidR="00000000" w:rsidRDefault="002A246B">
      <w:pPr>
        <w:jc w:val="both"/>
        <w:divId w:val="1556694075"/>
        <w:rPr>
          <w:rFonts w:eastAsia="Times New Roman"/>
        </w:rPr>
      </w:pPr>
      <w:r>
        <w:rPr>
          <w:rFonts w:eastAsia="Times New Roman"/>
          <w:b/>
          <w:bCs/>
          <w:color w:val="000000"/>
          <w:sz w:val="20"/>
          <w:szCs w:val="20"/>
        </w:rPr>
        <w:t>Significant Developments and Transactions</w:t>
      </w:r>
    </w:p>
    <w:p w:rsidR="00000000" w:rsidRDefault="002A246B">
      <w:pPr>
        <w:jc w:val="both"/>
        <w:divId w:val="628904184"/>
        <w:rPr>
          <w:rFonts w:eastAsia="Times New Roman"/>
        </w:rPr>
      </w:pPr>
      <w:r>
        <w:rPr>
          <w:rFonts w:eastAsia="Times New Roman"/>
          <w:color w:val="000000"/>
          <w:sz w:val="20"/>
          <w:szCs w:val="20"/>
        </w:rPr>
        <w:t>The item listed below materially affects the comparability of our results of operations for the three months ended March 31, 2022 and 2021, and our financial condition as of March</w:t>
      </w:r>
      <w:r>
        <w:rPr>
          <w:rFonts w:eastAsia="Times New Roman"/>
          <w:color w:val="000000"/>
          <w:sz w:val="20"/>
          <w:szCs w:val="20"/>
        </w:rPr>
        <w:t> 31, 2022 and December 31, 2021, and may affect the comparability of financial information we report in future fiscal periods.</w:t>
      </w:r>
    </w:p>
    <w:p w:rsidR="00000000" w:rsidRDefault="002A246B">
      <w:pPr>
        <w:jc w:val="both"/>
        <w:divId w:val="1389112500"/>
        <w:rPr>
          <w:rFonts w:eastAsia="Times New Roman"/>
        </w:rPr>
      </w:pPr>
      <w:r>
        <w:rPr>
          <w:rFonts w:eastAsia="Times New Roman"/>
          <w:b/>
          <w:bCs/>
          <w:i/>
          <w:iCs/>
          <w:color w:val="000000"/>
          <w:sz w:val="20"/>
          <w:szCs w:val="20"/>
        </w:rPr>
        <w:t>COVID-19 Pandemic</w:t>
      </w:r>
    </w:p>
    <w:p w:rsidR="00000000" w:rsidRDefault="002A246B">
      <w:pPr>
        <w:jc w:val="both"/>
        <w:divId w:val="212818289"/>
        <w:rPr>
          <w:rFonts w:eastAsia="Times New Roman"/>
        </w:rPr>
      </w:pPr>
      <w:r>
        <w:rPr>
          <w:rFonts w:eastAsia="Times New Roman"/>
          <w:color w:val="000000"/>
          <w:sz w:val="20"/>
          <w:szCs w:val="20"/>
        </w:rPr>
        <w:t>The Coronavirus Disease 2019 (COVID-19) pandemic (the pandemic) has impacted the Company and may continue to do</w:t>
      </w:r>
      <w:r>
        <w:rPr>
          <w:rFonts w:eastAsia="Times New Roman"/>
          <w:color w:val="000000"/>
          <w:sz w:val="20"/>
          <w:szCs w:val="20"/>
        </w:rPr>
        <w:t xml:space="preserve"> so, as uncertainty remains about the duration of the pandemic and the timing and strength of the global and national economic recovery. In conjunction with our efforts to support clients affected by the pandemic, the Company has cumulatively originated $1</w:t>
      </w:r>
      <w:r>
        <w:rPr>
          <w:rFonts w:eastAsia="Times New Roman"/>
          <w:color w:val="000000"/>
          <w:sz w:val="20"/>
          <w:szCs w:val="20"/>
        </w:rPr>
        <w:t xml:space="preserve">36.0 million in loans under the Paycheck Protection Program (PPP) with amounts outstanding of $2.3 million and $8.4 million at March 31, 2022 and December 31, 2021, respectively. For more information on PPP loans, see </w:t>
      </w:r>
      <w:r>
        <w:rPr>
          <w:rFonts w:eastAsia="Times New Roman"/>
          <w:i/>
          <w:iCs/>
          <w:color w:val="000000"/>
          <w:sz w:val="20"/>
          <w:szCs w:val="20"/>
        </w:rPr>
        <w:t xml:space="preserve">Note 2 – Loans and Allowance for Loan </w:t>
      </w:r>
      <w:r>
        <w:rPr>
          <w:rFonts w:eastAsia="Times New Roman"/>
          <w:i/>
          <w:iCs/>
          <w:color w:val="000000"/>
          <w:sz w:val="20"/>
          <w:szCs w:val="20"/>
        </w:rPr>
        <w:t xml:space="preserve">Losses </w:t>
      </w:r>
      <w:r>
        <w:rPr>
          <w:rFonts w:eastAsia="Times New Roman"/>
          <w:color w:val="000000"/>
          <w:sz w:val="20"/>
          <w:szCs w:val="20"/>
        </w:rPr>
        <w:t xml:space="preserve">in the Notes to Consolidated Financial Statements </w:t>
      </w:r>
      <w:r>
        <w:rPr>
          <w:rFonts w:eastAsia="Times New Roman"/>
          <w:i/>
          <w:iCs/>
          <w:color w:val="000000"/>
          <w:sz w:val="20"/>
          <w:szCs w:val="20"/>
        </w:rPr>
        <w:t>(unaudited)</w:t>
      </w:r>
      <w:r>
        <w:rPr>
          <w:rFonts w:eastAsia="Times New Roman"/>
          <w:color w:val="000000"/>
          <w:sz w:val="20"/>
          <w:szCs w:val="20"/>
        </w:rPr>
        <w:t>. The future direct and indirect impact of the pandemic on our businesses, results of operations and financial condition remains uncertain. Should current economic conditions deteriorate o</w:t>
      </w:r>
      <w:r>
        <w:rPr>
          <w:rFonts w:eastAsia="Times New Roman"/>
          <w:color w:val="000000"/>
          <w:sz w:val="20"/>
          <w:szCs w:val="20"/>
        </w:rPr>
        <w:t>r if the pandemic worsens due to various factors, including through the spread of more easily communicable variants of COVID-19, such conditions could have an adverse effect on our businesses and results of operations and could adversely affect our financi</w:t>
      </w:r>
      <w:r>
        <w:rPr>
          <w:rFonts w:eastAsia="Times New Roman"/>
          <w:color w:val="000000"/>
          <w:sz w:val="20"/>
          <w:szCs w:val="20"/>
        </w:rPr>
        <w:t>al condition.</w:t>
      </w:r>
    </w:p>
    <w:p w:rsidR="00000000" w:rsidRDefault="002A246B">
      <w:pPr>
        <w:jc w:val="center"/>
        <w:divId w:val="1794325814"/>
        <w:rPr>
          <w:rFonts w:eastAsia="Times New Roman"/>
        </w:rPr>
      </w:pPr>
      <w:r>
        <w:rPr>
          <w:rFonts w:eastAsia="Times New Roman"/>
          <w:color w:val="000000"/>
          <w:sz w:val="20"/>
          <w:szCs w:val="20"/>
        </w:rPr>
        <w:t>34</w:t>
      </w:r>
    </w:p>
    <w:p w:rsidR="00000000" w:rsidRDefault="002A246B">
      <w:pPr>
        <w:rPr>
          <w:rFonts w:eastAsia="Times New Roman"/>
        </w:rPr>
      </w:pPr>
      <w:r>
        <w:rPr>
          <w:rFonts w:eastAsia="Times New Roman"/>
        </w:rPr>
        <w:pict>
          <v:rect id="_x0000_i1058" style="width:0;height:1.5pt" o:hralign="center" o:hrstd="t" o:hr="t" fillcolor="#a0a0a0" stroked="f"/>
        </w:pict>
      </w:r>
    </w:p>
    <w:p w:rsidR="00000000" w:rsidRDefault="002A246B">
      <w:pPr>
        <w:divId w:val="1273900642"/>
        <w:rPr>
          <w:rFonts w:eastAsia="Times New Roman"/>
        </w:rPr>
      </w:pPr>
    </w:p>
    <w:p w:rsidR="00000000" w:rsidRDefault="002A246B">
      <w:pPr>
        <w:jc w:val="both"/>
        <w:divId w:val="1673801601"/>
        <w:rPr>
          <w:rFonts w:eastAsia="Times New Roman"/>
        </w:rPr>
      </w:pPr>
      <w:r>
        <w:rPr>
          <w:rFonts w:eastAsia="Times New Roman"/>
          <w:color w:val="000000"/>
          <w:sz w:val="20"/>
          <w:szCs w:val="20"/>
        </w:rPr>
        <w:t>CRITICAL ACCOUNTING POLICIES</w:t>
      </w:r>
    </w:p>
    <w:p w:rsidR="00000000" w:rsidRDefault="002A246B">
      <w:pPr>
        <w:jc w:val="both"/>
        <w:divId w:val="6759168"/>
        <w:rPr>
          <w:rFonts w:eastAsia="Times New Roman"/>
        </w:rPr>
      </w:pPr>
      <w:r>
        <w:rPr>
          <w:rFonts w:eastAsia="Times New Roman"/>
          <w:color w:val="000000"/>
          <w:sz w:val="20"/>
          <w:szCs w:val="20"/>
        </w:rPr>
        <w:t>The following accounting policies are considered most critical to the understanding of the Company’s financial condition and results of operations. These critical accounti</w:t>
      </w:r>
      <w:r>
        <w:rPr>
          <w:rFonts w:eastAsia="Times New Roman"/>
          <w:color w:val="000000"/>
          <w:sz w:val="20"/>
          <w:szCs w:val="20"/>
        </w:rPr>
        <w:t>ng policies require management’s most difficult, subjective and complex judgments about matters that are inherently uncertain. Because these estimates and judgments are based on current circumstances, they may change over time or prove to be inaccurate bas</w:t>
      </w:r>
      <w:r>
        <w:rPr>
          <w:rFonts w:eastAsia="Times New Roman"/>
          <w:color w:val="000000"/>
          <w:sz w:val="20"/>
          <w:szCs w:val="20"/>
        </w:rPr>
        <w:t>ed on actual experiences. In the event that different assumptions or conditions were to prevail, and depending upon the severity of such changes, the possibility of a materially different financial condition and/or results of operations could reasonably be</w:t>
      </w:r>
      <w:r>
        <w:rPr>
          <w:rFonts w:eastAsia="Times New Roman"/>
          <w:color w:val="000000"/>
          <w:sz w:val="20"/>
          <w:szCs w:val="20"/>
        </w:rPr>
        <w:t xml:space="preserve"> expected. The impact and any associated risks related to the critical accounting policies on the business operations are discussed throughout </w:t>
      </w:r>
      <w:r>
        <w:rPr>
          <w:rFonts w:eastAsia="Times New Roman"/>
          <w:i/>
          <w:iCs/>
          <w:color w:val="000000"/>
          <w:sz w:val="20"/>
          <w:szCs w:val="20"/>
        </w:rPr>
        <w:t>Management’s Discussion and Analysis of Financial Condition and Results of Operations</w:t>
      </w:r>
      <w:r>
        <w:rPr>
          <w:rFonts w:eastAsia="Times New Roman"/>
          <w:color w:val="000000"/>
          <w:sz w:val="20"/>
          <w:szCs w:val="20"/>
        </w:rPr>
        <w:t>, where such policies affect the reported and expected financial results.</w:t>
      </w:r>
    </w:p>
    <w:p w:rsidR="00000000" w:rsidRDefault="002A246B">
      <w:pPr>
        <w:divId w:val="1263413433"/>
        <w:rPr>
          <w:rFonts w:eastAsia="Times New Roman"/>
        </w:rPr>
      </w:pPr>
      <w:r>
        <w:rPr>
          <w:rFonts w:eastAsia="Times New Roman"/>
          <w:b/>
          <w:bCs/>
          <w:i/>
          <w:iCs/>
          <w:color w:val="000000"/>
          <w:sz w:val="20"/>
          <w:szCs w:val="20"/>
        </w:rPr>
        <w:t>Allowance for Loan Losses</w:t>
      </w:r>
    </w:p>
    <w:p w:rsidR="00000000" w:rsidRDefault="002A246B">
      <w:pPr>
        <w:jc w:val="both"/>
        <w:rPr>
          <w:rFonts w:eastAsia="Times New Roman"/>
        </w:rPr>
      </w:pPr>
      <w:r>
        <w:rPr>
          <w:rFonts w:eastAsia="Times New Roman"/>
          <w:color w:val="000000"/>
          <w:sz w:val="20"/>
          <w:szCs w:val="20"/>
        </w:rPr>
        <w:t>Management has identified the accounting policy related to the allowance for loan losses as critical to the understanding of the Company’s results of operat</w:t>
      </w:r>
      <w:r>
        <w:rPr>
          <w:rFonts w:eastAsia="Times New Roman"/>
          <w:color w:val="000000"/>
          <w:sz w:val="20"/>
          <w:szCs w:val="20"/>
        </w:rPr>
        <w:t>ions, since the application of this policy requires significant management assumptions and estimates that could result in materially different amounts to be reported if conditions or underlying circumstances were to change. Further discussion of the method</w:t>
      </w:r>
      <w:r>
        <w:rPr>
          <w:rFonts w:eastAsia="Times New Roman"/>
          <w:color w:val="000000"/>
          <w:sz w:val="20"/>
          <w:szCs w:val="20"/>
        </w:rPr>
        <w:t xml:space="preserve">ology used in establishing the allowance and the impact of any associated risks related to these policies on the Company’s business operations is provided in </w:t>
      </w:r>
      <w:r>
        <w:rPr>
          <w:rFonts w:eastAsia="Times New Roman"/>
          <w:i/>
          <w:iCs/>
          <w:color w:val="000000"/>
          <w:sz w:val="20"/>
          <w:szCs w:val="20"/>
        </w:rPr>
        <w:t xml:space="preserve">Note 1 - Summary of Significant Accounting Policies </w:t>
      </w:r>
      <w:r>
        <w:rPr>
          <w:rFonts w:eastAsia="Times New Roman"/>
          <w:color w:val="000000"/>
          <w:sz w:val="20"/>
          <w:szCs w:val="20"/>
        </w:rPr>
        <w:t xml:space="preserve">and is also discussed in the </w:t>
      </w:r>
      <w:r>
        <w:rPr>
          <w:rFonts w:eastAsia="Times New Roman"/>
          <w:i/>
          <w:iCs/>
          <w:color w:val="000000"/>
          <w:sz w:val="20"/>
          <w:szCs w:val="20"/>
        </w:rPr>
        <w:t>Lending and Credi</w:t>
      </w:r>
      <w:r>
        <w:rPr>
          <w:rFonts w:eastAsia="Times New Roman"/>
          <w:i/>
          <w:iCs/>
          <w:color w:val="000000"/>
          <w:sz w:val="20"/>
          <w:szCs w:val="20"/>
        </w:rPr>
        <w:t>t Management</w:t>
      </w:r>
      <w:r>
        <w:rPr>
          <w:rFonts w:eastAsia="Times New Roman"/>
          <w:color w:val="000000"/>
          <w:sz w:val="20"/>
          <w:szCs w:val="20"/>
        </w:rPr>
        <w:t xml:space="preserve"> section below. Many of the loans are deemed collateral dependent for purposes of the measurement of the impairment loss, thus the fair value of the underlying collateral and sensitivity of such fair values due to changing market conditions, su</w:t>
      </w:r>
      <w:r>
        <w:rPr>
          <w:rFonts w:eastAsia="Times New Roman"/>
          <w:color w:val="000000"/>
          <w:sz w:val="20"/>
          <w:szCs w:val="20"/>
        </w:rPr>
        <w:t>pply and demand, condition of the collateral and other factors can be volatile over periods of time. Such volatility can have an impact on the financial performance of the Company.</w:t>
      </w:r>
    </w:p>
    <w:p w:rsidR="00000000" w:rsidRDefault="002A246B">
      <w:pPr>
        <w:jc w:val="center"/>
        <w:divId w:val="1128350750"/>
        <w:rPr>
          <w:rFonts w:eastAsia="Times New Roman"/>
        </w:rPr>
      </w:pPr>
      <w:r>
        <w:rPr>
          <w:rFonts w:eastAsia="Times New Roman"/>
          <w:color w:val="000000"/>
          <w:sz w:val="20"/>
          <w:szCs w:val="20"/>
        </w:rPr>
        <w:t>35</w:t>
      </w:r>
    </w:p>
    <w:p w:rsidR="00000000" w:rsidRDefault="002A246B">
      <w:pPr>
        <w:rPr>
          <w:rFonts w:eastAsia="Times New Roman"/>
        </w:rPr>
      </w:pPr>
      <w:r>
        <w:rPr>
          <w:rFonts w:eastAsia="Times New Roman"/>
        </w:rPr>
        <w:pict>
          <v:rect id="_x0000_i1059" style="width:0;height:1.5pt" o:hralign="center" o:hrstd="t" o:hr="t" fillcolor="#a0a0a0" stroked="f"/>
        </w:pict>
      </w:r>
    </w:p>
    <w:p w:rsidR="00000000" w:rsidRDefault="002A246B">
      <w:pPr>
        <w:divId w:val="19552596"/>
        <w:rPr>
          <w:rFonts w:eastAsia="Times New Roman"/>
        </w:rPr>
      </w:pPr>
    </w:p>
    <w:p w:rsidR="00000000" w:rsidRDefault="002A246B">
      <w:pPr>
        <w:divId w:val="978457944"/>
        <w:rPr>
          <w:rFonts w:eastAsia="Times New Roman"/>
        </w:rPr>
      </w:pPr>
      <w:r>
        <w:rPr>
          <w:rFonts w:eastAsia="Times New Roman"/>
          <w:b/>
          <w:bCs/>
          <w:color w:val="000000"/>
          <w:sz w:val="20"/>
          <w:szCs w:val="20"/>
        </w:rPr>
        <w:t>Executive Summary</w:t>
      </w:r>
    </w:p>
    <w:p w:rsidR="00000000" w:rsidRDefault="002A246B">
      <w:pPr>
        <w:jc w:val="both"/>
        <w:divId w:val="1448768527"/>
        <w:rPr>
          <w:rFonts w:eastAsia="Times New Roman"/>
        </w:rPr>
      </w:pPr>
      <w:r>
        <w:rPr>
          <w:rFonts w:eastAsia="Times New Roman"/>
          <w:color w:val="000000"/>
          <w:sz w:val="20"/>
          <w:szCs w:val="20"/>
        </w:rPr>
        <w:t xml:space="preserve">The Company has </w:t>
      </w:r>
      <w:r>
        <w:rPr>
          <w:rFonts w:eastAsia="Times New Roman"/>
          <w:color w:val="000000"/>
          <w:sz w:val="20"/>
          <w:szCs w:val="20"/>
        </w:rPr>
        <w:t>prepared all of the consolidated financial information in this report in accordance with U.S. GAAP. In preparing the consolidated financial statements in accordance with U.S. GAAP, the Company makes estimates and assumptions that affect the reported amount</w:t>
      </w:r>
      <w:r>
        <w:rPr>
          <w:rFonts w:eastAsia="Times New Roman"/>
          <w:color w:val="000000"/>
          <w:sz w:val="20"/>
          <w:szCs w:val="20"/>
        </w:rPr>
        <w:t xml:space="preserve"> of assets and liabilities, disclosure of contingent assets and liabilities at the date of the financial statements, and the reported amounts of revenue and expenses during the reporting period. There can be no assurances that actual results will not diffe</w:t>
      </w:r>
      <w:r>
        <w:rPr>
          <w:rFonts w:eastAsia="Times New Roman"/>
          <w:color w:val="000000"/>
          <w:sz w:val="20"/>
          <w:szCs w:val="20"/>
        </w:rPr>
        <w:t>r from those estimates.</w:t>
      </w:r>
    </w:p>
    <w:tbl>
      <w:tblPr>
        <w:tblW w:w="5000" w:type="pct"/>
        <w:tblCellMar>
          <w:top w:w="15" w:type="dxa"/>
          <w:left w:w="15" w:type="dxa"/>
          <w:bottom w:w="15" w:type="dxa"/>
          <w:right w:w="15" w:type="dxa"/>
        </w:tblCellMar>
        <w:tblLook w:val="04A0" w:firstRow="1" w:lastRow="0" w:firstColumn="1" w:lastColumn="0" w:noHBand="0" w:noVBand="1"/>
      </w:tblPr>
      <w:tblGrid>
        <w:gridCol w:w="39"/>
        <w:gridCol w:w="4747"/>
        <w:gridCol w:w="38"/>
        <w:gridCol w:w="36"/>
        <w:gridCol w:w="110"/>
        <w:gridCol w:w="110"/>
        <w:gridCol w:w="109"/>
        <w:gridCol w:w="109"/>
        <w:gridCol w:w="109"/>
        <w:gridCol w:w="36"/>
        <w:gridCol w:w="36"/>
        <w:gridCol w:w="36"/>
        <w:gridCol w:w="120"/>
        <w:gridCol w:w="698"/>
        <w:gridCol w:w="36"/>
        <w:gridCol w:w="36"/>
        <w:gridCol w:w="36"/>
        <w:gridCol w:w="36"/>
        <w:gridCol w:w="120"/>
        <w:gridCol w:w="766"/>
        <w:gridCol w:w="36"/>
        <w:gridCol w:w="36"/>
        <w:gridCol w:w="36"/>
        <w:gridCol w:w="36"/>
        <w:gridCol w:w="120"/>
        <w:gridCol w:w="643"/>
        <w:gridCol w:w="36"/>
      </w:tblGrid>
      <w:tr w:rsidR="00000000">
        <w:trPr>
          <w:divId w:val="1866168220"/>
        </w:trPr>
        <w:tc>
          <w:tcPr>
            <w:tcW w:w="50" w:type="pct"/>
            <w:vAlign w:val="center"/>
            <w:hideMark/>
          </w:tcPr>
          <w:p w:rsidR="00000000" w:rsidRDefault="002A246B">
            <w:pPr>
              <w:jc w:val="both"/>
              <w:rPr>
                <w:rFonts w:eastAsia="Times New Roman"/>
              </w:rPr>
            </w:pPr>
          </w:p>
        </w:tc>
        <w:tc>
          <w:tcPr>
            <w:tcW w:w="3172"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9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43"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9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866168220"/>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As of and for the three months ended</w:t>
            </w: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1866168220"/>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(Dollars in thousands, except per share data)</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March 31, 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March 31, 2021</w:t>
            </w:r>
          </w:p>
        </w:tc>
      </w:tr>
      <w:tr w:rsidR="00000000">
        <w:trPr>
          <w:divId w:val="1866168220"/>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Net interest income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14,145 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15,103 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14,390 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866168220"/>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(Release of) provision for loan losses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(2,500)</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(2,400)</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w:t>
            </w:r>
          </w:p>
        </w:tc>
      </w:tr>
      <w:tr w:rsidR="00000000">
        <w:trPr>
          <w:divId w:val="186616822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Non-interest income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3,726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3,675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4,572</w:t>
            </w:r>
          </w:p>
        </w:tc>
      </w:tr>
      <w:tr w:rsidR="00000000">
        <w:trPr>
          <w:divId w:val="1866168220"/>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Investment securities (losses) gains, net</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(4)</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9</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14</w:t>
            </w:r>
          </w:p>
        </w:tc>
      </w:tr>
      <w:tr w:rsidR="00000000">
        <w:trPr>
          <w:divId w:val="186616822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Non-interest expense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12,227</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13,474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11,780</w:t>
            </w:r>
          </w:p>
        </w:tc>
      </w:tr>
      <w:tr w:rsidR="00000000">
        <w:trPr>
          <w:divId w:val="1866168220"/>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8"/>
                <w:szCs w:val="18"/>
              </w:rPr>
              <w:t>Income before income taxes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8,140</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7,713</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7,196</w:t>
            </w:r>
          </w:p>
        </w:tc>
      </w:tr>
      <w:tr w:rsidR="00000000">
        <w:trPr>
          <w:divId w:val="186616822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Income tax expense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1,531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1,723</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1,357</w:t>
            </w:r>
          </w:p>
        </w:tc>
      </w:tr>
      <w:tr w:rsidR="00000000">
        <w:trPr>
          <w:divId w:val="1866168220"/>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8"/>
                <w:szCs w:val="18"/>
              </w:rPr>
              <w:t>Net income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6,609 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5,990 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5,839 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866168220"/>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Basic earnings per share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1.00</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0.90</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0.88</w:t>
            </w:r>
          </w:p>
        </w:tc>
      </w:tr>
      <w:tr w:rsidR="00000000">
        <w:trPr>
          <w:divId w:val="1866168220"/>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Diluted earnings per share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1.00</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0.90</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0.88</w:t>
            </w:r>
          </w:p>
        </w:tc>
      </w:tr>
      <w:tr w:rsidR="00000000">
        <w:trPr>
          <w:divId w:val="1866168220"/>
          <w:trHeight w:val="120"/>
        </w:trPr>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7"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7"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7" w:type="dxa"/>
            </w:tcMar>
            <w:vAlign w:val="center"/>
            <w:hideMark/>
          </w:tcPr>
          <w:p w:rsidR="00000000" w:rsidRDefault="002A246B">
            <w:pPr>
              <w:spacing w:after="100"/>
              <w:rPr>
                <w:rFonts w:eastAsia="Times New Roman"/>
                <w:sz w:val="20"/>
                <w:szCs w:val="20"/>
              </w:rPr>
            </w:pPr>
          </w:p>
        </w:tc>
      </w:tr>
      <w:tr w:rsidR="00000000">
        <w:trPr>
          <w:divId w:val="1866168220"/>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Cash dividends paid on common stock</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993</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992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842</w:t>
            </w:r>
          </w:p>
        </w:tc>
      </w:tr>
      <w:tr w:rsidR="00000000">
        <w:trPr>
          <w:divId w:val="186616822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Book value per share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20.35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22.51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19.75</w:t>
            </w:r>
          </w:p>
        </w:tc>
      </w:tr>
      <w:tr w:rsidR="00000000">
        <w:trPr>
          <w:divId w:val="1866168220"/>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Market price per share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25.28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25.94</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20.47</w:t>
            </w:r>
          </w:p>
        </w:tc>
      </w:tr>
      <w:tr w:rsidR="00000000">
        <w:trPr>
          <w:divId w:val="1866168220"/>
          <w:trHeight w:val="180"/>
        </w:trPr>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866168220"/>
        </w:trPr>
        <w:tc>
          <w:tcPr>
            <w:tcW w:w="0" w:type="auto"/>
            <w:gridSpan w:val="3"/>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866168220"/>
        </w:trPr>
        <w:tc>
          <w:tcPr>
            <w:tcW w:w="0" w:type="auto"/>
            <w:gridSpan w:val="3"/>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866168220"/>
        </w:trPr>
        <w:tc>
          <w:tcPr>
            <w:tcW w:w="0" w:type="auto"/>
            <w:gridSpan w:val="3"/>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866168220"/>
        </w:trPr>
        <w:tc>
          <w:tcPr>
            <w:tcW w:w="0" w:type="auto"/>
            <w:gridSpan w:val="3"/>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866168220"/>
        </w:trPr>
        <w:tc>
          <w:tcPr>
            <w:tcW w:w="0" w:type="auto"/>
            <w:gridSpan w:val="3"/>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866168220"/>
        </w:trPr>
        <w:tc>
          <w:tcPr>
            <w:tcW w:w="0" w:type="auto"/>
            <w:gridSpan w:val="3"/>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866168220"/>
        </w:trPr>
        <w:tc>
          <w:tcPr>
            <w:tcW w:w="0" w:type="auto"/>
            <w:gridSpan w:val="3"/>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866168220"/>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Return on average total assets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1.51%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1.35%</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1.38%</w:t>
            </w:r>
          </w:p>
        </w:tc>
      </w:tr>
      <w:tr w:rsidR="00000000">
        <w:trPr>
          <w:divId w:val="186616822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Return on average stockholders' equity</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18.41%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16.70%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18.03%</w:t>
            </w:r>
          </w:p>
        </w:tc>
      </w:tr>
      <w:tr w:rsidR="00000000">
        <w:trPr>
          <w:divId w:val="1866168220"/>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Average stockholders' equity to total assets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8.22%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8.10%</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7.64%</w:t>
            </w:r>
          </w:p>
        </w:tc>
      </w:tr>
      <w:tr w:rsidR="00000000">
        <w:trPr>
          <w:divId w:val="186616822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Efficiency ratio (1)</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68.42%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71.75%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62.12%</w:t>
            </w:r>
          </w:p>
        </w:tc>
      </w:tr>
      <w:tr w:rsidR="00000000">
        <w:trPr>
          <w:divId w:val="1866168220"/>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Net interest spread</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3.36%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3.52%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3.44%</w:t>
            </w:r>
          </w:p>
        </w:tc>
      </w:tr>
      <w:tr w:rsidR="00000000">
        <w:trPr>
          <w:divId w:val="186616822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Net interest margin</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3.50%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3.67%</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3.61%</w:t>
            </w:r>
          </w:p>
        </w:tc>
      </w:tr>
      <w:tr w:rsidR="00000000">
        <w:trPr>
          <w:divId w:val="1866168220"/>
          <w:trHeight w:val="180"/>
        </w:trPr>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86616822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Stockholders' equity to assets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7.74%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8.13%</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7.55%</w:t>
            </w:r>
          </w:p>
        </w:tc>
      </w:tr>
      <w:tr w:rsidR="00000000">
        <w:trPr>
          <w:divId w:val="1866168220"/>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Total risk-based capital ratio</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14.66%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14.79%</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14.80%</w:t>
            </w:r>
          </w:p>
        </w:tc>
      </w:tr>
      <w:tr w:rsidR="00000000">
        <w:trPr>
          <w:divId w:val="186616822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Tier 1 risk-based capital ratio</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13.44%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13.59%</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13.21%</w:t>
            </w:r>
          </w:p>
        </w:tc>
      </w:tr>
      <w:tr w:rsidR="00000000">
        <w:trPr>
          <w:divId w:val="1866168220"/>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Common equity Tier 1 capital</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10.36%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10.22%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9.93%</w:t>
            </w:r>
          </w:p>
        </w:tc>
      </w:tr>
      <w:tr w:rsidR="00000000">
        <w:trPr>
          <w:divId w:val="186616822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Tier 1 leverage ratio (2)</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10.99%</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11.01%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10.22%</w:t>
            </w:r>
          </w:p>
        </w:tc>
      </w:tr>
      <w:tr w:rsidR="00000000">
        <w:trPr>
          <w:divId w:val="1866168220"/>
          <w:trHeight w:val="180"/>
        </w:trPr>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7"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7"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7" w:type="dxa"/>
            </w:tcMar>
            <w:vAlign w:val="center"/>
            <w:hideMark/>
          </w:tcPr>
          <w:p w:rsidR="00000000" w:rsidRDefault="002A246B">
            <w:pPr>
              <w:spacing w:after="100"/>
              <w:rPr>
                <w:rFonts w:eastAsia="Times New Roman"/>
                <w:sz w:val="20"/>
                <w:szCs w:val="20"/>
              </w:rPr>
            </w:pPr>
          </w:p>
        </w:tc>
      </w:tr>
      <w:tr w:rsidR="00000000">
        <w:trPr>
          <w:divId w:val="186616822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i/>
                <w:iCs/>
                <w:color w:val="000000"/>
                <w:sz w:val="18"/>
                <w:szCs w:val="18"/>
              </w:rPr>
              <w:t>Asset Quality</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7"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7"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7" w:type="dxa"/>
            </w:tcMar>
            <w:vAlign w:val="center"/>
            <w:hideMark/>
          </w:tcPr>
          <w:p w:rsidR="00000000" w:rsidRDefault="002A246B">
            <w:pPr>
              <w:spacing w:after="100"/>
              <w:rPr>
                <w:rFonts w:eastAsia="Times New Roman"/>
                <w:sz w:val="20"/>
                <w:szCs w:val="20"/>
              </w:rPr>
            </w:pPr>
          </w:p>
        </w:tc>
      </w:tr>
      <w:tr w:rsidR="00000000">
        <w:trPr>
          <w:divId w:val="1866168220"/>
        </w:trPr>
        <w:tc>
          <w:tcPr>
            <w:tcW w:w="0" w:type="auto"/>
            <w:gridSpan w:val="3"/>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866168220"/>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Net-charge-offs (recoveries)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124 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(375)</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(248)</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86616822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Non-performing loans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17,099 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25,473 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34,233 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866168220"/>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Classified assets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104,073 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108,322 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145,794 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86616822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Non-performing loans to total loans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1.28%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1.96%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2.68%</w:t>
            </w:r>
          </w:p>
        </w:tc>
      </w:tr>
      <w:tr w:rsidR="00000000">
        <w:trPr>
          <w:divId w:val="1866168220"/>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Non-performing assets to total assets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1.55%</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1.97%</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2.68%</w:t>
            </w:r>
          </w:p>
        </w:tc>
      </w:tr>
      <w:tr w:rsidR="00000000">
        <w:trPr>
          <w:divId w:val="186616822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Allowance for loan losses to total loans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1.07%</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1.30%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1.44%</w:t>
            </w:r>
          </w:p>
        </w:tc>
      </w:tr>
      <w:tr w:rsidR="00000000">
        <w:trPr>
          <w:divId w:val="1866168220"/>
        </w:trPr>
        <w:tc>
          <w:tcPr>
            <w:tcW w:w="0" w:type="auto"/>
            <w:gridSpan w:val="3"/>
            <w:vAlign w:val="center"/>
            <w:hideMark/>
          </w:tcPr>
          <w:p w:rsidR="00000000" w:rsidRDefault="002A246B">
            <w:pPr>
              <w:spacing w:after="100"/>
              <w:jc w:val="right"/>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866168220"/>
        </w:trPr>
        <w:tc>
          <w:tcPr>
            <w:tcW w:w="0" w:type="auto"/>
            <w:gridSpan w:val="3"/>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866168220"/>
        </w:trPr>
        <w:tc>
          <w:tcPr>
            <w:tcW w:w="0" w:type="auto"/>
            <w:gridSpan w:val="3"/>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866168220"/>
        </w:trPr>
        <w:tc>
          <w:tcPr>
            <w:tcW w:w="0" w:type="auto"/>
            <w:gridSpan w:val="3"/>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bl>
    <w:p w:rsidR="00000000" w:rsidRDefault="002A246B">
      <w:pPr>
        <w:ind w:hanging="450"/>
        <w:jc w:val="both"/>
        <w:divId w:val="1056125567"/>
        <w:rPr>
          <w:rFonts w:eastAsia="Times New Roman"/>
        </w:rPr>
      </w:pPr>
      <w:r>
        <w:rPr>
          <w:rFonts w:eastAsia="Times New Roman"/>
          <w:color w:val="000000"/>
          <w:sz w:val="16"/>
          <w:szCs w:val="16"/>
        </w:rPr>
        <w:t>(1)</w:t>
      </w:r>
      <w:r>
        <w:rPr>
          <w:rFonts w:eastAsia="Times New Roman"/>
          <w:color w:val="000000"/>
          <w:sz w:val="16"/>
          <w:szCs w:val="16"/>
        </w:rPr>
        <w:t>Efficiency ratio is calculated as non-interest expense as a percentage of revenue. Total revenue is calculated as net interest income plus non-interest income.</w:t>
      </w:r>
    </w:p>
    <w:p w:rsidR="00000000" w:rsidRDefault="002A246B">
      <w:pPr>
        <w:ind w:hanging="450"/>
        <w:divId w:val="1394549355"/>
        <w:rPr>
          <w:rFonts w:eastAsia="Times New Roman"/>
        </w:rPr>
      </w:pPr>
      <w:r>
        <w:rPr>
          <w:rFonts w:eastAsia="Times New Roman"/>
          <w:color w:val="000000"/>
          <w:sz w:val="16"/>
          <w:szCs w:val="16"/>
        </w:rPr>
        <w:t xml:space="preserve">(2)Tier 1 leverage ratio is calculated by dividing Tier 1 capital by average total consolidated </w:t>
      </w:r>
      <w:r>
        <w:rPr>
          <w:rFonts w:eastAsia="Times New Roman"/>
          <w:color w:val="000000"/>
          <w:sz w:val="16"/>
          <w:szCs w:val="16"/>
        </w:rPr>
        <w:t>assets</w:t>
      </w:r>
    </w:p>
    <w:p w:rsidR="00000000" w:rsidRDefault="002A246B">
      <w:pPr>
        <w:ind w:hanging="90"/>
        <w:divId w:val="1817716822"/>
        <w:rPr>
          <w:rFonts w:eastAsia="Times New Roman"/>
        </w:rPr>
      </w:pPr>
    </w:p>
    <w:p w:rsidR="00000000" w:rsidRDefault="002A246B">
      <w:pPr>
        <w:jc w:val="center"/>
        <w:divId w:val="245769090"/>
        <w:rPr>
          <w:rFonts w:eastAsia="Times New Roman"/>
        </w:rPr>
      </w:pPr>
      <w:r>
        <w:rPr>
          <w:rFonts w:eastAsia="Times New Roman"/>
          <w:color w:val="000000"/>
          <w:sz w:val="20"/>
          <w:szCs w:val="20"/>
        </w:rPr>
        <w:t>36</w:t>
      </w:r>
    </w:p>
    <w:p w:rsidR="00000000" w:rsidRDefault="002A246B">
      <w:pPr>
        <w:rPr>
          <w:rFonts w:eastAsia="Times New Roman"/>
        </w:rPr>
      </w:pPr>
      <w:r>
        <w:rPr>
          <w:rFonts w:eastAsia="Times New Roman"/>
        </w:rPr>
        <w:pict>
          <v:rect id="_x0000_i1060" style="width:0;height:1.5pt" o:hralign="center" o:hrstd="t" o:hr="t" fillcolor="#a0a0a0" stroked="f"/>
        </w:pict>
      </w:r>
    </w:p>
    <w:p w:rsidR="00000000" w:rsidRDefault="002A246B">
      <w:pPr>
        <w:divId w:val="1662805561"/>
        <w:rPr>
          <w:rFonts w:eastAsia="Times New Roman"/>
        </w:rPr>
      </w:pPr>
    </w:p>
    <w:p w:rsidR="00000000" w:rsidRDefault="002A246B">
      <w:pPr>
        <w:jc w:val="both"/>
        <w:divId w:val="199319939"/>
        <w:rPr>
          <w:rFonts w:eastAsia="Times New Roman"/>
        </w:rPr>
      </w:pPr>
      <w:r>
        <w:rPr>
          <w:rFonts w:eastAsia="Times New Roman"/>
          <w:b/>
          <w:bCs/>
          <w:i/>
          <w:iCs/>
          <w:color w:val="000000"/>
          <w:sz w:val="20"/>
          <w:szCs w:val="20"/>
        </w:rPr>
        <w:t>Results of Operations Highlights:</w:t>
      </w:r>
    </w:p>
    <w:p w:rsidR="00000000" w:rsidRDefault="002A246B">
      <w:pPr>
        <w:jc w:val="both"/>
        <w:divId w:val="346949127"/>
        <w:rPr>
          <w:rFonts w:eastAsia="Times New Roman"/>
        </w:rPr>
      </w:pPr>
      <w:r>
        <w:rPr>
          <w:rFonts w:eastAsia="Times New Roman"/>
          <w:b/>
          <w:bCs/>
          <w:i/>
          <w:iCs/>
          <w:color w:val="000000"/>
          <w:sz w:val="20"/>
          <w:szCs w:val="20"/>
        </w:rPr>
        <w:t>Consolidated net income</w:t>
      </w:r>
      <w:r>
        <w:rPr>
          <w:rFonts w:eastAsia="Times New Roman"/>
          <w:color w:val="000000"/>
          <w:sz w:val="20"/>
          <w:szCs w:val="20"/>
        </w:rPr>
        <w:t xml:space="preserve"> of $6.6 million for the first quarter 2022, an increase of $0.6 million compared to the fourth quarter 2021 ("linked quarter") and an increase of $0</w:t>
      </w:r>
      <w:r>
        <w:rPr>
          <w:rFonts w:eastAsia="Times New Roman"/>
          <w:color w:val="000000"/>
          <w:sz w:val="20"/>
          <w:szCs w:val="20"/>
        </w:rPr>
        <w:t xml:space="preserve">.8 million from the first quarter 2021 (the "prior year quarter"). Earnings per diluted share (“EPS”) was $1.00 for the first quarter 2022 compared to $0.90 and $0.88 for the linked quarter and prior year quarter, respectively. For the first quarter 2022, </w:t>
      </w:r>
      <w:r>
        <w:rPr>
          <w:rFonts w:eastAsia="Times New Roman"/>
          <w:color w:val="000000"/>
          <w:sz w:val="20"/>
          <w:szCs w:val="20"/>
        </w:rPr>
        <w:t xml:space="preserve">the return on average assets was 1.51%, the return on average stockholders’ equity was 18.41%, and the efficiency ratio was 68.4%. </w:t>
      </w:r>
    </w:p>
    <w:p w:rsidR="00000000" w:rsidRDefault="002A246B">
      <w:pPr>
        <w:jc w:val="both"/>
        <w:divId w:val="959149482"/>
        <w:rPr>
          <w:rFonts w:eastAsia="Times New Roman"/>
        </w:rPr>
      </w:pPr>
      <w:r>
        <w:rPr>
          <w:rFonts w:eastAsia="Times New Roman"/>
          <w:b/>
          <w:bCs/>
          <w:i/>
          <w:iCs/>
          <w:color w:val="000000"/>
          <w:sz w:val="20"/>
          <w:szCs w:val="20"/>
        </w:rPr>
        <w:t>Net interest income</w:t>
      </w:r>
      <w:r>
        <w:rPr>
          <w:rFonts w:eastAsia="Times New Roman"/>
          <w:color w:val="000000"/>
          <w:sz w:val="20"/>
          <w:szCs w:val="20"/>
        </w:rPr>
        <w:t xml:space="preserve"> of $14.1 million for the first quarter 2022, decreased $1.0 million from the linked quarter, and decreas</w:t>
      </w:r>
      <w:r>
        <w:rPr>
          <w:rFonts w:eastAsia="Times New Roman"/>
          <w:color w:val="000000"/>
          <w:sz w:val="20"/>
          <w:szCs w:val="20"/>
        </w:rPr>
        <w:t xml:space="preserve">ed $0.2 million from the prior year quarter. Net interest margin, on a fully taxable equivalent basis ("FTE") basis, was 3.50% for the first quarter, a decrease from 3.67% for the linked quarter, and a decrease from 3.61% for the prior year quarter. These </w:t>
      </w:r>
      <w:r>
        <w:rPr>
          <w:rFonts w:eastAsia="Times New Roman"/>
          <w:color w:val="000000"/>
          <w:sz w:val="20"/>
          <w:szCs w:val="20"/>
        </w:rPr>
        <w:t xml:space="preserve">changes are discussed in greater detail under the </w:t>
      </w:r>
      <w:r>
        <w:rPr>
          <w:rFonts w:eastAsia="Times New Roman"/>
          <w:i/>
          <w:iCs/>
          <w:color w:val="000000"/>
          <w:sz w:val="20"/>
          <w:szCs w:val="20"/>
        </w:rPr>
        <w:t>Average Balance Sheet Data and Rate and Volume Analysis</w:t>
      </w:r>
      <w:r>
        <w:rPr>
          <w:rFonts w:eastAsia="Times New Roman"/>
          <w:color w:val="000000"/>
          <w:sz w:val="20"/>
          <w:szCs w:val="20"/>
        </w:rPr>
        <w:t xml:space="preserve"> section below.</w:t>
      </w:r>
    </w:p>
    <w:p w:rsidR="00000000" w:rsidRDefault="002A246B">
      <w:pPr>
        <w:jc w:val="both"/>
        <w:divId w:val="344402513"/>
        <w:rPr>
          <w:rFonts w:eastAsia="Times New Roman"/>
        </w:rPr>
      </w:pPr>
      <w:r>
        <w:rPr>
          <w:rFonts w:eastAsia="Times New Roman"/>
          <w:b/>
          <w:bCs/>
          <w:i/>
          <w:iCs/>
          <w:color w:val="000000"/>
          <w:sz w:val="20"/>
          <w:szCs w:val="20"/>
        </w:rPr>
        <w:t>Non-interest income</w:t>
      </w:r>
      <w:r>
        <w:rPr>
          <w:rFonts w:eastAsia="Times New Roman"/>
          <w:color w:val="000000"/>
          <w:sz w:val="20"/>
          <w:szCs w:val="20"/>
        </w:rPr>
        <w:t xml:space="preserve"> </w:t>
      </w:r>
      <w:r>
        <w:rPr>
          <w:rFonts w:eastAsia="Times New Roman"/>
          <w:color w:val="000000"/>
          <w:sz w:val="20"/>
          <w:szCs w:val="20"/>
        </w:rPr>
        <w:t>for the first quarter 2022 was $3.7 million, an increase of $0.1 million, or 1.4%, from the linked quarter, and a decrease of $0.8 million, or 18.5%, from the prior year quarter. The change in the current quarter compared to the prior year quarter is prima</w:t>
      </w:r>
      <w:r>
        <w:rPr>
          <w:rFonts w:eastAsia="Times New Roman"/>
          <w:color w:val="000000"/>
          <w:sz w:val="20"/>
          <w:szCs w:val="20"/>
        </w:rPr>
        <w:t xml:space="preserve">rily due to the decrease in the gain on sale of real estate mortgages of $1.6 million, or 64.0%. These changes are discussed in greater detail under the </w:t>
      </w:r>
      <w:r>
        <w:rPr>
          <w:rFonts w:eastAsia="Times New Roman"/>
          <w:i/>
          <w:iCs/>
          <w:color w:val="000000"/>
          <w:sz w:val="20"/>
          <w:szCs w:val="20"/>
        </w:rPr>
        <w:t>Non-interest Income and Expense</w:t>
      </w:r>
      <w:r>
        <w:rPr>
          <w:rFonts w:eastAsia="Times New Roman"/>
          <w:color w:val="000000"/>
          <w:sz w:val="20"/>
          <w:szCs w:val="20"/>
        </w:rPr>
        <w:t xml:space="preserve"> section below.</w:t>
      </w:r>
    </w:p>
    <w:p w:rsidR="00000000" w:rsidRDefault="002A246B">
      <w:pPr>
        <w:jc w:val="both"/>
        <w:divId w:val="1759325228"/>
        <w:rPr>
          <w:rFonts w:eastAsia="Times New Roman"/>
        </w:rPr>
      </w:pPr>
      <w:r>
        <w:rPr>
          <w:rFonts w:eastAsia="Times New Roman"/>
          <w:b/>
          <w:bCs/>
          <w:i/>
          <w:iCs/>
          <w:color w:val="000000"/>
          <w:sz w:val="20"/>
          <w:szCs w:val="20"/>
        </w:rPr>
        <w:t>Non-interest expense</w:t>
      </w:r>
      <w:r>
        <w:rPr>
          <w:rFonts w:eastAsia="Times New Roman"/>
          <w:color w:val="000000"/>
          <w:sz w:val="20"/>
          <w:szCs w:val="20"/>
        </w:rPr>
        <w:t xml:space="preserve"> for the first quarter 2022 was $12.</w:t>
      </w:r>
      <w:r>
        <w:rPr>
          <w:rFonts w:eastAsia="Times New Roman"/>
          <w:color w:val="000000"/>
          <w:sz w:val="20"/>
          <w:szCs w:val="20"/>
        </w:rPr>
        <w:t xml:space="preserve">2 million, a decrease of $1.2 million, or 9.3%, from the linked quarter, and an increase of $0.4 million, or 3.8%, from the prior year quarter. The change in the current quarter compared to the linked quarter is primarily due to the decrease in legal fees </w:t>
      </w:r>
      <w:r>
        <w:rPr>
          <w:rFonts w:eastAsia="Times New Roman"/>
          <w:color w:val="000000"/>
          <w:sz w:val="20"/>
          <w:szCs w:val="20"/>
        </w:rPr>
        <w:t xml:space="preserve">expenses resulting from the recognition of final settlement of a legal matter in the fourth quarter of 2021. These changes are discussed in greater detail under the </w:t>
      </w:r>
      <w:r>
        <w:rPr>
          <w:rFonts w:eastAsia="Times New Roman"/>
          <w:i/>
          <w:iCs/>
          <w:color w:val="000000"/>
          <w:sz w:val="20"/>
          <w:szCs w:val="20"/>
        </w:rPr>
        <w:t>Non-interest Income and Expense</w:t>
      </w:r>
      <w:r>
        <w:rPr>
          <w:rFonts w:eastAsia="Times New Roman"/>
          <w:color w:val="000000"/>
          <w:sz w:val="20"/>
          <w:szCs w:val="20"/>
        </w:rPr>
        <w:t xml:space="preserve"> section below. </w:t>
      </w:r>
    </w:p>
    <w:p w:rsidR="00000000" w:rsidRDefault="002A246B">
      <w:pPr>
        <w:jc w:val="both"/>
        <w:divId w:val="436678256"/>
        <w:rPr>
          <w:rFonts w:eastAsia="Times New Roman"/>
        </w:rPr>
      </w:pPr>
      <w:r>
        <w:rPr>
          <w:rFonts w:eastAsia="Times New Roman"/>
          <w:b/>
          <w:bCs/>
          <w:i/>
          <w:iCs/>
          <w:color w:val="000000"/>
          <w:sz w:val="20"/>
          <w:szCs w:val="20"/>
        </w:rPr>
        <w:t>Balance Sheet Highlights:</w:t>
      </w:r>
    </w:p>
    <w:p w:rsidR="00000000" w:rsidRDefault="002A246B">
      <w:pPr>
        <w:jc w:val="both"/>
        <w:divId w:val="401489550"/>
        <w:rPr>
          <w:rFonts w:eastAsia="Times New Roman"/>
        </w:rPr>
      </w:pPr>
      <w:r>
        <w:rPr>
          <w:rFonts w:eastAsia="Times New Roman"/>
          <w:b/>
          <w:bCs/>
          <w:i/>
          <w:iCs/>
          <w:color w:val="000000"/>
          <w:sz w:val="20"/>
          <w:szCs w:val="20"/>
        </w:rPr>
        <w:t>Loans</w:t>
      </w:r>
      <w:r>
        <w:rPr>
          <w:rFonts w:eastAsia="Times New Roman"/>
          <w:color w:val="000000"/>
          <w:sz w:val="20"/>
          <w:szCs w:val="20"/>
        </w:rPr>
        <w:t xml:space="preserve"> – Loans hel</w:t>
      </w:r>
      <w:r>
        <w:rPr>
          <w:rFonts w:eastAsia="Times New Roman"/>
          <w:color w:val="000000"/>
          <w:sz w:val="20"/>
          <w:szCs w:val="20"/>
        </w:rPr>
        <w:t>d for investment increased by $31.8 million, or 2.4%, equal to $1.3 billion as of March 31, 2022 as compared to the end of the linked quarter. Year-over-year, loans held for investment grew $57.7 million, or 4.5%, from $1.3 billion as of March 31, 2021.</w:t>
      </w:r>
    </w:p>
    <w:p w:rsidR="00000000" w:rsidRDefault="002A246B">
      <w:pPr>
        <w:jc w:val="both"/>
        <w:divId w:val="1769621860"/>
        <w:rPr>
          <w:rFonts w:eastAsia="Times New Roman"/>
        </w:rPr>
      </w:pPr>
      <w:r>
        <w:rPr>
          <w:rFonts w:eastAsia="Times New Roman"/>
          <w:b/>
          <w:bCs/>
          <w:i/>
          <w:iCs/>
          <w:color w:val="000000"/>
          <w:sz w:val="20"/>
          <w:szCs w:val="20"/>
        </w:rPr>
        <w:t>As</w:t>
      </w:r>
      <w:r>
        <w:rPr>
          <w:rFonts w:eastAsia="Times New Roman"/>
          <w:b/>
          <w:bCs/>
          <w:i/>
          <w:iCs/>
          <w:color w:val="000000"/>
          <w:sz w:val="20"/>
          <w:szCs w:val="20"/>
        </w:rPr>
        <w:t>set quality</w:t>
      </w:r>
      <w:r>
        <w:rPr>
          <w:rFonts w:eastAsia="Times New Roman"/>
          <w:color w:val="000000"/>
          <w:sz w:val="20"/>
          <w:szCs w:val="20"/>
        </w:rPr>
        <w:t xml:space="preserve"> – Non-performing loans totaled $17.1 million at March 31, 2022, a decrease of $8.4 million from $25.5 million at the end of the linked quarter, and a decrease of $17.1 million from $34.2 million at the end of the prior year quarter. The reducti</w:t>
      </w:r>
      <w:r>
        <w:rPr>
          <w:rFonts w:eastAsia="Times New Roman"/>
          <w:color w:val="000000"/>
          <w:sz w:val="20"/>
          <w:szCs w:val="20"/>
        </w:rPr>
        <w:t>on in non-performing loans in the current quarter, as compared to the linked quarter and prior year quarter is primarily due to several large non-accrual loans returning to accrual status described in more detail below. The allowance for loan losses to tot</w:t>
      </w:r>
      <w:r>
        <w:rPr>
          <w:rFonts w:eastAsia="Times New Roman"/>
          <w:color w:val="000000"/>
          <w:sz w:val="20"/>
          <w:szCs w:val="20"/>
        </w:rPr>
        <w:t xml:space="preserve">al loans was 1.07% at March 31, 2022, compared to 1.30% at December 31, 2021 and 1.44% at March 31, 2021. These changes are discussed in greater detail under the </w:t>
      </w:r>
      <w:r>
        <w:rPr>
          <w:rFonts w:eastAsia="Times New Roman"/>
          <w:i/>
          <w:iCs/>
          <w:color w:val="000000"/>
          <w:sz w:val="20"/>
          <w:szCs w:val="20"/>
        </w:rPr>
        <w:t>Lending and Credit Management</w:t>
      </w:r>
      <w:r>
        <w:rPr>
          <w:rFonts w:eastAsia="Times New Roman"/>
          <w:color w:val="000000"/>
          <w:sz w:val="20"/>
          <w:szCs w:val="20"/>
        </w:rPr>
        <w:t xml:space="preserve"> section below.</w:t>
      </w:r>
    </w:p>
    <w:p w:rsidR="00000000" w:rsidRDefault="002A246B">
      <w:pPr>
        <w:jc w:val="both"/>
        <w:divId w:val="459112168"/>
        <w:rPr>
          <w:rFonts w:eastAsia="Times New Roman"/>
        </w:rPr>
      </w:pPr>
      <w:r>
        <w:rPr>
          <w:rFonts w:eastAsia="Times New Roman"/>
          <w:b/>
          <w:bCs/>
          <w:i/>
          <w:iCs/>
          <w:color w:val="000000"/>
          <w:sz w:val="20"/>
          <w:szCs w:val="20"/>
        </w:rPr>
        <w:t>Deposit</w:t>
      </w:r>
      <w:r>
        <w:rPr>
          <w:rFonts w:eastAsia="Times New Roman"/>
          <w:b/>
          <w:bCs/>
          <w:color w:val="000000"/>
          <w:sz w:val="20"/>
          <w:szCs w:val="20"/>
        </w:rPr>
        <w:t>s</w:t>
      </w:r>
      <w:r>
        <w:rPr>
          <w:rFonts w:eastAsia="Times New Roman"/>
          <w:color w:val="000000"/>
          <w:sz w:val="20"/>
          <w:szCs w:val="20"/>
        </w:rPr>
        <w:t xml:space="preserve"> – Total deposits decreased by $60.7 mill</w:t>
      </w:r>
      <w:r>
        <w:rPr>
          <w:rFonts w:eastAsia="Times New Roman"/>
          <w:color w:val="000000"/>
          <w:sz w:val="20"/>
          <w:szCs w:val="20"/>
        </w:rPr>
        <w:t>ion, or 4.0%, equal to $1.5 billion as of March 31, 2022 as compared to the end of the linked quarter. Year-over-year deposits grew $62.2 million, or 4.5%, from $1.4 billion as of March 31, 2021.</w:t>
      </w:r>
    </w:p>
    <w:p w:rsidR="00000000" w:rsidRDefault="002A246B">
      <w:pPr>
        <w:jc w:val="both"/>
        <w:divId w:val="1159687574"/>
        <w:rPr>
          <w:rFonts w:eastAsia="Times New Roman"/>
        </w:rPr>
      </w:pPr>
      <w:r>
        <w:rPr>
          <w:rFonts w:eastAsia="Times New Roman"/>
          <w:b/>
          <w:bCs/>
          <w:i/>
          <w:iCs/>
          <w:color w:val="000000"/>
          <w:sz w:val="20"/>
          <w:szCs w:val="20"/>
        </w:rPr>
        <w:t>Capital</w:t>
      </w:r>
      <w:r>
        <w:rPr>
          <w:rFonts w:eastAsia="Times New Roman"/>
          <w:color w:val="000000"/>
          <w:sz w:val="20"/>
          <w:szCs w:val="20"/>
        </w:rPr>
        <w:t xml:space="preserve"> – Total shareholder’</w:t>
      </w:r>
      <w:r>
        <w:rPr>
          <w:rFonts w:eastAsia="Times New Roman"/>
          <w:color w:val="000000"/>
          <w:sz w:val="20"/>
          <w:szCs w:val="20"/>
        </w:rPr>
        <w:t>s equity was $134.4 million and the common equity to assets ratio was 7.74% at March 31, 2022 as compared to 8.13% and 7.55% at the end of the linked quarter and the prior year quarter, respectively. Regulatory capital ratios remain “well-capitalized”, wit</w:t>
      </w:r>
      <w:r>
        <w:rPr>
          <w:rFonts w:eastAsia="Times New Roman"/>
          <w:color w:val="000000"/>
          <w:sz w:val="20"/>
          <w:szCs w:val="20"/>
        </w:rPr>
        <w:t xml:space="preserve">h tier 1 leverage ratio of 10.99% and a total risk-based capital ratio of 14.66% at March 31, 2022. </w:t>
      </w:r>
    </w:p>
    <w:p w:rsidR="00000000" w:rsidRDefault="002A246B">
      <w:pPr>
        <w:jc w:val="both"/>
        <w:divId w:val="823277355"/>
        <w:rPr>
          <w:rFonts w:eastAsia="Times New Roman"/>
        </w:rPr>
      </w:pPr>
      <w:r>
        <w:rPr>
          <w:rFonts w:eastAsia="Times New Roman"/>
          <w:b/>
          <w:bCs/>
          <w:i/>
          <w:iCs/>
          <w:color w:val="000000"/>
          <w:sz w:val="20"/>
          <w:szCs w:val="20"/>
        </w:rPr>
        <w:t>Average Balance Sheet Data</w:t>
      </w:r>
    </w:p>
    <w:p w:rsidR="00000000" w:rsidRDefault="002A246B">
      <w:pPr>
        <w:jc w:val="both"/>
        <w:rPr>
          <w:rFonts w:eastAsia="Times New Roman"/>
        </w:rPr>
      </w:pPr>
      <w:r>
        <w:rPr>
          <w:rFonts w:eastAsia="Times New Roman"/>
          <w:b/>
          <w:bCs/>
          <w:i/>
          <w:iCs/>
          <w:color w:val="000000"/>
          <w:sz w:val="20"/>
          <w:szCs w:val="20"/>
        </w:rPr>
        <w:t>Net interest income</w:t>
      </w:r>
      <w:r>
        <w:rPr>
          <w:rFonts w:eastAsia="Times New Roman"/>
          <w:color w:val="000000"/>
          <w:sz w:val="20"/>
          <w:szCs w:val="20"/>
        </w:rPr>
        <w:t xml:space="preserve"> is the largest source of revenue resulting from the Company’s lending, investing, borrowing, and deposit gat</w:t>
      </w:r>
      <w:r>
        <w:rPr>
          <w:rFonts w:eastAsia="Times New Roman"/>
          <w:color w:val="000000"/>
          <w:sz w:val="20"/>
          <w:szCs w:val="20"/>
        </w:rPr>
        <w:t>hering activities. It is affected by both changes in the level of interest rates and changes in the amounts and mix of interest earning assets and interest-bearing liabilities. The following table presents average balance sheet data, net interest income, a</w:t>
      </w:r>
      <w:r>
        <w:rPr>
          <w:rFonts w:eastAsia="Times New Roman"/>
          <w:color w:val="000000"/>
          <w:sz w:val="20"/>
          <w:szCs w:val="20"/>
        </w:rPr>
        <w:t>verage yields of earning assets, average costs of interest-bearing liabilities, net interest spread and net interest margin on a fully taxable equivalent basis for each of the three month periods ended March 31, 2022 and 2021, respectively. The average bal</w:t>
      </w:r>
      <w:r>
        <w:rPr>
          <w:rFonts w:eastAsia="Times New Roman"/>
          <w:color w:val="000000"/>
          <w:sz w:val="20"/>
          <w:szCs w:val="20"/>
        </w:rPr>
        <w:t>ances used in this table and other statistical data were calculated using average daily balances.</w:t>
      </w:r>
    </w:p>
    <w:p w:rsidR="00000000" w:rsidRDefault="002A246B">
      <w:pPr>
        <w:divId w:val="279143639"/>
        <w:rPr>
          <w:rFonts w:eastAsia="Times New Roman"/>
        </w:rPr>
      </w:pPr>
    </w:p>
    <w:p w:rsidR="00000000" w:rsidRDefault="002A246B">
      <w:pPr>
        <w:jc w:val="center"/>
        <w:divId w:val="665208681"/>
        <w:rPr>
          <w:rFonts w:eastAsia="Times New Roman"/>
        </w:rPr>
      </w:pPr>
      <w:r>
        <w:rPr>
          <w:rFonts w:eastAsia="Times New Roman"/>
          <w:color w:val="000000"/>
          <w:sz w:val="20"/>
          <w:szCs w:val="20"/>
        </w:rPr>
        <w:t>37</w:t>
      </w:r>
    </w:p>
    <w:p w:rsidR="00000000" w:rsidRDefault="002A246B">
      <w:pPr>
        <w:rPr>
          <w:rFonts w:eastAsia="Times New Roman"/>
        </w:rPr>
      </w:pPr>
      <w:r>
        <w:rPr>
          <w:rFonts w:eastAsia="Times New Roman"/>
        </w:rPr>
        <w:pict>
          <v:rect id="_x0000_i1061" style="width:0;height:1.5pt" o:hralign="center" o:hrstd="t" o:hr="t" fillcolor="#a0a0a0" stroked="f"/>
        </w:pict>
      </w:r>
    </w:p>
    <w:p w:rsidR="00000000" w:rsidRDefault="002A246B">
      <w:pPr>
        <w:divId w:val="11024367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3375"/>
        <w:gridCol w:w="38"/>
        <w:gridCol w:w="101"/>
        <w:gridCol w:w="666"/>
        <w:gridCol w:w="37"/>
        <w:gridCol w:w="36"/>
        <w:gridCol w:w="36"/>
        <w:gridCol w:w="36"/>
        <w:gridCol w:w="101"/>
        <w:gridCol w:w="640"/>
        <w:gridCol w:w="36"/>
        <w:gridCol w:w="36"/>
        <w:gridCol w:w="36"/>
        <w:gridCol w:w="36"/>
        <w:gridCol w:w="80"/>
        <w:gridCol w:w="505"/>
        <w:gridCol w:w="36"/>
        <w:gridCol w:w="101"/>
        <w:gridCol w:w="660"/>
        <w:gridCol w:w="37"/>
        <w:gridCol w:w="36"/>
        <w:gridCol w:w="36"/>
        <w:gridCol w:w="36"/>
        <w:gridCol w:w="101"/>
        <w:gridCol w:w="574"/>
        <w:gridCol w:w="36"/>
        <w:gridCol w:w="36"/>
        <w:gridCol w:w="36"/>
        <w:gridCol w:w="36"/>
        <w:gridCol w:w="65"/>
        <w:gridCol w:w="601"/>
        <w:gridCol w:w="36"/>
      </w:tblGrid>
      <w:tr w:rsidR="00000000">
        <w:trPr>
          <w:divId w:val="1068193048"/>
        </w:trPr>
        <w:tc>
          <w:tcPr>
            <w:tcW w:w="50" w:type="pct"/>
            <w:vAlign w:val="center"/>
            <w:hideMark/>
          </w:tcPr>
          <w:p w:rsidR="00000000" w:rsidRDefault="002A246B">
            <w:pPr>
              <w:rPr>
                <w:rFonts w:eastAsia="Times New Roman"/>
              </w:rPr>
            </w:pPr>
          </w:p>
        </w:tc>
        <w:tc>
          <w:tcPr>
            <w:tcW w:w="2051"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22"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22"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1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22"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22"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0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068193048"/>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0"/>
            <w:tcBorders>
              <w:bottom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Three Months Ended March 31,</w:t>
            </w:r>
          </w:p>
        </w:tc>
      </w:tr>
      <w:tr w:rsidR="00000000">
        <w:trPr>
          <w:divId w:val="1068193048"/>
        </w:trPr>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15"/>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2022</w:t>
            </w:r>
          </w:p>
        </w:tc>
        <w:tc>
          <w:tcPr>
            <w:tcW w:w="0" w:type="auto"/>
            <w:gridSpan w:val="15"/>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2021</w:t>
            </w:r>
          </w:p>
        </w:tc>
      </w:tr>
      <w:tr w:rsidR="00000000">
        <w:trPr>
          <w:divId w:val="1068193048"/>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(Dollars 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Average Balance</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Interest Income/ Expense (1)</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 xml:space="preserve">Rate Earned/ Paid (1) </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Average Balance</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 Interest Income/ Expense (1)</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Rate Earned/ Paid (1)</w:t>
            </w:r>
          </w:p>
        </w:tc>
      </w:tr>
      <w:tr w:rsidR="00000000">
        <w:trPr>
          <w:divId w:val="1068193048"/>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ASSETS</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068193048"/>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Loans: (2) (3)</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r>
      <w:tr w:rsidR="00000000">
        <w:trPr>
          <w:divId w:val="1068193048"/>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Commercial</w:t>
            </w: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220,888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2,832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5.20%</w:t>
            </w: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257,623</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4,159</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6.55%</w:t>
            </w:r>
          </w:p>
        </w:tc>
      </w:tr>
      <w:tr w:rsidR="00000000">
        <w:trPr>
          <w:divId w:val="1068193048"/>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Real estate construction - residential</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23,455</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256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4.43</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33,492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394</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4.77</w:t>
            </w:r>
          </w:p>
        </w:tc>
      </w:tr>
      <w:tr w:rsidR="00000000">
        <w:trPr>
          <w:divId w:val="1068193048"/>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Real estate construction - commercial</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95,935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996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4.21</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78,578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878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4.53</w:t>
            </w:r>
          </w:p>
        </w:tc>
      </w:tr>
      <w:tr w:rsidR="00000000">
        <w:trPr>
          <w:divId w:val="1068193048"/>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Real estate mortgage - residential</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281,824</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2,832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4.08</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260,040</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2,841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4.43</w:t>
            </w:r>
          </w:p>
        </w:tc>
      </w:tr>
      <w:tr w:rsidR="00000000">
        <w:trPr>
          <w:divId w:val="1068193048"/>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Real estate mortgage - commercial</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670,713</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6,938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4.20</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621,877</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6,600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4.30</w:t>
            </w:r>
          </w:p>
        </w:tc>
      </w:tr>
      <w:tr w:rsidR="00000000">
        <w:trPr>
          <w:divId w:val="1068193048"/>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Installment and other consumer</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22,342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206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3.74</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25,992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265</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4.13</w:t>
            </w:r>
          </w:p>
        </w:tc>
      </w:tr>
      <w:tr w:rsidR="00000000">
        <w:trPr>
          <w:divId w:val="106819304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 loans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1,315,157</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14,060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4.34%</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1,277,602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15,137</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4.81%</w:t>
            </w:r>
          </w:p>
        </w:tc>
      </w:tr>
      <w:tr w:rsidR="00000000">
        <w:trPr>
          <w:divId w:val="1068193048"/>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Loans held for sale</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2,288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3.55</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5,500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25</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1.84</w:t>
            </w:r>
          </w:p>
        </w:tc>
      </w:tr>
      <w:tr w:rsidR="00000000">
        <w:trPr>
          <w:divId w:val="1068193048"/>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Investment securities: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r>
      <w:tr w:rsidR="00000000">
        <w:trPr>
          <w:divId w:val="1068193048"/>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U.S. Treasury</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4,010</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5</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0.51</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3,006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1.08</w:t>
            </w:r>
          </w:p>
        </w:tc>
      </w:tr>
      <w:tr w:rsidR="00000000">
        <w:trPr>
          <w:divId w:val="1068193048"/>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U.S. government and federal agency obligations</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27,371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89</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1.32</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38,605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146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1.53</w:t>
            </w:r>
          </w:p>
        </w:tc>
      </w:tr>
      <w:tr w:rsidR="00000000">
        <w:trPr>
          <w:divId w:val="1068193048"/>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Obligations of states and political subdivisions</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126,577</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1,020</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3.27</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61,456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452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2.98</w:t>
            </w:r>
          </w:p>
        </w:tc>
      </w:tr>
      <w:tr w:rsidR="00000000">
        <w:trPr>
          <w:divId w:val="1068193048"/>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Mortgage-backed securities</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132,922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510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1.56</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101,101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338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1.36</w:t>
            </w:r>
          </w:p>
        </w:tc>
      </w:tr>
      <w:tr w:rsidR="00000000">
        <w:trPr>
          <w:divId w:val="1068193048"/>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Other debt securities</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13,456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156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4.70</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11,539</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143</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5.03</w:t>
            </w:r>
          </w:p>
        </w:tc>
      </w:tr>
      <w:tr w:rsidR="00000000">
        <w:trPr>
          <w:divId w:val="106819304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 investment securities</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304,336</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1,780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2.37</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215,707</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1,087</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2.04</w:t>
            </w:r>
          </w:p>
        </w:tc>
      </w:tr>
      <w:tr w:rsidR="00000000">
        <w:trPr>
          <w:divId w:val="1068193048"/>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Other investment securities</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5,412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75</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5.62</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5,982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83</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5.63</w:t>
            </w:r>
          </w:p>
        </w:tc>
      </w:tr>
      <w:tr w:rsidR="00000000">
        <w:trPr>
          <w:divId w:val="1068193048"/>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Federal funds sold</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6,232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0.07</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20,276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0.08</w:t>
            </w:r>
          </w:p>
        </w:tc>
      </w:tr>
      <w:tr w:rsidR="00000000">
        <w:trPr>
          <w:divId w:val="1068193048"/>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Interest bearing deposits in other financial institutions</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70,824</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60</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0.34</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129,048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98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0.31</w:t>
            </w:r>
          </w:p>
        </w:tc>
      </w:tr>
      <w:tr w:rsidR="00000000">
        <w:trPr>
          <w:divId w:val="106819304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 interest earning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1,704,249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15,996</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3.81%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1,654,115</w:t>
            </w:r>
          </w:p>
        </w:tc>
        <w:tc>
          <w:tcPr>
            <w:tcW w:w="0" w:type="auto"/>
            <w:gridSpan w:val="3"/>
            <w:tcBorders>
              <w:top w:val="single" w:sz="8" w:space="0" w:color="000000"/>
            </w:tcBorders>
            <w:shd w:val="clear" w:color="auto" w:fill="CCEEFF"/>
            <w:tcMar>
              <w:top w:w="0" w:type="dxa"/>
              <w:left w:w="20" w:type="dxa"/>
              <w:bottom w:w="0" w:type="dxa"/>
              <w:right w:w="27" w:type="dxa"/>
            </w:tcMar>
            <w:vAlign w:val="center"/>
            <w:hideMark/>
          </w:tcPr>
          <w:p w:rsidR="00000000" w:rsidRDefault="002A246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16,434</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4.03%</w:t>
            </w:r>
          </w:p>
        </w:tc>
      </w:tr>
      <w:tr w:rsidR="00000000">
        <w:trPr>
          <w:divId w:val="1068193048"/>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All other assets</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83,294</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84,407</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068193048"/>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Allowance for loan losses</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(16,926)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(18,466)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068193048"/>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1,770,617</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1,720,056</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068193048"/>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LIABILITIES AND STOCKHOLDERS' EQUITY</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r>
      <w:tr w:rsidR="00000000">
        <w:trPr>
          <w:divId w:val="1068193048"/>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NOW accounts</w:t>
            </w: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176,648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15</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0.03%</w:t>
            </w: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142,735</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0.03%</w:t>
            </w:r>
          </w:p>
        </w:tc>
      </w:tr>
      <w:tr w:rsidR="00000000">
        <w:trPr>
          <w:divId w:val="1068193048"/>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Savings</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265,542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187</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0.29</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231,311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138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0.24</w:t>
            </w:r>
          </w:p>
        </w:tc>
      </w:tr>
      <w:tr w:rsidR="00000000">
        <w:trPr>
          <w:divId w:val="1068193048"/>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Interest checking</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29,398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0.39</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61,522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76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0.50</w:t>
            </w:r>
          </w:p>
        </w:tc>
      </w:tr>
      <w:tr w:rsidR="00000000">
        <w:trPr>
          <w:divId w:val="1068193048"/>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Money market</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289,140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86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0.12</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279,234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83</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0.12</w:t>
            </w:r>
          </w:p>
        </w:tc>
      </w:tr>
      <w:tr w:rsidR="00000000">
        <w:trPr>
          <w:divId w:val="1068193048"/>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Time deposits</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260,628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389</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0.61</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267,047</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671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1.02</w:t>
            </w:r>
          </w:p>
        </w:tc>
      </w:tr>
      <w:tr w:rsidR="00000000">
        <w:trPr>
          <w:divId w:val="106819304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 interest bearing deposits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1,021,356</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705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0.28%</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981,849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980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0.40%</w:t>
            </w:r>
          </w:p>
        </w:tc>
      </w:tr>
      <w:tr w:rsidR="00000000">
        <w:trPr>
          <w:divId w:val="1068193048"/>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Federal funds purchased and securities sold under agreements to repurchase</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13,792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0.29</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41,507</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26</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0.25</w:t>
            </w:r>
          </w:p>
        </w:tc>
      </w:tr>
      <w:tr w:rsidR="00000000">
        <w:trPr>
          <w:divId w:val="1068193048"/>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Federal Home Loan Bank advances and other borrowings</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77,397</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252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1.32</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98,152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396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1.64</w:t>
            </w:r>
          </w:p>
        </w:tc>
      </w:tr>
      <w:tr w:rsidR="00000000">
        <w:trPr>
          <w:divId w:val="1068193048"/>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Subordinated notes</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49,486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324</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2.66</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49,486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310</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2.54</w:t>
            </w:r>
          </w:p>
        </w:tc>
      </w:tr>
      <w:tr w:rsidR="00000000">
        <w:trPr>
          <w:divId w:val="106819304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 borrowings</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140,675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586</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1.69</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189,145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732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1.57</w:t>
            </w:r>
          </w:p>
        </w:tc>
      </w:tr>
      <w:tr w:rsidR="00000000">
        <w:trPr>
          <w:divId w:val="1068193048"/>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 interest bearing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1,162,031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1,291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0.45%</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1,170,994</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1,712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0.59%</w:t>
            </w:r>
          </w:p>
        </w:tc>
      </w:tr>
      <w:tr w:rsidR="00000000">
        <w:trPr>
          <w:divId w:val="106819304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Demand deposits</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449,175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399,429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068193048"/>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Other liabilities</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13,849</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18,275</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06819304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1,625,055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1,588,698</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068193048"/>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Stockholders' equity</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145,562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131,358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068193048"/>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 liabilities and stockholders' equity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1,770,617</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1,720,056</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068193048"/>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Net interest income (FTE)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14,705</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14,722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068193048"/>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Net interest spread</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3.36%</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3.44%</w:t>
            </w:r>
          </w:p>
        </w:tc>
      </w:tr>
      <w:tr w:rsidR="00000000">
        <w:trPr>
          <w:divId w:val="1068193048"/>
        </w:trPr>
        <w:tc>
          <w:tcPr>
            <w:tcW w:w="0" w:type="auto"/>
            <w:gridSpan w:val="3"/>
            <w:tcBorders>
              <w:bottom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Net interest margin</w:t>
            </w: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bottom w:val="single" w:sz="6"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3.50%</w:t>
            </w: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bottom w:val="single" w:sz="6"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6"/>
                <w:szCs w:val="16"/>
              </w:rPr>
              <w:t>3.61%</w:t>
            </w:r>
          </w:p>
        </w:tc>
      </w:tr>
    </w:tbl>
    <w:p w:rsidR="00000000" w:rsidRDefault="002A246B">
      <w:pPr>
        <w:ind w:hanging="450"/>
        <w:divId w:val="241986304"/>
        <w:rPr>
          <w:rFonts w:eastAsia="Times New Roman"/>
        </w:rPr>
      </w:pPr>
      <w:r>
        <w:rPr>
          <w:rFonts w:eastAsia="Times New Roman"/>
          <w:color w:val="000000"/>
          <w:sz w:val="14"/>
          <w:szCs w:val="14"/>
        </w:rPr>
        <w:t>(1)Interest income and yields are presented on a fully taxable equivalent basis using the federal statutory income tax rate of 21%, net of nondeductible interest expense, for the three months ended March 31, 2022 and 2021. Such adjustments totaled $0.6 mil</w:t>
      </w:r>
      <w:r>
        <w:rPr>
          <w:rFonts w:eastAsia="Times New Roman"/>
          <w:color w:val="000000"/>
          <w:sz w:val="14"/>
          <w:szCs w:val="14"/>
        </w:rPr>
        <w:t>lion and $0.3 million for the three months ended March 31, 2022 and 2021, respectively.</w:t>
      </w:r>
    </w:p>
    <w:p w:rsidR="00000000" w:rsidRDefault="002A246B">
      <w:pPr>
        <w:ind w:hanging="450"/>
        <w:divId w:val="1966034807"/>
        <w:rPr>
          <w:rFonts w:eastAsia="Times New Roman"/>
        </w:rPr>
      </w:pPr>
      <w:r>
        <w:rPr>
          <w:rFonts w:eastAsia="Times New Roman"/>
          <w:color w:val="000000"/>
          <w:sz w:val="14"/>
          <w:szCs w:val="14"/>
        </w:rPr>
        <w:t>(2)Non-accruing loans are included in the average amounts outstanding.</w:t>
      </w:r>
    </w:p>
    <w:p w:rsidR="00000000" w:rsidRDefault="002A246B">
      <w:pPr>
        <w:ind w:hanging="450"/>
        <w:divId w:val="680939082"/>
        <w:rPr>
          <w:rFonts w:eastAsia="Times New Roman"/>
        </w:rPr>
      </w:pPr>
      <w:r>
        <w:rPr>
          <w:rFonts w:eastAsia="Times New Roman"/>
          <w:color w:val="000000"/>
          <w:sz w:val="14"/>
          <w:szCs w:val="14"/>
        </w:rPr>
        <w:t xml:space="preserve">(3)Fees and costs on loans are included in interest income ($0.3 million and $1.5 million of PPP </w:t>
      </w:r>
      <w:r>
        <w:rPr>
          <w:rFonts w:eastAsia="Times New Roman"/>
          <w:color w:val="000000"/>
          <w:sz w:val="14"/>
          <w:szCs w:val="14"/>
        </w:rPr>
        <w:t>fees were included in commercial loan income for the three months ended March 31, 2022 and 2021, respectively).</w:t>
      </w:r>
    </w:p>
    <w:p w:rsidR="00000000" w:rsidRDefault="002A246B">
      <w:pPr>
        <w:jc w:val="center"/>
        <w:divId w:val="305595100"/>
        <w:rPr>
          <w:rFonts w:eastAsia="Times New Roman"/>
        </w:rPr>
      </w:pPr>
      <w:r>
        <w:rPr>
          <w:rFonts w:eastAsia="Times New Roman"/>
          <w:color w:val="000000"/>
          <w:sz w:val="20"/>
          <w:szCs w:val="20"/>
        </w:rPr>
        <w:t>38</w:t>
      </w:r>
    </w:p>
    <w:p w:rsidR="00000000" w:rsidRDefault="002A246B">
      <w:pPr>
        <w:rPr>
          <w:rFonts w:eastAsia="Times New Roman"/>
        </w:rPr>
      </w:pPr>
      <w:r>
        <w:rPr>
          <w:rFonts w:eastAsia="Times New Roman"/>
        </w:rPr>
        <w:pict>
          <v:rect id="_x0000_i1062" style="width:0;height:1.5pt" o:hralign="center" o:hrstd="t" o:hr="t" fillcolor="#a0a0a0" stroked="f"/>
        </w:pict>
      </w:r>
    </w:p>
    <w:p w:rsidR="00000000" w:rsidRDefault="002A246B">
      <w:pPr>
        <w:divId w:val="1654136422"/>
        <w:rPr>
          <w:rFonts w:eastAsia="Times New Roman"/>
        </w:rPr>
      </w:pPr>
    </w:p>
    <w:p w:rsidR="00000000" w:rsidRDefault="002A246B">
      <w:pPr>
        <w:divId w:val="1888685625"/>
        <w:rPr>
          <w:rFonts w:eastAsia="Times New Roman"/>
        </w:rPr>
      </w:pPr>
      <w:r>
        <w:rPr>
          <w:rFonts w:eastAsia="Times New Roman"/>
          <w:b/>
          <w:bCs/>
          <w:i/>
          <w:iCs/>
          <w:color w:val="000000"/>
          <w:sz w:val="20"/>
          <w:szCs w:val="20"/>
        </w:rPr>
        <w:t>Rate and Volume Analysis</w:t>
      </w:r>
    </w:p>
    <w:p w:rsidR="00000000" w:rsidRDefault="002A246B">
      <w:pPr>
        <w:jc w:val="both"/>
        <w:divId w:val="563757686"/>
        <w:rPr>
          <w:rFonts w:eastAsia="Times New Roman"/>
        </w:rPr>
      </w:pPr>
      <w:r>
        <w:rPr>
          <w:rFonts w:eastAsia="Times New Roman"/>
          <w:color w:val="000000"/>
          <w:sz w:val="20"/>
          <w:szCs w:val="20"/>
        </w:rPr>
        <w:t>The following table summarizes the changes in net interest income on a fully taxable equivalent basis, by major category of interest earning assets and interest-bearing liabilities, identifying changes related to volumes and rates for the three months ende</w:t>
      </w:r>
      <w:r>
        <w:rPr>
          <w:rFonts w:eastAsia="Times New Roman"/>
          <w:color w:val="000000"/>
          <w:sz w:val="20"/>
          <w:szCs w:val="20"/>
        </w:rPr>
        <w:t>d March 31, 2022 compared to the three months ended March 31, 2021. The change in interest due to the combined rate/volume variance has been allocated to rate and volume changes in proportion to the absolute dollar amounts of change in each.</w:t>
      </w:r>
    </w:p>
    <w:tbl>
      <w:tblPr>
        <w:tblW w:w="4954" w:type="pct"/>
        <w:tblCellMar>
          <w:top w:w="15" w:type="dxa"/>
          <w:left w:w="15" w:type="dxa"/>
          <w:bottom w:w="15" w:type="dxa"/>
          <w:right w:w="15" w:type="dxa"/>
        </w:tblCellMar>
        <w:tblLook w:val="04A0" w:firstRow="1" w:lastRow="0" w:firstColumn="1" w:lastColumn="0" w:noHBand="0" w:noVBand="1"/>
      </w:tblPr>
      <w:tblGrid>
        <w:gridCol w:w="40"/>
        <w:gridCol w:w="5575"/>
        <w:gridCol w:w="39"/>
        <w:gridCol w:w="36"/>
        <w:gridCol w:w="46"/>
        <w:gridCol w:w="36"/>
        <w:gridCol w:w="46"/>
        <w:gridCol w:w="46"/>
        <w:gridCol w:w="36"/>
        <w:gridCol w:w="36"/>
        <w:gridCol w:w="36"/>
        <w:gridCol w:w="110"/>
        <w:gridCol w:w="550"/>
        <w:gridCol w:w="36"/>
        <w:gridCol w:w="36"/>
        <w:gridCol w:w="36"/>
        <w:gridCol w:w="36"/>
        <w:gridCol w:w="111"/>
        <w:gridCol w:w="528"/>
        <w:gridCol w:w="36"/>
        <w:gridCol w:w="36"/>
        <w:gridCol w:w="36"/>
        <w:gridCol w:w="36"/>
        <w:gridCol w:w="110"/>
        <w:gridCol w:w="525"/>
        <w:gridCol w:w="36"/>
      </w:tblGrid>
      <w:tr w:rsidR="00000000">
        <w:trPr>
          <w:divId w:val="830222839"/>
        </w:trPr>
        <w:tc>
          <w:tcPr>
            <w:tcW w:w="50" w:type="pct"/>
            <w:vAlign w:val="center"/>
            <w:hideMark/>
          </w:tcPr>
          <w:p w:rsidR="00000000" w:rsidRDefault="002A246B">
            <w:pPr>
              <w:jc w:val="both"/>
              <w:rPr>
                <w:rFonts w:eastAsia="Times New Roman"/>
              </w:rPr>
            </w:pPr>
          </w:p>
        </w:tc>
        <w:tc>
          <w:tcPr>
            <w:tcW w:w="351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03"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5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8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830222839"/>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830222839"/>
        </w:trPr>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9"/>
            <w:tcBorders>
              <w:bottom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2022 vs. 2021</w:t>
            </w: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830222839"/>
        </w:trPr>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9"/>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Change due to</w:t>
            </w: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830222839"/>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Total Change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Average Volume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Average Rate</w:t>
            </w:r>
          </w:p>
        </w:tc>
      </w:tr>
      <w:tr w:rsidR="00000000">
        <w:trPr>
          <w:divId w:val="83022283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8"/>
                <w:szCs w:val="18"/>
              </w:rPr>
              <w:t>Interest income on a fully taxable equivalent basis: (1)</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color w:val="000000"/>
                <w:sz w:val="20"/>
                <w:szCs w:val="20"/>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color w:val="000000"/>
                <w:sz w:val="20"/>
                <w:szCs w:val="20"/>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color w:val="000000"/>
                <w:sz w:val="20"/>
                <w:szCs w:val="20"/>
              </w:rPr>
              <w:t> </w:t>
            </w:r>
          </w:p>
        </w:tc>
      </w:tr>
      <w:tr w:rsidR="00000000">
        <w:trPr>
          <w:divId w:val="830222839"/>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8"/>
                <w:szCs w:val="18"/>
              </w:rPr>
              <w:t>Loans: (2) (3)</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color w:val="000000"/>
                <w:sz w:val="20"/>
                <w:szCs w:val="20"/>
              </w:rPr>
              <w:t> </w:t>
            </w:r>
          </w:p>
        </w:tc>
      </w:tr>
      <w:tr w:rsidR="00000000">
        <w:trPr>
          <w:divId w:val="83022283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Commercial</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(1,327)</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(543)</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(784)</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30222839"/>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Real estate construction - residential</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(138)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(111)</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(27)</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3022283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Real estate construction - commercial</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118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183 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(65)</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30222839"/>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Real estate mortgage - residential</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(9)</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228 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(237)</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3022283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Real estate mortgage - commercial</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338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509 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(171)</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30222839"/>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Installment and other consumer</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(59)</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(35)</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(24)</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3022283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8"/>
                <w:szCs w:val="18"/>
              </w:rPr>
              <w:t>Loans held for sale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(20)</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30222839"/>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8"/>
                <w:szCs w:val="18"/>
              </w:rPr>
              <w:t xml:space="preserve">Investment securities: </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83022283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U.S. Treasury</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(3)</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30222839"/>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U.S. government and federal agency obligations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(57)</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(38)</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(19)</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3022283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Obligations of states and political subdivisions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568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521 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47 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30222839"/>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Mortgage-backed securities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172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117 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3022283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Other debt securities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13</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30222839"/>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 xml:space="preserve">Other investment securities </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3022283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Federal funds sold</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(3)</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(2)</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30222839"/>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Interest bearing deposits in other financial institutions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(38)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(48)</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3022283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8"/>
                <w:szCs w:val="18"/>
              </w:rPr>
              <w:t>Total interest income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(438)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778 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(1,216)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30222839"/>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8"/>
                <w:szCs w:val="18"/>
              </w:rPr>
              <w:t>Interest expense: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83022283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Savings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3</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30222839"/>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NOW accounts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49</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27 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3022283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Interest checking</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(48)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(33)</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(15)</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30222839"/>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Money market</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3</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3022283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Time deposits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(282)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(266)</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30222839"/>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Federal funds purchased and securities sold under agreements to repurchase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(16)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(19)</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3</w:t>
            </w:r>
          </w:p>
        </w:tc>
      </w:tr>
      <w:tr w:rsidR="00000000">
        <w:trPr>
          <w:divId w:val="83022283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Federal Home Loan Bank advances and other borrowings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(144)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(75)</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(69)</w:t>
            </w:r>
          </w:p>
        </w:tc>
      </w:tr>
      <w:tr w:rsidR="00000000">
        <w:trPr>
          <w:divId w:val="830222839"/>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Subordinated notes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14</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14</w:t>
            </w:r>
          </w:p>
        </w:tc>
      </w:tr>
      <w:tr w:rsidR="00000000">
        <w:trPr>
          <w:divId w:val="83022283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8"/>
                <w:szCs w:val="18"/>
              </w:rPr>
              <w:t>Total interest expense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(421)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(306)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830222839"/>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8"/>
                <w:szCs w:val="18"/>
              </w:rPr>
              <w:t>Net interest income on a fully taxable equivalent basis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893 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(910)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ind w:hanging="450"/>
        <w:divId w:val="1665351162"/>
        <w:rPr>
          <w:rFonts w:eastAsia="Times New Roman"/>
        </w:rPr>
      </w:pPr>
      <w:r>
        <w:rPr>
          <w:rFonts w:eastAsia="Times New Roman"/>
          <w:color w:val="000000"/>
          <w:sz w:val="16"/>
          <w:szCs w:val="16"/>
        </w:rPr>
        <w:t>(1)Interest income and yields are presented on a fully taxable equivalent basis using the federal statutory income tax rate of 21%, net of nonded</w:t>
      </w:r>
      <w:r>
        <w:rPr>
          <w:rFonts w:eastAsia="Times New Roman"/>
          <w:color w:val="000000"/>
          <w:sz w:val="16"/>
          <w:szCs w:val="16"/>
        </w:rPr>
        <w:t>uctible interest expense, for the three months ended March 31, 2022 and 2021. Such adjustments totaled $0.6 million and $0.3 million for the three months ended March 31, 2022 and 2021, respectively.</w:t>
      </w:r>
    </w:p>
    <w:p w:rsidR="00000000" w:rsidRDefault="002A246B">
      <w:pPr>
        <w:ind w:hanging="450"/>
        <w:divId w:val="744835413"/>
        <w:rPr>
          <w:rFonts w:eastAsia="Times New Roman"/>
        </w:rPr>
      </w:pPr>
      <w:r>
        <w:rPr>
          <w:rFonts w:eastAsia="Times New Roman"/>
          <w:color w:val="000000"/>
          <w:sz w:val="16"/>
          <w:szCs w:val="16"/>
        </w:rPr>
        <w:t>(2)Non-accruing loans are included in the average amounts</w:t>
      </w:r>
      <w:r>
        <w:rPr>
          <w:rFonts w:eastAsia="Times New Roman"/>
          <w:color w:val="000000"/>
          <w:sz w:val="16"/>
          <w:szCs w:val="16"/>
        </w:rPr>
        <w:t xml:space="preserve"> outstanding.</w:t>
      </w:r>
    </w:p>
    <w:p w:rsidR="00000000" w:rsidRDefault="002A246B">
      <w:pPr>
        <w:ind w:hanging="450"/>
        <w:divId w:val="1768235084"/>
        <w:rPr>
          <w:rFonts w:eastAsia="Times New Roman"/>
        </w:rPr>
      </w:pPr>
      <w:r>
        <w:rPr>
          <w:rFonts w:eastAsia="Times New Roman"/>
          <w:color w:val="000000"/>
          <w:sz w:val="16"/>
          <w:szCs w:val="16"/>
        </w:rPr>
        <w:t>(3)Fees and costs on loans are included in interest income ($0.3 million and $1.5 million of PPP fees were included in commercial loan income for the three months ended March 31, 2022 and 2021, respectively).</w:t>
      </w:r>
    </w:p>
    <w:p w:rsidR="00000000" w:rsidRDefault="002A246B">
      <w:pPr>
        <w:jc w:val="both"/>
        <w:divId w:val="396899355"/>
        <w:rPr>
          <w:rFonts w:eastAsia="Times New Roman"/>
        </w:rPr>
      </w:pPr>
    </w:p>
    <w:p w:rsidR="00000000" w:rsidRDefault="002A246B">
      <w:pPr>
        <w:jc w:val="both"/>
        <w:divId w:val="138153477"/>
        <w:rPr>
          <w:rFonts w:eastAsia="Times New Roman"/>
        </w:rPr>
      </w:pPr>
    </w:p>
    <w:p w:rsidR="00000000" w:rsidRDefault="002A246B">
      <w:pPr>
        <w:jc w:val="center"/>
        <w:divId w:val="1902599128"/>
        <w:rPr>
          <w:rFonts w:eastAsia="Times New Roman"/>
        </w:rPr>
      </w:pPr>
      <w:r>
        <w:rPr>
          <w:rFonts w:eastAsia="Times New Roman"/>
          <w:color w:val="000000"/>
          <w:sz w:val="20"/>
          <w:szCs w:val="20"/>
        </w:rPr>
        <w:t>39</w:t>
      </w:r>
    </w:p>
    <w:p w:rsidR="00000000" w:rsidRDefault="002A246B">
      <w:pPr>
        <w:rPr>
          <w:rFonts w:eastAsia="Times New Roman"/>
        </w:rPr>
      </w:pPr>
      <w:r>
        <w:rPr>
          <w:rFonts w:eastAsia="Times New Roman"/>
        </w:rPr>
        <w:pict>
          <v:rect id="_x0000_i1063" style="width:0;height:1.5pt" o:hralign="center" o:hrstd="t" o:hr="t" fillcolor="#a0a0a0" stroked="f"/>
        </w:pict>
      </w:r>
    </w:p>
    <w:p w:rsidR="00000000" w:rsidRDefault="002A246B">
      <w:pPr>
        <w:divId w:val="1631937862"/>
        <w:rPr>
          <w:rFonts w:eastAsia="Times New Roman"/>
        </w:rPr>
      </w:pPr>
    </w:p>
    <w:p w:rsidR="00000000" w:rsidRDefault="002A246B">
      <w:pPr>
        <w:jc w:val="both"/>
        <w:divId w:val="1261837122"/>
        <w:rPr>
          <w:rFonts w:eastAsia="Times New Roman"/>
        </w:rPr>
      </w:pPr>
      <w:r>
        <w:rPr>
          <w:rFonts w:eastAsia="Times New Roman"/>
          <w:color w:val="000000"/>
          <w:sz w:val="20"/>
          <w:szCs w:val="20"/>
        </w:rPr>
        <w:t>Financial results for the quarter ended March 31, 2022 compared to the quarter ended March </w:t>
      </w:r>
      <w:r>
        <w:rPr>
          <w:rFonts w:eastAsia="Times New Roman"/>
          <w:color w:val="000000"/>
          <w:sz w:val="20"/>
          <w:szCs w:val="20"/>
        </w:rPr>
        <w:t>31, 2021 reflected a decrease in net interest income, on a tax equivalent basis, of $17,000, or 0.1%. Measured as a percentage of average earning assets, the net interest margin (expressed on a fully taxable equivalent basis) decreased to 3.50% for the qua</w:t>
      </w:r>
      <w:r>
        <w:rPr>
          <w:rFonts w:eastAsia="Times New Roman"/>
          <w:color w:val="000000"/>
          <w:sz w:val="20"/>
          <w:szCs w:val="20"/>
        </w:rPr>
        <w:t>rter ended March 31, 2022 compared to 3.61% for the quarter ended March 31, 2021. Net interest income and net interest margin decreased primarily due to a decrease in PPP fees and interest income in the three month comparative periods. The Company earned $</w:t>
      </w:r>
      <w:r>
        <w:rPr>
          <w:rFonts w:eastAsia="Times New Roman"/>
          <w:color w:val="000000"/>
          <w:sz w:val="20"/>
          <w:szCs w:val="20"/>
        </w:rPr>
        <w:t xml:space="preserve">0.3 million in PPP income for the three months ended March 31, 2022 compared to $1.5 million for the three months ended March 31, 2021. </w:t>
      </w:r>
    </w:p>
    <w:p w:rsidR="00000000" w:rsidRDefault="002A246B">
      <w:pPr>
        <w:jc w:val="both"/>
        <w:divId w:val="1037702982"/>
        <w:rPr>
          <w:rFonts w:eastAsia="Times New Roman"/>
        </w:rPr>
      </w:pPr>
      <w:r>
        <w:rPr>
          <w:rFonts w:eastAsia="Times New Roman"/>
          <w:color w:val="000000"/>
          <w:sz w:val="20"/>
          <w:szCs w:val="20"/>
        </w:rPr>
        <w:t>Average interest-earning assets increased $50.1 million, or 3.0%, to $1.70 billion for the quarter ended March 31, 2022</w:t>
      </w:r>
      <w:r>
        <w:rPr>
          <w:rFonts w:eastAsia="Times New Roman"/>
          <w:color w:val="000000"/>
          <w:sz w:val="20"/>
          <w:szCs w:val="20"/>
        </w:rPr>
        <w:t xml:space="preserve"> compared to $1.65 billion for the quarter ended March 31, 2021, and average interest-bearing liabilities decreased $9.0 million, or 0.8%, to $1.16 billion for the quarter ended March 31, 2022 compared to $1.17 billion for the quarter ended March 31, 2021.</w:t>
      </w:r>
    </w:p>
    <w:p w:rsidR="00000000" w:rsidRDefault="002A246B">
      <w:pPr>
        <w:jc w:val="both"/>
        <w:divId w:val="1717698829"/>
        <w:rPr>
          <w:rFonts w:eastAsia="Times New Roman"/>
        </w:rPr>
      </w:pPr>
      <w:r>
        <w:rPr>
          <w:rFonts w:eastAsia="Times New Roman"/>
          <w:b/>
          <w:bCs/>
          <w:i/>
          <w:iCs/>
          <w:color w:val="000000"/>
          <w:sz w:val="20"/>
          <w:szCs w:val="20"/>
        </w:rPr>
        <w:t>Total interest income</w:t>
      </w:r>
      <w:r>
        <w:rPr>
          <w:rFonts w:eastAsia="Times New Roman"/>
          <w:color w:val="000000"/>
          <w:sz w:val="20"/>
          <w:szCs w:val="20"/>
        </w:rPr>
        <w:t xml:space="preserve"> (expressed on a fully taxable equivalent basis) was $16.0 million for the three months ended March 31, 2022 compared to $16.4 million for the three months ended March 31, 2021. The Company’s rates earned on interest earning assets we</w:t>
      </w:r>
      <w:r>
        <w:rPr>
          <w:rFonts w:eastAsia="Times New Roman"/>
          <w:color w:val="000000"/>
          <w:sz w:val="20"/>
          <w:szCs w:val="20"/>
        </w:rPr>
        <w:t>re 3.81% for the three months ended March 31, 2022 compared to 4.03% for the three months ended March 31, 2021.</w:t>
      </w:r>
    </w:p>
    <w:p w:rsidR="00000000" w:rsidRDefault="002A246B">
      <w:pPr>
        <w:jc w:val="both"/>
        <w:divId w:val="1345747424"/>
        <w:rPr>
          <w:rFonts w:eastAsia="Times New Roman"/>
        </w:rPr>
      </w:pPr>
      <w:r>
        <w:rPr>
          <w:rFonts w:eastAsia="Times New Roman"/>
          <w:b/>
          <w:bCs/>
          <w:i/>
          <w:iCs/>
          <w:color w:val="000000"/>
          <w:sz w:val="20"/>
          <w:szCs w:val="20"/>
        </w:rPr>
        <w:t>Interest income on loans held for investment</w:t>
      </w:r>
      <w:r>
        <w:rPr>
          <w:rFonts w:eastAsia="Times New Roman"/>
          <w:color w:val="000000"/>
          <w:sz w:val="20"/>
          <w:szCs w:val="20"/>
        </w:rPr>
        <w:t xml:space="preserve"> was $14.1 million for the three months ended March 31, 2022 compared to $15.1 million for the three</w:t>
      </w:r>
      <w:r>
        <w:rPr>
          <w:rFonts w:eastAsia="Times New Roman"/>
          <w:color w:val="000000"/>
          <w:sz w:val="20"/>
          <w:szCs w:val="20"/>
        </w:rPr>
        <w:t xml:space="preserve"> months ended March 31, 2021.</w:t>
      </w:r>
    </w:p>
    <w:p w:rsidR="00000000" w:rsidRDefault="002A246B">
      <w:pPr>
        <w:jc w:val="both"/>
        <w:divId w:val="1138111350"/>
        <w:rPr>
          <w:rFonts w:eastAsia="Times New Roman"/>
        </w:rPr>
      </w:pPr>
      <w:r>
        <w:rPr>
          <w:rFonts w:eastAsia="Times New Roman"/>
          <w:color w:val="000000"/>
          <w:sz w:val="20"/>
          <w:szCs w:val="20"/>
        </w:rPr>
        <w:t>Average loans outstanding increased $37.6 million, or 2.9%, to $1.32 billion for the quarter ended March 31, 2022 compared to $1.28 billion for the quarter ended March 31, 2021. The average yield on loans decreased to 4.34% fo</w:t>
      </w:r>
      <w:r>
        <w:rPr>
          <w:rFonts w:eastAsia="Times New Roman"/>
          <w:color w:val="000000"/>
          <w:sz w:val="20"/>
          <w:szCs w:val="20"/>
        </w:rPr>
        <w:t xml:space="preserve">r the quarter ended March 31, 2022 compared to 4.81% for the quarter ended March 31, 2021. See the </w:t>
      </w:r>
      <w:r>
        <w:rPr>
          <w:rFonts w:eastAsia="Times New Roman"/>
          <w:i/>
          <w:iCs/>
          <w:color w:val="000000"/>
          <w:sz w:val="20"/>
          <w:szCs w:val="20"/>
        </w:rPr>
        <w:t>Lending and Credit Management</w:t>
      </w:r>
      <w:r>
        <w:rPr>
          <w:rFonts w:eastAsia="Times New Roman"/>
          <w:color w:val="000000"/>
          <w:sz w:val="20"/>
          <w:szCs w:val="20"/>
        </w:rPr>
        <w:t xml:space="preserve"> section for further discussion of changes in the composition of the lending portfolio.</w:t>
      </w:r>
    </w:p>
    <w:p w:rsidR="00000000" w:rsidRDefault="002A246B">
      <w:pPr>
        <w:jc w:val="both"/>
        <w:divId w:val="1229536287"/>
        <w:rPr>
          <w:rFonts w:eastAsia="Times New Roman"/>
        </w:rPr>
      </w:pPr>
      <w:r>
        <w:rPr>
          <w:rFonts w:eastAsia="Times New Roman"/>
          <w:b/>
          <w:bCs/>
          <w:i/>
          <w:iCs/>
          <w:color w:val="000000"/>
          <w:sz w:val="20"/>
          <w:szCs w:val="20"/>
        </w:rPr>
        <w:t>Interest income on available-for-sale se</w:t>
      </w:r>
      <w:r>
        <w:rPr>
          <w:rFonts w:eastAsia="Times New Roman"/>
          <w:b/>
          <w:bCs/>
          <w:i/>
          <w:iCs/>
          <w:color w:val="000000"/>
          <w:sz w:val="20"/>
          <w:szCs w:val="20"/>
        </w:rPr>
        <w:t xml:space="preserve">curities </w:t>
      </w:r>
      <w:r>
        <w:rPr>
          <w:rFonts w:eastAsia="Times New Roman"/>
          <w:color w:val="000000"/>
          <w:sz w:val="20"/>
          <w:szCs w:val="20"/>
        </w:rPr>
        <w:t>was $1.8 million for the three months ended March 31, 2022 compared to $1.1 million for the three months ended March 31, 2021.</w:t>
      </w:r>
    </w:p>
    <w:p w:rsidR="00000000" w:rsidRDefault="002A246B">
      <w:pPr>
        <w:jc w:val="both"/>
        <w:divId w:val="446781342"/>
        <w:rPr>
          <w:rFonts w:eastAsia="Times New Roman"/>
        </w:rPr>
      </w:pPr>
      <w:r>
        <w:rPr>
          <w:rFonts w:eastAsia="Times New Roman"/>
          <w:color w:val="000000"/>
          <w:sz w:val="20"/>
          <w:szCs w:val="20"/>
        </w:rPr>
        <w:t>Average securities increased $88.6 million, or 41.1%, to $304.3 million for the quarter ended March 31, 2022 compared to</w:t>
      </w:r>
      <w:r>
        <w:rPr>
          <w:rFonts w:eastAsia="Times New Roman"/>
          <w:color w:val="000000"/>
          <w:sz w:val="20"/>
          <w:szCs w:val="20"/>
        </w:rPr>
        <w:t xml:space="preserve"> $215.7 million for the quarter ended March 31, 2021. The average yield on securities increased to 2.37% for the quarter ended March 31, 2022 compared to 2.04% for the quarter ended March 31, 2021. See the </w:t>
      </w:r>
      <w:r>
        <w:rPr>
          <w:rFonts w:eastAsia="Times New Roman"/>
          <w:i/>
          <w:iCs/>
          <w:color w:val="000000"/>
          <w:sz w:val="20"/>
          <w:szCs w:val="20"/>
        </w:rPr>
        <w:t xml:space="preserve">Liquidity Management </w:t>
      </w:r>
      <w:r>
        <w:rPr>
          <w:rFonts w:eastAsia="Times New Roman"/>
          <w:color w:val="000000"/>
          <w:sz w:val="20"/>
          <w:szCs w:val="20"/>
        </w:rPr>
        <w:t>section for further discussio</w:t>
      </w:r>
      <w:r>
        <w:rPr>
          <w:rFonts w:eastAsia="Times New Roman"/>
          <w:color w:val="000000"/>
          <w:sz w:val="20"/>
          <w:szCs w:val="20"/>
        </w:rPr>
        <w:t>n.</w:t>
      </w:r>
    </w:p>
    <w:p w:rsidR="00000000" w:rsidRDefault="002A246B">
      <w:pPr>
        <w:jc w:val="both"/>
        <w:divId w:val="1553811348"/>
        <w:rPr>
          <w:rFonts w:eastAsia="Times New Roman"/>
        </w:rPr>
      </w:pPr>
      <w:r>
        <w:rPr>
          <w:rFonts w:eastAsia="Times New Roman"/>
          <w:b/>
          <w:bCs/>
          <w:i/>
          <w:iCs/>
          <w:color w:val="000000"/>
          <w:sz w:val="20"/>
          <w:szCs w:val="20"/>
        </w:rPr>
        <w:t>Total interest expense</w:t>
      </w:r>
      <w:r>
        <w:rPr>
          <w:rFonts w:eastAsia="Times New Roman"/>
          <w:color w:val="000000"/>
          <w:sz w:val="20"/>
          <w:szCs w:val="20"/>
        </w:rPr>
        <w:t xml:space="preserve"> decreased to $1.3 million for the three months ended March 31, 2022 compared to $1.7 million for the three months ended March 31, 2021. The Company’s rates paid on interest bearing liabilities were 0.45% for the three months ended</w:t>
      </w:r>
      <w:r>
        <w:rPr>
          <w:rFonts w:eastAsia="Times New Roman"/>
          <w:color w:val="000000"/>
          <w:sz w:val="20"/>
          <w:szCs w:val="20"/>
        </w:rPr>
        <w:t xml:space="preserve"> March 31, 2022 compared to 0.59% for the three months ended March 31, 2021. See the </w:t>
      </w:r>
      <w:r>
        <w:rPr>
          <w:rFonts w:eastAsia="Times New Roman"/>
          <w:i/>
          <w:iCs/>
          <w:color w:val="000000"/>
          <w:sz w:val="20"/>
          <w:szCs w:val="20"/>
        </w:rPr>
        <w:t>Liquidity Management</w:t>
      </w:r>
      <w:r>
        <w:rPr>
          <w:rFonts w:eastAsia="Times New Roman"/>
          <w:color w:val="000000"/>
          <w:sz w:val="20"/>
          <w:szCs w:val="20"/>
        </w:rPr>
        <w:t xml:space="preserve"> section for further discussion.</w:t>
      </w:r>
    </w:p>
    <w:p w:rsidR="00000000" w:rsidRDefault="002A246B">
      <w:pPr>
        <w:jc w:val="both"/>
        <w:divId w:val="424500531"/>
        <w:rPr>
          <w:rFonts w:eastAsia="Times New Roman"/>
        </w:rPr>
      </w:pPr>
      <w:r>
        <w:rPr>
          <w:rFonts w:eastAsia="Times New Roman"/>
          <w:b/>
          <w:bCs/>
          <w:i/>
          <w:iCs/>
          <w:color w:val="000000"/>
          <w:sz w:val="20"/>
          <w:szCs w:val="20"/>
        </w:rPr>
        <w:t>Interest expense on deposits</w:t>
      </w:r>
      <w:r>
        <w:rPr>
          <w:rFonts w:eastAsia="Times New Roman"/>
          <w:color w:val="000000"/>
          <w:sz w:val="20"/>
          <w:szCs w:val="20"/>
        </w:rPr>
        <w:t xml:space="preserve"> decreased to $0.7 million for the three months ended March 31, 2022 compared to $1.0 mill</w:t>
      </w:r>
      <w:r>
        <w:rPr>
          <w:rFonts w:eastAsia="Times New Roman"/>
          <w:color w:val="000000"/>
          <w:sz w:val="20"/>
          <w:szCs w:val="20"/>
        </w:rPr>
        <w:t>ion for the three months ended March 31, 2021.</w:t>
      </w:r>
    </w:p>
    <w:p w:rsidR="00000000" w:rsidRDefault="002A246B">
      <w:pPr>
        <w:jc w:val="both"/>
        <w:divId w:val="213348488"/>
        <w:rPr>
          <w:rFonts w:eastAsia="Times New Roman"/>
        </w:rPr>
      </w:pPr>
      <w:r>
        <w:rPr>
          <w:rFonts w:eastAsia="Times New Roman"/>
          <w:color w:val="000000"/>
          <w:sz w:val="20"/>
          <w:szCs w:val="20"/>
        </w:rPr>
        <w:t>Average interest-bearing deposits increased $39.5 million, or 4.0%, to $1.02 billion for the quarter ended March 31, 2022 compared to $0.98 billion for the quarter ended March 31, 2021. The average cost of dep</w:t>
      </w:r>
      <w:r>
        <w:rPr>
          <w:rFonts w:eastAsia="Times New Roman"/>
          <w:color w:val="000000"/>
          <w:sz w:val="20"/>
          <w:szCs w:val="20"/>
        </w:rPr>
        <w:t xml:space="preserve">osits decreased to 0.28% for the quarter ended March 31, 2022 compared to 0.40% for the quarter ended March 31, 2021. </w:t>
      </w:r>
    </w:p>
    <w:p w:rsidR="00000000" w:rsidRDefault="002A246B">
      <w:pPr>
        <w:jc w:val="both"/>
        <w:divId w:val="954292351"/>
        <w:rPr>
          <w:rFonts w:eastAsia="Times New Roman"/>
        </w:rPr>
      </w:pPr>
      <w:r>
        <w:rPr>
          <w:rFonts w:eastAsia="Times New Roman"/>
          <w:b/>
          <w:bCs/>
          <w:i/>
          <w:iCs/>
          <w:color w:val="000000"/>
          <w:sz w:val="20"/>
          <w:szCs w:val="20"/>
        </w:rPr>
        <w:t>Interest expense on borrowings</w:t>
      </w:r>
      <w:r>
        <w:rPr>
          <w:rFonts w:eastAsia="Times New Roman"/>
          <w:color w:val="000000"/>
          <w:sz w:val="20"/>
          <w:szCs w:val="20"/>
        </w:rPr>
        <w:t xml:space="preserve"> decreased to $0.6 million for the three months ended March 31, 2022 compared to $0.7 million for the three</w:t>
      </w:r>
      <w:r>
        <w:rPr>
          <w:rFonts w:eastAsia="Times New Roman"/>
          <w:color w:val="000000"/>
          <w:sz w:val="20"/>
          <w:szCs w:val="20"/>
        </w:rPr>
        <w:t xml:space="preserve"> months ended March 31, 2021.</w:t>
      </w:r>
    </w:p>
    <w:p w:rsidR="00000000" w:rsidRDefault="002A246B">
      <w:pPr>
        <w:jc w:val="both"/>
        <w:divId w:val="305814445"/>
        <w:rPr>
          <w:rFonts w:eastAsia="Times New Roman"/>
        </w:rPr>
      </w:pPr>
      <w:r>
        <w:rPr>
          <w:rFonts w:eastAsia="Times New Roman"/>
          <w:color w:val="000000"/>
          <w:sz w:val="20"/>
          <w:szCs w:val="20"/>
        </w:rPr>
        <w:t>Average borrowings decreased to $140.7 million for the quarter ended March 31, 2022 compared to $189.1 million for the quarter ended March 31, 2021. The average cost of borrowings increased to 1.69% for the quarter ended March</w:t>
      </w:r>
      <w:r>
        <w:rPr>
          <w:rFonts w:eastAsia="Times New Roman"/>
          <w:color w:val="000000"/>
          <w:sz w:val="20"/>
          <w:szCs w:val="20"/>
        </w:rPr>
        <w:t> 31, 2022 compared to 1.57% for the quarter ended March 31, 2021. The increase in cost of funds primarily resulted from higher market interest rates.</w:t>
      </w:r>
    </w:p>
    <w:p w:rsidR="00000000" w:rsidRDefault="002A246B">
      <w:pPr>
        <w:jc w:val="both"/>
        <w:divId w:val="655190404"/>
        <w:rPr>
          <w:rFonts w:eastAsia="Times New Roman"/>
        </w:rPr>
      </w:pPr>
    </w:p>
    <w:p w:rsidR="00000000" w:rsidRDefault="002A246B">
      <w:pPr>
        <w:jc w:val="center"/>
        <w:divId w:val="651833657"/>
        <w:rPr>
          <w:rFonts w:eastAsia="Times New Roman"/>
        </w:rPr>
      </w:pPr>
      <w:r>
        <w:rPr>
          <w:rFonts w:eastAsia="Times New Roman"/>
          <w:color w:val="000000"/>
          <w:sz w:val="20"/>
          <w:szCs w:val="20"/>
        </w:rPr>
        <w:t>40</w:t>
      </w:r>
    </w:p>
    <w:p w:rsidR="00000000" w:rsidRDefault="002A246B">
      <w:pPr>
        <w:rPr>
          <w:rFonts w:eastAsia="Times New Roman"/>
        </w:rPr>
      </w:pPr>
      <w:r>
        <w:rPr>
          <w:rFonts w:eastAsia="Times New Roman"/>
        </w:rPr>
        <w:pict>
          <v:rect id="_x0000_i1064" style="width:0;height:1.5pt" o:hralign="center" o:hrstd="t" o:hr="t" fillcolor="#a0a0a0" stroked="f"/>
        </w:pict>
      </w:r>
    </w:p>
    <w:p w:rsidR="00000000" w:rsidRDefault="002A246B">
      <w:pPr>
        <w:divId w:val="722675775"/>
        <w:rPr>
          <w:rFonts w:eastAsia="Times New Roman"/>
        </w:rPr>
      </w:pPr>
    </w:p>
    <w:p w:rsidR="00000000" w:rsidRDefault="002A246B">
      <w:pPr>
        <w:divId w:val="1413774149"/>
        <w:rPr>
          <w:rFonts w:eastAsia="Times New Roman"/>
        </w:rPr>
      </w:pPr>
      <w:r>
        <w:rPr>
          <w:rFonts w:eastAsia="Times New Roman"/>
          <w:b/>
          <w:bCs/>
          <w:i/>
          <w:iCs/>
          <w:color w:val="000000"/>
          <w:sz w:val="20"/>
          <w:szCs w:val="20"/>
        </w:rPr>
        <w:t>Non-interest Income and Expense</w:t>
      </w:r>
    </w:p>
    <w:p w:rsidR="00000000" w:rsidRDefault="002A246B">
      <w:pPr>
        <w:divId w:val="729965219"/>
        <w:rPr>
          <w:rFonts w:eastAsia="Times New Roman"/>
        </w:rPr>
      </w:pPr>
      <w:r>
        <w:rPr>
          <w:rFonts w:eastAsia="Times New Roman"/>
          <w:b/>
          <w:bCs/>
          <w:color w:val="000000"/>
          <w:sz w:val="20"/>
          <w:szCs w:val="20"/>
        </w:rPr>
        <w:t>Non-interest income for the periods indicated was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5171"/>
        <w:gridCol w:w="36"/>
        <w:gridCol w:w="36"/>
        <w:gridCol w:w="36"/>
        <w:gridCol w:w="36"/>
        <w:gridCol w:w="36"/>
        <w:gridCol w:w="36"/>
        <w:gridCol w:w="100"/>
        <w:gridCol w:w="413"/>
        <w:gridCol w:w="154"/>
        <w:gridCol w:w="100"/>
        <w:gridCol w:w="413"/>
        <w:gridCol w:w="154"/>
        <w:gridCol w:w="101"/>
        <w:gridCol w:w="591"/>
        <w:gridCol w:w="36"/>
        <w:gridCol w:w="36"/>
        <w:gridCol w:w="36"/>
        <w:gridCol w:w="36"/>
        <w:gridCol w:w="71"/>
        <w:gridCol w:w="487"/>
        <w:gridCol w:w="154"/>
      </w:tblGrid>
      <w:tr w:rsidR="00000000">
        <w:trPr>
          <w:divId w:val="956638716"/>
        </w:trPr>
        <w:tc>
          <w:tcPr>
            <w:tcW w:w="50" w:type="pct"/>
            <w:vAlign w:val="center"/>
            <w:hideMark/>
          </w:tcPr>
          <w:p w:rsidR="00000000" w:rsidRDefault="002A246B">
            <w:pPr>
              <w:rPr>
                <w:rFonts w:eastAsia="Times New Roman"/>
              </w:rPr>
            </w:pPr>
          </w:p>
        </w:tc>
        <w:tc>
          <w:tcPr>
            <w:tcW w:w="3301"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4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4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4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4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956638716"/>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956638716"/>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(Dollars in thousands)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 Change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 Change</w:t>
            </w:r>
          </w:p>
        </w:tc>
      </w:tr>
      <w:tr w:rsidR="00000000">
        <w:trPr>
          <w:divId w:val="95663871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Non-interest income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956638716"/>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Service charges and other fees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793 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739 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54 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7.3 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956638716"/>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Bank card income and fees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961 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860 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101 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11.7 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956638716"/>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Trust department income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340 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294 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15.6 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956638716"/>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Real estate servicing fees, net</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231 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158 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216.4 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956638716"/>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Gain on sales of mortgage loans, net</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888 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2,469 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(1,581)</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(64.0)</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956638716"/>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Other</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513 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137 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376 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274.5 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956638716"/>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 non-interest income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3,726 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4,572 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(846)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956638716"/>
        </w:trPr>
        <w:tc>
          <w:tcPr>
            <w:tcW w:w="0" w:type="auto"/>
            <w:gridSpan w:val="3"/>
            <w:tcBorders>
              <w:top w:val="double" w:sz="6" w:space="0" w:color="000000"/>
              <w:bottom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Non-interest income as a % of total revenue *</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2"/>
            <w:tcBorders>
              <w:top w:val="double" w:sz="6" w:space="0" w:color="000000"/>
              <w:bottom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20.8 </w:t>
            </w:r>
          </w:p>
        </w:tc>
        <w:tc>
          <w:tcPr>
            <w:tcW w:w="0" w:type="auto"/>
            <w:tcBorders>
              <w:top w:val="double" w:sz="6" w:space="0" w:color="000000"/>
              <w:bottom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2"/>
            <w:tcBorders>
              <w:top w:val="double" w:sz="6" w:space="0" w:color="000000"/>
              <w:bottom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24.1 </w:t>
            </w:r>
          </w:p>
        </w:tc>
        <w:tc>
          <w:tcPr>
            <w:tcW w:w="0" w:type="auto"/>
            <w:tcBorders>
              <w:top w:val="double" w:sz="6" w:space="0" w:color="000000"/>
              <w:bottom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Borders>
              <w:top w:val="double" w:sz="6" w:space="0" w:color="000000"/>
              <w:bottom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double" w:sz="6" w:space="0" w:color="000000"/>
              <w:bottom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bottom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bl>
    <w:p w:rsidR="00000000" w:rsidRDefault="002A246B">
      <w:pPr>
        <w:ind w:hanging="450"/>
        <w:divId w:val="1007709767"/>
        <w:rPr>
          <w:rFonts w:eastAsia="Times New Roman"/>
        </w:rPr>
      </w:pPr>
      <w:r>
        <w:rPr>
          <w:rFonts w:eastAsia="Times New Roman"/>
          <w:color w:val="000000"/>
          <w:sz w:val="16"/>
          <w:szCs w:val="16"/>
        </w:rPr>
        <w:t>*Total revenue is calculated as net interest income plus non-interest income.</w:t>
      </w:r>
    </w:p>
    <w:p w:rsidR="00000000" w:rsidRDefault="002A246B">
      <w:pPr>
        <w:jc w:val="both"/>
        <w:divId w:val="1167793608"/>
        <w:rPr>
          <w:rFonts w:eastAsia="Times New Roman"/>
        </w:rPr>
      </w:pPr>
      <w:r>
        <w:rPr>
          <w:rFonts w:eastAsia="Times New Roman"/>
          <w:b/>
          <w:bCs/>
          <w:i/>
          <w:iCs/>
          <w:color w:val="000000"/>
          <w:sz w:val="20"/>
          <w:szCs w:val="20"/>
        </w:rPr>
        <w:t>Total non-interest income</w:t>
      </w:r>
      <w:r>
        <w:rPr>
          <w:rFonts w:eastAsia="Times New Roman"/>
          <w:color w:val="000000"/>
          <w:sz w:val="20"/>
          <w:szCs w:val="20"/>
        </w:rPr>
        <w:t xml:space="preserve"> </w:t>
      </w:r>
      <w:r>
        <w:rPr>
          <w:rFonts w:eastAsia="Times New Roman"/>
          <w:color w:val="000000"/>
          <w:sz w:val="20"/>
          <w:szCs w:val="20"/>
        </w:rPr>
        <w:t>decreased $0.8 million, or 18.5%, to $3.7 million for the quarter ended March 31, 2022 compared to $4.6 million for the quarter ended March 31, 2021. The decrease was primarily due to the decrease in gain on sale of real estate mortgages due to lower volum</w:t>
      </w:r>
      <w:r>
        <w:rPr>
          <w:rFonts w:eastAsia="Times New Roman"/>
          <w:color w:val="000000"/>
          <w:sz w:val="20"/>
          <w:szCs w:val="20"/>
        </w:rPr>
        <w:t xml:space="preserve">es of real estate mortgage loans sold as further discussed below. </w:t>
      </w:r>
    </w:p>
    <w:p w:rsidR="00000000" w:rsidRDefault="002A246B">
      <w:pPr>
        <w:jc w:val="both"/>
        <w:divId w:val="2145393587"/>
        <w:rPr>
          <w:rFonts w:eastAsia="Times New Roman"/>
        </w:rPr>
      </w:pPr>
      <w:r>
        <w:rPr>
          <w:rFonts w:eastAsia="Times New Roman"/>
          <w:b/>
          <w:bCs/>
          <w:i/>
          <w:iCs/>
          <w:color w:val="000000"/>
          <w:sz w:val="20"/>
          <w:szCs w:val="20"/>
        </w:rPr>
        <w:t>Real estate servicing fees, net</w:t>
      </w:r>
      <w:r>
        <w:rPr>
          <w:rFonts w:eastAsia="Times New Roman"/>
          <w:color w:val="000000"/>
          <w:sz w:val="20"/>
          <w:szCs w:val="20"/>
        </w:rPr>
        <w:t xml:space="preserve"> </w:t>
      </w:r>
      <w:r>
        <w:rPr>
          <w:rFonts w:eastAsia="Times New Roman"/>
          <w:color w:val="000000"/>
          <w:sz w:val="20"/>
          <w:szCs w:val="20"/>
        </w:rPr>
        <w:t>of the change in valuation of mortgage servicing rights (MSRs) increased $0.2 million to $0.2 million for the quarter ended March 31, 2022 compared to $0.1 million for the quarter ended March 31, 2021.</w:t>
      </w:r>
    </w:p>
    <w:p w:rsidR="00000000" w:rsidRDefault="002A246B">
      <w:pPr>
        <w:jc w:val="both"/>
        <w:divId w:val="945968161"/>
        <w:rPr>
          <w:rFonts w:eastAsia="Times New Roman"/>
        </w:rPr>
      </w:pPr>
      <w:r>
        <w:rPr>
          <w:rFonts w:eastAsia="Times New Roman"/>
          <w:color w:val="000000"/>
          <w:sz w:val="20"/>
          <w:szCs w:val="20"/>
        </w:rPr>
        <w:t>Mortgage loan servicing fees earned on loans sold were</w:t>
      </w:r>
      <w:r>
        <w:rPr>
          <w:rFonts w:eastAsia="Times New Roman"/>
          <w:color w:val="000000"/>
          <w:sz w:val="20"/>
          <w:szCs w:val="20"/>
        </w:rPr>
        <w:t xml:space="preserve"> $0.3 million for the three months ended March 31, 2022 compared to $0.2 million for the three months ended March 31, 2021. The current quarter's MSR valuation increased $31,000 from the linked quarter primarily due to an increase in market rates. The Comp</w:t>
      </w:r>
      <w:r>
        <w:rPr>
          <w:rFonts w:eastAsia="Times New Roman"/>
          <w:color w:val="000000"/>
          <w:sz w:val="20"/>
          <w:szCs w:val="20"/>
        </w:rPr>
        <w:t>any was servicing $261.5 million of mortgage loans at March 31, 2022 compared to $270.0 million and $288.9 million at December 31, 2021 and March 31, 2021, respectively.</w:t>
      </w:r>
    </w:p>
    <w:p w:rsidR="00000000" w:rsidRDefault="002A246B">
      <w:pPr>
        <w:jc w:val="both"/>
        <w:divId w:val="146366204"/>
        <w:rPr>
          <w:rFonts w:eastAsia="Times New Roman"/>
        </w:rPr>
      </w:pPr>
      <w:r>
        <w:rPr>
          <w:rFonts w:eastAsia="Times New Roman"/>
          <w:b/>
          <w:bCs/>
          <w:i/>
          <w:iCs/>
          <w:color w:val="000000"/>
          <w:sz w:val="20"/>
          <w:szCs w:val="20"/>
        </w:rPr>
        <w:t>Gain on sales of mortgage loans</w:t>
      </w:r>
      <w:r>
        <w:rPr>
          <w:rFonts w:eastAsia="Times New Roman"/>
          <w:color w:val="000000"/>
          <w:sz w:val="20"/>
          <w:szCs w:val="20"/>
        </w:rPr>
        <w:t xml:space="preserve"> decreased $1.6 million to $0.9 million for the quarter</w:t>
      </w:r>
      <w:r>
        <w:rPr>
          <w:rFonts w:eastAsia="Times New Roman"/>
          <w:color w:val="000000"/>
          <w:sz w:val="20"/>
          <w:szCs w:val="20"/>
        </w:rPr>
        <w:t xml:space="preserve"> ended March 31, 2022 compared to $2.5 million for the quarter ended March 31, 2021. The Company sold $29.1 million of loans for the three months ended March 31, 2022 compared to $66.3 million for the three months ended March 31, 2021. Loans sold to the se</w:t>
      </w:r>
      <w:r>
        <w:rPr>
          <w:rFonts w:eastAsia="Times New Roman"/>
          <w:color w:val="000000"/>
          <w:sz w:val="20"/>
          <w:szCs w:val="20"/>
        </w:rPr>
        <w:t>condary market slowed after strong sales during the first six months of 2021.</w:t>
      </w:r>
    </w:p>
    <w:p w:rsidR="00000000" w:rsidRDefault="002A246B">
      <w:pPr>
        <w:jc w:val="both"/>
        <w:divId w:val="202326568"/>
        <w:rPr>
          <w:rFonts w:eastAsia="Times New Roman"/>
        </w:rPr>
      </w:pPr>
      <w:r>
        <w:rPr>
          <w:rFonts w:eastAsia="Times New Roman"/>
          <w:b/>
          <w:bCs/>
          <w:i/>
          <w:iCs/>
          <w:color w:val="000000"/>
          <w:sz w:val="20"/>
          <w:szCs w:val="20"/>
        </w:rPr>
        <w:t>Other Income</w:t>
      </w:r>
      <w:r>
        <w:rPr>
          <w:rFonts w:eastAsia="Times New Roman"/>
          <w:color w:val="000000"/>
          <w:sz w:val="20"/>
          <w:szCs w:val="20"/>
        </w:rPr>
        <w:t xml:space="preserve"> increased $0.4 million to $0.5 million for the quarter ended March 31, 2022 compared to $0.1 million for the quarter ended March 31, 2021. The increase primarily res</w:t>
      </w:r>
      <w:r>
        <w:rPr>
          <w:rFonts w:eastAsia="Times New Roman"/>
          <w:color w:val="000000"/>
          <w:sz w:val="20"/>
          <w:szCs w:val="20"/>
        </w:rPr>
        <w:t>ulted from mortgage banking derivative income, interest component of net pension cost, and income received from the Missouri Department of Transportation related to a land easement. During the fourth quarter of 2021 the Company elected to record the fair v</w:t>
      </w:r>
      <w:r>
        <w:rPr>
          <w:rFonts w:eastAsia="Times New Roman"/>
          <w:color w:val="000000"/>
          <w:sz w:val="20"/>
          <w:szCs w:val="20"/>
        </w:rPr>
        <w:t xml:space="preserve">alue of derivatives related to interest rate lock commitments and mandatory commitments and the related changes due to volume and rates through non-interest income and non-interest expense. </w:t>
      </w:r>
    </w:p>
    <w:p w:rsidR="00000000" w:rsidRDefault="002A246B">
      <w:pPr>
        <w:jc w:val="both"/>
        <w:divId w:val="127361055"/>
        <w:rPr>
          <w:rFonts w:eastAsia="Times New Roman"/>
        </w:rPr>
      </w:pPr>
      <w:r>
        <w:rPr>
          <w:rFonts w:eastAsia="Times New Roman"/>
          <w:color w:val="000000"/>
          <w:sz w:val="20"/>
          <w:szCs w:val="20"/>
        </w:rPr>
        <w:t xml:space="preserve">The following table presents the gross realized gains and losses </w:t>
      </w:r>
      <w:r>
        <w:rPr>
          <w:rFonts w:eastAsia="Times New Roman"/>
          <w:color w:val="000000"/>
          <w:sz w:val="20"/>
          <w:szCs w:val="20"/>
        </w:rPr>
        <w:t>from sales and calls of available-for-sale securities, as well as gains and losses on equity securities from fair value adjustments which have been recognized in earnings:</w:t>
      </w:r>
    </w:p>
    <w:tbl>
      <w:tblPr>
        <w:tblW w:w="5000" w:type="pct"/>
        <w:tblCellMar>
          <w:top w:w="15" w:type="dxa"/>
          <w:left w:w="15" w:type="dxa"/>
          <w:bottom w:w="15" w:type="dxa"/>
          <w:right w:w="15" w:type="dxa"/>
        </w:tblCellMar>
        <w:tblLook w:val="04A0" w:firstRow="1" w:lastRow="0" w:firstColumn="1" w:lastColumn="0" w:noHBand="0" w:noVBand="1"/>
      </w:tblPr>
      <w:tblGrid>
        <w:gridCol w:w="39"/>
        <w:gridCol w:w="5308"/>
        <w:gridCol w:w="38"/>
        <w:gridCol w:w="36"/>
        <w:gridCol w:w="46"/>
        <w:gridCol w:w="484"/>
        <w:gridCol w:w="36"/>
        <w:gridCol w:w="36"/>
        <w:gridCol w:w="36"/>
        <w:gridCol w:w="111"/>
        <w:gridCol w:w="921"/>
        <w:gridCol w:w="37"/>
        <w:gridCol w:w="36"/>
        <w:gridCol w:w="36"/>
        <w:gridCol w:w="36"/>
        <w:gridCol w:w="111"/>
        <w:gridCol w:w="923"/>
        <w:gridCol w:w="36"/>
      </w:tblGrid>
      <w:tr w:rsidR="00000000">
        <w:trPr>
          <w:divId w:val="2062823856"/>
        </w:trPr>
        <w:tc>
          <w:tcPr>
            <w:tcW w:w="50" w:type="pct"/>
            <w:vAlign w:val="center"/>
            <w:hideMark/>
          </w:tcPr>
          <w:p w:rsidR="00000000" w:rsidRDefault="002A246B">
            <w:pPr>
              <w:jc w:val="both"/>
              <w:rPr>
                <w:rFonts w:eastAsia="Times New Roman"/>
              </w:rPr>
            </w:pPr>
          </w:p>
        </w:tc>
        <w:tc>
          <w:tcPr>
            <w:tcW w:w="346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4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4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2062823856"/>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2062823856"/>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2021</w:t>
            </w:r>
          </w:p>
        </w:tc>
      </w:tr>
      <w:tr w:rsidR="00000000">
        <w:trPr>
          <w:divId w:val="206282385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i/>
                <w:iCs/>
                <w:color w:val="000000"/>
                <w:sz w:val="18"/>
                <w:szCs w:val="18"/>
              </w:rPr>
              <w:t>Investment securities (losses) gains, net</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2062823856"/>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8"/>
                <w:szCs w:val="18"/>
              </w:rPr>
              <w:t>Available-for-sale securities: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2062823856"/>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Gross realized gains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2</w:t>
            </w:r>
          </w:p>
        </w:tc>
      </w:tr>
      <w:tr w:rsidR="00000000">
        <w:trPr>
          <w:divId w:val="2062823856"/>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Gross realized losses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2062823856"/>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Other-than-temporary impairment recognized</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w:t>
            </w:r>
          </w:p>
        </w:tc>
      </w:tr>
      <w:tr w:rsidR="00000000">
        <w:trPr>
          <w:divId w:val="2062823856"/>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8"/>
                <w:szCs w:val="18"/>
              </w:rPr>
              <w:t>Other investment securities: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2062823856"/>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Fair value adjustments, net</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12 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2062823856"/>
        </w:trPr>
        <w:tc>
          <w:tcPr>
            <w:tcW w:w="0" w:type="auto"/>
            <w:gridSpan w:val="3"/>
            <w:tcBorders>
              <w:top w:val="single" w:sz="6" w:space="0" w:color="000000"/>
              <w:bottom w:val="doub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8"/>
                <w:szCs w:val="18"/>
              </w:rPr>
              <w:t>Investment securities (losses) gains, net</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gridSpan w:val="2"/>
            <w:tcBorders>
              <w:top w:val="single" w:sz="6" w:space="0" w:color="000000"/>
              <w:bottom w:val="double" w:sz="6" w:space="0" w:color="000000"/>
            </w:tcBorders>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(4)</w:t>
            </w: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gridSpan w:val="2"/>
            <w:tcBorders>
              <w:top w:val="single" w:sz="6" w:space="0" w:color="000000"/>
              <w:bottom w:val="double" w:sz="6" w:space="0" w:color="000000"/>
            </w:tcBorders>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14</w:t>
            </w:r>
          </w:p>
        </w:tc>
      </w:tr>
    </w:tbl>
    <w:p w:rsidR="00000000" w:rsidRDefault="002A246B">
      <w:pPr>
        <w:jc w:val="center"/>
        <w:divId w:val="894510349"/>
        <w:rPr>
          <w:rFonts w:eastAsia="Times New Roman"/>
        </w:rPr>
      </w:pPr>
      <w:r>
        <w:rPr>
          <w:rFonts w:eastAsia="Times New Roman"/>
          <w:color w:val="000000"/>
          <w:sz w:val="20"/>
          <w:szCs w:val="20"/>
        </w:rPr>
        <w:t>41</w:t>
      </w:r>
    </w:p>
    <w:p w:rsidR="00000000" w:rsidRDefault="002A246B">
      <w:pPr>
        <w:rPr>
          <w:rFonts w:eastAsia="Times New Roman"/>
        </w:rPr>
      </w:pPr>
      <w:r>
        <w:rPr>
          <w:rFonts w:eastAsia="Times New Roman"/>
        </w:rPr>
        <w:pict>
          <v:rect id="_x0000_i1065" style="width:0;height:1.5pt" o:hralign="center" o:hrstd="t" o:hr="t" fillcolor="#a0a0a0" stroked="f"/>
        </w:pict>
      </w:r>
    </w:p>
    <w:p w:rsidR="00000000" w:rsidRDefault="002A246B">
      <w:pPr>
        <w:divId w:val="662273731"/>
        <w:rPr>
          <w:rFonts w:eastAsia="Times New Roman"/>
        </w:rPr>
      </w:pPr>
    </w:p>
    <w:p w:rsidR="00000000" w:rsidRDefault="002A246B">
      <w:pPr>
        <w:divId w:val="2103792653"/>
        <w:rPr>
          <w:rFonts w:eastAsia="Times New Roman"/>
        </w:rPr>
      </w:pPr>
      <w:r>
        <w:rPr>
          <w:rFonts w:eastAsia="Times New Roman"/>
          <w:b/>
          <w:bCs/>
          <w:color w:val="000000"/>
          <w:sz w:val="20"/>
          <w:szCs w:val="20"/>
        </w:rPr>
        <w:t>Non-interest expense for the periods indicated was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770"/>
        <w:gridCol w:w="37"/>
        <w:gridCol w:w="36"/>
        <w:gridCol w:w="46"/>
        <w:gridCol w:w="36"/>
        <w:gridCol w:w="36"/>
        <w:gridCol w:w="36"/>
        <w:gridCol w:w="36"/>
        <w:gridCol w:w="36"/>
        <w:gridCol w:w="36"/>
        <w:gridCol w:w="100"/>
        <w:gridCol w:w="513"/>
        <w:gridCol w:w="154"/>
        <w:gridCol w:w="100"/>
        <w:gridCol w:w="590"/>
        <w:gridCol w:w="154"/>
        <w:gridCol w:w="101"/>
        <w:gridCol w:w="594"/>
        <w:gridCol w:w="36"/>
        <w:gridCol w:w="36"/>
        <w:gridCol w:w="36"/>
        <w:gridCol w:w="36"/>
        <w:gridCol w:w="63"/>
        <w:gridCol w:w="496"/>
        <w:gridCol w:w="154"/>
      </w:tblGrid>
      <w:tr w:rsidR="00000000">
        <w:trPr>
          <w:divId w:val="412312995"/>
        </w:trPr>
        <w:tc>
          <w:tcPr>
            <w:tcW w:w="50" w:type="pct"/>
            <w:vAlign w:val="center"/>
            <w:hideMark/>
          </w:tcPr>
          <w:p w:rsidR="00000000" w:rsidRDefault="002A246B">
            <w:pPr>
              <w:rPr>
                <w:rFonts w:eastAsia="Times New Roman"/>
              </w:rPr>
            </w:pPr>
          </w:p>
        </w:tc>
        <w:tc>
          <w:tcPr>
            <w:tcW w:w="30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2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2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61"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9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412312995"/>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Three Months Ended March 31,</w:t>
            </w: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412312995"/>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(Dollars in thousands)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2021</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 Change</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 Change</w:t>
            </w:r>
          </w:p>
        </w:tc>
      </w:tr>
      <w:tr w:rsidR="00000000">
        <w:trPr>
          <w:divId w:val="412312995"/>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Non-interest expense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412312995"/>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Salaries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5,156 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5,342 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(187)</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(3.5)</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412312995"/>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Employee benefits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1,730 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1,804 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(73)</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(4.1)</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412312995"/>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Occupancy expense, net</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786 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771 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15 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1.9 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412312995"/>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Furniture and equipment expense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755 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744 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11 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1.5 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412312995"/>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Processing, network and bank card expense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1,142 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1,007 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135 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13.4 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412312995"/>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Legal, examination, and professional fees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440 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404 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36 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8.9 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412312995"/>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Advertising and promotion</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293 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243 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50 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20.6 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412312995"/>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Postage, printing, and supplies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190 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204 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(14)</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(6.9)</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412312995"/>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Loan expense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145 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174 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(29)</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(16.7)</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412312995"/>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Other</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1,590 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1,087 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503 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46.3 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412312995"/>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 non-interest expense</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12,227 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11,780 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412312995"/>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Efficiency ratio*</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68.4 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62.1 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412312995"/>
        </w:trPr>
        <w:tc>
          <w:tcPr>
            <w:tcW w:w="0" w:type="auto"/>
            <w:gridSpan w:val="3"/>
            <w:tcBorders>
              <w:bottom w:val="sing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Number of full-time equivalent employees</w:t>
            </w:r>
          </w:p>
        </w:tc>
        <w:tc>
          <w:tcPr>
            <w:tcW w:w="0" w:type="auto"/>
            <w:vAlign w:val="center"/>
            <w:hideMark/>
          </w:tcPr>
          <w:p w:rsidR="00000000" w:rsidRDefault="002A246B">
            <w:pPr>
              <w:spacing w:after="100"/>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2"/>
            <w:tcBorders>
              <w:bottom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306 </w:t>
            </w:r>
          </w:p>
        </w:tc>
        <w:tc>
          <w:tcPr>
            <w:tcW w:w="0" w:type="auto"/>
            <w:tcBorders>
              <w:bottom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tcBorders>
              <w:bottom w:val="single" w:sz="6" w:space="0" w:color="000000"/>
            </w:tcBorders>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304 </w:t>
            </w:r>
          </w:p>
        </w:tc>
        <w:tc>
          <w:tcPr>
            <w:tcW w:w="0" w:type="auto"/>
            <w:tcBorders>
              <w:bottom w:val="sing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bl>
    <w:p w:rsidR="00000000" w:rsidRDefault="002A246B">
      <w:pPr>
        <w:ind w:hanging="450"/>
        <w:divId w:val="1267733837"/>
        <w:rPr>
          <w:rFonts w:eastAsia="Times New Roman"/>
        </w:rPr>
      </w:pPr>
      <w:r>
        <w:rPr>
          <w:rFonts w:eastAsia="Times New Roman"/>
          <w:color w:val="000000"/>
          <w:sz w:val="16"/>
          <w:szCs w:val="16"/>
        </w:rPr>
        <w:t>*Efficiency ratio is calculated as non-interest expense as a percent of revenue. Total revenue is calculated as net interest income plus non-interest income.</w:t>
      </w:r>
    </w:p>
    <w:p w:rsidR="00000000" w:rsidRDefault="002A246B">
      <w:pPr>
        <w:jc w:val="both"/>
        <w:divId w:val="964967580"/>
        <w:rPr>
          <w:rFonts w:eastAsia="Times New Roman"/>
        </w:rPr>
      </w:pPr>
      <w:r>
        <w:rPr>
          <w:rFonts w:eastAsia="Times New Roman"/>
          <w:b/>
          <w:bCs/>
          <w:i/>
          <w:iCs/>
          <w:color w:val="000000"/>
          <w:sz w:val="20"/>
          <w:szCs w:val="20"/>
        </w:rPr>
        <w:t>Total non-interest expense</w:t>
      </w:r>
      <w:r>
        <w:rPr>
          <w:rFonts w:eastAsia="Times New Roman"/>
          <w:color w:val="000000"/>
          <w:sz w:val="20"/>
          <w:szCs w:val="20"/>
        </w:rPr>
        <w:t xml:space="preserve"> increased $0.4 million to $12.2 million for the quarter ended March 3</w:t>
      </w:r>
      <w:r>
        <w:rPr>
          <w:rFonts w:eastAsia="Times New Roman"/>
          <w:color w:val="000000"/>
          <w:sz w:val="20"/>
          <w:szCs w:val="20"/>
        </w:rPr>
        <w:t>1, 2022 compared to $11.8 million for the quarter ended March 31, 2021.</w:t>
      </w:r>
    </w:p>
    <w:p w:rsidR="00000000" w:rsidRDefault="002A246B">
      <w:pPr>
        <w:jc w:val="both"/>
        <w:divId w:val="1028217879"/>
        <w:rPr>
          <w:rFonts w:eastAsia="Times New Roman"/>
        </w:rPr>
      </w:pPr>
      <w:r>
        <w:rPr>
          <w:rFonts w:eastAsia="Times New Roman"/>
          <w:b/>
          <w:bCs/>
          <w:i/>
          <w:iCs/>
          <w:color w:val="000000"/>
          <w:sz w:val="20"/>
          <w:szCs w:val="20"/>
        </w:rPr>
        <w:t>Salaries</w:t>
      </w:r>
      <w:r>
        <w:rPr>
          <w:rFonts w:eastAsia="Times New Roman"/>
          <w:color w:val="000000"/>
          <w:sz w:val="20"/>
          <w:szCs w:val="20"/>
        </w:rPr>
        <w:t xml:space="preserve"> decreased $0.2 million, or 3.5%, to $5.2 million for the quarter ended March 31, 2022 compared to $5.3 million for the quarter ended March 31, 2021 primarily due to reduced co</w:t>
      </w:r>
      <w:r>
        <w:rPr>
          <w:rFonts w:eastAsia="Times New Roman"/>
          <w:color w:val="000000"/>
          <w:sz w:val="20"/>
          <w:szCs w:val="20"/>
        </w:rPr>
        <w:t xml:space="preserve">mmissions based on loan volume. See </w:t>
      </w:r>
      <w:r>
        <w:rPr>
          <w:rFonts w:eastAsia="Times New Roman"/>
          <w:i/>
          <w:iCs/>
          <w:color w:val="000000"/>
          <w:sz w:val="20"/>
          <w:szCs w:val="20"/>
        </w:rPr>
        <w:t>Gains on sales of mortgage loans</w:t>
      </w:r>
      <w:r>
        <w:rPr>
          <w:rFonts w:eastAsia="Times New Roman"/>
          <w:color w:val="000000"/>
          <w:sz w:val="20"/>
          <w:szCs w:val="20"/>
        </w:rPr>
        <w:t xml:space="preserve"> discussion above.</w:t>
      </w:r>
    </w:p>
    <w:p w:rsidR="00000000" w:rsidRDefault="002A246B">
      <w:pPr>
        <w:jc w:val="both"/>
        <w:divId w:val="255751372"/>
        <w:rPr>
          <w:rFonts w:eastAsia="Times New Roman"/>
        </w:rPr>
      </w:pPr>
      <w:r>
        <w:rPr>
          <w:rFonts w:eastAsia="Times New Roman"/>
          <w:b/>
          <w:bCs/>
          <w:i/>
          <w:iCs/>
          <w:color w:val="000000"/>
          <w:sz w:val="20"/>
          <w:szCs w:val="20"/>
        </w:rPr>
        <w:t>Employee benefits</w:t>
      </w:r>
      <w:r>
        <w:rPr>
          <w:rFonts w:eastAsia="Times New Roman"/>
          <w:color w:val="000000"/>
          <w:sz w:val="20"/>
          <w:szCs w:val="20"/>
        </w:rPr>
        <w:t xml:space="preserve"> decreased $0.1 million, or 4.1%, to $1.7 million for the quarter ended March 31, 2022 compared to $1.8 million for the quarter ended March 31, 2021. Th</w:t>
      </w:r>
      <w:r>
        <w:rPr>
          <w:rFonts w:eastAsia="Times New Roman"/>
          <w:color w:val="000000"/>
          <w:sz w:val="20"/>
          <w:szCs w:val="20"/>
        </w:rPr>
        <w:t>e decreases were primarily due to a decrease in 401(k) plan contributions partially offset by an increase in medical premiums and pension cost due to lower annual discount rate assumptions compared to the prior year's annual assumptions.</w:t>
      </w:r>
    </w:p>
    <w:p w:rsidR="00000000" w:rsidRDefault="002A246B">
      <w:pPr>
        <w:divId w:val="1782676957"/>
        <w:rPr>
          <w:rFonts w:eastAsia="Times New Roman"/>
        </w:rPr>
      </w:pPr>
      <w:r>
        <w:rPr>
          <w:rFonts w:eastAsia="Times New Roman"/>
          <w:b/>
          <w:bCs/>
          <w:i/>
          <w:iCs/>
          <w:color w:val="000000"/>
          <w:sz w:val="20"/>
          <w:szCs w:val="20"/>
        </w:rPr>
        <w:t>Processing, networ</w:t>
      </w:r>
      <w:r>
        <w:rPr>
          <w:rFonts w:eastAsia="Times New Roman"/>
          <w:b/>
          <w:bCs/>
          <w:i/>
          <w:iCs/>
          <w:color w:val="000000"/>
          <w:sz w:val="20"/>
          <w:szCs w:val="20"/>
        </w:rPr>
        <w:t>k, and bank card expense</w:t>
      </w:r>
      <w:r>
        <w:rPr>
          <w:rFonts w:eastAsia="Times New Roman"/>
          <w:color w:val="000000"/>
          <w:sz w:val="20"/>
          <w:szCs w:val="20"/>
        </w:rPr>
        <w:t xml:space="preserve"> increased $0.1 million, or 13.4%, to $1.1 million for the quarter ended March 31, 2022 compared to $1.0 million for the quarter ended March 31, 2021. These increases were primarily related to increases in debit card processing and </w:t>
      </w:r>
      <w:r>
        <w:rPr>
          <w:rFonts w:eastAsia="Times New Roman"/>
          <w:color w:val="000000"/>
          <w:sz w:val="20"/>
          <w:szCs w:val="20"/>
        </w:rPr>
        <w:t xml:space="preserve">ATM interchange expenses, partially offset by decreases in network and processing expenses. </w:t>
      </w:r>
    </w:p>
    <w:p w:rsidR="00000000" w:rsidRDefault="002A246B">
      <w:pPr>
        <w:jc w:val="both"/>
        <w:divId w:val="968782817"/>
        <w:rPr>
          <w:rFonts w:eastAsia="Times New Roman"/>
        </w:rPr>
      </w:pPr>
      <w:r>
        <w:rPr>
          <w:rFonts w:eastAsia="Times New Roman"/>
          <w:b/>
          <w:bCs/>
          <w:i/>
          <w:iCs/>
          <w:color w:val="000000"/>
          <w:sz w:val="20"/>
          <w:szCs w:val="20"/>
        </w:rPr>
        <w:t>Other non-interest expense</w:t>
      </w:r>
      <w:r>
        <w:rPr>
          <w:rFonts w:eastAsia="Times New Roman"/>
          <w:color w:val="000000"/>
          <w:sz w:val="20"/>
          <w:szCs w:val="20"/>
        </w:rPr>
        <w:t xml:space="preserve"> increased $0.5 million, or 46.3%, to $1.6 million for the quarter ended March 31, 2022 compared to $1.1 million for the quarter ended Ma</w:t>
      </w:r>
      <w:r>
        <w:rPr>
          <w:rFonts w:eastAsia="Times New Roman"/>
          <w:color w:val="000000"/>
          <w:sz w:val="20"/>
          <w:szCs w:val="20"/>
        </w:rPr>
        <w:t>rch 31, 2021. The increases were primarily related to mortgage banking derivative expense, telephone, travel, donations and software expense, partially offset by a decrease in FDIC insurance assessments. During the fourth quarter of 2021 the Company electe</w:t>
      </w:r>
      <w:r>
        <w:rPr>
          <w:rFonts w:eastAsia="Times New Roman"/>
          <w:color w:val="000000"/>
          <w:sz w:val="20"/>
          <w:szCs w:val="20"/>
        </w:rPr>
        <w:t>d to record the fair value of derivatives related to interest rate lock commitments and mandatory commitments and the related changes due to volume and rates through non-interest income and non-interest expense.</w:t>
      </w:r>
    </w:p>
    <w:p w:rsidR="00000000" w:rsidRDefault="002A246B">
      <w:pPr>
        <w:divId w:val="850070770"/>
        <w:rPr>
          <w:rFonts w:eastAsia="Times New Roman"/>
        </w:rPr>
      </w:pPr>
      <w:r>
        <w:rPr>
          <w:rFonts w:eastAsia="Times New Roman"/>
          <w:b/>
          <w:bCs/>
          <w:i/>
          <w:iCs/>
          <w:color w:val="000000"/>
          <w:sz w:val="20"/>
          <w:szCs w:val="20"/>
        </w:rPr>
        <w:t>Income taxes</w:t>
      </w:r>
    </w:p>
    <w:p w:rsidR="00000000" w:rsidRDefault="002A246B">
      <w:pPr>
        <w:jc w:val="both"/>
        <w:divId w:val="722097731"/>
        <w:rPr>
          <w:rFonts w:eastAsia="Times New Roman"/>
        </w:rPr>
      </w:pPr>
      <w:r>
        <w:rPr>
          <w:rFonts w:eastAsia="Times New Roman"/>
          <w:color w:val="000000"/>
          <w:sz w:val="20"/>
          <w:szCs w:val="20"/>
        </w:rPr>
        <w:t>Income taxes as a percentage of</w:t>
      </w:r>
      <w:r>
        <w:rPr>
          <w:rFonts w:eastAsia="Times New Roman"/>
          <w:color w:val="000000"/>
          <w:sz w:val="20"/>
          <w:szCs w:val="20"/>
        </w:rPr>
        <w:t xml:space="preserve"> earnings before income taxes as reported in the consolidated financial statements were 18.8% for the three months ended March 31, 2022 compared to 18.9% for the three months ended March 31, 2021. </w:t>
      </w:r>
    </w:p>
    <w:p w:rsidR="00000000" w:rsidRDefault="002A246B">
      <w:pPr>
        <w:jc w:val="both"/>
        <w:divId w:val="1883050458"/>
        <w:rPr>
          <w:rFonts w:eastAsia="Times New Roman"/>
        </w:rPr>
      </w:pPr>
      <w:r>
        <w:rPr>
          <w:rFonts w:eastAsia="Times New Roman"/>
          <w:color w:val="000000"/>
          <w:sz w:val="20"/>
          <w:szCs w:val="20"/>
        </w:rPr>
        <w:t>The decrease in the effective tax rate for the three month</w:t>
      </w:r>
      <w:r>
        <w:rPr>
          <w:rFonts w:eastAsia="Times New Roman"/>
          <w:color w:val="000000"/>
          <w:sz w:val="20"/>
          <w:szCs w:val="20"/>
        </w:rPr>
        <w:t>s ended March 31, 2022 compared to the three months ended March 31, 2021 was primarily attributable to the increase in earnings and an increase in state taxes attributed to elevated earnings partially offset by the benefit recorded pertaining to the histor</w:t>
      </w:r>
      <w:r>
        <w:rPr>
          <w:rFonts w:eastAsia="Times New Roman"/>
          <w:color w:val="000000"/>
          <w:sz w:val="20"/>
          <w:szCs w:val="20"/>
        </w:rPr>
        <w:t>ical tax credit. The effective tax rate for each of the three months ended March 31, 2022 and 2021, respectively, is lower than the U.S. federal statutory rate of 21% primarily due to tax-free revenues.</w:t>
      </w:r>
    </w:p>
    <w:p w:rsidR="00000000" w:rsidRDefault="002A246B">
      <w:pPr>
        <w:jc w:val="center"/>
        <w:divId w:val="2017609575"/>
        <w:rPr>
          <w:rFonts w:eastAsia="Times New Roman"/>
        </w:rPr>
      </w:pPr>
      <w:r>
        <w:rPr>
          <w:rFonts w:eastAsia="Times New Roman"/>
          <w:color w:val="000000"/>
          <w:sz w:val="20"/>
          <w:szCs w:val="20"/>
        </w:rPr>
        <w:t>42</w:t>
      </w:r>
    </w:p>
    <w:p w:rsidR="00000000" w:rsidRDefault="002A246B">
      <w:pPr>
        <w:rPr>
          <w:rFonts w:eastAsia="Times New Roman"/>
        </w:rPr>
      </w:pPr>
      <w:r>
        <w:rPr>
          <w:rFonts w:eastAsia="Times New Roman"/>
        </w:rPr>
        <w:pict>
          <v:rect id="_x0000_i1066" style="width:0;height:1.5pt" o:hralign="center" o:hrstd="t" o:hr="t" fillcolor="#a0a0a0" stroked="f"/>
        </w:pict>
      </w:r>
    </w:p>
    <w:p w:rsidR="00000000" w:rsidRDefault="002A246B">
      <w:pPr>
        <w:divId w:val="1374042621"/>
        <w:rPr>
          <w:rFonts w:eastAsia="Times New Roman"/>
        </w:rPr>
      </w:pPr>
    </w:p>
    <w:p w:rsidR="00000000" w:rsidRDefault="002A246B">
      <w:pPr>
        <w:jc w:val="both"/>
        <w:divId w:val="1102142135"/>
        <w:rPr>
          <w:rFonts w:eastAsia="Times New Roman"/>
        </w:rPr>
      </w:pPr>
      <w:r>
        <w:rPr>
          <w:rFonts w:eastAsia="Times New Roman"/>
          <w:color w:val="000000"/>
          <w:sz w:val="20"/>
          <w:szCs w:val="20"/>
        </w:rPr>
        <w:t xml:space="preserve">Included in </w:t>
      </w:r>
      <w:r>
        <w:rPr>
          <w:rFonts w:eastAsia="Times New Roman"/>
          <w:color w:val="000000"/>
          <w:sz w:val="20"/>
          <w:szCs w:val="20"/>
        </w:rPr>
        <w:t xml:space="preserve">the effective tax rate for the quarter ended March 31, 2022 is a $13,000 benefit associated with a historic tax credit investment. The investment is expected to generate a $321,000 tax benefit over the life of the project and is being recognized under the </w:t>
      </w:r>
      <w:r>
        <w:rPr>
          <w:rFonts w:eastAsia="Times New Roman"/>
          <w:color w:val="000000"/>
          <w:sz w:val="20"/>
          <w:szCs w:val="20"/>
        </w:rPr>
        <w:t xml:space="preserve">deferral method of accounting. </w:t>
      </w:r>
    </w:p>
    <w:p w:rsidR="00000000" w:rsidRDefault="002A246B">
      <w:pPr>
        <w:divId w:val="1246305984"/>
        <w:rPr>
          <w:rFonts w:eastAsia="Times New Roman"/>
        </w:rPr>
      </w:pPr>
      <w:r>
        <w:rPr>
          <w:rFonts w:eastAsia="Times New Roman"/>
          <w:b/>
          <w:bCs/>
          <w:color w:val="000000"/>
          <w:sz w:val="20"/>
          <w:szCs w:val="20"/>
        </w:rPr>
        <w:t>Lending and Credit Management</w:t>
      </w:r>
    </w:p>
    <w:p w:rsidR="00000000" w:rsidRDefault="002A246B">
      <w:pPr>
        <w:jc w:val="both"/>
        <w:divId w:val="934478204"/>
        <w:rPr>
          <w:rFonts w:eastAsia="Times New Roman"/>
        </w:rPr>
      </w:pPr>
      <w:r>
        <w:rPr>
          <w:rFonts w:eastAsia="Times New Roman"/>
          <w:color w:val="000000"/>
          <w:sz w:val="20"/>
          <w:szCs w:val="20"/>
        </w:rPr>
        <w:t>Interest earned on the loan portfolio is a primary source of interest income for the Company. Net loans represented 76.0% of total assets as of March 31, 2022 compared to 70.2% as of December 31</w:t>
      </w:r>
      <w:r>
        <w:rPr>
          <w:rFonts w:eastAsia="Times New Roman"/>
          <w:color w:val="000000"/>
          <w:sz w:val="20"/>
          <w:szCs w:val="20"/>
        </w:rPr>
        <w:t>, 2021.</w:t>
      </w:r>
    </w:p>
    <w:p w:rsidR="00000000" w:rsidRDefault="002A246B">
      <w:pPr>
        <w:jc w:val="both"/>
        <w:divId w:val="195705717"/>
        <w:rPr>
          <w:rFonts w:eastAsia="Times New Roman"/>
        </w:rPr>
      </w:pPr>
      <w:r>
        <w:rPr>
          <w:rFonts w:eastAsia="Times New Roman"/>
          <w:color w:val="000000"/>
          <w:sz w:val="20"/>
          <w:szCs w:val="20"/>
        </w:rPr>
        <w:t>Lending activities are conducted pursuant to an established loan policy approved by the Bank’s Board of Directors. The Bank’s credit review process is overseen by regional loan committees with established loan approval limits. In addition, a senior</w:t>
      </w:r>
      <w:r>
        <w:rPr>
          <w:rFonts w:eastAsia="Times New Roman"/>
          <w:color w:val="000000"/>
          <w:sz w:val="20"/>
          <w:szCs w:val="20"/>
        </w:rPr>
        <w:t xml:space="preserve"> loan committee reviews all credit relationships in aggregate over an established dollar amount. The senior loan committee meets weekly and is comprised of senior managers of the Bank.</w:t>
      </w:r>
    </w:p>
    <w:p w:rsidR="00000000" w:rsidRDefault="002A246B">
      <w:pPr>
        <w:jc w:val="both"/>
        <w:divId w:val="162860135"/>
        <w:rPr>
          <w:rFonts w:eastAsia="Times New Roman"/>
        </w:rPr>
      </w:pPr>
      <w:r>
        <w:rPr>
          <w:rFonts w:eastAsia="Times New Roman"/>
          <w:color w:val="000000"/>
          <w:sz w:val="20"/>
          <w:szCs w:val="20"/>
        </w:rPr>
        <w:t>Major classifications within the Company’s held for investment loan por</w:t>
      </w:r>
      <w:r>
        <w:rPr>
          <w:rFonts w:eastAsia="Times New Roman"/>
          <w:color w:val="000000"/>
          <w:sz w:val="20"/>
          <w:szCs w:val="20"/>
        </w:rPr>
        <w:t>tfolio as of the dates indicated is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389"/>
        <w:gridCol w:w="37"/>
        <w:gridCol w:w="120"/>
        <w:gridCol w:w="1016"/>
        <w:gridCol w:w="36"/>
        <w:gridCol w:w="38"/>
        <w:gridCol w:w="997"/>
        <w:gridCol w:w="187"/>
        <w:gridCol w:w="36"/>
        <w:gridCol w:w="36"/>
        <w:gridCol w:w="36"/>
        <w:gridCol w:w="120"/>
        <w:gridCol w:w="961"/>
        <w:gridCol w:w="36"/>
        <w:gridCol w:w="38"/>
        <w:gridCol w:w="998"/>
        <w:gridCol w:w="187"/>
      </w:tblGrid>
      <w:tr w:rsidR="00000000">
        <w:trPr>
          <w:divId w:val="1031880427"/>
        </w:trPr>
        <w:tc>
          <w:tcPr>
            <w:tcW w:w="50" w:type="pct"/>
            <w:vAlign w:val="center"/>
            <w:hideMark/>
          </w:tcPr>
          <w:p w:rsidR="00000000" w:rsidRDefault="002A246B">
            <w:pPr>
              <w:jc w:val="both"/>
              <w:rPr>
                <w:rFonts w:eastAsia="Times New Roman"/>
              </w:rPr>
            </w:pPr>
          </w:p>
        </w:tc>
        <w:tc>
          <w:tcPr>
            <w:tcW w:w="208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4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4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4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4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031880427"/>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December 31, 2021</w:t>
            </w:r>
          </w:p>
        </w:tc>
      </w:tr>
      <w:tr w:rsidR="00000000">
        <w:trPr>
          <w:divId w:val="1031880427"/>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(Dollars 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 of Loans</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 of Loans</w:t>
            </w:r>
          </w:p>
        </w:tc>
      </w:tr>
      <w:tr w:rsidR="00000000">
        <w:trPr>
          <w:divId w:val="1031880427"/>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Commercial, financial, and agricultural (a)</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221,015 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16.6 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217,214 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16.7 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1031880427"/>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divId w:val="1711420922"/>
              <w:rPr>
                <w:rFonts w:eastAsia="Times New Roman"/>
              </w:rPr>
            </w:pPr>
            <w:r>
              <w:rPr>
                <w:rFonts w:eastAsia="Times New Roman"/>
                <w:color w:val="000000"/>
                <w:sz w:val="20"/>
                <w:szCs w:val="20"/>
              </w:rPr>
              <w:t xml:space="preserve">Real estate construction </w:t>
            </w:r>
            <w:r>
              <w:rPr>
                <w:rFonts w:ascii="Calibri" w:eastAsia="Times New Roman" w:hAnsi="Calibri" w:cs="Calibri"/>
                <w:color w:val="000000"/>
                <w:sz w:val="20"/>
                <w:szCs w:val="20"/>
              </w:rPr>
              <w:t>−</w:t>
            </w:r>
            <w:r>
              <w:rPr>
                <w:rFonts w:eastAsia="Times New Roman"/>
                <w:color w:val="000000"/>
                <w:sz w:val="20"/>
                <w:szCs w:val="20"/>
              </w:rPr>
              <w:t xml:space="preserve"> residential</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21,515 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27,920 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031880427"/>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divId w:val="1320769526"/>
              <w:rPr>
                <w:rFonts w:eastAsia="Times New Roman"/>
              </w:rPr>
            </w:pPr>
            <w:r>
              <w:rPr>
                <w:rFonts w:eastAsia="Times New Roman"/>
                <w:color w:val="000000"/>
                <w:sz w:val="20"/>
                <w:szCs w:val="20"/>
                <w:shd w:val="clear" w:color="auto" w:fill="CCEEFF"/>
              </w:rPr>
              <w:t xml:space="preserve">Real estate construction </w:t>
            </w:r>
            <w:r>
              <w:rPr>
                <w:rFonts w:ascii="Calibri" w:eastAsia="Times New Roman" w:hAnsi="Calibri" w:cs="Calibri"/>
                <w:color w:val="000000"/>
                <w:sz w:val="20"/>
                <w:szCs w:val="20"/>
                <w:shd w:val="clear" w:color="auto" w:fill="CCEEFF"/>
              </w:rPr>
              <w:t>−</w:t>
            </w:r>
            <w:r>
              <w:rPr>
                <w:rFonts w:eastAsia="Times New Roman"/>
                <w:color w:val="000000"/>
                <w:sz w:val="20"/>
                <w:szCs w:val="20"/>
                <w:shd w:val="clear" w:color="auto" w:fill="CCEEFF"/>
              </w:rPr>
              <w:t xml:space="preserve"> commercial</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103,478 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91,369 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031880427"/>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divId w:val="205875097"/>
              <w:rPr>
                <w:rFonts w:eastAsia="Times New Roman"/>
              </w:rPr>
            </w:pPr>
            <w:r>
              <w:rPr>
                <w:rFonts w:eastAsia="Times New Roman"/>
                <w:color w:val="000000"/>
                <w:sz w:val="20"/>
                <w:szCs w:val="20"/>
              </w:rPr>
              <w:t xml:space="preserve">Real estate mortgage </w:t>
            </w:r>
            <w:r>
              <w:rPr>
                <w:rFonts w:ascii="Calibri" w:eastAsia="Times New Roman" w:hAnsi="Calibri" w:cs="Calibri"/>
                <w:color w:val="000000"/>
                <w:sz w:val="20"/>
                <w:szCs w:val="20"/>
              </w:rPr>
              <w:t>−</w:t>
            </w:r>
            <w:r>
              <w:rPr>
                <w:rFonts w:eastAsia="Times New Roman"/>
                <w:color w:val="000000"/>
                <w:sz w:val="20"/>
                <w:szCs w:val="20"/>
              </w:rPr>
              <w:t xml:space="preserve"> residential</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287,879 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21.6 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279,346 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21.5 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031880427"/>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divId w:val="1964342122"/>
              <w:rPr>
                <w:rFonts w:eastAsia="Times New Roman"/>
              </w:rPr>
            </w:pPr>
            <w:r>
              <w:rPr>
                <w:rFonts w:eastAsia="Times New Roman"/>
                <w:color w:val="000000"/>
                <w:sz w:val="20"/>
                <w:szCs w:val="20"/>
                <w:shd w:val="clear" w:color="auto" w:fill="CCEEFF"/>
              </w:rPr>
              <w:t xml:space="preserve">Real estate mortgage </w:t>
            </w:r>
            <w:r>
              <w:rPr>
                <w:rFonts w:ascii="Calibri" w:eastAsia="Times New Roman" w:hAnsi="Calibri" w:cs="Calibri"/>
                <w:color w:val="000000"/>
                <w:sz w:val="20"/>
                <w:szCs w:val="20"/>
                <w:shd w:val="clear" w:color="auto" w:fill="CCEEFF"/>
              </w:rPr>
              <w:t>−</w:t>
            </w:r>
            <w:r>
              <w:rPr>
                <w:rFonts w:eastAsia="Times New Roman"/>
                <w:color w:val="000000"/>
                <w:sz w:val="20"/>
                <w:szCs w:val="20"/>
                <w:shd w:val="clear" w:color="auto" w:fill="CCEEFF"/>
              </w:rPr>
              <w:t xml:space="preserve"> commercial</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677,539 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50.8 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663,256 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50.9 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031880427"/>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Installment and other consumer</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22,497 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23,028 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031880427"/>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 loans held for investment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1,333,923 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1,302,133 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bl>
    <w:p w:rsidR="00000000" w:rsidRDefault="002A246B">
      <w:pPr>
        <w:ind w:hanging="450"/>
        <w:divId w:val="1621840178"/>
        <w:rPr>
          <w:rFonts w:eastAsia="Times New Roman"/>
        </w:rPr>
      </w:pPr>
      <w:r>
        <w:rPr>
          <w:rFonts w:eastAsia="Times New Roman"/>
          <w:color w:val="000000"/>
          <w:sz w:val="16"/>
          <w:szCs w:val="16"/>
        </w:rPr>
        <w:t>(a)Includes $2.3 million and $8.4 million of SBA PPP loans, net as of March 31, 2022 and December 31, 2021, respectively.</w:t>
      </w:r>
    </w:p>
    <w:p w:rsidR="00000000" w:rsidRDefault="002A246B">
      <w:pPr>
        <w:jc w:val="both"/>
        <w:divId w:val="172578161"/>
        <w:rPr>
          <w:rFonts w:eastAsia="Times New Roman"/>
        </w:rPr>
      </w:pPr>
      <w:r>
        <w:rPr>
          <w:rFonts w:eastAsia="Times New Roman"/>
          <w:color w:val="000000"/>
          <w:sz w:val="20"/>
          <w:szCs w:val="20"/>
        </w:rPr>
        <w:t>The Company extends credit to its local community markets through traditional real e</w:t>
      </w:r>
      <w:r>
        <w:rPr>
          <w:rFonts w:eastAsia="Times New Roman"/>
          <w:color w:val="000000"/>
          <w:sz w:val="20"/>
          <w:szCs w:val="20"/>
        </w:rPr>
        <w:t xml:space="preserve">state mortgage products. The Company does not participate in extending credit to sub-prime residential real estate markets. The Company does not lend funds for transactions defined as “highly leveraged” by bank regulatory authorities or for foreign loans. </w:t>
      </w:r>
      <w:r>
        <w:rPr>
          <w:rFonts w:eastAsia="Times New Roman"/>
          <w:color w:val="000000"/>
          <w:sz w:val="20"/>
          <w:szCs w:val="20"/>
        </w:rPr>
        <w:t>Additionally, the Company does not have any concentrations of loans exceeding 10% of total loans that are not otherwise disclosed in the loan portfolio composition table. The Company does not have any interest-earning assets that would have been included i</w:t>
      </w:r>
      <w:r>
        <w:rPr>
          <w:rFonts w:eastAsia="Times New Roman"/>
          <w:color w:val="000000"/>
          <w:sz w:val="20"/>
          <w:szCs w:val="20"/>
        </w:rPr>
        <w:t>n non-accrual, past due, or restructured loans if such assets were loans.</w:t>
      </w:r>
    </w:p>
    <w:p w:rsidR="00000000" w:rsidRDefault="002A246B">
      <w:pPr>
        <w:jc w:val="both"/>
        <w:divId w:val="23867611"/>
        <w:rPr>
          <w:rFonts w:eastAsia="Times New Roman"/>
        </w:rPr>
      </w:pPr>
      <w:r>
        <w:rPr>
          <w:rFonts w:eastAsia="Times New Roman"/>
          <w:color w:val="000000"/>
          <w:sz w:val="20"/>
          <w:szCs w:val="20"/>
        </w:rPr>
        <w:t xml:space="preserve">The Company generally does not retain long-term fixed rate residential mortgage loans in its portfolio. Fixed rate loans conforming to standards required by the secondary market are </w:t>
      </w:r>
      <w:r>
        <w:rPr>
          <w:rFonts w:eastAsia="Times New Roman"/>
          <w:color w:val="000000"/>
          <w:sz w:val="20"/>
          <w:szCs w:val="20"/>
        </w:rPr>
        <w:t>offered to qualified borrowers but are not funded until the Company has a non-recourse purchase commitment from the secondary market at a predetermined price. During the three months ended March 31, 2022, the Company sold approximately $29.1 million of loa</w:t>
      </w:r>
      <w:r>
        <w:rPr>
          <w:rFonts w:eastAsia="Times New Roman"/>
          <w:color w:val="000000"/>
          <w:sz w:val="20"/>
          <w:szCs w:val="20"/>
        </w:rPr>
        <w:t>ns to investors compared to $66.3 million for the three months ended March 31, 2021. At March 31, 2022, the Company was servicing approximately $261.5 million of loans sold to the secondary market compared to $270.0 million at December 31, 2021, and $288.9</w:t>
      </w:r>
      <w:r>
        <w:rPr>
          <w:rFonts w:eastAsia="Times New Roman"/>
          <w:color w:val="000000"/>
          <w:sz w:val="20"/>
          <w:szCs w:val="20"/>
        </w:rPr>
        <w:t xml:space="preserve"> million at March 31, 2021.</w:t>
      </w:r>
    </w:p>
    <w:p w:rsidR="00000000" w:rsidRDefault="002A246B">
      <w:pPr>
        <w:divId w:val="1454010916"/>
        <w:rPr>
          <w:rFonts w:eastAsia="Times New Roman"/>
        </w:rPr>
      </w:pPr>
      <w:r>
        <w:rPr>
          <w:rFonts w:eastAsia="Times New Roman"/>
          <w:i/>
          <w:iCs/>
          <w:color w:val="000000"/>
          <w:sz w:val="20"/>
          <w:szCs w:val="20"/>
        </w:rPr>
        <w:t>Risk Elements of the Loan Portfolio</w:t>
      </w:r>
    </w:p>
    <w:p w:rsidR="00000000" w:rsidRDefault="002A246B">
      <w:pPr>
        <w:jc w:val="both"/>
        <w:divId w:val="1756704547"/>
        <w:rPr>
          <w:rFonts w:eastAsia="Times New Roman"/>
        </w:rPr>
      </w:pPr>
      <w:r>
        <w:rPr>
          <w:rFonts w:eastAsia="Times New Roman"/>
          <w:color w:val="000000"/>
          <w:sz w:val="20"/>
          <w:szCs w:val="20"/>
        </w:rPr>
        <w:t xml:space="preserve">Management, the senior loan committee, and internal loan review, formally review all loans in excess of certain dollar amounts (periodically established) at least annually. Loans in excess of </w:t>
      </w:r>
      <w:r>
        <w:rPr>
          <w:rFonts w:eastAsia="Times New Roman"/>
          <w:color w:val="000000"/>
          <w:sz w:val="20"/>
          <w:szCs w:val="20"/>
        </w:rPr>
        <w:t>$2.0 million in aggregate and all adversely classified credits identified by management are reviewed by the senior loan committee. In addition, all other loans are reviewed on a risk weighted selection process. The senior loan committee reviews and reports</w:t>
      </w:r>
      <w:r>
        <w:rPr>
          <w:rFonts w:eastAsia="Times New Roman"/>
          <w:color w:val="000000"/>
          <w:sz w:val="20"/>
          <w:szCs w:val="20"/>
        </w:rPr>
        <w:t xml:space="preserve"> to the Board of Directors, at scheduled meetings: past due, classified, and watch list loans in order to classify or reclassify loans as loans requiring attention, substandard, doubtful, or loss. During this review, management also determines which loans </w:t>
      </w:r>
      <w:r>
        <w:rPr>
          <w:rFonts w:eastAsia="Times New Roman"/>
          <w:color w:val="000000"/>
          <w:sz w:val="20"/>
          <w:szCs w:val="20"/>
        </w:rPr>
        <w:t>should be considered impaired. Management follows the guidance provided in the Financial Accounting Standards Board's (FASB) ASC Topic 310-10-35 in identifying and measuring loan impairment. If management determines that it is probable that all amounts due</w:t>
      </w:r>
      <w:r>
        <w:rPr>
          <w:rFonts w:eastAsia="Times New Roman"/>
          <w:color w:val="000000"/>
          <w:sz w:val="20"/>
          <w:szCs w:val="20"/>
        </w:rPr>
        <w:t xml:space="preserve"> on a loan will not be collected under the original terms of the loan agreement, the loan is considered impaired. These loans are evaluated individually for impairment, and in conjunction with current economic conditions and loss experience, specific reser</w:t>
      </w:r>
      <w:r>
        <w:rPr>
          <w:rFonts w:eastAsia="Times New Roman"/>
          <w:color w:val="000000"/>
          <w:sz w:val="20"/>
          <w:szCs w:val="20"/>
        </w:rPr>
        <w:t xml:space="preserve">ves are estimated as further discussed below. Loans not individually evaluated are aggregated and reserves are recorded using a consistent methodology that considers historical loan loss experience by loan type, </w:t>
      </w:r>
    </w:p>
    <w:p w:rsidR="00000000" w:rsidRDefault="002A246B">
      <w:pPr>
        <w:jc w:val="center"/>
        <w:divId w:val="1828742452"/>
        <w:rPr>
          <w:rFonts w:eastAsia="Times New Roman"/>
        </w:rPr>
      </w:pPr>
      <w:r>
        <w:rPr>
          <w:rFonts w:eastAsia="Times New Roman"/>
          <w:color w:val="000000"/>
          <w:sz w:val="20"/>
          <w:szCs w:val="20"/>
        </w:rPr>
        <w:t>43</w:t>
      </w:r>
    </w:p>
    <w:p w:rsidR="00000000" w:rsidRDefault="002A246B">
      <w:pPr>
        <w:rPr>
          <w:rFonts w:eastAsia="Times New Roman"/>
        </w:rPr>
      </w:pPr>
      <w:r>
        <w:rPr>
          <w:rFonts w:eastAsia="Times New Roman"/>
        </w:rPr>
        <w:pict>
          <v:rect id="_x0000_i1067" style="width:0;height:1.5pt" o:hralign="center" o:hrstd="t" o:hr="t" fillcolor="#a0a0a0" stroked="f"/>
        </w:pict>
      </w:r>
    </w:p>
    <w:p w:rsidR="00000000" w:rsidRDefault="002A246B">
      <w:pPr>
        <w:divId w:val="840967325"/>
        <w:rPr>
          <w:rFonts w:eastAsia="Times New Roman"/>
        </w:rPr>
      </w:pPr>
    </w:p>
    <w:p w:rsidR="00000000" w:rsidRDefault="002A246B">
      <w:pPr>
        <w:jc w:val="both"/>
        <w:divId w:val="1601984213"/>
        <w:rPr>
          <w:rFonts w:eastAsia="Times New Roman"/>
        </w:rPr>
      </w:pPr>
      <w:r>
        <w:rPr>
          <w:rFonts w:eastAsia="Times New Roman"/>
          <w:color w:val="000000"/>
          <w:sz w:val="20"/>
          <w:szCs w:val="20"/>
        </w:rPr>
        <w:t>de</w:t>
      </w:r>
      <w:r>
        <w:rPr>
          <w:rFonts w:eastAsia="Times New Roman"/>
          <w:color w:val="000000"/>
          <w:sz w:val="20"/>
          <w:szCs w:val="20"/>
        </w:rPr>
        <w:t>linquencies, current economic conditions, loan risk ratings and industry concentration. Management believes, but there can be no assurance, that these procedures keep management informed of potential problem loans. Based upon these procedures, both the all</w:t>
      </w:r>
      <w:r>
        <w:rPr>
          <w:rFonts w:eastAsia="Times New Roman"/>
          <w:color w:val="000000"/>
          <w:sz w:val="20"/>
          <w:szCs w:val="20"/>
        </w:rPr>
        <w:t>owance and provision for loan losses are adjusted to maintain the allowance at a level considered necessary by management to provide for probable losses inherent in the loan portfolio.</w:t>
      </w:r>
    </w:p>
    <w:p w:rsidR="00000000" w:rsidRDefault="002A246B">
      <w:pPr>
        <w:divId w:val="1349521955"/>
        <w:rPr>
          <w:rFonts w:eastAsia="Times New Roman"/>
        </w:rPr>
      </w:pPr>
      <w:r>
        <w:rPr>
          <w:rFonts w:eastAsia="Times New Roman"/>
          <w:i/>
          <w:iCs/>
          <w:color w:val="000000"/>
          <w:sz w:val="20"/>
          <w:szCs w:val="20"/>
        </w:rPr>
        <w:t>Non-performing Assets</w:t>
      </w:r>
    </w:p>
    <w:p w:rsidR="00000000" w:rsidRDefault="002A246B">
      <w:pPr>
        <w:jc w:val="both"/>
        <w:divId w:val="1535771846"/>
        <w:rPr>
          <w:rFonts w:eastAsia="Times New Roman"/>
        </w:rPr>
      </w:pPr>
      <w:r>
        <w:rPr>
          <w:rFonts w:eastAsia="Times New Roman"/>
          <w:color w:val="000000"/>
          <w:sz w:val="20"/>
          <w:szCs w:val="20"/>
        </w:rPr>
        <w:t>The following table summarizes non-performing ass</w:t>
      </w:r>
      <w:r>
        <w:rPr>
          <w:rFonts w:eastAsia="Times New Roman"/>
          <w:color w:val="000000"/>
          <w:sz w:val="20"/>
          <w:szCs w:val="20"/>
        </w:rPr>
        <w:t>ets at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565"/>
        <w:gridCol w:w="37"/>
        <w:gridCol w:w="121"/>
        <w:gridCol w:w="933"/>
        <w:gridCol w:w="187"/>
        <w:gridCol w:w="37"/>
        <w:gridCol w:w="111"/>
        <w:gridCol w:w="36"/>
        <w:gridCol w:w="121"/>
        <w:gridCol w:w="933"/>
        <w:gridCol w:w="187"/>
      </w:tblGrid>
      <w:tr w:rsidR="00000000">
        <w:trPr>
          <w:divId w:val="902057396"/>
        </w:trPr>
        <w:tc>
          <w:tcPr>
            <w:tcW w:w="50" w:type="pct"/>
            <w:vAlign w:val="center"/>
            <w:hideMark/>
          </w:tcPr>
          <w:p w:rsidR="00000000" w:rsidRDefault="002A246B">
            <w:pPr>
              <w:jc w:val="both"/>
              <w:rPr>
                <w:rFonts w:eastAsia="Times New Roman"/>
              </w:rPr>
            </w:pPr>
          </w:p>
        </w:tc>
        <w:tc>
          <w:tcPr>
            <w:tcW w:w="350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4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4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902057396"/>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March 31,</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December 31,</w:t>
            </w:r>
          </w:p>
        </w:tc>
      </w:tr>
      <w:tr w:rsidR="00000000">
        <w:trPr>
          <w:divId w:val="902057396"/>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(Dollars in thousands)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2021</w:t>
            </w:r>
          </w:p>
        </w:tc>
      </w:tr>
      <w:tr w:rsidR="00000000">
        <w:trPr>
          <w:divId w:val="902057396"/>
        </w:trPr>
        <w:tc>
          <w:tcPr>
            <w:tcW w:w="0" w:type="auto"/>
            <w:gridSpan w:val="3"/>
            <w:vAlign w:val="center"/>
            <w:hideMark/>
          </w:tcPr>
          <w:p w:rsidR="00000000" w:rsidRDefault="002A246B">
            <w:pPr>
              <w:spacing w:after="100"/>
              <w:jc w:val="center"/>
              <w:rPr>
                <w:rFonts w:eastAsia="Times New Roman"/>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902057396"/>
        </w:trPr>
        <w:tc>
          <w:tcPr>
            <w:tcW w:w="0" w:type="auto"/>
            <w:gridSpan w:val="3"/>
            <w:tcBorders>
              <w:top w:val="single" w:sz="8" w:space="0" w:color="000000"/>
            </w:tcBorders>
            <w:shd w:val="clear" w:color="auto" w:fill="FFFFFF"/>
            <w:tcMar>
              <w:top w:w="30" w:type="dxa"/>
              <w:left w:w="8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Non-accrual loans: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902057396"/>
        </w:trPr>
        <w:tc>
          <w:tcPr>
            <w:tcW w:w="0" w:type="auto"/>
            <w:gridSpan w:val="3"/>
            <w:shd w:val="clear" w:color="auto" w:fill="CCEEFF"/>
            <w:tcMar>
              <w:top w:w="30" w:type="dxa"/>
              <w:left w:w="20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Commercial, financial, and agricultural</w:t>
            </w: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136</w:t>
            </w:r>
          </w:p>
        </w:tc>
        <w:tc>
          <w:tcPr>
            <w:tcW w:w="0" w:type="auto"/>
            <w:gridSpan w:val="3"/>
            <w:shd w:val="clear" w:color="auto" w:fill="CCEEFF"/>
            <w:tcMar>
              <w:top w:w="0" w:type="dxa"/>
              <w:left w:w="20" w:type="dxa"/>
              <w:bottom w:w="0" w:type="dxa"/>
              <w:right w:w="140" w:type="dxa"/>
            </w:tcMar>
            <w:vAlign w:val="center"/>
            <w:hideMark/>
          </w:tcPr>
          <w:p w:rsidR="00000000" w:rsidRDefault="002A246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153</w:t>
            </w:r>
          </w:p>
        </w:tc>
      </w:tr>
      <w:tr w:rsidR="00000000">
        <w:trPr>
          <w:divId w:val="902057396"/>
        </w:trPr>
        <w:tc>
          <w:tcPr>
            <w:tcW w:w="0" w:type="auto"/>
            <w:gridSpan w:val="3"/>
            <w:vAlign w:val="center"/>
            <w:hideMark/>
          </w:tcPr>
          <w:p w:rsidR="00000000" w:rsidRDefault="002A246B">
            <w:pPr>
              <w:spacing w:after="100"/>
              <w:jc w:val="right"/>
              <w:rPr>
                <w:rFonts w:eastAsia="Times New Roman"/>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902057396"/>
        </w:trPr>
        <w:tc>
          <w:tcPr>
            <w:tcW w:w="0" w:type="auto"/>
            <w:gridSpan w:val="3"/>
            <w:shd w:val="clear" w:color="auto" w:fill="FFFFFF"/>
            <w:tcMar>
              <w:top w:w="30" w:type="dxa"/>
              <w:left w:w="20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FFFFFF"/>
            <w:tcMar>
              <w:top w:w="30" w:type="dxa"/>
              <w:left w:w="2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100</w:t>
            </w:r>
          </w:p>
        </w:tc>
        <w:tc>
          <w:tcPr>
            <w:tcW w:w="0" w:type="auto"/>
            <w:gridSpan w:val="3"/>
            <w:shd w:val="clear" w:color="auto" w:fill="FFFFFF"/>
            <w:tcMar>
              <w:top w:w="0" w:type="dxa"/>
              <w:left w:w="20" w:type="dxa"/>
              <w:bottom w:w="0" w:type="dxa"/>
              <w:right w:w="14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105</w:t>
            </w:r>
          </w:p>
        </w:tc>
      </w:tr>
      <w:tr w:rsidR="00000000">
        <w:trPr>
          <w:divId w:val="902057396"/>
        </w:trPr>
        <w:tc>
          <w:tcPr>
            <w:tcW w:w="0" w:type="auto"/>
            <w:gridSpan w:val="3"/>
            <w:shd w:val="clear" w:color="auto" w:fill="CCEEFF"/>
            <w:tcMar>
              <w:top w:w="30" w:type="dxa"/>
              <w:left w:w="20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gridSpan w:val="3"/>
            <w:shd w:val="clear" w:color="auto" w:fill="CCEEFF"/>
            <w:tcMar>
              <w:top w:w="30" w:type="dxa"/>
              <w:left w:w="2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1,258</w:t>
            </w:r>
          </w:p>
        </w:tc>
        <w:tc>
          <w:tcPr>
            <w:tcW w:w="0" w:type="auto"/>
            <w:gridSpan w:val="3"/>
            <w:shd w:val="clear" w:color="auto" w:fill="CCEEFF"/>
            <w:tcMar>
              <w:top w:w="0" w:type="dxa"/>
              <w:left w:w="20" w:type="dxa"/>
              <w:bottom w:w="0" w:type="dxa"/>
              <w:right w:w="14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1,129</w:t>
            </w:r>
          </w:p>
        </w:tc>
      </w:tr>
      <w:tr w:rsidR="00000000">
        <w:trPr>
          <w:divId w:val="902057396"/>
        </w:trPr>
        <w:tc>
          <w:tcPr>
            <w:tcW w:w="0" w:type="auto"/>
            <w:gridSpan w:val="3"/>
            <w:shd w:val="clear" w:color="auto" w:fill="FFFFFF"/>
            <w:tcMar>
              <w:top w:w="30" w:type="dxa"/>
              <w:left w:w="20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FFFFFF"/>
            <w:tcMar>
              <w:top w:w="30" w:type="dxa"/>
              <w:left w:w="2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15,477</w:t>
            </w:r>
          </w:p>
        </w:tc>
        <w:tc>
          <w:tcPr>
            <w:tcW w:w="0" w:type="auto"/>
            <w:gridSpan w:val="3"/>
            <w:shd w:val="clear" w:color="auto" w:fill="FFFFFF"/>
            <w:tcMar>
              <w:top w:w="0" w:type="dxa"/>
              <w:left w:w="20" w:type="dxa"/>
              <w:bottom w:w="0" w:type="dxa"/>
              <w:right w:w="14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24,029</w:t>
            </w:r>
          </w:p>
        </w:tc>
      </w:tr>
      <w:tr w:rsidR="00000000">
        <w:trPr>
          <w:divId w:val="902057396"/>
        </w:trPr>
        <w:tc>
          <w:tcPr>
            <w:tcW w:w="0" w:type="auto"/>
            <w:gridSpan w:val="3"/>
            <w:shd w:val="clear" w:color="auto" w:fill="CCEEFF"/>
            <w:tcMar>
              <w:top w:w="30" w:type="dxa"/>
              <w:left w:w="20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Installment and other consumer</w:t>
            </w:r>
          </w:p>
        </w:tc>
        <w:tc>
          <w:tcPr>
            <w:tcW w:w="0" w:type="auto"/>
            <w:gridSpan w:val="3"/>
            <w:shd w:val="clear" w:color="auto" w:fill="CCEEFF"/>
            <w:tcMar>
              <w:top w:w="30" w:type="dxa"/>
              <w:left w:w="2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125</w:t>
            </w:r>
          </w:p>
        </w:tc>
        <w:tc>
          <w:tcPr>
            <w:tcW w:w="0" w:type="auto"/>
            <w:gridSpan w:val="3"/>
            <w:shd w:val="clear" w:color="auto" w:fill="CCEEFF"/>
            <w:tcMar>
              <w:top w:w="0" w:type="dxa"/>
              <w:left w:w="20" w:type="dxa"/>
              <w:bottom w:w="0" w:type="dxa"/>
              <w:right w:w="14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43</w:t>
            </w:r>
          </w:p>
        </w:tc>
      </w:tr>
      <w:tr w:rsidR="00000000">
        <w:trPr>
          <w:divId w:val="902057396"/>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17,096</w:t>
            </w:r>
          </w:p>
        </w:tc>
        <w:tc>
          <w:tcPr>
            <w:tcW w:w="0" w:type="auto"/>
            <w:gridSpan w:val="3"/>
            <w:tcBorders>
              <w:top w:val="single" w:sz="8" w:space="0" w:color="000000"/>
            </w:tcBorders>
            <w:shd w:val="clear" w:color="auto" w:fill="FFFFFF"/>
            <w:tcMar>
              <w:top w:w="0" w:type="dxa"/>
              <w:left w:w="20" w:type="dxa"/>
              <w:bottom w:w="0" w:type="dxa"/>
              <w:right w:w="140" w:type="dxa"/>
            </w:tcMar>
            <w:vAlign w:val="center"/>
            <w:hideMark/>
          </w:tcPr>
          <w:p w:rsidR="00000000" w:rsidRDefault="002A246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25,459</w:t>
            </w:r>
          </w:p>
        </w:tc>
      </w:tr>
      <w:tr w:rsidR="00000000">
        <w:trPr>
          <w:divId w:val="90205739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Loans contractually past - due 90 days or more and still accruing:</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902057396"/>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902057396"/>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902057396"/>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902057396"/>
        </w:trPr>
        <w:tc>
          <w:tcPr>
            <w:tcW w:w="0" w:type="auto"/>
            <w:gridSpan w:val="3"/>
            <w:shd w:val="clear" w:color="auto" w:fill="FFFFFF"/>
            <w:tcMar>
              <w:top w:w="30" w:type="dxa"/>
              <w:left w:w="20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140" w:type="dxa"/>
            </w:tcMar>
            <w:vAlign w:val="center"/>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14</w:t>
            </w:r>
          </w:p>
        </w:tc>
      </w:tr>
      <w:tr w:rsidR="00000000">
        <w:trPr>
          <w:divId w:val="902057396"/>
        </w:trPr>
        <w:tc>
          <w:tcPr>
            <w:tcW w:w="0" w:type="auto"/>
            <w:gridSpan w:val="3"/>
            <w:vAlign w:val="center"/>
            <w:hideMark/>
          </w:tcPr>
          <w:p w:rsidR="00000000" w:rsidRDefault="002A246B">
            <w:pPr>
              <w:spacing w:after="100"/>
              <w:jc w:val="right"/>
              <w:rPr>
                <w:rFonts w:eastAsia="Times New Roman"/>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902057396"/>
        </w:trPr>
        <w:tc>
          <w:tcPr>
            <w:tcW w:w="0" w:type="auto"/>
            <w:gridSpan w:val="3"/>
            <w:shd w:val="clear" w:color="auto" w:fill="CCEEFF"/>
            <w:tcMar>
              <w:top w:w="30" w:type="dxa"/>
              <w:left w:w="20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Installment and other consumer</w:t>
            </w:r>
          </w:p>
        </w:tc>
        <w:tc>
          <w:tcPr>
            <w:tcW w:w="0" w:type="auto"/>
            <w:gridSpan w:val="3"/>
            <w:shd w:val="clear" w:color="auto" w:fill="CCEEFF"/>
            <w:tcMar>
              <w:top w:w="30" w:type="dxa"/>
              <w:left w:w="2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3</w:t>
            </w:r>
          </w:p>
        </w:tc>
        <w:tc>
          <w:tcPr>
            <w:tcW w:w="0" w:type="auto"/>
            <w:gridSpan w:val="3"/>
            <w:shd w:val="clear" w:color="auto" w:fill="CCEEFF"/>
            <w:tcMar>
              <w:top w:w="0" w:type="dxa"/>
              <w:left w:w="20" w:type="dxa"/>
              <w:bottom w:w="0" w:type="dxa"/>
              <w:right w:w="14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902057396"/>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3</w:t>
            </w:r>
          </w:p>
        </w:tc>
        <w:tc>
          <w:tcPr>
            <w:tcW w:w="0" w:type="auto"/>
            <w:gridSpan w:val="3"/>
            <w:tcBorders>
              <w:top w:val="single" w:sz="8" w:space="0" w:color="000000"/>
            </w:tcBorders>
            <w:shd w:val="clear" w:color="auto" w:fill="FFFFFF"/>
            <w:tcMar>
              <w:top w:w="0" w:type="dxa"/>
              <w:left w:w="20" w:type="dxa"/>
              <w:bottom w:w="0" w:type="dxa"/>
              <w:right w:w="140" w:type="dxa"/>
            </w:tcMar>
            <w:vAlign w:val="center"/>
            <w:hideMark/>
          </w:tcPr>
          <w:p w:rsidR="00000000" w:rsidRDefault="002A246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14</w:t>
            </w:r>
          </w:p>
        </w:tc>
      </w:tr>
      <w:tr w:rsidR="00000000">
        <w:trPr>
          <w:divId w:val="90205739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 non-performing loans (a)</w:t>
            </w: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17,099</w:t>
            </w:r>
          </w:p>
        </w:tc>
        <w:tc>
          <w:tcPr>
            <w:tcW w:w="0" w:type="auto"/>
            <w:gridSpan w:val="3"/>
            <w:tcBorders>
              <w:top w:val="single" w:sz="8" w:space="0" w:color="000000"/>
            </w:tcBorders>
            <w:shd w:val="clear" w:color="auto" w:fill="CCEEFF"/>
            <w:tcMar>
              <w:top w:w="0" w:type="dxa"/>
              <w:left w:w="20" w:type="dxa"/>
              <w:bottom w:w="0" w:type="dxa"/>
              <w:right w:w="14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25,473</w:t>
            </w:r>
          </w:p>
        </w:tc>
      </w:tr>
      <w:tr w:rsidR="00000000">
        <w:trPr>
          <w:divId w:val="902057396"/>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Other real estate owned and repossessed assets</w:t>
            </w:r>
          </w:p>
        </w:tc>
        <w:tc>
          <w:tcPr>
            <w:tcW w:w="0" w:type="auto"/>
            <w:gridSpan w:val="3"/>
            <w:shd w:val="clear" w:color="auto" w:fill="FFFFFF"/>
            <w:tcMar>
              <w:top w:w="30" w:type="dxa"/>
              <w:left w:w="2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9,758</w:t>
            </w:r>
          </w:p>
        </w:tc>
        <w:tc>
          <w:tcPr>
            <w:tcW w:w="0" w:type="auto"/>
            <w:gridSpan w:val="3"/>
            <w:shd w:val="clear" w:color="auto" w:fill="FFFFFF"/>
            <w:tcMar>
              <w:top w:w="0" w:type="dxa"/>
              <w:left w:w="20" w:type="dxa"/>
              <w:bottom w:w="0" w:type="dxa"/>
              <w:right w:w="14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10,525</w:t>
            </w:r>
          </w:p>
        </w:tc>
      </w:tr>
      <w:tr w:rsidR="00000000">
        <w:trPr>
          <w:divId w:val="90205739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 non-performing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26,857</w:t>
            </w:r>
          </w:p>
        </w:tc>
        <w:tc>
          <w:tcPr>
            <w:tcW w:w="0" w:type="auto"/>
            <w:gridSpan w:val="3"/>
            <w:tcBorders>
              <w:top w:val="single" w:sz="8" w:space="0" w:color="000000"/>
            </w:tcBorders>
            <w:shd w:val="clear" w:color="auto" w:fill="CCEEFF"/>
            <w:tcMar>
              <w:top w:w="0" w:type="dxa"/>
              <w:left w:w="20" w:type="dxa"/>
              <w:bottom w:w="0" w:type="dxa"/>
              <w:right w:w="140" w:type="dxa"/>
            </w:tcMar>
            <w:vAlign w:val="center"/>
            <w:hideMark/>
          </w:tcPr>
          <w:p w:rsidR="00000000" w:rsidRDefault="002A246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35,998</w:t>
            </w:r>
          </w:p>
        </w:tc>
      </w:tr>
      <w:tr w:rsidR="00000000">
        <w:trPr>
          <w:divId w:val="902057396"/>
          <w:trHeight w:val="18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double" w:sz="6" w:space="0" w:color="000000"/>
            </w:tcBorders>
            <w:shd w:val="clear" w:color="auto" w:fill="FFFFFF"/>
            <w:tcMar>
              <w:top w:w="0" w:type="dxa"/>
              <w:left w:w="14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14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140" w:type="dxa"/>
              <w:bottom w:w="0" w:type="dxa"/>
              <w:right w:w="20" w:type="dxa"/>
            </w:tcMar>
            <w:vAlign w:val="center"/>
            <w:hideMark/>
          </w:tcPr>
          <w:p w:rsidR="00000000" w:rsidRDefault="002A246B">
            <w:pPr>
              <w:spacing w:after="100"/>
              <w:rPr>
                <w:rFonts w:eastAsia="Times New Roman"/>
                <w:sz w:val="20"/>
                <w:szCs w:val="20"/>
              </w:rPr>
            </w:pPr>
          </w:p>
        </w:tc>
      </w:tr>
      <w:tr w:rsidR="00000000">
        <w:trPr>
          <w:divId w:val="902057396"/>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Loans held for investment</w:t>
            </w: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1,333,923</w:t>
            </w:r>
          </w:p>
        </w:tc>
        <w:tc>
          <w:tcPr>
            <w:tcW w:w="0" w:type="auto"/>
            <w:gridSpan w:val="3"/>
            <w:shd w:val="clear" w:color="auto" w:fill="CCEEFF"/>
            <w:tcMar>
              <w:top w:w="0" w:type="dxa"/>
              <w:left w:w="20" w:type="dxa"/>
              <w:bottom w:w="0" w:type="dxa"/>
              <w:right w:w="140" w:type="dxa"/>
            </w:tcMar>
            <w:vAlign w:val="center"/>
            <w:hideMark/>
          </w:tcPr>
          <w:p w:rsidR="00000000" w:rsidRDefault="002A246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20"/>
                <w:szCs w:val="20"/>
              </w:rPr>
              <w:t>1,302,133</w:t>
            </w:r>
          </w:p>
        </w:tc>
      </w:tr>
      <w:tr w:rsidR="00000000">
        <w:trPr>
          <w:divId w:val="902057396"/>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Allowance for loan losses to loans</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902057396"/>
        </w:trPr>
        <w:tc>
          <w:tcPr>
            <w:tcW w:w="0" w:type="auto"/>
            <w:gridSpan w:val="3"/>
            <w:shd w:val="clear" w:color="auto" w:fill="CCEEFF"/>
            <w:tcMar>
              <w:top w:w="30" w:type="dxa"/>
              <w:left w:w="20" w:type="dxa"/>
              <w:bottom w:w="30" w:type="dxa"/>
              <w:right w:w="20" w:type="dxa"/>
            </w:tcMar>
            <w:hideMark/>
          </w:tcPr>
          <w:p w:rsidR="00000000" w:rsidRDefault="002A246B">
            <w:pPr>
              <w:spacing w:after="100"/>
              <w:rPr>
                <w:rFonts w:eastAsia="Times New Roman"/>
              </w:rPr>
            </w:pPr>
            <w:r>
              <w:rPr>
                <w:rFonts w:eastAsia="Times New Roman"/>
                <w:color w:val="000000"/>
                <w:sz w:val="20"/>
                <w:szCs w:val="20"/>
              </w:rPr>
              <w:t>Non-accrual loans to total loans</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1.28 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1.96 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902057396"/>
        </w:trPr>
        <w:tc>
          <w:tcPr>
            <w:tcW w:w="0" w:type="auto"/>
            <w:gridSpan w:val="3"/>
            <w:shd w:val="clear" w:color="auto" w:fill="FFFFFF"/>
            <w:tcMar>
              <w:top w:w="30" w:type="dxa"/>
              <w:left w:w="20" w:type="dxa"/>
              <w:bottom w:w="30" w:type="dxa"/>
              <w:right w:w="20" w:type="dxa"/>
            </w:tcMar>
            <w:hideMark/>
          </w:tcPr>
          <w:p w:rsidR="00000000" w:rsidRDefault="002A246B">
            <w:pPr>
              <w:spacing w:after="100"/>
              <w:rPr>
                <w:rFonts w:eastAsia="Times New Roman"/>
              </w:rPr>
            </w:pPr>
            <w:r>
              <w:rPr>
                <w:rFonts w:eastAsia="Times New Roman"/>
                <w:color w:val="000000"/>
                <w:sz w:val="20"/>
                <w:szCs w:val="20"/>
              </w:rPr>
              <w:t>Non-performing loans to loans (a)</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1.96 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902057396"/>
        </w:trPr>
        <w:tc>
          <w:tcPr>
            <w:tcW w:w="0" w:type="auto"/>
            <w:gridSpan w:val="3"/>
            <w:shd w:val="clear" w:color="auto" w:fill="CCEEFF"/>
            <w:tcMar>
              <w:top w:w="30" w:type="dxa"/>
              <w:left w:w="20" w:type="dxa"/>
              <w:bottom w:w="30" w:type="dxa"/>
              <w:right w:w="20" w:type="dxa"/>
            </w:tcMar>
            <w:hideMark/>
          </w:tcPr>
          <w:p w:rsidR="00000000" w:rsidRDefault="002A246B">
            <w:pPr>
              <w:spacing w:after="100"/>
              <w:rPr>
                <w:rFonts w:eastAsia="Times New Roman"/>
              </w:rPr>
            </w:pPr>
            <w:r>
              <w:rPr>
                <w:rFonts w:eastAsia="Times New Roman"/>
                <w:color w:val="000000"/>
                <w:sz w:val="20"/>
                <w:szCs w:val="20"/>
              </w:rPr>
              <w:t>Non-performing assets to loans (b)</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2.01 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2.76 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902057396"/>
        </w:trPr>
        <w:tc>
          <w:tcPr>
            <w:tcW w:w="0" w:type="auto"/>
            <w:gridSpan w:val="3"/>
            <w:shd w:val="clear" w:color="auto" w:fill="FFFFFF"/>
            <w:tcMar>
              <w:top w:w="30" w:type="dxa"/>
              <w:left w:w="20" w:type="dxa"/>
              <w:bottom w:w="30" w:type="dxa"/>
              <w:right w:w="20" w:type="dxa"/>
            </w:tcMar>
            <w:hideMark/>
          </w:tcPr>
          <w:p w:rsidR="00000000" w:rsidRDefault="002A246B">
            <w:pPr>
              <w:spacing w:after="100"/>
              <w:rPr>
                <w:rFonts w:eastAsia="Times New Roman"/>
              </w:rPr>
            </w:pPr>
            <w:r>
              <w:rPr>
                <w:rFonts w:eastAsia="Times New Roman"/>
                <w:color w:val="000000"/>
                <w:sz w:val="20"/>
                <w:szCs w:val="20"/>
              </w:rPr>
              <w:t>Non-performing assets to assets (b)</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1.55 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1.97 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902057396"/>
        </w:trPr>
        <w:tc>
          <w:tcPr>
            <w:tcW w:w="0" w:type="auto"/>
            <w:gridSpan w:val="3"/>
            <w:shd w:val="clear" w:color="auto" w:fill="CCEEFF"/>
            <w:tcMar>
              <w:top w:w="30" w:type="dxa"/>
              <w:left w:w="20" w:type="dxa"/>
              <w:bottom w:w="30" w:type="dxa"/>
              <w:right w:w="20" w:type="dxa"/>
            </w:tcMar>
            <w:hideMark/>
          </w:tcPr>
          <w:p w:rsidR="00000000" w:rsidRDefault="002A246B">
            <w:pPr>
              <w:spacing w:after="100"/>
              <w:rPr>
                <w:rFonts w:eastAsia="Times New Roman"/>
              </w:rPr>
            </w:pPr>
            <w:r>
              <w:rPr>
                <w:rFonts w:eastAsia="Times New Roman"/>
                <w:color w:val="000000"/>
                <w:sz w:val="20"/>
                <w:szCs w:val="20"/>
              </w:rPr>
              <w:t>Allowance for loan losses to non-accrual loans</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83.52 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66.39 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902057396"/>
        </w:trPr>
        <w:tc>
          <w:tcPr>
            <w:tcW w:w="0" w:type="auto"/>
            <w:gridSpan w:val="3"/>
            <w:tcBorders>
              <w:bottom w:val="single" w:sz="8" w:space="0" w:color="000000"/>
            </w:tcBorders>
            <w:shd w:val="clear" w:color="auto" w:fill="FFFFFF"/>
            <w:tcMar>
              <w:top w:w="30" w:type="dxa"/>
              <w:left w:w="20" w:type="dxa"/>
              <w:bottom w:w="30" w:type="dxa"/>
              <w:right w:w="20" w:type="dxa"/>
            </w:tcMar>
            <w:hideMark/>
          </w:tcPr>
          <w:p w:rsidR="00000000" w:rsidRDefault="002A246B">
            <w:pPr>
              <w:spacing w:after="100"/>
              <w:rPr>
                <w:rFonts w:eastAsia="Times New Roman"/>
              </w:rPr>
            </w:pPr>
            <w:r>
              <w:rPr>
                <w:rFonts w:eastAsia="Times New Roman"/>
                <w:color w:val="000000"/>
                <w:sz w:val="20"/>
                <w:szCs w:val="20"/>
              </w:rPr>
              <w:t>Allowance for loan losses to non-performing loans</w:t>
            </w: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83.51 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tcBorders>
              <w:bottom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66.36 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bl>
    <w:p w:rsidR="00000000" w:rsidRDefault="002A246B">
      <w:pPr>
        <w:ind w:hanging="450"/>
        <w:divId w:val="244538459"/>
        <w:rPr>
          <w:rFonts w:eastAsia="Times New Roman"/>
        </w:rPr>
      </w:pPr>
      <w:r>
        <w:rPr>
          <w:rFonts w:eastAsia="Times New Roman"/>
          <w:color w:val="000000"/>
          <w:sz w:val="16"/>
          <w:szCs w:val="16"/>
        </w:rPr>
        <w:t>(a)</w:t>
      </w:r>
      <w:r>
        <w:rPr>
          <w:rFonts w:eastAsia="Times New Roman"/>
          <w:color w:val="000000"/>
          <w:sz w:val="16"/>
          <w:szCs w:val="16"/>
        </w:rPr>
        <w:t>Non-performing loans include loans 90 days past due and accruing, non-accrual loans, and non-performing TDRs included in non-accrual loans and 90 days past due.</w:t>
      </w:r>
    </w:p>
    <w:p w:rsidR="00000000" w:rsidRDefault="002A246B">
      <w:pPr>
        <w:ind w:hanging="450"/>
        <w:divId w:val="921305162"/>
        <w:rPr>
          <w:rFonts w:eastAsia="Times New Roman"/>
        </w:rPr>
      </w:pPr>
      <w:r>
        <w:rPr>
          <w:rFonts w:eastAsia="Times New Roman"/>
          <w:color w:val="000000"/>
          <w:sz w:val="16"/>
          <w:szCs w:val="16"/>
        </w:rPr>
        <w:t>(b)Non-performing assets include non-performing loans and other real estate owned and repossess</w:t>
      </w:r>
      <w:r>
        <w:rPr>
          <w:rFonts w:eastAsia="Times New Roman"/>
          <w:color w:val="000000"/>
          <w:sz w:val="16"/>
          <w:szCs w:val="16"/>
        </w:rPr>
        <w:t>ed assets.</w:t>
      </w:r>
    </w:p>
    <w:p w:rsidR="00000000" w:rsidRDefault="002A246B">
      <w:pPr>
        <w:jc w:val="both"/>
        <w:divId w:val="828322745"/>
        <w:rPr>
          <w:rFonts w:eastAsia="Times New Roman"/>
        </w:rPr>
      </w:pPr>
      <w:r>
        <w:rPr>
          <w:rFonts w:eastAsia="Times New Roman"/>
          <w:color w:val="000000"/>
          <w:sz w:val="20"/>
          <w:szCs w:val="20"/>
        </w:rPr>
        <w:t xml:space="preserve">Total non-performing assets were $26.9 million, or 2.01% of total loans, at March 31, 2022 compared to $36.0 million, or 2.76% of total loans, at December 31, 2021. </w:t>
      </w:r>
    </w:p>
    <w:p w:rsidR="00000000" w:rsidRDefault="002A246B">
      <w:pPr>
        <w:jc w:val="both"/>
        <w:divId w:val="1433933807"/>
        <w:rPr>
          <w:rFonts w:eastAsia="Times New Roman"/>
        </w:rPr>
      </w:pPr>
      <w:r>
        <w:rPr>
          <w:rFonts w:eastAsia="Times New Roman"/>
          <w:color w:val="000000"/>
          <w:sz w:val="20"/>
          <w:szCs w:val="20"/>
        </w:rPr>
        <w:t xml:space="preserve">Total non-accrual loans at March 31, 2022 decreased $8.4 million, or 32.8%, to </w:t>
      </w:r>
      <w:r>
        <w:rPr>
          <w:rFonts w:eastAsia="Times New Roman"/>
          <w:color w:val="000000"/>
          <w:sz w:val="20"/>
          <w:szCs w:val="20"/>
        </w:rPr>
        <w:t>$17.1 million compared to $25.5 million at December 31, 2021. There were $3,000 in loans past due 90 days and still accruing interest at March 31, 2022 compared to $14,000 at December 31, 2021. Other real estate and repossessed assets were $9.8 million and</w:t>
      </w:r>
      <w:r>
        <w:rPr>
          <w:rFonts w:eastAsia="Times New Roman"/>
          <w:color w:val="000000"/>
          <w:sz w:val="20"/>
          <w:szCs w:val="20"/>
        </w:rPr>
        <w:t xml:space="preserve"> $10.5 million at March 31, 2022 and December 31, 2021, respectively. During the three months ended March 31, 2022 there were no additions to other real estate owned compared to $30,000 of non-accrual loans, net of charge-offs taken, during the three month</w:t>
      </w:r>
      <w:r>
        <w:rPr>
          <w:rFonts w:eastAsia="Times New Roman"/>
          <w:color w:val="000000"/>
          <w:sz w:val="20"/>
          <w:szCs w:val="20"/>
        </w:rPr>
        <w:t>s ended March 31, 2021. During the first quarter ended March 31, 2022, an additional $52,000 charge-off was recorded related to a property that moved into other real estate owned at the end of the fourth quarter of 2021.</w:t>
      </w:r>
    </w:p>
    <w:p w:rsidR="00000000" w:rsidRDefault="002A246B">
      <w:pPr>
        <w:jc w:val="both"/>
        <w:divId w:val="680819936"/>
        <w:rPr>
          <w:rFonts w:eastAsia="Times New Roman"/>
        </w:rPr>
      </w:pPr>
      <w:r>
        <w:rPr>
          <w:rFonts w:eastAsia="Times New Roman"/>
          <w:color w:val="000000"/>
          <w:sz w:val="20"/>
          <w:szCs w:val="20"/>
        </w:rPr>
        <w:t>As of March 31, 2022, approximately</w:t>
      </w:r>
      <w:r>
        <w:rPr>
          <w:rFonts w:eastAsia="Times New Roman"/>
          <w:color w:val="000000"/>
          <w:sz w:val="20"/>
          <w:szCs w:val="20"/>
        </w:rPr>
        <w:t xml:space="preserve"> $21.9 million of loans classified as substandard, which include performing TDRs, and not included in the non-performing asset table, were identified as potential problem loans having more than normal risk which raised doubts as to the ability of the borro</w:t>
      </w:r>
      <w:r>
        <w:rPr>
          <w:rFonts w:eastAsia="Times New Roman"/>
          <w:color w:val="000000"/>
          <w:sz w:val="20"/>
          <w:szCs w:val="20"/>
        </w:rPr>
        <w:t xml:space="preserve">wer to comply with present loan repayment terms, compared to $13.8 </w:t>
      </w:r>
    </w:p>
    <w:p w:rsidR="00000000" w:rsidRDefault="002A246B">
      <w:pPr>
        <w:jc w:val="center"/>
        <w:divId w:val="1155990037"/>
        <w:rPr>
          <w:rFonts w:eastAsia="Times New Roman"/>
        </w:rPr>
      </w:pPr>
      <w:r>
        <w:rPr>
          <w:rFonts w:eastAsia="Times New Roman"/>
          <w:color w:val="000000"/>
          <w:sz w:val="20"/>
          <w:szCs w:val="20"/>
        </w:rPr>
        <w:t>44</w:t>
      </w:r>
    </w:p>
    <w:p w:rsidR="00000000" w:rsidRDefault="002A246B">
      <w:pPr>
        <w:rPr>
          <w:rFonts w:eastAsia="Times New Roman"/>
        </w:rPr>
      </w:pPr>
      <w:r>
        <w:rPr>
          <w:rFonts w:eastAsia="Times New Roman"/>
        </w:rPr>
        <w:pict>
          <v:rect id="_x0000_i1068" style="width:0;height:1.5pt" o:hralign="center" o:hrstd="t" o:hr="t" fillcolor="#a0a0a0" stroked="f"/>
        </w:pict>
      </w:r>
    </w:p>
    <w:p w:rsidR="00000000" w:rsidRDefault="002A246B">
      <w:pPr>
        <w:divId w:val="2069575398"/>
        <w:rPr>
          <w:rFonts w:eastAsia="Times New Roman"/>
        </w:rPr>
      </w:pPr>
    </w:p>
    <w:p w:rsidR="00000000" w:rsidRDefault="002A246B">
      <w:pPr>
        <w:jc w:val="both"/>
        <w:divId w:val="1266228793"/>
        <w:rPr>
          <w:rFonts w:eastAsia="Times New Roman"/>
        </w:rPr>
      </w:pPr>
      <w:r>
        <w:rPr>
          <w:rFonts w:eastAsia="Times New Roman"/>
          <w:color w:val="000000"/>
          <w:sz w:val="20"/>
          <w:szCs w:val="20"/>
        </w:rPr>
        <w:t>million at December </w:t>
      </w:r>
      <w:r>
        <w:rPr>
          <w:rFonts w:eastAsia="Times New Roman"/>
          <w:color w:val="000000"/>
          <w:sz w:val="20"/>
          <w:szCs w:val="20"/>
        </w:rPr>
        <w:t>31, 2021. Management believes the allowance for loan losses was sufficient to cover the risks and probable losses related to such loans at March 31, 2022 and December 31, 2021, respectively.</w:t>
      </w:r>
    </w:p>
    <w:p w:rsidR="00000000" w:rsidRDefault="002A246B">
      <w:pPr>
        <w:jc w:val="both"/>
        <w:divId w:val="1935742251"/>
        <w:rPr>
          <w:rFonts w:eastAsia="Times New Roman"/>
        </w:rPr>
      </w:pPr>
      <w:r>
        <w:rPr>
          <w:rFonts w:eastAsia="Times New Roman"/>
          <w:color w:val="000000"/>
          <w:sz w:val="20"/>
          <w:szCs w:val="20"/>
        </w:rPr>
        <w:t>The following table summarizes the Company’s TDRs at the dates in</w:t>
      </w:r>
      <w:r>
        <w:rPr>
          <w:rFonts w:eastAsia="Times New Roman"/>
          <w:color w:val="000000"/>
          <w:sz w:val="20"/>
          <w:szCs w:val="20"/>
        </w:rPr>
        <w:t>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2853"/>
        <w:gridCol w:w="38"/>
        <w:gridCol w:w="64"/>
        <w:gridCol w:w="726"/>
        <w:gridCol w:w="36"/>
        <w:gridCol w:w="36"/>
        <w:gridCol w:w="36"/>
        <w:gridCol w:w="36"/>
        <w:gridCol w:w="121"/>
        <w:gridCol w:w="727"/>
        <w:gridCol w:w="36"/>
        <w:gridCol w:w="36"/>
        <w:gridCol w:w="36"/>
        <w:gridCol w:w="36"/>
        <w:gridCol w:w="121"/>
        <w:gridCol w:w="565"/>
        <w:gridCol w:w="36"/>
        <w:gridCol w:w="36"/>
        <w:gridCol w:w="36"/>
        <w:gridCol w:w="36"/>
        <w:gridCol w:w="64"/>
        <w:gridCol w:w="693"/>
        <w:gridCol w:w="37"/>
        <w:gridCol w:w="37"/>
        <w:gridCol w:w="37"/>
        <w:gridCol w:w="36"/>
        <w:gridCol w:w="121"/>
        <w:gridCol w:w="726"/>
        <w:gridCol w:w="36"/>
        <w:gridCol w:w="36"/>
        <w:gridCol w:w="36"/>
        <w:gridCol w:w="36"/>
        <w:gridCol w:w="121"/>
        <w:gridCol w:w="566"/>
        <w:gridCol w:w="36"/>
      </w:tblGrid>
      <w:tr w:rsidR="00000000">
        <w:trPr>
          <w:divId w:val="1161431955"/>
        </w:trPr>
        <w:tc>
          <w:tcPr>
            <w:tcW w:w="50" w:type="pct"/>
            <w:vAlign w:val="center"/>
            <w:hideMark/>
          </w:tcPr>
          <w:p w:rsidR="00000000" w:rsidRDefault="002A246B">
            <w:pPr>
              <w:jc w:val="both"/>
              <w:rPr>
                <w:rFonts w:eastAsia="Times New Roman"/>
              </w:rPr>
            </w:pPr>
          </w:p>
        </w:tc>
        <w:tc>
          <w:tcPr>
            <w:tcW w:w="174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7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82"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8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7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82"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8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161431955"/>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December 31, 2021</w:t>
            </w:r>
          </w:p>
        </w:tc>
      </w:tr>
      <w:tr w:rsidR="00000000">
        <w:trPr>
          <w:divId w:val="1161431955"/>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(Dollars 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Recorded Investment</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Specific Reserves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Recorded Investment</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Specific Reserves</w:t>
            </w:r>
          </w:p>
        </w:tc>
      </w:tr>
      <w:tr w:rsidR="00000000">
        <w:trPr>
          <w:divId w:val="1161431955"/>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Performing TDRs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161431955"/>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Commercial, financial and agricultural</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183</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23</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188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24</w:t>
            </w:r>
          </w:p>
        </w:tc>
      </w:tr>
      <w:tr w:rsidR="00000000">
        <w:trPr>
          <w:divId w:val="1161431955"/>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divId w:val="229197178"/>
              <w:rPr>
                <w:rFonts w:eastAsia="Times New Roman"/>
              </w:rPr>
            </w:pPr>
            <w:r>
              <w:rPr>
                <w:rFonts w:eastAsia="Times New Roman"/>
                <w:color w:val="000000"/>
                <w:sz w:val="20"/>
                <w:szCs w:val="20"/>
              </w:rPr>
              <w:t xml:space="preserve">Real estate mortgage </w:t>
            </w:r>
            <w:r>
              <w:rPr>
                <w:rFonts w:ascii="Calibri" w:eastAsia="Times New Roman" w:hAnsi="Calibri" w:cs="Calibri"/>
                <w:color w:val="000000"/>
                <w:sz w:val="20"/>
                <w:szCs w:val="20"/>
              </w:rPr>
              <w:t>−</w:t>
            </w:r>
            <w:r>
              <w:rPr>
                <w:rFonts w:eastAsia="Times New Roman"/>
                <w:color w:val="000000"/>
                <w:sz w:val="20"/>
                <w:szCs w:val="20"/>
              </w:rPr>
              <w:t xml:space="preserve"> residential</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1,170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46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6</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1,262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56</w:t>
            </w:r>
          </w:p>
        </w:tc>
      </w:tr>
      <w:tr w:rsidR="00000000">
        <w:trPr>
          <w:divId w:val="1161431955"/>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divId w:val="1819374062"/>
              <w:rPr>
                <w:rFonts w:eastAsia="Times New Roman"/>
              </w:rPr>
            </w:pPr>
            <w:r>
              <w:rPr>
                <w:rFonts w:eastAsia="Times New Roman"/>
                <w:color w:val="000000"/>
                <w:sz w:val="20"/>
                <w:szCs w:val="20"/>
              </w:rPr>
              <w:t xml:space="preserve">Real estate mortgage </w:t>
            </w:r>
            <w:r>
              <w:rPr>
                <w:rFonts w:ascii="Calibri" w:eastAsia="Times New Roman" w:hAnsi="Calibri" w:cs="Calibri"/>
                <w:color w:val="000000"/>
                <w:sz w:val="20"/>
                <w:szCs w:val="20"/>
              </w:rPr>
              <w:t>−</w:t>
            </w:r>
            <w:r>
              <w:rPr>
                <w:rFonts w:eastAsia="Times New Roman"/>
                <w:color w:val="000000"/>
                <w:sz w:val="20"/>
                <w:szCs w:val="20"/>
              </w:rPr>
              <w:t xml:space="preserve"> commercial</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323</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38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328</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38</w:t>
            </w:r>
          </w:p>
        </w:tc>
      </w:tr>
      <w:tr w:rsidR="00000000">
        <w:trPr>
          <w:divId w:val="1161431955"/>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Installment and other consumer</w:t>
            </w: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17</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w:t>
            </w:r>
          </w:p>
        </w:tc>
      </w:tr>
      <w:tr w:rsidR="00000000">
        <w:trPr>
          <w:divId w:val="1161431955"/>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 performing TDRs</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1,691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109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1,795</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120</w:t>
            </w:r>
          </w:p>
        </w:tc>
      </w:tr>
      <w:tr w:rsidR="00000000">
        <w:trPr>
          <w:divId w:val="116143195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Non-performing TDRs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161431955"/>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161431955"/>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divId w:val="1488204904"/>
              <w:rPr>
                <w:rFonts w:eastAsia="Times New Roman"/>
              </w:rPr>
            </w:pPr>
            <w:r>
              <w:rPr>
                <w:rFonts w:eastAsia="Times New Roman"/>
                <w:color w:val="000000"/>
                <w:sz w:val="20"/>
                <w:szCs w:val="20"/>
              </w:rPr>
              <w:t xml:space="preserve">Real estate mortgage </w:t>
            </w:r>
            <w:r>
              <w:rPr>
                <w:rFonts w:ascii="Calibri" w:eastAsia="Times New Roman" w:hAnsi="Calibri" w:cs="Calibri"/>
                <w:color w:val="000000"/>
                <w:sz w:val="20"/>
                <w:szCs w:val="20"/>
              </w:rPr>
              <w:t>−</w:t>
            </w:r>
            <w:r>
              <w:rPr>
                <w:rFonts w:eastAsia="Times New Roman"/>
                <w:color w:val="000000"/>
                <w:sz w:val="20"/>
                <w:szCs w:val="20"/>
              </w:rPr>
              <w:t xml:space="preserve"> residential</w:t>
            </w: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551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70</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561</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39</w:t>
            </w:r>
          </w:p>
        </w:tc>
      </w:tr>
      <w:tr w:rsidR="00000000">
        <w:trPr>
          <w:divId w:val="1161431955"/>
        </w:trPr>
        <w:tc>
          <w:tcPr>
            <w:tcW w:w="0" w:type="auto"/>
            <w:gridSpan w:val="3"/>
            <w:vAlign w:val="center"/>
            <w:hideMark/>
          </w:tcPr>
          <w:p w:rsidR="00000000" w:rsidRDefault="002A246B">
            <w:pPr>
              <w:spacing w:after="100"/>
              <w:jc w:val="right"/>
              <w:rPr>
                <w:rFonts w:eastAsia="Times New Roman"/>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161431955"/>
        </w:trPr>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16143195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 non-performing TDRs</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551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70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561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39</w:t>
            </w:r>
          </w:p>
        </w:tc>
      </w:tr>
      <w:tr w:rsidR="00000000">
        <w:trPr>
          <w:divId w:val="1161431955"/>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 TDRs</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16</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2,242</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179</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17</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2,356</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159</w:t>
            </w:r>
          </w:p>
        </w:tc>
      </w:tr>
    </w:tbl>
    <w:p w:rsidR="00000000" w:rsidRDefault="002A246B">
      <w:pPr>
        <w:jc w:val="both"/>
        <w:divId w:val="384377451"/>
        <w:rPr>
          <w:rFonts w:eastAsia="Times New Roman"/>
        </w:rPr>
      </w:pPr>
      <w:r>
        <w:rPr>
          <w:rFonts w:eastAsia="Times New Roman"/>
          <w:color w:val="000000"/>
          <w:sz w:val="20"/>
          <w:szCs w:val="20"/>
        </w:rPr>
        <w:t>At March 31, 2022, loans classified as TDRs totaled $2.2 million, with $0.2 million of s</w:t>
      </w:r>
      <w:r>
        <w:rPr>
          <w:rFonts w:eastAsia="Times New Roman"/>
          <w:color w:val="000000"/>
          <w:sz w:val="20"/>
          <w:szCs w:val="20"/>
        </w:rPr>
        <w:t>pecific reserves, compared to $2.4 million of loans classified as TDRs, with $0.2 million of specific reserves at December 31, 2021. Non-performing loans, included $0.6 million of loans classified as TDRs at March 31, 2022 compared to $0.6 million at Decem</w:t>
      </w:r>
      <w:r>
        <w:rPr>
          <w:rFonts w:eastAsia="Times New Roman"/>
          <w:color w:val="000000"/>
          <w:sz w:val="20"/>
          <w:szCs w:val="20"/>
        </w:rPr>
        <w:t>ber 31, 2021. Both performing and non-performing TDRs are considered impaired loans. When an individual loan is determined to be a TDR, the amount of impairment is based upon the present value of expected future cash flows discounted at the loan’s effectiv</w:t>
      </w:r>
      <w:r>
        <w:rPr>
          <w:rFonts w:eastAsia="Times New Roman"/>
          <w:color w:val="000000"/>
          <w:sz w:val="20"/>
          <w:szCs w:val="20"/>
        </w:rPr>
        <w:t xml:space="preserve">e interest rate or the fair value of the underlying collateral less applicable selling costs if the loan is collateral dependent. The net decrease in total TDRs from December 31, 2021 to March 31, 2022 was primarily due to $115,000 of payments received on </w:t>
      </w:r>
      <w:r>
        <w:rPr>
          <w:rFonts w:eastAsia="Times New Roman"/>
          <w:color w:val="000000"/>
          <w:sz w:val="20"/>
          <w:szCs w:val="20"/>
        </w:rPr>
        <w:t xml:space="preserve">TDRs. </w:t>
      </w:r>
    </w:p>
    <w:p w:rsidR="00000000" w:rsidRDefault="002A246B">
      <w:pPr>
        <w:divId w:val="1833910457"/>
        <w:rPr>
          <w:rFonts w:eastAsia="Times New Roman"/>
        </w:rPr>
      </w:pPr>
      <w:r>
        <w:rPr>
          <w:rFonts w:eastAsia="Times New Roman"/>
          <w:b/>
          <w:bCs/>
          <w:color w:val="000000"/>
          <w:sz w:val="20"/>
          <w:szCs w:val="20"/>
        </w:rPr>
        <w:t>Allowance for Loan Losses and Provision</w:t>
      </w:r>
    </w:p>
    <w:p w:rsidR="00000000" w:rsidRDefault="002A246B">
      <w:pPr>
        <w:divId w:val="640842133"/>
        <w:rPr>
          <w:rFonts w:eastAsia="Times New Roman"/>
        </w:rPr>
      </w:pPr>
      <w:r>
        <w:rPr>
          <w:rFonts w:eastAsia="Times New Roman"/>
          <w:i/>
          <w:iCs/>
          <w:color w:val="000000"/>
          <w:sz w:val="20"/>
          <w:szCs w:val="20"/>
        </w:rPr>
        <w:t>Allowance for Loan Losses</w:t>
      </w:r>
    </w:p>
    <w:p w:rsidR="00000000" w:rsidRDefault="002A246B">
      <w:pPr>
        <w:jc w:val="both"/>
        <w:divId w:val="1851871220"/>
        <w:rPr>
          <w:rFonts w:eastAsia="Times New Roman"/>
        </w:rPr>
      </w:pPr>
      <w:r>
        <w:rPr>
          <w:rFonts w:eastAsia="Times New Roman"/>
          <w:color w:val="000000"/>
          <w:sz w:val="20"/>
          <w:szCs w:val="20"/>
        </w:rPr>
        <w:t>The following table is a summary of the allocation of the allowance for loan losses:</w:t>
      </w:r>
    </w:p>
    <w:tbl>
      <w:tblPr>
        <w:tblW w:w="5000" w:type="pct"/>
        <w:tblCellMar>
          <w:top w:w="15" w:type="dxa"/>
          <w:left w:w="15" w:type="dxa"/>
          <w:bottom w:w="15" w:type="dxa"/>
          <w:right w:w="15" w:type="dxa"/>
        </w:tblCellMar>
        <w:tblLook w:val="04A0" w:firstRow="1" w:lastRow="0" w:firstColumn="1" w:lastColumn="0" w:noHBand="0" w:noVBand="1"/>
      </w:tblPr>
      <w:tblGrid>
        <w:gridCol w:w="39"/>
        <w:gridCol w:w="4245"/>
        <w:gridCol w:w="38"/>
        <w:gridCol w:w="120"/>
        <w:gridCol w:w="819"/>
        <w:gridCol w:w="36"/>
        <w:gridCol w:w="62"/>
        <w:gridCol w:w="605"/>
        <w:gridCol w:w="187"/>
        <w:gridCol w:w="36"/>
        <w:gridCol w:w="36"/>
        <w:gridCol w:w="36"/>
        <w:gridCol w:w="120"/>
        <w:gridCol w:w="820"/>
        <w:gridCol w:w="36"/>
        <w:gridCol w:w="62"/>
        <w:gridCol w:w="606"/>
        <w:gridCol w:w="187"/>
        <w:gridCol w:w="36"/>
        <w:gridCol w:w="36"/>
        <w:gridCol w:w="36"/>
        <w:gridCol w:w="36"/>
        <w:gridCol w:w="36"/>
        <w:gridCol w:w="36"/>
      </w:tblGrid>
      <w:tr w:rsidR="00000000">
        <w:trPr>
          <w:divId w:val="395671177"/>
        </w:trPr>
        <w:tc>
          <w:tcPr>
            <w:tcW w:w="50" w:type="pct"/>
            <w:vAlign w:val="center"/>
            <w:hideMark/>
          </w:tcPr>
          <w:p w:rsidR="00000000" w:rsidRDefault="002A246B">
            <w:pPr>
              <w:jc w:val="both"/>
              <w:rPr>
                <w:rFonts w:eastAsia="Times New Roman"/>
              </w:rPr>
            </w:pPr>
          </w:p>
        </w:tc>
        <w:tc>
          <w:tcPr>
            <w:tcW w:w="268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51"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52"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51"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52"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395671177"/>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rsidR="00000000" w:rsidRDefault="002A246B">
            <w:pPr>
              <w:spacing w:after="100"/>
              <w:jc w:val="center"/>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395671177"/>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 of loans in each category to total loans</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 of loans in each category to total loans</w:t>
            </w:r>
          </w:p>
        </w:tc>
        <w:tc>
          <w:tcPr>
            <w:tcW w:w="0" w:type="auto"/>
            <w:vAlign w:val="center"/>
            <w:hideMark/>
          </w:tcPr>
          <w:p w:rsidR="00000000" w:rsidRDefault="002A246B">
            <w:pPr>
              <w:spacing w:after="100"/>
              <w:jc w:val="center"/>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395671177"/>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Allocation of allowance for loan losses at end of period:</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395671177"/>
        </w:trPr>
        <w:tc>
          <w:tcPr>
            <w:tcW w:w="0" w:type="auto"/>
            <w:gridSpan w:val="3"/>
            <w:shd w:val="clear" w:color="auto" w:fill="FFFFFF"/>
            <w:tcMar>
              <w:top w:w="30" w:type="dxa"/>
              <w:left w:w="20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Commercial, financial, and agricultural</w:t>
            </w: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2,830 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16.6 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2,717 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2A246B">
            <w:pPr>
              <w:spacing w:after="100"/>
              <w:jc w:val="right"/>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395671177"/>
        </w:trPr>
        <w:tc>
          <w:tcPr>
            <w:tcW w:w="0" w:type="auto"/>
            <w:gridSpan w:val="3"/>
            <w:shd w:val="clear" w:color="auto" w:fill="CCEEFF"/>
            <w:tcMar>
              <w:top w:w="30" w:type="dxa"/>
              <w:left w:w="20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residential</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137 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vAlign w:val="center"/>
            <w:hideMark/>
          </w:tcPr>
          <w:p w:rsidR="00000000" w:rsidRDefault="002A246B">
            <w:pPr>
              <w:spacing w:after="100"/>
              <w:jc w:val="right"/>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395671177"/>
        </w:trPr>
        <w:tc>
          <w:tcPr>
            <w:tcW w:w="0" w:type="auto"/>
            <w:gridSpan w:val="3"/>
            <w:shd w:val="clear" w:color="auto" w:fill="FFFFFF"/>
            <w:tcMar>
              <w:top w:w="30" w:type="dxa"/>
              <w:left w:w="20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commercial</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664 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588 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vAlign w:val="center"/>
            <w:hideMark/>
          </w:tcPr>
          <w:p w:rsidR="00000000" w:rsidRDefault="002A246B">
            <w:pPr>
              <w:spacing w:after="100"/>
              <w:jc w:val="right"/>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395671177"/>
        </w:trPr>
        <w:tc>
          <w:tcPr>
            <w:tcW w:w="0" w:type="auto"/>
            <w:gridSpan w:val="3"/>
            <w:shd w:val="clear" w:color="auto" w:fill="CCEEFF"/>
            <w:tcMar>
              <w:top w:w="30" w:type="dxa"/>
              <w:left w:w="20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2,578 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21.6 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2,482 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21.5 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vAlign w:val="center"/>
            <w:hideMark/>
          </w:tcPr>
          <w:p w:rsidR="00000000" w:rsidRDefault="002A246B">
            <w:pPr>
              <w:spacing w:after="100"/>
              <w:jc w:val="right"/>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395671177"/>
        </w:trPr>
        <w:tc>
          <w:tcPr>
            <w:tcW w:w="0" w:type="auto"/>
            <w:gridSpan w:val="3"/>
            <w:shd w:val="clear" w:color="auto" w:fill="FFFFFF"/>
            <w:tcMar>
              <w:top w:w="30" w:type="dxa"/>
              <w:left w:w="20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w:t>
            </w:r>
            <w:r>
              <w:rPr>
                <w:rFonts w:eastAsia="Times New Roman"/>
                <w:color w:val="000000"/>
                <w:sz w:val="20"/>
                <w:szCs w:val="20"/>
              </w:rPr>
              <w:t>commercial</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7,692 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50.8 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10,662 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50.9 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vAlign w:val="center"/>
            <w:hideMark/>
          </w:tcPr>
          <w:p w:rsidR="00000000" w:rsidRDefault="002A246B">
            <w:pPr>
              <w:spacing w:after="100"/>
              <w:jc w:val="right"/>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395671177"/>
        </w:trPr>
        <w:tc>
          <w:tcPr>
            <w:tcW w:w="0" w:type="auto"/>
            <w:gridSpan w:val="3"/>
            <w:shd w:val="clear" w:color="auto" w:fill="CCEEFF"/>
            <w:tcMar>
              <w:top w:w="30" w:type="dxa"/>
              <w:left w:w="20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Installment and other consumer</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273 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256 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vAlign w:val="center"/>
            <w:hideMark/>
          </w:tcPr>
          <w:p w:rsidR="00000000" w:rsidRDefault="002A246B">
            <w:pPr>
              <w:spacing w:after="100"/>
              <w:jc w:val="right"/>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395671177"/>
        </w:trPr>
        <w:tc>
          <w:tcPr>
            <w:tcW w:w="0" w:type="auto"/>
            <w:gridSpan w:val="3"/>
            <w:shd w:val="clear" w:color="auto" w:fill="FFFFFF"/>
            <w:tcMar>
              <w:top w:w="30" w:type="dxa"/>
              <w:left w:w="20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Unallocated</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182 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vAlign w:val="center"/>
            <w:hideMark/>
          </w:tcPr>
          <w:p w:rsidR="00000000" w:rsidRDefault="002A246B">
            <w:pPr>
              <w:spacing w:after="100"/>
              <w:jc w:val="right"/>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r w:rsidR="00000000">
        <w:trPr>
          <w:divId w:val="395671177"/>
        </w:trPr>
        <w:tc>
          <w:tcPr>
            <w:tcW w:w="0" w:type="auto"/>
            <w:gridSpan w:val="3"/>
            <w:tcBorders>
              <w:top w:val="single" w:sz="8" w:space="0" w:color="000000"/>
              <w:bottom w:val="double" w:sz="6" w:space="0" w:color="000000"/>
            </w:tcBorders>
            <w:shd w:val="clear" w:color="auto" w:fill="CCEEFF"/>
            <w:tcMar>
              <w:top w:w="30" w:type="dxa"/>
              <w:left w:w="20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14,279 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16,903 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2A246B">
            <w:pPr>
              <w:spacing w:after="100"/>
              <w:jc w:val="right"/>
              <w:rPr>
                <w:rFonts w:eastAsia="Times New Roman"/>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c>
          <w:tcPr>
            <w:tcW w:w="0" w:type="auto"/>
            <w:vAlign w:val="center"/>
            <w:hideMark/>
          </w:tcPr>
          <w:p w:rsidR="00000000" w:rsidRDefault="002A246B">
            <w:pPr>
              <w:spacing w:after="100"/>
              <w:rPr>
                <w:rFonts w:eastAsia="Times New Roman"/>
                <w:sz w:val="20"/>
                <w:szCs w:val="20"/>
              </w:rPr>
            </w:pPr>
          </w:p>
        </w:tc>
      </w:tr>
    </w:tbl>
    <w:p w:rsidR="00000000" w:rsidRDefault="002A246B">
      <w:pPr>
        <w:jc w:val="both"/>
        <w:divId w:val="5598795"/>
        <w:rPr>
          <w:rFonts w:eastAsia="Times New Roman"/>
        </w:rPr>
      </w:pPr>
      <w:r>
        <w:rPr>
          <w:rFonts w:eastAsia="Times New Roman"/>
          <w:color w:val="000000"/>
          <w:sz w:val="20"/>
          <w:szCs w:val="20"/>
        </w:rPr>
        <w:t>The allowance for loan losses was $14.3 million, or 1.07%, of loans outstanding</w:t>
      </w:r>
      <w:r>
        <w:rPr>
          <w:rFonts w:eastAsia="Times New Roman"/>
          <w:color w:val="000000"/>
          <w:sz w:val="20"/>
          <w:szCs w:val="20"/>
        </w:rPr>
        <w:t xml:space="preserve"> at March 31, 2022 compared to $16.9 million, or 1.30%, of loans outstanding at December 31, 2021. The ratio of the allowance for loan losses to non-performing loans was 83.51% at March 31, 2022, compared to 66.36% at December 31, 2021.</w:t>
      </w:r>
    </w:p>
    <w:p w:rsidR="00000000" w:rsidRDefault="002A246B">
      <w:pPr>
        <w:jc w:val="center"/>
        <w:divId w:val="1382054898"/>
        <w:rPr>
          <w:rFonts w:eastAsia="Times New Roman"/>
        </w:rPr>
      </w:pPr>
      <w:r>
        <w:rPr>
          <w:rFonts w:eastAsia="Times New Roman"/>
          <w:color w:val="000000"/>
          <w:sz w:val="20"/>
          <w:szCs w:val="20"/>
        </w:rPr>
        <w:t>45</w:t>
      </w:r>
    </w:p>
    <w:p w:rsidR="00000000" w:rsidRDefault="002A246B">
      <w:pPr>
        <w:rPr>
          <w:rFonts w:eastAsia="Times New Roman"/>
        </w:rPr>
      </w:pPr>
      <w:r>
        <w:rPr>
          <w:rFonts w:eastAsia="Times New Roman"/>
        </w:rPr>
        <w:pict>
          <v:rect id="_x0000_i1069" style="width:0;height:1.5pt" o:hralign="center" o:hrstd="t" o:hr="t" fillcolor="#a0a0a0" stroked="f"/>
        </w:pict>
      </w:r>
    </w:p>
    <w:p w:rsidR="00000000" w:rsidRDefault="002A246B">
      <w:pPr>
        <w:divId w:val="183787642"/>
        <w:rPr>
          <w:rFonts w:eastAsia="Times New Roman"/>
        </w:rPr>
      </w:pPr>
    </w:p>
    <w:p w:rsidR="00000000" w:rsidRDefault="002A246B">
      <w:pPr>
        <w:jc w:val="both"/>
        <w:divId w:val="332686254"/>
        <w:rPr>
          <w:rFonts w:eastAsia="Times New Roman"/>
        </w:rPr>
      </w:pPr>
      <w:r>
        <w:rPr>
          <w:rFonts w:eastAsia="Times New Roman"/>
          <w:color w:val="000000"/>
          <w:sz w:val="20"/>
          <w:szCs w:val="20"/>
        </w:rPr>
        <w:t>The following table is a summary of the general and specific allocations of the allowance for loan losses:</w:t>
      </w:r>
    </w:p>
    <w:tbl>
      <w:tblPr>
        <w:tblW w:w="5000" w:type="pct"/>
        <w:tblCellMar>
          <w:top w:w="15" w:type="dxa"/>
          <w:left w:w="15" w:type="dxa"/>
          <w:bottom w:w="15" w:type="dxa"/>
          <w:right w:w="15" w:type="dxa"/>
        </w:tblCellMar>
        <w:tblLook w:val="04A0" w:firstRow="1" w:lastRow="0" w:firstColumn="1" w:lastColumn="0" w:noHBand="0" w:noVBand="1"/>
      </w:tblPr>
      <w:tblGrid>
        <w:gridCol w:w="40"/>
        <w:gridCol w:w="6047"/>
        <w:gridCol w:w="38"/>
        <w:gridCol w:w="120"/>
        <w:gridCol w:w="758"/>
        <w:gridCol w:w="36"/>
        <w:gridCol w:w="36"/>
        <w:gridCol w:w="36"/>
        <w:gridCol w:w="36"/>
        <w:gridCol w:w="120"/>
        <w:gridCol w:w="1003"/>
        <w:gridCol w:w="36"/>
      </w:tblGrid>
      <w:tr w:rsidR="00000000">
        <w:trPr>
          <w:divId w:val="2141803671"/>
        </w:trPr>
        <w:tc>
          <w:tcPr>
            <w:tcW w:w="50" w:type="pct"/>
            <w:vAlign w:val="center"/>
            <w:hideMark/>
          </w:tcPr>
          <w:p w:rsidR="00000000" w:rsidRDefault="002A246B">
            <w:pPr>
              <w:jc w:val="both"/>
              <w:rPr>
                <w:rFonts w:eastAsia="Times New Roman"/>
              </w:rPr>
            </w:pPr>
          </w:p>
        </w:tc>
        <w:tc>
          <w:tcPr>
            <w:tcW w:w="366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82"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4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2141803671"/>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December 31, 2021</w:t>
            </w:r>
          </w:p>
        </w:tc>
      </w:tr>
      <w:tr w:rsidR="00000000">
        <w:trPr>
          <w:divId w:val="214180367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Allocation of allowance for loan losses:</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2141803671"/>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divId w:val="929386742"/>
              <w:rPr>
                <w:rFonts w:eastAsia="Times New Roman"/>
              </w:rPr>
            </w:pPr>
            <w:r>
              <w:rPr>
                <w:rFonts w:eastAsia="Times New Roman"/>
                <w:color w:val="000000"/>
                <w:sz w:val="20"/>
                <w:szCs w:val="20"/>
              </w:rPr>
              <w:t xml:space="preserve">Individually evaluated for impairment </w:t>
            </w:r>
            <w:r>
              <w:rPr>
                <w:rFonts w:ascii="Calibri" w:eastAsia="Times New Roman" w:hAnsi="Calibri" w:cs="Calibri"/>
                <w:color w:val="000000"/>
                <w:sz w:val="20"/>
                <w:szCs w:val="20"/>
              </w:rPr>
              <w:t>−</w:t>
            </w:r>
            <w:r>
              <w:rPr>
                <w:rFonts w:eastAsia="Times New Roman"/>
                <w:color w:val="000000"/>
                <w:sz w:val="20"/>
                <w:szCs w:val="20"/>
              </w:rPr>
              <w:t xml:space="preserve"> specific reserves</w:t>
            </w: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317 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3,044 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2141803671"/>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divId w:val="30570879"/>
              <w:rPr>
                <w:rFonts w:eastAsia="Times New Roman"/>
              </w:rPr>
            </w:pPr>
            <w:r>
              <w:rPr>
                <w:rFonts w:eastAsia="Times New Roman"/>
                <w:color w:val="000000"/>
                <w:sz w:val="20"/>
                <w:szCs w:val="20"/>
                <w:shd w:val="clear" w:color="auto" w:fill="CCEEFF"/>
              </w:rPr>
              <w:t xml:space="preserve">Collectively evaluated for impairment </w:t>
            </w:r>
            <w:r>
              <w:rPr>
                <w:rFonts w:ascii="Calibri" w:eastAsia="Times New Roman" w:hAnsi="Calibri" w:cs="Calibri"/>
                <w:color w:val="000000"/>
                <w:sz w:val="20"/>
                <w:szCs w:val="20"/>
                <w:shd w:val="clear" w:color="auto" w:fill="CCEEFF"/>
              </w:rPr>
              <w:t>−</w:t>
            </w:r>
            <w:r>
              <w:rPr>
                <w:rFonts w:eastAsia="Times New Roman"/>
                <w:color w:val="000000"/>
                <w:sz w:val="20"/>
                <w:szCs w:val="20"/>
                <w:shd w:val="clear" w:color="auto" w:fill="CCEEFF"/>
              </w:rPr>
              <w:t xml:space="preserve"> general reserves</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13,962 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13,859 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2141803671"/>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14,279 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16,903 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jc w:val="both"/>
        <w:divId w:val="1414820208"/>
        <w:rPr>
          <w:rFonts w:eastAsia="Times New Roman"/>
        </w:rPr>
      </w:pPr>
      <w:r>
        <w:rPr>
          <w:rFonts w:eastAsia="Times New Roman"/>
          <w:color w:val="000000"/>
          <w:sz w:val="20"/>
          <w:szCs w:val="20"/>
        </w:rPr>
        <w:t xml:space="preserve">The </w:t>
      </w:r>
      <w:r>
        <w:rPr>
          <w:rFonts w:eastAsia="Times New Roman"/>
          <w:i/>
          <w:iCs/>
          <w:color w:val="000000"/>
          <w:sz w:val="20"/>
          <w:szCs w:val="20"/>
        </w:rPr>
        <w:t>specific reserve component</w:t>
      </w:r>
      <w:r>
        <w:rPr>
          <w:rFonts w:eastAsia="Times New Roman"/>
          <w:color w:val="000000"/>
          <w:sz w:val="20"/>
          <w:szCs w:val="20"/>
        </w:rPr>
        <w:t xml:space="preserve"> </w:t>
      </w:r>
      <w:r>
        <w:rPr>
          <w:rFonts w:eastAsia="Times New Roman"/>
          <w:color w:val="000000"/>
          <w:sz w:val="20"/>
          <w:szCs w:val="20"/>
        </w:rPr>
        <w:t>applies to loans evaluated individually for impairment. The net carrying value of impaired loans is generally based on the fair values of collateral obtained through independent appraisals and/or internal evaluations, or by discounting the total expected f</w:t>
      </w:r>
      <w:r>
        <w:rPr>
          <w:rFonts w:eastAsia="Times New Roman"/>
          <w:color w:val="000000"/>
          <w:sz w:val="20"/>
          <w:szCs w:val="20"/>
        </w:rPr>
        <w:t>uture cash flows. Once the impairment amount is calculated, a specific reserve allocation is recorded. At March 31, 2022, $0.3 million of the Company’s ALL was allocated to impaired loans totaling approximately $18.8 million compared to $3.0 million of the</w:t>
      </w:r>
      <w:r>
        <w:rPr>
          <w:rFonts w:eastAsia="Times New Roman"/>
          <w:color w:val="000000"/>
          <w:sz w:val="20"/>
          <w:szCs w:val="20"/>
        </w:rPr>
        <w:t xml:space="preserve"> Company’s ALL allocated to impaired loans totaling approximately $27.3 million at December 31, 2021. Management determined that $16.1 million, or 86%, of total impaired loans required no reserve allocation at March 31, 2022 compared to $16.6 million, or 6</w:t>
      </w:r>
      <w:r>
        <w:rPr>
          <w:rFonts w:eastAsia="Times New Roman"/>
          <w:color w:val="000000"/>
          <w:sz w:val="20"/>
          <w:szCs w:val="20"/>
        </w:rPr>
        <w:t>1%, at December 31, 2021, primarily due to adequate collateral values</w:t>
      </w:r>
      <w:r>
        <w:rPr>
          <w:rFonts w:eastAsia="Times New Roman"/>
          <w:color w:val="1F497D"/>
          <w:sz w:val="20"/>
          <w:szCs w:val="20"/>
        </w:rPr>
        <w:t>,</w:t>
      </w:r>
      <w:r>
        <w:rPr>
          <w:rFonts w:eastAsia="Times New Roman"/>
          <w:color w:val="000000"/>
          <w:sz w:val="20"/>
          <w:szCs w:val="20"/>
        </w:rPr>
        <w:t xml:space="preserve"> acceptable payment history and adequate cash flow ability.</w:t>
      </w:r>
    </w:p>
    <w:p w:rsidR="00000000" w:rsidRDefault="002A246B">
      <w:pPr>
        <w:jc w:val="both"/>
        <w:divId w:val="1837112866"/>
        <w:rPr>
          <w:rFonts w:eastAsia="Times New Roman"/>
        </w:rPr>
      </w:pPr>
      <w:r>
        <w:rPr>
          <w:rFonts w:eastAsia="Times New Roman"/>
          <w:color w:val="000000"/>
          <w:sz w:val="20"/>
          <w:szCs w:val="20"/>
        </w:rPr>
        <w:t xml:space="preserve">The </w:t>
      </w:r>
      <w:r>
        <w:rPr>
          <w:rFonts w:eastAsia="Times New Roman"/>
          <w:i/>
          <w:iCs/>
          <w:color w:val="000000"/>
          <w:sz w:val="20"/>
          <w:szCs w:val="20"/>
        </w:rPr>
        <w:t>incurred loss component</w:t>
      </w:r>
      <w:r>
        <w:rPr>
          <w:rFonts w:eastAsia="Times New Roman"/>
          <w:color w:val="000000"/>
          <w:sz w:val="20"/>
          <w:szCs w:val="20"/>
        </w:rPr>
        <w:t xml:space="preserve"> of the general reserve, or loans collectively evaluated for impairment, is determined by applying </w:t>
      </w:r>
      <w:r>
        <w:rPr>
          <w:rFonts w:eastAsia="Times New Roman"/>
          <w:color w:val="000000"/>
          <w:sz w:val="20"/>
          <w:szCs w:val="20"/>
        </w:rPr>
        <w:t>loss rates to pools of loans by asset type. Loans not individually evaluated are aggregated by risk characteristics and reserves are recorded using a consistent methodology that considers historical loan loss experience by loan type. The look-back period b</w:t>
      </w:r>
      <w:r>
        <w:rPr>
          <w:rFonts w:eastAsia="Times New Roman"/>
          <w:color w:val="000000"/>
          <w:sz w:val="20"/>
          <w:szCs w:val="20"/>
        </w:rPr>
        <w:t>egins with loss history in the first quarter 2012 as the starting point through the current quarter and it will continue to include this starting point going forward. Management determined that the look-back period should be expanded until a loss producing</w:t>
      </w:r>
      <w:r>
        <w:rPr>
          <w:rFonts w:eastAsia="Times New Roman"/>
          <w:color w:val="000000"/>
          <w:sz w:val="20"/>
          <w:szCs w:val="20"/>
        </w:rPr>
        <w:t xml:space="preserve"> downturn is recognized. This would be accomplished by allowing the look-back period to shift forward by eliminating the earliest loss period and replenishing it with losses from the most recent period. The look-back period is consistently evaluated for re</w:t>
      </w:r>
      <w:r>
        <w:rPr>
          <w:rFonts w:eastAsia="Times New Roman"/>
          <w:color w:val="000000"/>
          <w:sz w:val="20"/>
          <w:szCs w:val="20"/>
        </w:rPr>
        <w:t xml:space="preserve">levance given the current facts and circumstances. </w:t>
      </w:r>
    </w:p>
    <w:p w:rsidR="00000000" w:rsidRDefault="002A246B">
      <w:pPr>
        <w:jc w:val="both"/>
        <w:divId w:val="447164053"/>
        <w:rPr>
          <w:rFonts w:eastAsia="Times New Roman"/>
        </w:rPr>
      </w:pPr>
      <w:r>
        <w:rPr>
          <w:rFonts w:eastAsia="Times New Roman"/>
          <w:color w:val="000000"/>
          <w:sz w:val="20"/>
          <w:szCs w:val="20"/>
        </w:rPr>
        <w:t>These historical loss rates for each risk group are used as the starting point to determine loss rates for measurement purposes. The historical loan loss rates are multiplied by loss emergence periods (LE</w:t>
      </w:r>
      <w:r>
        <w:rPr>
          <w:rFonts w:eastAsia="Times New Roman"/>
          <w:color w:val="000000"/>
          <w:sz w:val="20"/>
          <w:szCs w:val="20"/>
        </w:rPr>
        <w:t>P) which represent the estimated time period between a borrower first experiencing financial difficulty and the recognition of a loss.</w:t>
      </w:r>
    </w:p>
    <w:p w:rsidR="00000000" w:rsidRDefault="002A246B">
      <w:pPr>
        <w:jc w:val="both"/>
        <w:divId w:val="839781800"/>
        <w:rPr>
          <w:rFonts w:eastAsia="Times New Roman"/>
        </w:rPr>
      </w:pPr>
      <w:r>
        <w:rPr>
          <w:rFonts w:eastAsia="Times New Roman"/>
          <w:color w:val="000000"/>
          <w:sz w:val="20"/>
          <w:szCs w:val="20"/>
        </w:rPr>
        <w:t>The Company’</w:t>
      </w:r>
      <w:r>
        <w:rPr>
          <w:rFonts w:eastAsia="Times New Roman"/>
          <w:color w:val="000000"/>
          <w:sz w:val="20"/>
          <w:szCs w:val="20"/>
        </w:rPr>
        <w:t>s methodology includes qualitative risk factors that allow management to adjust its estimates of losses based on the most recent information available and to address other limitations in the quantitative component that is based on historical loss rates. Su</w:t>
      </w:r>
      <w:r>
        <w:rPr>
          <w:rFonts w:eastAsia="Times New Roman"/>
          <w:color w:val="000000"/>
          <w:sz w:val="20"/>
          <w:szCs w:val="20"/>
        </w:rPr>
        <w:t>ch risk factors are generally reviewed and updated quarterly, as appropriate, and are adjusted to reflect changes in national and local economic conditions and developments, the nature, volume and terms of loans in the portfolio, including changes in volum</w:t>
      </w:r>
      <w:r>
        <w:rPr>
          <w:rFonts w:eastAsia="Times New Roman"/>
          <w:color w:val="000000"/>
          <w:sz w:val="20"/>
          <w:szCs w:val="20"/>
        </w:rPr>
        <w:t>e and severity of past due loans, the volume of non-accrual loans, and the volume and severity of adversely classified or graded loans, loan concentrations, assessment of trends in collateral values, assessment of changes in the quality of the Company’s in</w:t>
      </w:r>
      <w:r>
        <w:rPr>
          <w:rFonts w:eastAsia="Times New Roman"/>
          <w:color w:val="000000"/>
          <w:sz w:val="20"/>
          <w:szCs w:val="20"/>
        </w:rPr>
        <w:t>ternal loan review department, and changes in lending policies and procedures, including underwriting standards and collections, charge-off and recovery practices.</w:t>
      </w:r>
    </w:p>
    <w:p w:rsidR="00000000" w:rsidRDefault="002A246B">
      <w:pPr>
        <w:jc w:val="both"/>
        <w:divId w:val="1904559255"/>
        <w:rPr>
          <w:rFonts w:eastAsia="Times New Roman"/>
        </w:rPr>
      </w:pPr>
      <w:r>
        <w:rPr>
          <w:rFonts w:eastAsia="Times New Roman"/>
          <w:color w:val="000000"/>
          <w:sz w:val="20"/>
          <w:szCs w:val="20"/>
        </w:rPr>
        <w:t>The specific and general reserve allocations represent management’s best estimate of probabl</w:t>
      </w:r>
      <w:r>
        <w:rPr>
          <w:rFonts w:eastAsia="Times New Roman"/>
          <w:color w:val="000000"/>
          <w:sz w:val="20"/>
          <w:szCs w:val="20"/>
        </w:rPr>
        <w:t>e losses inherent in the loan portfolio at the evaluation date. Although the ALL is comprised of specific and general allocations, the entire ALL is available to absorb any credit losses.</w:t>
      </w:r>
    </w:p>
    <w:p w:rsidR="00000000" w:rsidRDefault="002A246B">
      <w:pPr>
        <w:jc w:val="both"/>
        <w:divId w:val="1651322075"/>
        <w:rPr>
          <w:rFonts w:eastAsia="Times New Roman"/>
        </w:rPr>
      </w:pPr>
      <w:r>
        <w:rPr>
          <w:rFonts w:eastAsia="Times New Roman"/>
          <w:color w:val="000000"/>
          <w:sz w:val="20"/>
          <w:szCs w:val="20"/>
        </w:rPr>
        <w:t xml:space="preserve">The changes in the allowance for loan losses from December 31, 2021 </w:t>
      </w:r>
      <w:r>
        <w:rPr>
          <w:rFonts w:eastAsia="Times New Roman"/>
          <w:color w:val="000000"/>
          <w:sz w:val="20"/>
          <w:szCs w:val="20"/>
        </w:rPr>
        <w:t xml:space="preserve">to March 31, 2022 primarily resulted from transitioning loans impacted by COVID-19 from non-accrual status back to performing status. This transition was made according to the Company’s established internal loan policies regarding loan performance as well </w:t>
      </w:r>
      <w:r>
        <w:rPr>
          <w:rFonts w:eastAsia="Times New Roman"/>
          <w:color w:val="000000"/>
          <w:sz w:val="20"/>
          <w:szCs w:val="20"/>
        </w:rPr>
        <w:t>as consultation with industry experts. This transition back to performing status also reduced specific reserves based on the attributes of the individual loan collateral, to the general allocations method described above. The Company continues to monitor t</w:t>
      </w:r>
      <w:r>
        <w:rPr>
          <w:rFonts w:eastAsia="Times New Roman"/>
          <w:color w:val="000000"/>
          <w:sz w:val="20"/>
          <w:szCs w:val="20"/>
        </w:rPr>
        <w:t>he risks associated with its non-performing loans.</w:t>
      </w:r>
    </w:p>
    <w:p w:rsidR="00000000" w:rsidRDefault="002A246B">
      <w:pPr>
        <w:divId w:val="1744523834"/>
        <w:rPr>
          <w:rFonts w:eastAsia="Times New Roman"/>
        </w:rPr>
      </w:pPr>
      <w:r>
        <w:rPr>
          <w:rFonts w:eastAsia="Times New Roman"/>
          <w:i/>
          <w:iCs/>
          <w:color w:val="000000"/>
          <w:sz w:val="20"/>
          <w:szCs w:val="20"/>
        </w:rPr>
        <w:t>Provision</w:t>
      </w:r>
    </w:p>
    <w:p w:rsidR="00000000" w:rsidRDefault="002A246B">
      <w:pPr>
        <w:jc w:val="both"/>
        <w:divId w:val="779029783"/>
        <w:rPr>
          <w:rFonts w:eastAsia="Times New Roman"/>
        </w:rPr>
      </w:pPr>
      <w:r>
        <w:rPr>
          <w:rFonts w:eastAsia="Times New Roman"/>
          <w:color w:val="000000"/>
          <w:sz w:val="20"/>
          <w:szCs w:val="20"/>
        </w:rPr>
        <w:t>The Company recognized a negative provision expense for loan losses of $2.5 million for the three months ended March 31, 2022 compared to no provision expense for the three months ended March 31,</w:t>
      </w:r>
      <w:r>
        <w:rPr>
          <w:rFonts w:eastAsia="Times New Roman"/>
          <w:color w:val="000000"/>
          <w:sz w:val="20"/>
          <w:szCs w:val="20"/>
        </w:rPr>
        <w:t xml:space="preserve"> 2021. The negative provision expense primarily resulted from the release of specific reserves totaling $2.8 million in the first quarter of 2022 due to returning significant loan balances to accrual from non-accrual status or other collateral valuation ad</w:t>
      </w:r>
      <w:r>
        <w:rPr>
          <w:rFonts w:eastAsia="Times New Roman"/>
          <w:color w:val="000000"/>
          <w:sz w:val="20"/>
          <w:szCs w:val="20"/>
        </w:rPr>
        <w:t xml:space="preserve">justments. No provision was required during the first quarter of 2021 primarily due to the impact of net recoveries and improvement in </w:t>
      </w:r>
    </w:p>
    <w:p w:rsidR="00000000" w:rsidRDefault="002A246B">
      <w:pPr>
        <w:jc w:val="center"/>
        <w:divId w:val="1091780844"/>
        <w:rPr>
          <w:rFonts w:eastAsia="Times New Roman"/>
        </w:rPr>
      </w:pPr>
      <w:r>
        <w:rPr>
          <w:rFonts w:eastAsia="Times New Roman"/>
          <w:color w:val="000000"/>
          <w:sz w:val="20"/>
          <w:szCs w:val="20"/>
        </w:rPr>
        <w:t>46</w:t>
      </w:r>
    </w:p>
    <w:p w:rsidR="00000000" w:rsidRDefault="002A246B">
      <w:pPr>
        <w:rPr>
          <w:rFonts w:eastAsia="Times New Roman"/>
        </w:rPr>
      </w:pPr>
      <w:r>
        <w:rPr>
          <w:rFonts w:eastAsia="Times New Roman"/>
        </w:rPr>
        <w:pict>
          <v:rect id="_x0000_i1070" style="width:0;height:1.5pt" o:hralign="center" o:hrstd="t" o:hr="t" fillcolor="#a0a0a0" stroked="f"/>
        </w:pict>
      </w:r>
    </w:p>
    <w:p w:rsidR="00000000" w:rsidRDefault="002A246B">
      <w:pPr>
        <w:divId w:val="957178523"/>
        <w:rPr>
          <w:rFonts w:eastAsia="Times New Roman"/>
        </w:rPr>
      </w:pPr>
    </w:p>
    <w:p w:rsidR="00000000" w:rsidRDefault="002A246B">
      <w:pPr>
        <w:jc w:val="both"/>
        <w:divId w:val="1301225011"/>
        <w:rPr>
          <w:rFonts w:eastAsia="Times New Roman"/>
        </w:rPr>
      </w:pPr>
      <w:r>
        <w:rPr>
          <w:rFonts w:eastAsia="Times New Roman"/>
          <w:color w:val="000000"/>
          <w:sz w:val="20"/>
          <w:szCs w:val="20"/>
        </w:rPr>
        <w:t>the economic outlook as the economy began to recover from the impacts of the COVID-19 pandemic experienced throughout 2020.</w:t>
      </w:r>
    </w:p>
    <w:p w:rsidR="00000000" w:rsidRDefault="002A246B">
      <w:pPr>
        <w:jc w:val="both"/>
        <w:divId w:val="707878107"/>
        <w:rPr>
          <w:rFonts w:eastAsia="Times New Roman"/>
        </w:rPr>
      </w:pPr>
      <w:r>
        <w:rPr>
          <w:rFonts w:eastAsia="Times New Roman"/>
          <w:color w:val="000000"/>
          <w:sz w:val="20"/>
          <w:szCs w:val="20"/>
        </w:rPr>
        <w:t>The following table summarizes loan loss experience for the periods indicated:</w:t>
      </w:r>
    </w:p>
    <w:tbl>
      <w:tblPr>
        <w:tblW w:w="4962" w:type="pct"/>
        <w:tblCellMar>
          <w:top w:w="15" w:type="dxa"/>
          <w:left w:w="15" w:type="dxa"/>
          <w:bottom w:w="15" w:type="dxa"/>
          <w:right w:w="15" w:type="dxa"/>
        </w:tblCellMar>
        <w:tblLook w:val="04A0" w:firstRow="1" w:lastRow="0" w:firstColumn="1" w:lastColumn="0" w:noHBand="0" w:noVBand="1"/>
      </w:tblPr>
      <w:tblGrid>
        <w:gridCol w:w="38"/>
        <w:gridCol w:w="1467"/>
        <w:gridCol w:w="37"/>
        <w:gridCol w:w="111"/>
        <w:gridCol w:w="789"/>
        <w:gridCol w:w="36"/>
        <w:gridCol w:w="37"/>
        <w:gridCol w:w="111"/>
        <w:gridCol w:w="36"/>
        <w:gridCol w:w="110"/>
        <w:gridCol w:w="765"/>
        <w:gridCol w:w="36"/>
        <w:gridCol w:w="37"/>
        <w:gridCol w:w="111"/>
        <w:gridCol w:w="36"/>
        <w:gridCol w:w="87"/>
        <w:gridCol w:w="789"/>
        <w:gridCol w:w="170"/>
        <w:gridCol w:w="37"/>
        <w:gridCol w:w="111"/>
        <w:gridCol w:w="36"/>
        <w:gridCol w:w="111"/>
        <w:gridCol w:w="784"/>
        <w:gridCol w:w="36"/>
        <w:gridCol w:w="37"/>
        <w:gridCol w:w="111"/>
        <w:gridCol w:w="36"/>
        <w:gridCol w:w="110"/>
        <w:gridCol w:w="765"/>
        <w:gridCol w:w="36"/>
        <w:gridCol w:w="37"/>
        <w:gridCol w:w="111"/>
        <w:gridCol w:w="36"/>
        <w:gridCol w:w="87"/>
        <w:gridCol w:w="789"/>
        <w:gridCol w:w="170"/>
      </w:tblGrid>
      <w:tr w:rsidR="00000000">
        <w:trPr>
          <w:divId w:val="733704196"/>
        </w:trPr>
        <w:tc>
          <w:tcPr>
            <w:tcW w:w="50" w:type="pct"/>
            <w:vAlign w:val="center"/>
            <w:hideMark/>
          </w:tcPr>
          <w:p w:rsidR="00000000" w:rsidRDefault="002A246B">
            <w:pPr>
              <w:jc w:val="both"/>
              <w:rPr>
                <w:rFonts w:eastAsia="Times New Roman"/>
              </w:rPr>
            </w:pPr>
          </w:p>
        </w:tc>
        <w:tc>
          <w:tcPr>
            <w:tcW w:w="167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5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6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5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33"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1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5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733704196"/>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Three Months Ended March 31,</w:t>
            </w:r>
          </w:p>
        </w:tc>
      </w:tr>
      <w:tr w:rsidR="00000000">
        <w:trPr>
          <w:divId w:val="733704196"/>
        </w:trPr>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2021</w:t>
            </w:r>
          </w:p>
        </w:tc>
      </w:tr>
      <w:tr w:rsidR="00000000">
        <w:trPr>
          <w:divId w:val="733704196"/>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(Dollars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Net Charge-offs (Recoveries)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Average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Net (Recoveries) Charge-offs / Average Loans</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Net Charge-offs (Recoveries)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Average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Net (Recoveries) Charge-offs / Average Loans</w:t>
            </w:r>
          </w:p>
        </w:tc>
      </w:tr>
      <w:tr w:rsidR="00000000">
        <w:trPr>
          <w:divId w:val="73370419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Commercial, financial, and agricultural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220,888 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257,623 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(0.05)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w:t>
            </w:r>
          </w:p>
        </w:tc>
      </w:tr>
      <w:tr w:rsidR="00000000">
        <w:trPr>
          <w:divId w:val="733704196"/>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divId w:val="1349873524"/>
              <w:rPr>
                <w:rFonts w:eastAsia="Times New Roman"/>
              </w:rPr>
            </w:pPr>
            <w:r>
              <w:rPr>
                <w:rFonts w:eastAsia="Times New Roman"/>
                <w:color w:val="000000"/>
                <w:sz w:val="18"/>
                <w:szCs w:val="18"/>
              </w:rPr>
              <w:t xml:space="preserve">Real estate construction </w:t>
            </w:r>
            <w:r>
              <w:rPr>
                <w:rFonts w:eastAsia="Times New Roman"/>
                <w:color w:val="000000"/>
                <w:sz w:val="18"/>
                <w:szCs w:val="18"/>
              </w:rPr>
              <w:t>−</w:t>
            </w:r>
            <w:r>
              <w:rPr>
                <w:rFonts w:eastAsia="Times New Roman"/>
                <w:color w:val="000000"/>
                <w:sz w:val="18"/>
                <w:szCs w:val="18"/>
              </w:rPr>
              <w:t xml:space="preserve"> residential</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23,455 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(13)</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33,492 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(0.04)</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733704196"/>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divId w:val="1470975392"/>
              <w:rPr>
                <w:rFonts w:eastAsia="Times New Roman"/>
              </w:rPr>
            </w:pPr>
            <w:r>
              <w:rPr>
                <w:rFonts w:eastAsia="Times New Roman"/>
                <w:color w:val="000000"/>
                <w:sz w:val="18"/>
                <w:szCs w:val="18"/>
              </w:rPr>
              <w:t xml:space="preserve">Real estate construction </w:t>
            </w:r>
            <w:r>
              <w:rPr>
                <w:rFonts w:eastAsia="Times New Roman"/>
                <w:color w:val="000000"/>
                <w:sz w:val="18"/>
                <w:szCs w:val="18"/>
              </w:rPr>
              <w:t>−</w:t>
            </w:r>
            <w:r>
              <w:rPr>
                <w:rFonts w:eastAsia="Times New Roman"/>
                <w:color w:val="000000"/>
                <w:sz w:val="18"/>
                <w:szCs w:val="18"/>
              </w:rPr>
              <w:t xml:space="preserve"> commercial</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95,935 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78,578 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733704196"/>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divId w:val="597252852"/>
              <w:rPr>
                <w:rFonts w:eastAsia="Times New Roman"/>
              </w:rPr>
            </w:pPr>
            <w:r>
              <w:rPr>
                <w:rFonts w:eastAsia="Times New Roman"/>
                <w:color w:val="000000"/>
                <w:sz w:val="18"/>
                <w:szCs w:val="18"/>
              </w:rPr>
              <w:t xml:space="preserve">Real estate mortgage </w:t>
            </w:r>
            <w:r>
              <w:rPr>
                <w:rFonts w:eastAsia="Times New Roman"/>
                <w:color w:val="000000"/>
                <w:sz w:val="18"/>
                <w:szCs w:val="18"/>
              </w:rPr>
              <w:t>−</w:t>
            </w:r>
            <w:r>
              <w:rPr>
                <w:rFonts w:eastAsia="Times New Roman"/>
                <w:color w:val="000000"/>
                <w:sz w:val="18"/>
                <w:szCs w:val="18"/>
              </w:rPr>
              <w:t xml:space="preserve"> residential</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281,824 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(168)</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260,040 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(0.06)</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733704196"/>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divId w:val="1990360679"/>
              <w:rPr>
                <w:rFonts w:eastAsia="Times New Roman"/>
              </w:rPr>
            </w:pPr>
            <w:r>
              <w:rPr>
                <w:rFonts w:eastAsia="Times New Roman"/>
                <w:color w:val="000000"/>
                <w:sz w:val="18"/>
                <w:szCs w:val="18"/>
              </w:rPr>
              <w:t xml:space="preserve">Real estate mortgage </w:t>
            </w:r>
            <w:r>
              <w:rPr>
                <w:rFonts w:eastAsia="Times New Roman"/>
                <w:color w:val="000000"/>
                <w:sz w:val="18"/>
                <w:szCs w:val="18"/>
              </w:rPr>
              <w:t>−</w:t>
            </w:r>
            <w:r>
              <w:rPr>
                <w:rFonts w:eastAsia="Times New Roman"/>
                <w:color w:val="000000"/>
                <w:sz w:val="18"/>
                <w:szCs w:val="18"/>
              </w:rPr>
              <w:t xml:space="preserve"> commercial</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670,713 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0.01 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621,877 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733704196"/>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Installment and other consumer</w:t>
            </w: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39 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22,342 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0.17 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32 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25,992 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0.12 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733704196"/>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8"/>
                <w:szCs w:val="18"/>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18"/>
                <w:szCs w:val="18"/>
              </w:rPr>
              <w:t>124</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140" w:type="dxa"/>
            </w:tcMar>
            <w:vAlign w:val="center"/>
            <w:hideMark/>
          </w:tcPr>
          <w:p w:rsidR="00000000" w:rsidRDefault="002A246B">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1,315,157 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140" w:type="dxa"/>
            </w:tcMar>
            <w:vAlign w:val="center"/>
            <w:hideMark/>
          </w:tcPr>
          <w:p w:rsidR="00000000" w:rsidRDefault="002A246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0.01 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140" w:type="dxa"/>
            </w:tcMar>
            <w:vAlign w:val="center"/>
            <w:hideMark/>
          </w:tcPr>
          <w:p w:rsidR="00000000" w:rsidRDefault="002A246B">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140" w:type="dxa"/>
            </w:tcMar>
            <w:vAlign w:val="bottom"/>
            <w:hideMark/>
          </w:tcPr>
          <w:p w:rsidR="00000000" w:rsidRDefault="002A246B">
            <w:pPr>
              <w:spacing w:after="100"/>
              <w:jc w:val="right"/>
              <w:rPr>
                <w:rFonts w:eastAsia="Times New Roman"/>
              </w:rPr>
            </w:pPr>
            <w:r>
              <w:rPr>
                <w:rFonts w:eastAsia="Times New Roman"/>
                <w:color w:val="000000"/>
                <w:sz w:val="18"/>
                <w:szCs w:val="18"/>
              </w:rPr>
              <w:t>(248)</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140" w:type="dxa"/>
            </w:tcMar>
            <w:vAlign w:val="center"/>
            <w:hideMark/>
          </w:tcPr>
          <w:p w:rsidR="00000000" w:rsidRDefault="002A246B">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1,277,602 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140" w:type="dxa"/>
            </w:tcMar>
            <w:vAlign w:val="center"/>
            <w:hideMark/>
          </w:tcPr>
          <w:p w:rsidR="00000000" w:rsidRDefault="002A246B">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(0.02)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8"/>
                <w:szCs w:val="18"/>
              </w:rPr>
              <w:t>%</w:t>
            </w:r>
          </w:p>
        </w:tc>
      </w:tr>
    </w:tbl>
    <w:p w:rsidR="00000000" w:rsidRDefault="002A246B">
      <w:pPr>
        <w:divId w:val="1902934903"/>
        <w:rPr>
          <w:rFonts w:eastAsia="Times New Roman"/>
        </w:rPr>
      </w:pPr>
      <w:r>
        <w:rPr>
          <w:rFonts w:eastAsia="Times New Roman"/>
          <w:i/>
          <w:iCs/>
          <w:color w:val="000000"/>
          <w:sz w:val="20"/>
          <w:szCs w:val="20"/>
        </w:rPr>
        <w:t>Net Loan Charge-offs (recoveries)</w:t>
      </w:r>
    </w:p>
    <w:p w:rsidR="00000000" w:rsidRDefault="002A246B">
      <w:pPr>
        <w:jc w:val="both"/>
        <w:divId w:val="842401431"/>
        <w:rPr>
          <w:rFonts w:eastAsia="Times New Roman"/>
        </w:rPr>
      </w:pPr>
      <w:r>
        <w:rPr>
          <w:rFonts w:eastAsia="Times New Roman"/>
          <w:color w:val="000000"/>
          <w:sz w:val="20"/>
          <w:szCs w:val="20"/>
        </w:rPr>
        <w:t>The Company’s net charge-offs were $</w:t>
      </w:r>
      <w:r>
        <w:rPr>
          <w:rFonts w:eastAsia="Times New Roman"/>
          <w:color w:val="000000"/>
          <w:sz w:val="20"/>
          <w:szCs w:val="20"/>
        </w:rPr>
        <w:t xml:space="preserve">0.1 million, or 0.01%, of average loans for the three months ended March 31, 2022 compared to net recoveries of $0.2 million, (0.02)%, for the three months ended March 31, 2021. </w:t>
      </w:r>
    </w:p>
    <w:p w:rsidR="00000000" w:rsidRDefault="002A246B">
      <w:pPr>
        <w:divId w:val="1489595305"/>
        <w:rPr>
          <w:rFonts w:eastAsia="Times New Roman"/>
        </w:rPr>
      </w:pPr>
      <w:r>
        <w:rPr>
          <w:rFonts w:eastAsia="Times New Roman"/>
          <w:i/>
          <w:iCs/>
          <w:color w:val="000000"/>
          <w:sz w:val="20"/>
          <w:szCs w:val="20"/>
        </w:rPr>
        <w:t>Loans Held For Sale</w:t>
      </w:r>
    </w:p>
    <w:p w:rsidR="00000000" w:rsidRDefault="002A246B">
      <w:pPr>
        <w:jc w:val="both"/>
        <w:divId w:val="1417899652"/>
        <w:rPr>
          <w:rFonts w:eastAsia="Times New Roman"/>
        </w:rPr>
      </w:pPr>
      <w:r>
        <w:rPr>
          <w:rFonts w:eastAsia="Times New Roman"/>
          <w:color w:val="000000"/>
          <w:sz w:val="20"/>
          <w:szCs w:val="20"/>
        </w:rPr>
        <w:t>The Company designates certain long-term fixed rate perso</w:t>
      </w:r>
      <w:r>
        <w:rPr>
          <w:rFonts w:eastAsia="Times New Roman"/>
          <w:color w:val="000000"/>
          <w:sz w:val="20"/>
          <w:szCs w:val="20"/>
        </w:rPr>
        <w:t>nal real estate loans as held for sale. In the fourth quarter of 2021, the Company elected the fair value option for all newly originated long-term personal real estate loans held for sale. As of December 31, 2021, all loans held for sale were carried at f</w:t>
      </w:r>
      <w:r>
        <w:rPr>
          <w:rFonts w:eastAsia="Times New Roman"/>
          <w:color w:val="000000"/>
          <w:sz w:val="20"/>
          <w:szCs w:val="20"/>
        </w:rPr>
        <w:t xml:space="preserve">air value. The loans are primarily sold to Freddie Mac, Fannie Mae, and PennyMac and other various secondary market investors. At March 31, 2022, the carrying amount of these loans was $0.9 million compared to $2.2 million at December 31, 2021. </w:t>
      </w:r>
    </w:p>
    <w:p w:rsidR="00000000" w:rsidRDefault="002A246B">
      <w:pPr>
        <w:divId w:val="1556506349"/>
        <w:rPr>
          <w:rFonts w:eastAsia="Times New Roman"/>
        </w:rPr>
      </w:pPr>
      <w:r>
        <w:rPr>
          <w:rFonts w:eastAsia="Times New Roman"/>
          <w:b/>
          <w:bCs/>
          <w:i/>
          <w:iCs/>
          <w:color w:val="000000"/>
          <w:sz w:val="20"/>
          <w:szCs w:val="20"/>
        </w:rPr>
        <w:t xml:space="preserve">Liquidity </w:t>
      </w:r>
      <w:r>
        <w:rPr>
          <w:rFonts w:eastAsia="Times New Roman"/>
          <w:b/>
          <w:bCs/>
          <w:i/>
          <w:iCs/>
          <w:color w:val="000000"/>
          <w:sz w:val="20"/>
          <w:szCs w:val="20"/>
        </w:rPr>
        <w:t>and Capital Resources</w:t>
      </w:r>
    </w:p>
    <w:p w:rsidR="00000000" w:rsidRDefault="002A246B">
      <w:pPr>
        <w:divId w:val="960695187"/>
        <w:rPr>
          <w:rFonts w:eastAsia="Times New Roman"/>
        </w:rPr>
      </w:pPr>
      <w:r>
        <w:rPr>
          <w:rFonts w:eastAsia="Times New Roman"/>
          <w:b/>
          <w:bCs/>
          <w:color w:val="000000"/>
          <w:sz w:val="20"/>
          <w:szCs w:val="20"/>
        </w:rPr>
        <w:t>Liquidity Management</w:t>
      </w:r>
    </w:p>
    <w:p w:rsidR="00000000" w:rsidRDefault="002A246B">
      <w:pPr>
        <w:jc w:val="both"/>
        <w:divId w:val="55202074"/>
        <w:rPr>
          <w:rFonts w:eastAsia="Times New Roman"/>
        </w:rPr>
      </w:pPr>
      <w:r>
        <w:rPr>
          <w:rFonts w:eastAsia="Times New Roman"/>
          <w:color w:val="000000"/>
          <w:sz w:val="20"/>
          <w:szCs w:val="20"/>
        </w:rPr>
        <w:t>The role of liquidity management is to ensure funds are available to meet depositors’ withdrawal and borrowers’ credit demands while at the same time maximizing profitability. This is accomplished by balancing cha</w:t>
      </w:r>
      <w:r>
        <w:rPr>
          <w:rFonts w:eastAsia="Times New Roman"/>
          <w:color w:val="000000"/>
          <w:sz w:val="20"/>
          <w:szCs w:val="20"/>
        </w:rPr>
        <w:t>nges in demand for funds with changes in the supply of those funds. Liquidity to meet these demands is provided by maturing assets, short-term liquid assets that can be converted to cash and the ability to attract funds from external sources, principally d</w:t>
      </w:r>
      <w:r>
        <w:rPr>
          <w:rFonts w:eastAsia="Times New Roman"/>
          <w:color w:val="000000"/>
          <w:sz w:val="20"/>
          <w:szCs w:val="20"/>
        </w:rPr>
        <w:t>epositors. Due to the nature of services offered by the Company, management prefers to focus on transaction accounts and full service relationships with customers as the primary sources of funding.</w:t>
      </w:r>
    </w:p>
    <w:p w:rsidR="00000000" w:rsidRDefault="002A246B">
      <w:pPr>
        <w:jc w:val="both"/>
        <w:divId w:val="2001881752"/>
        <w:rPr>
          <w:rFonts w:eastAsia="Times New Roman"/>
        </w:rPr>
      </w:pPr>
      <w:r>
        <w:rPr>
          <w:rFonts w:eastAsia="Times New Roman"/>
          <w:color w:val="000000"/>
          <w:sz w:val="20"/>
          <w:szCs w:val="20"/>
        </w:rPr>
        <w:t xml:space="preserve">The Company’s Asset/Liability Committee (ALCO), primarily </w:t>
      </w:r>
      <w:r>
        <w:rPr>
          <w:rFonts w:eastAsia="Times New Roman"/>
          <w:color w:val="000000"/>
          <w:sz w:val="20"/>
          <w:szCs w:val="20"/>
        </w:rPr>
        <w:t>made up of senior management, has direct oversight responsibility for the Company’s liquidity position and profile. A combination of daily, weekly, and monthly reports provided to management detail the following: internal liquidity metrics, composition and</w:t>
      </w:r>
      <w:r>
        <w:rPr>
          <w:rFonts w:eastAsia="Times New Roman"/>
          <w:color w:val="000000"/>
          <w:sz w:val="20"/>
          <w:szCs w:val="20"/>
        </w:rPr>
        <w:t xml:space="preserve"> level of the liquid asset portfolio, timing differences in short-term cash flow obligations, available pricing and market access to the financial markets for capital, and exposure to contingent draws on the Company’s liquidity.</w:t>
      </w:r>
    </w:p>
    <w:p w:rsidR="00000000" w:rsidRDefault="002A246B">
      <w:pPr>
        <w:jc w:val="both"/>
        <w:divId w:val="1483811538"/>
        <w:rPr>
          <w:rFonts w:eastAsia="Times New Roman"/>
        </w:rPr>
      </w:pPr>
      <w:r>
        <w:rPr>
          <w:rFonts w:eastAsia="Times New Roman"/>
          <w:color w:val="000000"/>
          <w:sz w:val="20"/>
          <w:szCs w:val="20"/>
        </w:rPr>
        <w:t>The Company has a number of</w:t>
      </w:r>
      <w:r>
        <w:rPr>
          <w:rFonts w:eastAsia="Times New Roman"/>
          <w:color w:val="000000"/>
          <w:sz w:val="20"/>
          <w:szCs w:val="20"/>
        </w:rPr>
        <w:t xml:space="preserve"> sources of funds to meet liquidity needs on a daily basis. The Company’s most liquid assets are comprised of available-for-sale investment securities, not including other debt securities, federal funds sold, and excess reserves held at the Federal Reserve</w:t>
      </w:r>
      <w:r>
        <w:rPr>
          <w:rFonts w:eastAsia="Times New Roman"/>
          <w:color w:val="000000"/>
          <w:sz w:val="20"/>
          <w:szCs w:val="20"/>
        </w:rPr>
        <w:t>.</w:t>
      </w:r>
    </w:p>
    <w:p w:rsidR="00000000" w:rsidRDefault="002A246B">
      <w:pPr>
        <w:jc w:val="center"/>
        <w:divId w:val="1586843779"/>
        <w:rPr>
          <w:rFonts w:eastAsia="Times New Roman"/>
        </w:rPr>
      </w:pPr>
      <w:r>
        <w:rPr>
          <w:rFonts w:eastAsia="Times New Roman"/>
          <w:color w:val="000000"/>
          <w:sz w:val="20"/>
          <w:szCs w:val="20"/>
        </w:rPr>
        <w:t>47</w:t>
      </w:r>
    </w:p>
    <w:p w:rsidR="00000000" w:rsidRDefault="002A246B">
      <w:pPr>
        <w:rPr>
          <w:rFonts w:eastAsia="Times New Roman"/>
        </w:rPr>
      </w:pPr>
      <w:r>
        <w:rPr>
          <w:rFonts w:eastAsia="Times New Roman"/>
        </w:rPr>
        <w:pict>
          <v:rect id="_x0000_i1071" style="width:0;height:1.5pt" o:hralign="center" o:hrstd="t" o:hr="t" fillcolor="#a0a0a0" stroked="f"/>
        </w:pict>
      </w:r>
    </w:p>
    <w:p w:rsidR="00000000" w:rsidRDefault="002A246B">
      <w:pPr>
        <w:divId w:val="12061406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6047"/>
        <w:gridCol w:w="38"/>
        <w:gridCol w:w="120"/>
        <w:gridCol w:w="758"/>
        <w:gridCol w:w="36"/>
        <w:gridCol w:w="36"/>
        <w:gridCol w:w="36"/>
        <w:gridCol w:w="36"/>
        <w:gridCol w:w="120"/>
        <w:gridCol w:w="1003"/>
        <w:gridCol w:w="36"/>
      </w:tblGrid>
      <w:tr w:rsidR="00000000">
        <w:trPr>
          <w:divId w:val="1859149301"/>
        </w:trPr>
        <w:tc>
          <w:tcPr>
            <w:tcW w:w="50" w:type="pct"/>
            <w:vAlign w:val="center"/>
            <w:hideMark/>
          </w:tcPr>
          <w:p w:rsidR="00000000" w:rsidRDefault="002A246B">
            <w:pPr>
              <w:rPr>
                <w:rFonts w:eastAsia="Times New Roman"/>
              </w:rPr>
            </w:pPr>
          </w:p>
        </w:tc>
        <w:tc>
          <w:tcPr>
            <w:tcW w:w="366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82"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4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859149301"/>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December 31, 2021</w:t>
            </w:r>
          </w:p>
        </w:tc>
      </w:tr>
      <w:tr w:rsidR="00000000">
        <w:trPr>
          <w:divId w:val="1859149301"/>
        </w:trPr>
        <w:tc>
          <w:tcPr>
            <w:tcW w:w="0" w:type="auto"/>
            <w:gridSpan w:val="3"/>
            <w:tcBorders>
              <w:top w:val="single" w:sz="6" w:space="0" w:color="000000"/>
            </w:tcBorders>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Federal funds sold</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419 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7,122 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859149301"/>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Other interest-bearing deposits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27,552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135,500</w:t>
            </w:r>
          </w:p>
        </w:tc>
      </w:tr>
      <w:tr w:rsidR="00000000">
        <w:trPr>
          <w:divId w:val="1859149301"/>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Certificates of deposit in other banks</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4,701 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5,193 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859149301"/>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Available-for-sale investment securities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286,754</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310,870</w:t>
            </w:r>
          </w:p>
        </w:tc>
      </w:tr>
      <w:tr w:rsidR="00000000">
        <w:trPr>
          <w:divId w:val="1859149301"/>
        </w:trPr>
        <w:tc>
          <w:tcPr>
            <w:tcW w:w="0" w:type="auto"/>
            <w:gridSpan w:val="3"/>
            <w:tcBorders>
              <w:top w:val="single" w:sz="8" w:space="0" w:color="000000"/>
              <w:bottom w:val="double" w:sz="6" w:space="0" w:color="000000"/>
            </w:tcBorders>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319,426 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458,685 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jc w:val="both"/>
        <w:divId w:val="654720663"/>
        <w:rPr>
          <w:rFonts w:eastAsia="Times New Roman"/>
        </w:rPr>
      </w:pPr>
      <w:r>
        <w:rPr>
          <w:rFonts w:eastAsia="Times New Roman"/>
          <w:color w:val="000000"/>
          <w:sz w:val="20"/>
          <w:szCs w:val="20"/>
        </w:rPr>
        <w:t>Federal funds sold and resale agreements normally have overnight maturities and are used for general daily liquidity purposes. The fair value of the available-for-sale investment portfolio was $286.8 million at March 31, 2022 and included an unrealized net</w:t>
      </w:r>
      <w:r>
        <w:rPr>
          <w:rFonts w:eastAsia="Times New Roman"/>
          <w:color w:val="000000"/>
          <w:sz w:val="20"/>
          <w:szCs w:val="20"/>
        </w:rPr>
        <w:t xml:space="preserve"> loss of $24.3 million. The portfolio includes projected maturities and mortgage-backed securities pay-downs of approximately $5.5 million over the next twelve months, which offer resources to meet either new loan demand or reductions in the Company’s borr</w:t>
      </w:r>
      <w:r>
        <w:rPr>
          <w:rFonts w:eastAsia="Times New Roman"/>
          <w:color w:val="000000"/>
          <w:sz w:val="20"/>
          <w:szCs w:val="20"/>
        </w:rPr>
        <w:t>owings.</w:t>
      </w:r>
    </w:p>
    <w:p w:rsidR="00000000" w:rsidRDefault="002A246B">
      <w:pPr>
        <w:jc w:val="both"/>
        <w:divId w:val="1322662782"/>
        <w:rPr>
          <w:rFonts w:eastAsia="Times New Roman"/>
        </w:rPr>
      </w:pPr>
      <w:r>
        <w:rPr>
          <w:rFonts w:eastAsia="Times New Roman"/>
          <w:color w:val="000000"/>
          <w:sz w:val="20"/>
          <w:szCs w:val="20"/>
        </w:rPr>
        <w:t>The Company pledges portions of its investment securities portfolio to secure public fund deposits, federal funds purchase lines, securities sold under agreements to repurchase, borrowing capacity at the Federal Reserve Bank, and for other purposes</w:t>
      </w:r>
      <w:r>
        <w:rPr>
          <w:rFonts w:eastAsia="Times New Roman"/>
          <w:color w:val="000000"/>
          <w:sz w:val="20"/>
          <w:szCs w:val="20"/>
        </w:rPr>
        <w:t xml:space="preserve"> as required or permitted by law. At March 31, 2022 and December 31, 2021, the Company’s unpledged securities in the available-for-sale portfolio totaled approximately $97.3 million and $35.5 million, respectively.</w:t>
      </w:r>
    </w:p>
    <w:p w:rsidR="00000000" w:rsidRDefault="002A246B">
      <w:pPr>
        <w:jc w:val="both"/>
        <w:divId w:val="1659267258"/>
        <w:rPr>
          <w:rFonts w:eastAsia="Times New Roman"/>
        </w:rPr>
      </w:pPr>
      <w:r>
        <w:rPr>
          <w:rFonts w:eastAsia="Times New Roman"/>
          <w:color w:val="000000"/>
          <w:sz w:val="20"/>
          <w:szCs w:val="20"/>
        </w:rPr>
        <w:t>Total investment securities pledged for t</w:t>
      </w:r>
      <w:r>
        <w:rPr>
          <w:rFonts w:eastAsia="Times New Roman"/>
          <w:color w:val="000000"/>
          <w:sz w:val="20"/>
          <w:szCs w:val="20"/>
        </w:rPr>
        <w:t>hese purposes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996"/>
        <w:gridCol w:w="37"/>
        <w:gridCol w:w="120"/>
        <w:gridCol w:w="810"/>
        <w:gridCol w:w="36"/>
        <w:gridCol w:w="36"/>
        <w:gridCol w:w="36"/>
        <w:gridCol w:w="36"/>
        <w:gridCol w:w="120"/>
        <w:gridCol w:w="1003"/>
        <w:gridCol w:w="36"/>
      </w:tblGrid>
      <w:tr w:rsidR="00000000">
        <w:trPr>
          <w:divId w:val="678197373"/>
        </w:trPr>
        <w:tc>
          <w:tcPr>
            <w:tcW w:w="50" w:type="pct"/>
            <w:vAlign w:val="center"/>
            <w:hideMark/>
          </w:tcPr>
          <w:p w:rsidR="00000000" w:rsidRDefault="002A246B">
            <w:pPr>
              <w:jc w:val="both"/>
              <w:rPr>
                <w:rFonts w:eastAsia="Times New Roman"/>
              </w:rPr>
            </w:pPr>
          </w:p>
        </w:tc>
        <w:tc>
          <w:tcPr>
            <w:tcW w:w="363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513"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4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67819737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December 31, 2021</w:t>
            </w:r>
          </w:p>
        </w:tc>
      </w:tr>
      <w:tr w:rsidR="00000000">
        <w:trPr>
          <w:divId w:val="67819737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Investment securities pledged for the purpose of securing:</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678197373"/>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Federal Reserve Bank borrowings</w:t>
            </w: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9,448 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10,778 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678197373"/>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Federal funds purchased and securities sold under agreements to repurchase</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6,448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28,769</w:t>
            </w:r>
          </w:p>
        </w:tc>
      </w:tr>
      <w:tr w:rsidR="00000000">
        <w:trPr>
          <w:divId w:val="678197373"/>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Other deposits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173,592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235,829</w:t>
            </w:r>
          </w:p>
        </w:tc>
      </w:tr>
      <w:tr w:rsidR="00000000">
        <w:trPr>
          <w:divId w:val="678197373"/>
        </w:trPr>
        <w:tc>
          <w:tcPr>
            <w:tcW w:w="0" w:type="auto"/>
            <w:gridSpan w:val="3"/>
            <w:tcBorders>
              <w:top w:val="single" w:sz="8" w:space="0" w:color="000000"/>
              <w:bottom w:val="double" w:sz="6" w:space="0" w:color="000000"/>
            </w:tcBorders>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 pledged, at fair value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189,488 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275,376 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jc w:val="both"/>
        <w:divId w:val="180319151"/>
        <w:rPr>
          <w:rFonts w:eastAsia="Times New Roman"/>
        </w:rPr>
      </w:pPr>
      <w:r>
        <w:rPr>
          <w:rFonts w:eastAsia="Times New Roman"/>
          <w:color w:val="000000"/>
          <w:sz w:val="20"/>
          <w:szCs w:val="20"/>
        </w:rPr>
        <w:t>Liquidity is available from the Company’s base of core customer deposits, defined as demand, interest checking, savings, money market deposit accounts, and time deposits less than $250,000, less all brokered deposits under $250,000. At March 31, 2022, such</w:t>
      </w:r>
      <w:r>
        <w:rPr>
          <w:rFonts w:eastAsia="Times New Roman"/>
          <w:color w:val="000000"/>
          <w:sz w:val="20"/>
          <w:szCs w:val="20"/>
        </w:rPr>
        <w:t xml:space="preserve"> deposits totaled $1.4 billion and represented 92.8% of the Company’s total deposits. These core deposits are normally less volatile and are often tied to other products of the Company through long lasting relationships. </w:t>
      </w:r>
    </w:p>
    <w:p w:rsidR="00000000" w:rsidRDefault="002A246B">
      <w:pPr>
        <w:jc w:val="both"/>
        <w:divId w:val="952828266"/>
        <w:rPr>
          <w:rFonts w:eastAsia="Times New Roman"/>
        </w:rPr>
      </w:pPr>
      <w:r>
        <w:rPr>
          <w:rFonts w:eastAsia="Times New Roman"/>
          <w:color w:val="000000"/>
          <w:sz w:val="20"/>
          <w:szCs w:val="20"/>
        </w:rPr>
        <w:t>Core deposits at March 31, 2022 an</w:t>
      </w:r>
      <w:r>
        <w:rPr>
          <w:rFonts w:eastAsia="Times New Roman"/>
          <w:color w:val="000000"/>
          <w:sz w:val="20"/>
          <w:szCs w:val="20"/>
        </w:rPr>
        <w:t>d December 31,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6002"/>
        <w:gridCol w:w="38"/>
        <w:gridCol w:w="120"/>
        <w:gridCol w:w="850"/>
        <w:gridCol w:w="36"/>
        <w:gridCol w:w="36"/>
        <w:gridCol w:w="36"/>
        <w:gridCol w:w="36"/>
        <w:gridCol w:w="120"/>
        <w:gridCol w:w="957"/>
        <w:gridCol w:w="36"/>
      </w:tblGrid>
      <w:tr w:rsidR="00000000">
        <w:trPr>
          <w:divId w:val="588730498"/>
        </w:trPr>
        <w:tc>
          <w:tcPr>
            <w:tcW w:w="50" w:type="pct"/>
            <w:vAlign w:val="center"/>
            <w:hideMark/>
          </w:tcPr>
          <w:p w:rsidR="00000000" w:rsidRDefault="002A246B">
            <w:pPr>
              <w:jc w:val="both"/>
              <w:rPr>
                <w:rFonts w:eastAsia="Times New Roman"/>
              </w:rPr>
            </w:pPr>
          </w:p>
        </w:tc>
        <w:tc>
          <w:tcPr>
            <w:tcW w:w="366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82"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4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588730498"/>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December 31, 2021</w:t>
            </w:r>
          </w:p>
        </w:tc>
      </w:tr>
      <w:tr w:rsidR="00000000">
        <w:trPr>
          <w:divId w:val="588730498"/>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Core deposit base:</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588730498"/>
        </w:trPr>
        <w:tc>
          <w:tcPr>
            <w:tcW w:w="0" w:type="auto"/>
            <w:gridSpan w:val="3"/>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Non-interest bearing demand</w:t>
            </w: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450,225 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453,066 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588730498"/>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Interest checking</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277,988 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357,825 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588730498"/>
        </w:trPr>
        <w:tc>
          <w:tcPr>
            <w:tcW w:w="0" w:type="auto"/>
            <w:gridSpan w:val="3"/>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Savings and money market</w:t>
            </w: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453,967 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440,331 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588730498"/>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Other time deposits</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168,568 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175,827 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588730498"/>
        </w:trPr>
        <w:tc>
          <w:tcPr>
            <w:tcW w:w="0" w:type="auto"/>
            <w:gridSpan w:val="3"/>
            <w:tcBorders>
              <w:top w:val="single" w:sz="8" w:space="0" w:color="000000"/>
              <w:bottom w:val="double" w:sz="6" w:space="0" w:color="000000"/>
            </w:tcBorders>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1,350,748 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1,427,049 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jc w:val="both"/>
        <w:divId w:val="966282099"/>
        <w:rPr>
          <w:rFonts w:eastAsia="Times New Roman"/>
        </w:rPr>
      </w:pPr>
      <w:r>
        <w:rPr>
          <w:rFonts w:eastAsia="Times New Roman"/>
          <w:color w:val="000000"/>
          <w:sz w:val="20"/>
          <w:szCs w:val="20"/>
        </w:rPr>
        <w:t>Estimated uninsured deposits totaled $430.4 million, including $84.7 </w:t>
      </w:r>
      <w:r>
        <w:rPr>
          <w:rFonts w:eastAsia="Times New Roman"/>
          <w:color w:val="000000"/>
          <w:sz w:val="20"/>
          <w:szCs w:val="20"/>
        </w:rPr>
        <w:t>million of certificates of deposit, at March 31, 2022, compared to $513.5 million, including $69.1 million of certificates of deposit, at December 31, 2021. The Company had brokered deposits totaling $20.2 million and $20.2 million at March 31, 2022 and De</w:t>
      </w:r>
      <w:r>
        <w:rPr>
          <w:rFonts w:eastAsia="Times New Roman"/>
          <w:color w:val="000000"/>
          <w:sz w:val="20"/>
          <w:szCs w:val="20"/>
        </w:rPr>
        <w:t>cember 31, 2021, respectively.</w:t>
      </w:r>
    </w:p>
    <w:p w:rsidR="00000000" w:rsidRDefault="002A246B">
      <w:pPr>
        <w:jc w:val="both"/>
        <w:divId w:val="104547753"/>
        <w:rPr>
          <w:rFonts w:eastAsia="Times New Roman"/>
        </w:rPr>
      </w:pPr>
      <w:r>
        <w:rPr>
          <w:rFonts w:eastAsia="Times New Roman"/>
          <w:color w:val="000000"/>
          <w:sz w:val="20"/>
          <w:szCs w:val="20"/>
        </w:rPr>
        <w:t>Other components of liquidity are the level of borrowings from third-party sources and the availability of future credit. The Company’s outside borrowings are comprised of securities sold under agreements to repurchase, Feder</w:t>
      </w:r>
      <w:r>
        <w:rPr>
          <w:rFonts w:eastAsia="Times New Roman"/>
          <w:color w:val="000000"/>
          <w:sz w:val="20"/>
          <w:szCs w:val="20"/>
        </w:rPr>
        <w:t xml:space="preserve">al Home Loan Bank advances, and subordinated notes. Federal funds purchased are overnight borrowings obtained mainly from upstream correspondent banks with which the Company maintains approved credit lines. As of March 31, 2022, under agreements </w:t>
      </w:r>
    </w:p>
    <w:p w:rsidR="00000000" w:rsidRDefault="002A246B">
      <w:pPr>
        <w:jc w:val="center"/>
        <w:divId w:val="2115323156"/>
        <w:rPr>
          <w:rFonts w:eastAsia="Times New Roman"/>
        </w:rPr>
      </w:pPr>
      <w:r>
        <w:rPr>
          <w:rFonts w:eastAsia="Times New Roman"/>
          <w:color w:val="000000"/>
          <w:sz w:val="20"/>
          <w:szCs w:val="20"/>
        </w:rPr>
        <w:t>48</w:t>
      </w:r>
    </w:p>
    <w:p w:rsidR="00000000" w:rsidRDefault="002A246B">
      <w:pPr>
        <w:rPr>
          <w:rFonts w:eastAsia="Times New Roman"/>
        </w:rPr>
      </w:pPr>
      <w:r>
        <w:rPr>
          <w:rFonts w:eastAsia="Times New Roman"/>
        </w:rPr>
        <w:pict>
          <v:rect id="_x0000_i1072" style="width:0;height:1.5pt" o:hralign="center" o:hrstd="t" o:hr="t" fillcolor="#a0a0a0" stroked="f"/>
        </w:pict>
      </w:r>
    </w:p>
    <w:p w:rsidR="00000000" w:rsidRDefault="002A246B">
      <w:pPr>
        <w:divId w:val="614139871"/>
        <w:rPr>
          <w:rFonts w:eastAsia="Times New Roman"/>
        </w:rPr>
      </w:pPr>
    </w:p>
    <w:p w:rsidR="00000000" w:rsidRDefault="002A246B">
      <w:pPr>
        <w:jc w:val="both"/>
        <w:divId w:val="473529741"/>
        <w:rPr>
          <w:rFonts w:eastAsia="Times New Roman"/>
        </w:rPr>
      </w:pPr>
      <w:r>
        <w:rPr>
          <w:rFonts w:eastAsia="Times New Roman"/>
          <w:color w:val="000000"/>
          <w:sz w:val="20"/>
          <w:szCs w:val="20"/>
        </w:rPr>
        <w:t>with these unaffiliated banks, the Bank may borrow up to $60.0 million in federal funds on an unsecured basis and $8.9 million on a secured basis. There were no federal funds purchased outstanding at March 31, 2022. Securiti</w:t>
      </w:r>
      <w:r>
        <w:rPr>
          <w:rFonts w:eastAsia="Times New Roman"/>
          <w:color w:val="000000"/>
          <w:sz w:val="20"/>
          <w:szCs w:val="20"/>
        </w:rPr>
        <w:t xml:space="preserve">es sold under agreements to repurchase are generally borrowed overnight and are secured by a portion of the Company’s investment portfolio. At March 31, 2022, there were $5.5 million in repurchase agreements. The Company may periodically borrow additional </w:t>
      </w:r>
      <w:r>
        <w:rPr>
          <w:rFonts w:eastAsia="Times New Roman"/>
          <w:color w:val="000000"/>
          <w:sz w:val="20"/>
          <w:szCs w:val="20"/>
        </w:rPr>
        <w:t>short-term funds from the Federal Reserve Bank through the discount window, although no such borrowings were outstanding at March 31, 2022.</w:t>
      </w:r>
    </w:p>
    <w:p w:rsidR="00000000" w:rsidRDefault="002A246B">
      <w:pPr>
        <w:jc w:val="both"/>
        <w:divId w:val="854227983"/>
        <w:rPr>
          <w:rFonts w:eastAsia="Times New Roman"/>
        </w:rPr>
      </w:pPr>
      <w:r>
        <w:rPr>
          <w:rFonts w:eastAsia="Times New Roman"/>
          <w:color w:val="000000"/>
          <w:sz w:val="20"/>
          <w:szCs w:val="20"/>
        </w:rPr>
        <w:t>The Bank is a member of the Federal Home Loan Bank of Des Moines (FHLB) and has access to credit products of the FHL</w:t>
      </w:r>
      <w:r>
        <w:rPr>
          <w:rFonts w:eastAsia="Times New Roman"/>
          <w:color w:val="000000"/>
          <w:sz w:val="20"/>
          <w:szCs w:val="20"/>
        </w:rPr>
        <w:t>B. As of March 31, 2022, the Bank had $77.4 million in outstanding borrowings with the FHLB. In addition, the Company has $49.5 million in outstanding subordinated notes issued to wholly-owned grantor trusts, funded by preferred securities issued by the tr</w:t>
      </w:r>
      <w:r>
        <w:rPr>
          <w:rFonts w:eastAsia="Times New Roman"/>
          <w:color w:val="000000"/>
          <w:sz w:val="20"/>
          <w:szCs w:val="20"/>
        </w:rPr>
        <w:t>usts.</w:t>
      </w:r>
    </w:p>
    <w:p w:rsidR="00000000" w:rsidRDefault="002A246B">
      <w:pPr>
        <w:jc w:val="both"/>
        <w:divId w:val="1705398169"/>
        <w:rPr>
          <w:rFonts w:eastAsia="Times New Roman"/>
        </w:rPr>
      </w:pPr>
      <w:r>
        <w:rPr>
          <w:rFonts w:eastAsia="Times New Roman"/>
          <w:color w:val="000000"/>
          <w:sz w:val="20"/>
          <w:szCs w:val="20"/>
        </w:rPr>
        <w:t>Borrowings outstanding at March 31, 2022 and December 31,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6034"/>
        <w:gridCol w:w="37"/>
        <w:gridCol w:w="120"/>
        <w:gridCol w:w="772"/>
        <w:gridCol w:w="36"/>
        <w:gridCol w:w="36"/>
        <w:gridCol w:w="36"/>
        <w:gridCol w:w="36"/>
        <w:gridCol w:w="120"/>
        <w:gridCol w:w="1003"/>
        <w:gridCol w:w="36"/>
      </w:tblGrid>
      <w:tr w:rsidR="00000000">
        <w:trPr>
          <w:divId w:val="1968122493"/>
        </w:trPr>
        <w:tc>
          <w:tcPr>
            <w:tcW w:w="50" w:type="pct"/>
            <w:vAlign w:val="center"/>
            <w:hideMark/>
          </w:tcPr>
          <w:p w:rsidR="00000000" w:rsidRDefault="002A246B">
            <w:pPr>
              <w:jc w:val="both"/>
              <w:rPr>
                <w:rFonts w:eastAsia="Times New Roman"/>
              </w:rPr>
            </w:pPr>
          </w:p>
        </w:tc>
        <w:tc>
          <w:tcPr>
            <w:tcW w:w="365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9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4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968122493"/>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December 31, 2021</w:t>
            </w:r>
          </w:p>
        </w:tc>
      </w:tr>
      <w:tr w:rsidR="00000000">
        <w:trPr>
          <w:divId w:val="196812249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Borrowings:</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1968122493"/>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Federal funds purchased and securities sold under agreements to repurchase</w:t>
            </w: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5,514 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23,829 </w:t>
            </w:r>
          </w:p>
        </w:tc>
        <w:tc>
          <w:tcPr>
            <w:tcW w:w="0" w:type="auto"/>
            <w:shd w:val="clear" w:color="auto" w:fill="FFFF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1968122493"/>
        </w:trPr>
        <w:tc>
          <w:tcPr>
            <w:tcW w:w="0" w:type="auto"/>
            <w:gridSpan w:val="3"/>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Federal Home Loan Bank advances</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77,357</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77,418</w:t>
            </w:r>
          </w:p>
        </w:tc>
      </w:tr>
      <w:tr w:rsidR="00000000">
        <w:trPr>
          <w:divId w:val="1968122493"/>
        </w:trPr>
        <w:tc>
          <w:tcPr>
            <w:tcW w:w="0" w:type="auto"/>
            <w:gridSpan w:val="3"/>
            <w:shd w:val="clear" w:color="auto" w:fill="FFFF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Subordinated notes</w:t>
            </w: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49,486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49,486</w:t>
            </w:r>
          </w:p>
        </w:tc>
      </w:tr>
      <w:tr w:rsidR="00000000">
        <w:trPr>
          <w:divId w:val="1968122493"/>
        </w:trPr>
        <w:tc>
          <w:tcPr>
            <w:tcW w:w="0" w:type="auto"/>
            <w:gridSpan w:val="3"/>
            <w:vAlign w:val="center"/>
            <w:hideMark/>
          </w:tcPr>
          <w:p w:rsidR="00000000" w:rsidRDefault="002A246B">
            <w:pPr>
              <w:spacing w:after="100"/>
              <w:jc w:val="right"/>
              <w:rPr>
                <w:rFonts w:eastAsia="Times New Roman"/>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c>
          <w:tcPr>
            <w:tcW w:w="0" w:type="auto"/>
            <w:gridSpan w:val="3"/>
            <w:vAlign w:val="center"/>
            <w:hideMark/>
          </w:tcPr>
          <w:p w:rsidR="00000000" w:rsidRDefault="002A246B">
            <w:pPr>
              <w:spacing w:after="100"/>
              <w:rPr>
                <w:rFonts w:eastAsia="Times New Roman"/>
                <w:sz w:val="20"/>
                <w:szCs w:val="20"/>
              </w:rPr>
            </w:pPr>
          </w:p>
        </w:tc>
      </w:tr>
      <w:tr w:rsidR="00000000">
        <w:trPr>
          <w:divId w:val="1968122493"/>
        </w:trPr>
        <w:tc>
          <w:tcPr>
            <w:tcW w:w="0" w:type="auto"/>
            <w:gridSpan w:val="3"/>
            <w:tcBorders>
              <w:top w:val="single" w:sz="8" w:space="0" w:color="000000"/>
              <w:bottom w:val="double" w:sz="6" w:space="0" w:color="000000"/>
            </w:tcBorders>
            <w:shd w:val="clear" w:color="auto" w:fill="CCEEFF"/>
            <w:tcMar>
              <w:top w:w="30" w:type="dxa"/>
              <w:left w:w="26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132,357 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150,733 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bl>
    <w:p w:rsidR="00000000" w:rsidRDefault="002A246B">
      <w:pPr>
        <w:jc w:val="both"/>
        <w:divId w:val="30109327"/>
        <w:rPr>
          <w:rFonts w:eastAsia="Times New Roman"/>
        </w:rPr>
      </w:pPr>
      <w:r>
        <w:rPr>
          <w:rFonts w:eastAsia="Times New Roman"/>
          <w:color w:val="000000"/>
          <w:sz w:val="20"/>
          <w:szCs w:val="20"/>
        </w:rPr>
        <w:t>The Company pledges certain assets, including loans and investment securities to the Federal Reserve Bank, FHLB, and other correspondent banks as security to establish lines of credit and borrow from these entities. Based on the type and value of collatera</w:t>
      </w:r>
      <w:r>
        <w:rPr>
          <w:rFonts w:eastAsia="Times New Roman"/>
          <w:color w:val="000000"/>
          <w:sz w:val="20"/>
          <w:szCs w:val="20"/>
        </w:rPr>
        <w:t>l pledged, the FHLB establishes a collateral value from which the Company may draw advances against this collateral. This collateral is also used to enable the FHLB to issue letters of credit in favor of public fund depositors of the Company. The Federal R</w:t>
      </w:r>
      <w:r>
        <w:rPr>
          <w:rFonts w:eastAsia="Times New Roman"/>
          <w:color w:val="000000"/>
          <w:sz w:val="20"/>
          <w:szCs w:val="20"/>
        </w:rPr>
        <w:t xml:space="preserve">eserve Bank also establishes a collateral value of assets pledged to support borrowings from the discount window. </w:t>
      </w:r>
    </w:p>
    <w:p w:rsidR="00000000" w:rsidRDefault="002A246B">
      <w:pPr>
        <w:jc w:val="both"/>
        <w:divId w:val="34359076"/>
        <w:rPr>
          <w:rFonts w:eastAsia="Times New Roman"/>
        </w:rPr>
      </w:pPr>
      <w:r>
        <w:rPr>
          <w:rFonts w:eastAsia="Times New Roman"/>
          <w:color w:val="000000"/>
          <w:sz w:val="20"/>
          <w:szCs w:val="20"/>
        </w:rPr>
        <w:t xml:space="preserve">The following table reflects collateral value of assets pledged, borrowings, and letters of credit outstanding, in addition to the estimated </w:t>
      </w:r>
      <w:r>
        <w:rPr>
          <w:rFonts w:eastAsia="Times New Roman"/>
          <w:color w:val="000000"/>
          <w:sz w:val="20"/>
          <w:szCs w:val="20"/>
        </w:rPr>
        <w:t xml:space="preserve">future funding capacity available to the Company as follows: </w:t>
      </w:r>
    </w:p>
    <w:tbl>
      <w:tblPr>
        <w:tblW w:w="5000" w:type="pct"/>
        <w:tblCellMar>
          <w:top w:w="15" w:type="dxa"/>
          <w:left w:w="15" w:type="dxa"/>
          <w:bottom w:w="15" w:type="dxa"/>
          <w:right w:w="15" w:type="dxa"/>
        </w:tblCellMar>
        <w:tblLook w:val="04A0" w:firstRow="1" w:lastRow="0" w:firstColumn="1" w:lastColumn="0" w:noHBand="0" w:noVBand="1"/>
      </w:tblPr>
      <w:tblGrid>
        <w:gridCol w:w="47"/>
        <w:gridCol w:w="1367"/>
        <w:gridCol w:w="38"/>
        <w:gridCol w:w="111"/>
        <w:gridCol w:w="605"/>
        <w:gridCol w:w="36"/>
        <w:gridCol w:w="36"/>
        <w:gridCol w:w="36"/>
        <w:gridCol w:w="36"/>
        <w:gridCol w:w="111"/>
        <w:gridCol w:w="648"/>
        <w:gridCol w:w="36"/>
        <w:gridCol w:w="36"/>
        <w:gridCol w:w="36"/>
        <w:gridCol w:w="36"/>
        <w:gridCol w:w="111"/>
        <w:gridCol w:w="665"/>
        <w:gridCol w:w="36"/>
        <w:gridCol w:w="36"/>
        <w:gridCol w:w="36"/>
        <w:gridCol w:w="36"/>
        <w:gridCol w:w="111"/>
        <w:gridCol w:w="605"/>
        <w:gridCol w:w="36"/>
        <w:gridCol w:w="36"/>
        <w:gridCol w:w="36"/>
        <w:gridCol w:w="36"/>
        <w:gridCol w:w="111"/>
        <w:gridCol w:w="605"/>
        <w:gridCol w:w="36"/>
        <w:gridCol w:w="36"/>
        <w:gridCol w:w="36"/>
        <w:gridCol w:w="36"/>
        <w:gridCol w:w="111"/>
        <w:gridCol w:w="524"/>
        <w:gridCol w:w="36"/>
        <w:gridCol w:w="36"/>
        <w:gridCol w:w="36"/>
        <w:gridCol w:w="36"/>
        <w:gridCol w:w="111"/>
        <w:gridCol w:w="665"/>
        <w:gridCol w:w="36"/>
        <w:gridCol w:w="36"/>
        <w:gridCol w:w="36"/>
        <w:gridCol w:w="36"/>
        <w:gridCol w:w="111"/>
        <w:gridCol w:w="605"/>
        <w:gridCol w:w="36"/>
      </w:tblGrid>
      <w:tr w:rsidR="00000000">
        <w:trPr>
          <w:divId w:val="364797042"/>
        </w:trPr>
        <w:tc>
          <w:tcPr>
            <w:tcW w:w="50" w:type="pct"/>
            <w:vAlign w:val="center"/>
            <w:hideMark/>
          </w:tcPr>
          <w:p w:rsidR="00000000" w:rsidRDefault="002A246B">
            <w:pPr>
              <w:jc w:val="both"/>
              <w:rPr>
                <w:rFonts w:eastAsia="Times New Roman"/>
              </w:rPr>
            </w:pPr>
          </w:p>
        </w:tc>
        <w:tc>
          <w:tcPr>
            <w:tcW w:w="89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8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9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8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8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9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9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8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0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364797042"/>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March 31, 2022</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December 31, 2021</w:t>
            </w:r>
          </w:p>
        </w:tc>
      </w:tr>
      <w:tr w:rsidR="00000000">
        <w:trPr>
          <w:divId w:val="364797042"/>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FHLB</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Federal Reserve Bank</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Federal Funds Purchased Lines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Total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FHLB</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Federal Reserve Bank</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Federal Funds Purchased Lines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Total</w:t>
            </w:r>
          </w:p>
        </w:tc>
      </w:tr>
      <w:tr w:rsidR="00000000">
        <w:trPr>
          <w:divId w:val="36479704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Advance equivalent</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278,761</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8,947</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60,000</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347,708</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273,479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10,384</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60,000</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343,863</w:t>
            </w:r>
          </w:p>
        </w:tc>
      </w:tr>
      <w:tr w:rsidR="00000000">
        <w:trPr>
          <w:divId w:val="364797042"/>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Letters of credit</w:t>
            </w: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(31,000)</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(31,000)</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364797042"/>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8"/>
                <w:szCs w:val="18"/>
              </w:rPr>
              <w:t>Advances outstanding</w:t>
            </w: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(77,357)</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(77,357)</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(77,418)</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8"/>
                <w:szCs w:val="18"/>
              </w:rPr>
              <w:t>(77,418)</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r>
      <w:tr w:rsidR="00000000">
        <w:trPr>
          <w:divId w:val="364797042"/>
        </w:trPr>
        <w:tc>
          <w:tcPr>
            <w:tcW w:w="0" w:type="auto"/>
            <w:gridSpan w:val="3"/>
            <w:tcBorders>
              <w:top w:val="single" w:sz="8" w:space="0" w:color="000000"/>
              <w:bottom w:val="double" w:sz="6" w:space="0" w:color="000000"/>
            </w:tcBorders>
            <w:tcMar>
              <w:top w:w="30" w:type="dxa"/>
              <w:left w:w="87"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8"/>
                <w:szCs w:val="18"/>
              </w:rPr>
              <w:t>Total available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201,404</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8,947</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60,000</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270,351</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165,061</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10,384</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60,000</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18"/>
                <w:szCs w:val="18"/>
              </w:rPr>
              <w:t>235,445</w:t>
            </w:r>
          </w:p>
        </w:tc>
      </w:tr>
    </w:tbl>
    <w:p w:rsidR="00000000" w:rsidRDefault="002A246B">
      <w:pPr>
        <w:jc w:val="both"/>
        <w:divId w:val="677317504"/>
        <w:rPr>
          <w:rFonts w:eastAsia="Times New Roman"/>
        </w:rPr>
      </w:pPr>
      <w:r>
        <w:rPr>
          <w:rFonts w:eastAsia="Times New Roman"/>
          <w:color w:val="000000"/>
          <w:sz w:val="20"/>
          <w:szCs w:val="20"/>
        </w:rPr>
        <w:t xml:space="preserve">At March 31, 2022, loans of $567.4 million were pledged to the Federal Home Loan Bank as collateral for borrowings and letters of credit. At </w:t>
      </w:r>
      <w:r>
        <w:rPr>
          <w:rFonts w:eastAsia="Times New Roman"/>
          <w:color w:val="000000"/>
          <w:sz w:val="20"/>
          <w:szCs w:val="20"/>
        </w:rPr>
        <w:t>March 31, 2022, investments with a market value of $9.4 million were pledged to secure federal funds purchase lines and borrowing capacity at the Federal Reserve Bank.</w:t>
      </w:r>
    </w:p>
    <w:p w:rsidR="00000000" w:rsidRDefault="002A246B">
      <w:pPr>
        <w:jc w:val="both"/>
        <w:divId w:val="768236990"/>
        <w:rPr>
          <w:rFonts w:eastAsia="Times New Roman"/>
        </w:rPr>
      </w:pPr>
      <w:r>
        <w:rPr>
          <w:rFonts w:eastAsia="Times New Roman"/>
          <w:color w:val="000000"/>
          <w:sz w:val="20"/>
          <w:szCs w:val="20"/>
        </w:rPr>
        <w:t>Based upon the above, management believes the Company has more than adequate liquidity, both on balance sheet and through the additional funding capacity with the FHLB, the Federal Reserve Bank and Federal funds purchased lines to meet future anticipated n</w:t>
      </w:r>
      <w:r>
        <w:rPr>
          <w:rFonts w:eastAsia="Times New Roman"/>
          <w:color w:val="000000"/>
          <w:sz w:val="20"/>
          <w:szCs w:val="20"/>
        </w:rPr>
        <w:t>eeds in both the short and long-term.</w:t>
      </w:r>
    </w:p>
    <w:p w:rsidR="00000000" w:rsidRDefault="002A246B">
      <w:pPr>
        <w:jc w:val="both"/>
        <w:divId w:val="1576432667"/>
        <w:rPr>
          <w:rFonts w:eastAsia="Times New Roman"/>
        </w:rPr>
      </w:pPr>
    </w:p>
    <w:p w:rsidR="00000000" w:rsidRDefault="002A246B">
      <w:pPr>
        <w:jc w:val="both"/>
        <w:divId w:val="1597900666"/>
        <w:rPr>
          <w:rFonts w:eastAsia="Times New Roman"/>
        </w:rPr>
      </w:pPr>
    </w:p>
    <w:p w:rsidR="00000000" w:rsidRDefault="002A246B">
      <w:pPr>
        <w:jc w:val="center"/>
        <w:divId w:val="1677491004"/>
        <w:rPr>
          <w:rFonts w:eastAsia="Times New Roman"/>
        </w:rPr>
      </w:pPr>
      <w:r>
        <w:rPr>
          <w:rFonts w:eastAsia="Times New Roman"/>
          <w:color w:val="000000"/>
          <w:sz w:val="20"/>
          <w:szCs w:val="20"/>
        </w:rPr>
        <w:t>49</w:t>
      </w:r>
    </w:p>
    <w:p w:rsidR="00000000" w:rsidRDefault="002A246B">
      <w:pPr>
        <w:rPr>
          <w:rFonts w:eastAsia="Times New Roman"/>
        </w:rPr>
      </w:pPr>
      <w:r>
        <w:rPr>
          <w:rFonts w:eastAsia="Times New Roman"/>
        </w:rPr>
        <w:pict>
          <v:rect id="_x0000_i1073" style="width:0;height:1.5pt" o:hralign="center" o:hrstd="t" o:hr="t" fillcolor="#a0a0a0" stroked="f"/>
        </w:pict>
      </w:r>
    </w:p>
    <w:p w:rsidR="00000000" w:rsidRDefault="002A246B">
      <w:pPr>
        <w:divId w:val="1781945685"/>
        <w:rPr>
          <w:rFonts w:eastAsia="Times New Roman"/>
        </w:rPr>
      </w:pPr>
    </w:p>
    <w:p w:rsidR="00000000" w:rsidRDefault="002A246B">
      <w:pPr>
        <w:divId w:val="557322677"/>
        <w:rPr>
          <w:rFonts w:eastAsia="Times New Roman"/>
        </w:rPr>
      </w:pPr>
      <w:r>
        <w:rPr>
          <w:rFonts w:eastAsia="Times New Roman"/>
          <w:b/>
          <w:bCs/>
          <w:color w:val="000000"/>
          <w:sz w:val="20"/>
          <w:szCs w:val="20"/>
        </w:rPr>
        <w:t>Sources and Uses of Funds</w:t>
      </w:r>
    </w:p>
    <w:p w:rsidR="00000000" w:rsidRDefault="002A246B">
      <w:pPr>
        <w:jc w:val="both"/>
        <w:divId w:val="1250776043"/>
        <w:rPr>
          <w:rFonts w:eastAsia="Times New Roman"/>
        </w:rPr>
      </w:pPr>
      <w:r>
        <w:rPr>
          <w:rFonts w:eastAsia="Times New Roman"/>
          <w:color w:val="000000"/>
          <w:sz w:val="20"/>
          <w:szCs w:val="20"/>
        </w:rPr>
        <w:t>Cash and cash equivalents were $50.5 million at March 31, 2022 compared to $159.9 million at December 31, 2021. The $109.4 million decrease result</w:t>
      </w:r>
      <w:r>
        <w:rPr>
          <w:rFonts w:eastAsia="Times New Roman"/>
          <w:color w:val="000000"/>
          <w:sz w:val="20"/>
          <w:szCs w:val="20"/>
        </w:rPr>
        <w:t>ed from changes in the various cash flows produced by operating, investing, and financing activities of the Company, as shown in the accompanying consolidated statement of cash flows for the three months ended March 31, 2022. Cash flow provided from operat</w:t>
      </w:r>
      <w:r>
        <w:rPr>
          <w:rFonts w:eastAsia="Times New Roman"/>
          <w:color w:val="000000"/>
          <w:sz w:val="20"/>
          <w:szCs w:val="20"/>
        </w:rPr>
        <w:t>ing activities consists mainly of net income adjusted for certain non-cash items. Operating activities provided cash flow of $4.4 million for the three months ended March 31, 2022.</w:t>
      </w:r>
    </w:p>
    <w:p w:rsidR="00000000" w:rsidRDefault="002A246B">
      <w:pPr>
        <w:jc w:val="both"/>
        <w:divId w:val="84807313"/>
        <w:rPr>
          <w:rFonts w:eastAsia="Times New Roman"/>
        </w:rPr>
      </w:pPr>
      <w:r>
        <w:rPr>
          <w:rFonts w:eastAsia="Times New Roman"/>
          <w:color w:val="000000"/>
          <w:sz w:val="20"/>
          <w:szCs w:val="20"/>
        </w:rPr>
        <w:t>Investing activities consisting mainly of purchases, sales and maturities o</w:t>
      </w:r>
      <w:r>
        <w:rPr>
          <w:rFonts w:eastAsia="Times New Roman"/>
          <w:color w:val="000000"/>
          <w:sz w:val="20"/>
          <w:szCs w:val="20"/>
        </w:rPr>
        <w:t>f available-for-sale securities, and changes in the level of the loan portfolio used total cash of $33.1 million during the three months ended March 31, 2022. The cash outflow primarily consisted of a net increase in loans held for investment of $31.8 mill</w:t>
      </w:r>
      <w:r>
        <w:rPr>
          <w:rFonts w:eastAsia="Times New Roman"/>
          <w:color w:val="000000"/>
          <w:sz w:val="20"/>
          <w:szCs w:val="20"/>
        </w:rPr>
        <w:t xml:space="preserve">ion and $14.6 million in purchases of investment securities partially offset by $13.5 million from maturities and calls and sales of investment securities. </w:t>
      </w:r>
    </w:p>
    <w:p w:rsidR="00000000" w:rsidRDefault="002A246B">
      <w:pPr>
        <w:jc w:val="both"/>
        <w:divId w:val="1839223697"/>
        <w:rPr>
          <w:rFonts w:eastAsia="Times New Roman"/>
        </w:rPr>
      </w:pPr>
      <w:r>
        <w:rPr>
          <w:rFonts w:eastAsia="Times New Roman"/>
          <w:color w:val="000000"/>
          <w:sz w:val="20"/>
          <w:szCs w:val="20"/>
        </w:rPr>
        <w:t xml:space="preserve">Financing activities used total cash of $80.7 million during the three months ended March 31, 2022, resulting primarily from a $66.2 million decrease in interest-bearing transaction accounts and a $18.3 million decrease in securities sold under agreements </w:t>
      </w:r>
      <w:r>
        <w:rPr>
          <w:rFonts w:eastAsia="Times New Roman"/>
          <w:color w:val="000000"/>
          <w:sz w:val="20"/>
          <w:szCs w:val="20"/>
        </w:rPr>
        <w:t>to repurchase. The decrease in interest-bearing accounts was due primarily to reductions in deposits for public funds customers, resulting from the distribution of prior year tax collections.</w:t>
      </w:r>
    </w:p>
    <w:p w:rsidR="00000000" w:rsidRDefault="002A246B">
      <w:pPr>
        <w:jc w:val="both"/>
        <w:divId w:val="1913543712"/>
        <w:rPr>
          <w:rFonts w:eastAsia="Times New Roman"/>
        </w:rPr>
      </w:pPr>
      <w:r>
        <w:rPr>
          <w:rFonts w:eastAsia="Times New Roman"/>
          <w:color w:val="000000"/>
          <w:sz w:val="20"/>
          <w:szCs w:val="20"/>
        </w:rPr>
        <w:t>In the normal course of business, the Company enters into certai</w:t>
      </w:r>
      <w:r>
        <w:rPr>
          <w:rFonts w:eastAsia="Times New Roman"/>
          <w:color w:val="000000"/>
          <w:sz w:val="20"/>
          <w:szCs w:val="20"/>
        </w:rPr>
        <w:t>n forms of off-balance sheet transactions, including unfunded loan commitments and letters of credit. These transactions are managed through the Company’s various risk management processes. Management considers both on-balance sheet and off-balance sheet t</w:t>
      </w:r>
      <w:r>
        <w:rPr>
          <w:rFonts w:eastAsia="Times New Roman"/>
          <w:color w:val="000000"/>
          <w:sz w:val="20"/>
          <w:szCs w:val="20"/>
        </w:rPr>
        <w:t xml:space="preserve">ransactions in its evaluation of the Company’s liquidity. The Company had $418.5 million in unused loan commitments and standby letters of credit as of March 31, 2022. Although the Company’s current liquidity resources are adequate to fund this commitment </w:t>
      </w:r>
      <w:r>
        <w:rPr>
          <w:rFonts w:eastAsia="Times New Roman"/>
          <w:color w:val="000000"/>
          <w:sz w:val="20"/>
          <w:szCs w:val="20"/>
        </w:rPr>
        <w:t>level, the nature of these commitments is such that the likelihood of such a funding demand is very low.</w:t>
      </w:r>
    </w:p>
    <w:p w:rsidR="00000000" w:rsidRDefault="002A246B">
      <w:pPr>
        <w:jc w:val="both"/>
        <w:divId w:val="1704397889"/>
        <w:rPr>
          <w:rFonts w:eastAsia="Times New Roman"/>
        </w:rPr>
      </w:pPr>
      <w:r>
        <w:rPr>
          <w:rFonts w:eastAsia="Times New Roman"/>
          <w:color w:val="000000"/>
          <w:sz w:val="20"/>
          <w:szCs w:val="20"/>
        </w:rPr>
        <w:t>The Company is a legal entity, separate and distinct from the Bank, which must provide its own liquidity to meet its operating needs. The Company’s ong</w:t>
      </w:r>
      <w:r>
        <w:rPr>
          <w:rFonts w:eastAsia="Times New Roman"/>
          <w:color w:val="000000"/>
          <w:sz w:val="20"/>
          <w:szCs w:val="20"/>
        </w:rPr>
        <w:t>oing liquidity needs primarily include funding its operating expenses, paying cash dividends to its shareholders and, to a lesser extent, repurchasing its shares of common stock. The Company paid cash dividends to its shareholders totaling approximately $1</w:t>
      </w:r>
      <w:r>
        <w:rPr>
          <w:rFonts w:eastAsia="Times New Roman"/>
          <w:color w:val="000000"/>
          <w:sz w:val="20"/>
          <w:szCs w:val="20"/>
        </w:rPr>
        <w:t>.0 million and $0.8 million for the three months ended March 31, 2022 and 2021, respectively. A large portion of the Company’s liquidity is obtained from the Bank in the form of dividends. The Bank declared and paid $3.5 million and $4.5 million in dividen</w:t>
      </w:r>
      <w:r>
        <w:rPr>
          <w:rFonts w:eastAsia="Times New Roman"/>
          <w:color w:val="000000"/>
          <w:sz w:val="20"/>
          <w:szCs w:val="20"/>
        </w:rPr>
        <w:t>ds to the Company during the three months ended March 31, 2022 and 2021, respectively. At March 31, 2022 and December 31, 2021, the Company had cash and cash equivalents totaling $4.1 million and $1.8 million, respectively. Subject to declaration by the Co</w:t>
      </w:r>
      <w:r>
        <w:rPr>
          <w:rFonts w:eastAsia="Times New Roman"/>
          <w:color w:val="000000"/>
          <w:sz w:val="20"/>
          <w:szCs w:val="20"/>
        </w:rPr>
        <w:t>mpany's Board of Directors, the Company expects to continue paying quarterly cash dividends as a part of its current capital allocation strategy. Future dividends will be subject to the determination, declaration and discretion of the Company's Board of Di</w:t>
      </w:r>
      <w:r>
        <w:rPr>
          <w:rFonts w:eastAsia="Times New Roman"/>
          <w:color w:val="000000"/>
          <w:sz w:val="20"/>
          <w:szCs w:val="20"/>
        </w:rPr>
        <w:t>rectors and compliance with applicable regulatory capital requirements.</w:t>
      </w:r>
    </w:p>
    <w:p w:rsidR="00000000" w:rsidRDefault="002A246B">
      <w:pPr>
        <w:jc w:val="both"/>
        <w:divId w:val="840512443"/>
        <w:rPr>
          <w:rFonts w:eastAsia="Times New Roman"/>
        </w:rPr>
      </w:pPr>
      <w:r>
        <w:rPr>
          <w:rFonts w:eastAsia="Times New Roman"/>
          <w:color w:val="000000"/>
          <w:sz w:val="20"/>
          <w:szCs w:val="20"/>
        </w:rPr>
        <w:t>The Company's 2019 Repurchase Plan was amended during the second quarter 2021 to authorize the purchase of up to an additional $5.0 million in market value of the Company's common stoc</w:t>
      </w:r>
      <w:r>
        <w:rPr>
          <w:rFonts w:eastAsia="Times New Roman"/>
          <w:color w:val="000000"/>
          <w:sz w:val="20"/>
          <w:szCs w:val="20"/>
        </w:rPr>
        <w:t xml:space="preserve">k. Management was given discretion to determine the number and pricing of the shares to be purchased, as well as the timing of any such purchases. During the first quarter 2022, the Company repurchased 23,536 common shares at an average cost of $25.75 per </w:t>
      </w:r>
      <w:r>
        <w:rPr>
          <w:rFonts w:eastAsia="Times New Roman"/>
          <w:color w:val="000000"/>
          <w:sz w:val="20"/>
          <w:szCs w:val="20"/>
        </w:rPr>
        <w:t xml:space="preserve">share totaling $0.6 million. </w:t>
      </w:r>
    </w:p>
    <w:p w:rsidR="00000000" w:rsidRDefault="002A246B">
      <w:pPr>
        <w:jc w:val="both"/>
        <w:divId w:val="799759642"/>
        <w:rPr>
          <w:rFonts w:eastAsia="Times New Roman"/>
        </w:rPr>
      </w:pPr>
      <w:r>
        <w:rPr>
          <w:rFonts w:eastAsia="Times New Roman"/>
          <w:color w:val="000000"/>
          <w:sz w:val="20"/>
          <w:szCs w:val="20"/>
        </w:rPr>
        <w:t>The repurchases under these authorizations may be effectuated in the open market, by block purchase, in privately negotiated transactions, or through other transactions managed by broker-dealers, or any combination thereof. No</w:t>
      </w:r>
      <w:r>
        <w:rPr>
          <w:rFonts w:eastAsia="Times New Roman"/>
          <w:color w:val="000000"/>
          <w:sz w:val="20"/>
          <w:szCs w:val="20"/>
        </w:rPr>
        <w:t xml:space="preserve"> time limit was set for the completion of these authorized share repurchases. As of March 31, 2022, $4.4 million remained available for the repurchase of shares pursuant to the share repurchase authorizations. The Company may continue to repurchase shares </w:t>
      </w:r>
      <w:r>
        <w:rPr>
          <w:rFonts w:eastAsia="Times New Roman"/>
          <w:color w:val="000000"/>
          <w:sz w:val="20"/>
          <w:szCs w:val="20"/>
        </w:rPr>
        <w:t xml:space="preserve">under its share repurchase authorizations, but the amount and timing of such repurchases will be dependent on a number of factors, including the price of its common stock and other cash flow needs. There is no assurance that the Company will repurchase up </w:t>
      </w:r>
      <w:r>
        <w:rPr>
          <w:rFonts w:eastAsia="Times New Roman"/>
          <w:color w:val="000000"/>
          <w:sz w:val="20"/>
          <w:szCs w:val="20"/>
        </w:rPr>
        <w:t>to the full amount remaining under its share repurchase authorizations.</w:t>
      </w:r>
      <w:r>
        <w:rPr>
          <w:rFonts w:eastAsia="Times New Roman"/>
          <w:color w:val="000000"/>
        </w:rPr>
        <w:t xml:space="preserve"> </w:t>
      </w:r>
    </w:p>
    <w:p w:rsidR="00000000" w:rsidRDefault="002A246B">
      <w:pPr>
        <w:divId w:val="1495801766"/>
        <w:rPr>
          <w:rFonts w:eastAsia="Times New Roman"/>
        </w:rPr>
      </w:pPr>
    </w:p>
    <w:p w:rsidR="00000000" w:rsidRDefault="002A246B">
      <w:pPr>
        <w:divId w:val="1136294069"/>
        <w:rPr>
          <w:rFonts w:eastAsia="Times New Roman"/>
        </w:rPr>
      </w:pPr>
    </w:p>
    <w:p w:rsidR="00000000" w:rsidRDefault="002A246B">
      <w:pPr>
        <w:divId w:val="1782257162"/>
        <w:rPr>
          <w:rFonts w:eastAsia="Times New Roman"/>
        </w:rPr>
      </w:pPr>
    </w:p>
    <w:p w:rsidR="00000000" w:rsidRDefault="002A246B">
      <w:pPr>
        <w:divId w:val="452479181"/>
        <w:rPr>
          <w:rFonts w:eastAsia="Times New Roman"/>
        </w:rPr>
      </w:pPr>
    </w:p>
    <w:p w:rsidR="00000000" w:rsidRDefault="002A246B">
      <w:pPr>
        <w:divId w:val="2063476985"/>
        <w:rPr>
          <w:rFonts w:eastAsia="Times New Roman"/>
        </w:rPr>
      </w:pPr>
    </w:p>
    <w:p w:rsidR="00000000" w:rsidRDefault="002A246B">
      <w:pPr>
        <w:jc w:val="center"/>
        <w:divId w:val="1943949298"/>
        <w:rPr>
          <w:rFonts w:eastAsia="Times New Roman"/>
        </w:rPr>
      </w:pPr>
      <w:r>
        <w:rPr>
          <w:rFonts w:eastAsia="Times New Roman"/>
          <w:color w:val="000000"/>
          <w:sz w:val="20"/>
          <w:szCs w:val="20"/>
        </w:rPr>
        <w:t>50</w:t>
      </w:r>
    </w:p>
    <w:p w:rsidR="00000000" w:rsidRDefault="002A246B">
      <w:pPr>
        <w:rPr>
          <w:rFonts w:eastAsia="Times New Roman"/>
        </w:rPr>
      </w:pPr>
      <w:r>
        <w:rPr>
          <w:rFonts w:eastAsia="Times New Roman"/>
        </w:rPr>
        <w:pict>
          <v:rect id="_x0000_i1074" style="width:0;height:1.5pt" o:hralign="center" o:hrstd="t" o:hr="t" fillcolor="#a0a0a0" stroked="f"/>
        </w:pict>
      </w:r>
    </w:p>
    <w:p w:rsidR="00000000" w:rsidRDefault="002A246B">
      <w:pPr>
        <w:divId w:val="1104232238"/>
        <w:rPr>
          <w:rFonts w:eastAsia="Times New Roman"/>
        </w:rPr>
      </w:pPr>
    </w:p>
    <w:p w:rsidR="00000000" w:rsidRDefault="002A246B">
      <w:pPr>
        <w:divId w:val="882790776"/>
        <w:rPr>
          <w:rFonts w:eastAsia="Times New Roman"/>
        </w:rPr>
      </w:pPr>
      <w:r>
        <w:rPr>
          <w:rFonts w:eastAsia="Times New Roman"/>
          <w:b/>
          <w:bCs/>
          <w:color w:val="000000"/>
          <w:sz w:val="20"/>
          <w:szCs w:val="20"/>
        </w:rPr>
        <w:t>Capital Management</w:t>
      </w:r>
    </w:p>
    <w:p w:rsidR="00000000" w:rsidRDefault="002A246B">
      <w:pPr>
        <w:jc w:val="both"/>
        <w:divId w:val="387069506"/>
        <w:rPr>
          <w:rFonts w:eastAsia="Times New Roman"/>
        </w:rPr>
      </w:pPr>
      <w:r>
        <w:rPr>
          <w:rFonts w:eastAsia="Times New Roman"/>
          <w:color w:val="000000"/>
          <w:sz w:val="20"/>
          <w:szCs w:val="20"/>
        </w:rPr>
        <w:t>The Company and the Bank are subject to various regulatory capital requirements administered by federal and state</w:t>
      </w:r>
      <w:r>
        <w:rPr>
          <w:rFonts w:eastAsia="Times New Roman"/>
          <w:color w:val="000000"/>
          <w:sz w:val="20"/>
          <w:szCs w:val="20"/>
        </w:rPr>
        <w:t xml:space="preserve"> banking agencies. Failure to meet minimum capital requirements can initiate certain mandatory, and possibly additional discretionary, actions by regulators that, if undertaken, could have a direct material effect on the Company’s consolidated financial st</w:t>
      </w:r>
      <w:r>
        <w:rPr>
          <w:rFonts w:eastAsia="Times New Roman"/>
          <w:color w:val="000000"/>
          <w:sz w:val="20"/>
          <w:szCs w:val="20"/>
        </w:rPr>
        <w:t xml:space="preserve">atements. Under capital adequacy guidelines, the Company and the Bank must meet specific capital guidelines that involve quantitative measures of assets, liabilities, and certain off-balance-sheet items as calculated under regulatory accounting practices. </w:t>
      </w:r>
      <w:r>
        <w:rPr>
          <w:rFonts w:eastAsia="Times New Roman"/>
          <w:color w:val="000000"/>
          <w:sz w:val="20"/>
          <w:szCs w:val="20"/>
        </w:rPr>
        <w:t>The capital amounts and classification of the Company and the Bank are subject to qualitative judgments by the regulators about components, risk-weightings, and other factors.</w:t>
      </w:r>
    </w:p>
    <w:p w:rsidR="00000000" w:rsidRDefault="002A246B">
      <w:pPr>
        <w:jc w:val="both"/>
        <w:divId w:val="244535459"/>
        <w:rPr>
          <w:rFonts w:eastAsia="Times New Roman"/>
        </w:rPr>
      </w:pPr>
      <w:r>
        <w:rPr>
          <w:rFonts w:eastAsia="Times New Roman"/>
          <w:color w:val="000000"/>
          <w:sz w:val="20"/>
          <w:szCs w:val="20"/>
        </w:rPr>
        <w:t>The Basel III regulatory capital framework (the "Basel III Capital Rules") adopt</w:t>
      </w:r>
      <w:r>
        <w:rPr>
          <w:rFonts w:eastAsia="Times New Roman"/>
          <w:color w:val="000000"/>
          <w:sz w:val="20"/>
          <w:szCs w:val="20"/>
        </w:rPr>
        <w:t>ed by U.S. federal regulatory authorities, among other things, (i) establishes the capital measure called "Common Equity Tier 1" ("CET1"), (ii) specifies that Tier 1 capital consist of CET1 and "Additional Tier 1 Capital" instruments meeting stated require</w:t>
      </w:r>
      <w:r>
        <w:rPr>
          <w:rFonts w:eastAsia="Times New Roman"/>
          <w:color w:val="000000"/>
          <w:sz w:val="20"/>
          <w:szCs w:val="20"/>
        </w:rPr>
        <w:t xml:space="preserve">ments, (iii) requires that most deductions/adjustments to regulatory capital measures be made to CET1 and not to other components of capital and (iv) defines the scope of the deductions/adjustments to the capital measures. </w:t>
      </w:r>
    </w:p>
    <w:p w:rsidR="00000000" w:rsidRDefault="002A246B">
      <w:pPr>
        <w:jc w:val="both"/>
        <w:divId w:val="701514022"/>
        <w:rPr>
          <w:rFonts w:eastAsia="Times New Roman"/>
        </w:rPr>
      </w:pPr>
      <w:r>
        <w:rPr>
          <w:rFonts w:eastAsia="Times New Roman"/>
          <w:color w:val="000000"/>
          <w:sz w:val="20"/>
          <w:szCs w:val="20"/>
        </w:rPr>
        <w:t>Additionally, the Basel III Capi</w:t>
      </w:r>
      <w:r>
        <w:rPr>
          <w:rFonts w:eastAsia="Times New Roman"/>
          <w:color w:val="000000"/>
          <w:sz w:val="20"/>
          <w:szCs w:val="20"/>
        </w:rPr>
        <w:t>tal Rules require that the Company maintain a 2.5% capital conservation buffer with respect to each of CET1, Tier 1 and total capital to risk-weighted assets, which provides for capital levels that exceed the minimum risk-based capital adequacy requirement</w:t>
      </w:r>
      <w:r>
        <w:rPr>
          <w:rFonts w:eastAsia="Times New Roman"/>
          <w:color w:val="000000"/>
          <w:sz w:val="20"/>
          <w:szCs w:val="20"/>
        </w:rPr>
        <w:t>s. A financial institution with a conservation buffer of less than the required amount is subject to limitations on capital distributions, including dividend payments and stock repurchases, and certain discretionary bonus payments to executive officers.</w:t>
      </w:r>
    </w:p>
    <w:p w:rsidR="00000000" w:rsidRDefault="002A246B">
      <w:pPr>
        <w:jc w:val="both"/>
        <w:divId w:val="1758554526"/>
        <w:rPr>
          <w:rFonts w:eastAsia="Times New Roman"/>
        </w:rPr>
      </w:pPr>
      <w:r>
        <w:rPr>
          <w:rFonts w:eastAsia="Times New Roman"/>
          <w:color w:val="000000"/>
          <w:sz w:val="20"/>
          <w:szCs w:val="20"/>
        </w:rPr>
        <w:t>Qu</w:t>
      </w:r>
      <w:r>
        <w:rPr>
          <w:rFonts w:eastAsia="Times New Roman"/>
          <w:color w:val="000000"/>
          <w:sz w:val="20"/>
          <w:szCs w:val="20"/>
        </w:rPr>
        <w:t>antitative measures established by regulation to ensure capital adequacy require the Company and the Bank to maintain minimum amounts and ratios of CET1, Tier 1 and total capital to risk-weighted assets, and of Tier 1 capital to average assets, each as def</w:t>
      </w:r>
      <w:r>
        <w:rPr>
          <w:rFonts w:eastAsia="Times New Roman"/>
          <w:color w:val="000000"/>
          <w:sz w:val="20"/>
          <w:szCs w:val="20"/>
        </w:rPr>
        <w:t>ined in the regulations. Management believes, as of March 31, 2022, that the Company and the Bank meet all capital adequacy requirements to which they are subject.</w:t>
      </w:r>
    </w:p>
    <w:p w:rsidR="00000000" w:rsidRDefault="002A246B">
      <w:pPr>
        <w:jc w:val="both"/>
        <w:divId w:val="80807017"/>
        <w:rPr>
          <w:rFonts w:eastAsia="Times New Roman"/>
        </w:rPr>
      </w:pPr>
      <w:r>
        <w:rPr>
          <w:rFonts w:eastAsia="Times New Roman"/>
          <w:color w:val="000000"/>
          <w:sz w:val="20"/>
          <w:szCs w:val="20"/>
        </w:rPr>
        <w:t xml:space="preserve">Financial institutions are categorized as well capitalized or adequately capitalized, based </w:t>
      </w:r>
      <w:r>
        <w:rPr>
          <w:rFonts w:eastAsia="Times New Roman"/>
          <w:color w:val="000000"/>
          <w:sz w:val="20"/>
          <w:szCs w:val="20"/>
        </w:rPr>
        <w:t>on minimum total risk-based, Tier 1 risk-based, CET1 and Tier 1 leverage ratios. As shown in the table below, the Company’s capital ratios exceeded the regulatory definition of adequately capitalized as of March 31, 2022 and December 31, 2021. Based upon t</w:t>
      </w:r>
      <w:r>
        <w:rPr>
          <w:rFonts w:eastAsia="Times New Roman"/>
          <w:color w:val="000000"/>
          <w:sz w:val="20"/>
          <w:szCs w:val="20"/>
        </w:rPr>
        <w:t>he information in its most recently filed call report, the Bank met the capital ratios necessary to be well-capitalized. The regulatory authorities can apply changes in classification of assets and such changes may retroactively subject the Company to chan</w:t>
      </w:r>
      <w:r>
        <w:rPr>
          <w:rFonts w:eastAsia="Times New Roman"/>
          <w:color w:val="000000"/>
          <w:sz w:val="20"/>
          <w:szCs w:val="20"/>
        </w:rPr>
        <w:t>ges in capital ratios. Any such change could reduce one or more capital ratios below well-capitalized status. In addition, a change may result in imposition of additional assessments by the FDIC or could result in regulatory actions that could have a mater</w:t>
      </w:r>
      <w:r>
        <w:rPr>
          <w:rFonts w:eastAsia="Times New Roman"/>
          <w:color w:val="000000"/>
          <w:sz w:val="20"/>
          <w:szCs w:val="20"/>
        </w:rPr>
        <w:t>ial effect on our condition and results of operations. In addition, bank holding companies generally are required to maintain a Tier 1 leverage ratio of at least 4%.</w:t>
      </w:r>
    </w:p>
    <w:p w:rsidR="00000000" w:rsidRDefault="002A246B">
      <w:pPr>
        <w:jc w:val="both"/>
        <w:divId w:val="691809860"/>
        <w:rPr>
          <w:rFonts w:eastAsia="Times New Roman"/>
        </w:rPr>
      </w:pPr>
      <w:r>
        <w:rPr>
          <w:rFonts w:eastAsia="Times New Roman"/>
          <w:color w:val="000000"/>
          <w:sz w:val="20"/>
          <w:szCs w:val="20"/>
        </w:rPr>
        <w:t>Because the Bank had less than $15.0 billion in total consolidated assets as of December 31, 2009, the Company is allowed to continue to classify its trust preferred securities, all of which were issued prior to May 19, 2010, as Tier 1 capital.</w:t>
      </w:r>
    </w:p>
    <w:p w:rsidR="00000000" w:rsidRDefault="002A246B">
      <w:pPr>
        <w:jc w:val="center"/>
        <w:divId w:val="21591030"/>
        <w:rPr>
          <w:rFonts w:eastAsia="Times New Roman"/>
        </w:rPr>
      </w:pPr>
      <w:r>
        <w:rPr>
          <w:rFonts w:eastAsia="Times New Roman"/>
          <w:color w:val="000000"/>
          <w:sz w:val="20"/>
          <w:szCs w:val="20"/>
        </w:rPr>
        <w:t>51</w:t>
      </w:r>
    </w:p>
    <w:p w:rsidR="00000000" w:rsidRDefault="002A246B">
      <w:pPr>
        <w:rPr>
          <w:rFonts w:eastAsia="Times New Roman"/>
        </w:rPr>
      </w:pPr>
      <w:r>
        <w:rPr>
          <w:rFonts w:eastAsia="Times New Roman"/>
        </w:rPr>
        <w:pict>
          <v:rect id="_x0000_i1075" style="width:0;height:1.5pt" o:hralign="center" o:hrstd="t" o:hr="t" fillcolor="#a0a0a0" stroked="f"/>
        </w:pict>
      </w:r>
    </w:p>
    <w:p w:rsidR="00000000" w:rsidRDefault="002A246B">
      <w:pPr>
        <w:divId w:val="62065322"/>
        <w:rPr>
          <w:rFonts w:eastAsia="Times New Roman"/>
        </w:rPr>
      </w:pPr>
    </w:p>
    <w:p w:rsidR="00000000" w:rsidRDefault="002A246B">
      <w:pPr>
        <w:jc w:val="both"/>
        <w:divId w:val="2035646113"/>
        <w:rPr>
          <w:rFonts w:eastAsia="Times New Roman"/>
        </w:rPr>
      </w:pPr>
      <w:r>
        <w:rPr>
          <w:rFonts w:eastAsia="Times New Roman"/>
          <w:color w:val="000000"/>
          <w:sz w:val="20"/>
          <w:szCs w:val="20"/>
        </w:rPr>
        <w:t>Under the Basel III requirements, at March 31, 2022 and December 31, 2021, the Company met all capital adequacy requirements and had regulatory capital ratios in excess of the levels established for well-capitalized institutio</w:t>
      </w:r>
      <w:r>
        <w:rPr>
          <w:rFonts w:eastAsia="Times New Roman"/>
          <w:color w:val="000000"/>
          <w:sz w:val="20"/>
          <w:szCs w:val="20"/>
        </w:rPr>
        <w:t>ns, as shown in the following table as of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3309"/>
        <w:gridCol w:w="36"/>
        <w:gridCol w:w="100"/>
        <w:gridCol w:w="609"/>
        <w:gridCol w:w="36"/>
        <w:gridCol w:w="36"/>
        <w:gridCol w:w="36"/>
        <w:gridCol w:w="36"/>
        <w:gridCol w:w="47"/>
        <w:gridCol w:w="544"/>
        <w:gridCol w:w="154"/>
        <w:gridCol w:w="36"/>
        <w:gridCol w:w="36"/>
        <w:gridCol w:w="36"/>
        <w:gridCol w:w="100"/>
        <w:gridCol w:w="563"/>
        <w:gridCol w:w="36"/>
        <w:gridCol w:w="36"/>
        <w:gridCol w:w="36"/>
        <w:gridCol w:w="36"/>
        <w:gridCol w:w="47"/>
        <w:gridCol w:w="544"/>
        <w:gridCol w:w="155"/>
        <w:gridCol w:w="36"/>
        <w:gridCol w:w="36"/>
        <w:gridCol w:w="36"/>
        <w:gridCol w:w="102"/>
        <w:gridCol w:w="563"/>
        <w:gridCol w:w="38"/>
        <w:gridCol w:w="37"/>
        <w:gridCol w:w="36"/>
        <w:gridCol w:w="36"/>
        <w:gridCol w:w="47"/>
        <w:gridCol w:w="544"/>
        <w:gridCol w:w="154"/>
      </w:tblGrid>
      <w:tr w:rsidR="00000000">
        <w:trPr>
          <w:divId w:val="855537000"/>
        </w:trPr>
        <w:tc>
          <w:tcPr>
            <w:tcW w:w="50" w:type="pct"/>
            <w:vAlign w:val="center"/>
            <w:hideMark/>
          </w:tcPr>
          <w:p w:rsidR="00000000" w:rsidRDefault="002A246B">
            <w:pPr>
              <w:jc w:val="both"/>
              <w:rPr>
                <w:rFonts w:eastAsia="Times New Roman"/>
              </w:rPr>
            </w:pPr>
          </w:p>
        </w:tc>
        <w:tc>
          <w:tcPr>
            <w:tcW w:w="20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9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9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9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9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9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9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855537000"/>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Actual</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Minimum Capital Required - Basel III Fully Phased-In</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Required to be Considered Well- Capitalized</w:t>
            </w:r>
          </w:p>
        </w:tc>
      </w:tr>
      <w:tr w:rsidR="00000000">
        <w:trPr>
          <w:divId w:val="855537000"/>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i/>
                <w:iCs/>
                <w:color w:val="000000"/>
                <w:sz w:val="16"/>
                <w:szCs w:val="16"/>
              </w:rPr>
              <w:t>(Dollars 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Ratio</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Ratio</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Ratio</w:t>
            </w:r>
          </w:p>
        </w:tc>
      </w:tr>
      <w:tr w:rsidR="00000000">
        <w:trPr>
          <w:divId w:val="855537000"/>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March 31,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855537000"/>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 Capital (to risk-weighted assets):</w:t>
            </w: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85553700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Company</w:t>
            </w: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213,114 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14.66 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152,691 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10.50 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N.A%</w:t>
            </w:r>
          </w:p>
        </w:tc>
      </w:tr>
      <w:tr w:rsidR="00000000">
        <w:trPr>
          <w:divId w:val="855537000"/>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Bank</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211,027</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14.52 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152,575</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10.50 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145,309</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10.00 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85553700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Tier 1 Capital (to risk-weighted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855537000"/>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Company</w:t>
            </w: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195,471 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13.44 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123,607 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8.50 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N.A%</w:t>
            </w:r>
          </w:p>
        </w:tc>
      </w:tr>
      <w:tr w:rsidR="00000000">
        <w:trPr>
          <w:divId w:val="85553700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Bank</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196,588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13.53 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123,513</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8.50 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116,248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8.00 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8555370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Common Equity Tier 1 Capital (to risk-weighted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85553700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Company</w:t>
            </w: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150,675 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10.36 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101,794 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7.00 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N.A%</w:t>
            </w:r>
          </w:p>
        </w:tc>
      </w:tr>
      <w:tr w:rsidR="00000000">
        <w:trPr>
          <w:divId w:val="855537000"/>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Bank</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196,588</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13.53 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101,717</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7.00 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94,451</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6.50 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85553700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Tier 1 leverage ratio (to adjusted average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855537000"/>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Company</w:t>
            </w: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195,471 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10.99 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71,122 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4.00 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N.A%</w:t>
            </w:r>
          </w:p>
        </w:tc>
      </w:tr>
      <w:tr w:rsidR="00000000">
        <w:trPr>
          <w:divId w:val="85553700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Bank</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196,588</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11.12 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70,747</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4.00 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88,434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5.00 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855537000"/>
          <w:trHeight w:val="300"/>
        </w:trPr>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85553700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December 31, 2021</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855537000"/>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Total Capital (to risk-weighted assets):</w:t>
            </w: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85553700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Company</w:t>
            </w: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210,726 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14.79 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149,640 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10.50 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N.A%</w:t>
            </w:r>
          </w:p>
        </w:tc>
      </w:tr>
      <w:tr w:rsidR="00000000">
        <w:trPr>
          <w:divId w:val="855537000"/>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Bank</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210,148</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14.78 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149,339</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10.50 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142,228</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10.00 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85553700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Tier 1 Capital (to risk-weighted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855537000"/>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Company</w:t>
            </w: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193,663 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13.59 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121,137 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8.50 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N.A%</w:t>
            </w:r>
          </w:p>
        </w:tc>
      </w:tr>
      <w:tr w:rsidR="00000000">
        <w:trPr>
          <w:divId w:val="85553700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Bank</w:t>
            </w: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193,085</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13.58 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120,894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8.50 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113,782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8.00 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8555370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Common Equity Tier 1 Capital (to risk-weighted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85553700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Company</w:t>
            </w: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145,663 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10.22 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99,760 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7.00 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N.A%</w:t>
            </w:r>
          </w:p>
        </w:tc>
      </w:tr>
      <w:tr w:rsidR="00000000">
        <w:trPr>
          <w:divId w:val="855537000"/>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Bank</w:t>
            </w: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193,085</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13.58 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99,559</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7.00 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92,448</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6.50 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r w:rsidR="00000000">
        <w:trPr>
          <w:divId w:val="85553700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b/>
                <w:bCs/>
                <w:color w:val="000000"/>
                <w:sz w:val="16"/>
                <w:szCs w:val="16"/>
              </w:rPr>
              <w:t>Tier 1 leverage ratio:</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sz w:val="20"/>
                <w:szCs w:val="20"/>
              </w:rPr>
            </w:pPr>
          </w:p>
        </w:tc>
      </w:tr>
      <w:tr w:rsidR="00000000">
        <w:trPr>
          <w:divId w:val="855537000"/>
        </w:trPr>
        <w:tc>
          <w:tcPr>
            <w:tcW w:w="0" w:type="auto"/>
            <w:gridSpan w:val="3"/>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Company</w:t>
            </w: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193,663 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11.01 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70,342 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4.00%</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2A246B">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N.A%</w:t>
            </w:r>
          </w:p>
        </w:tc>
      </w:tr>
      <w:tr w:rsidR="00000000">
        <w:trPr>
          <w:divId w:val="855537000"/>
        </w:trPr>
        <w:tc>
          <w:tcPr>
            <w:tcW w:w="0" w:type="auto"/>
            <w:gridSpan w:val="3"/>
            <w:tcBorders>
              <w:bottom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16"/>
                <w:szCs w:val="16"/>
              </w:rPr>
              <w:t>Bank</w:t>
            </w:r>
          </w:p>
        </w:tc>
        <w:tc>
          <w:tcPr>
            <w:tcW w:w="0" w:type="auto"/>
            <w:gridSpan w:val="3"/>
            <w:tcBorders>
              <w:bottom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193,085</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11.04 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bottom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69,959</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4.00 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bottom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87,449</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16"/>
                <w:szCs w:val="16"/>
              </w:rPr>
              <w:t>5.00 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16"/>
                <w:szCs w:val="16"/>
              </w:rPr>
              <w:t>%</w:t>
            </w:r>
          </w:p>
        </w:tc>
      </w:tr>
    </w:tbl>
    <w:p w:rsidR="00000000" w:rsidRDefault="002A246B">
      <w:pPr>
        <w:jc w:val="center"/>
        <w:divId w:val="1213886387"/>
        <w:rPr>
          <w:rFonts w:eastAsia="Times New Roman"/>
        </w:rPr>
      </w:pPr>
      <w:r>
        <w:rPr>
          <w:rFonts w:eastAsia="Times New Roman"/>
          <w:color w:val="000000"/>
          <w:sz w:val="20"/>
          <w:szCs w:val="20"/>
        </w:rPr>
        <w:t>52</w:t>
      </w:r>
    </w:p>
    <w:p w:rsidR="00000000" w:rsidRDefault="002A246B">
      <w:pPr>
        <w:rPr>
          <w:rFonts w:eastAsia="Times New Roman"/>
        </w:rPr>
      </w:pPr>
      <w:r>
        <w:rPr>
          <w:rFonts w:eastAsia="Times New Roman"/>
        </w:rPr>
        <w:pict>
          <v:rect id="_x0000_i1076" style="width:0;height:1.5pt" o:hralign="center" o:hrstd="t" o:hr="t" fillcolor="#a0a0a0" stroked="f"/>
        </w:pict>
      </w:r>
    </w:p>
    <w:p w:rsidR="00000000" w:rsidRDefault="002A246B">
      <w:pPr>
        <w:divId w:val="1898397023"/>
        <w:rPr>
          <w:rFonts w:eastAsia="Times New Roman"/>
        </w:rPr>
      </w:pPr>
    </w:p>
    <w:p w:rsidR="00000000" w:rsidRDefault="002A246B">
      <w:pPr>
        <w:divId w:val="1849713719"/>
        <w:rPr>
          <w:rFonts w:eastAsia="Times New Roman"/>
        </w:rPr>
      </w:pPr>
      <w:r>
        <w:rPr>
          <w:rFonts w:eastAsia="Times New Roman"/>
          <w:b/>
          <w:bCs/>
          <w:color w:val="000000"/>
          <w:sz w:val="20"/>
          <w:szCs w:val="20"/>
        </w:rPr>
        <w:t>Item 3. Quantitative and Qualitative Dis</w:t>
      </w:r>
      <w:r>
        <w:rPr>
          <w:rFonts w:eastAsia="Times New Roman"/>
          <w:b/>
          <w:bCs/>
          <w:color w:val="000000"/>
          <w:sz w:val="20"/>
          <w:szCs w:val="20"/>
        </w:rPr>
        <w:t>closures about Market Risk</w:t>
      </w:r>
    </w:p>
    <w:p w:rsidR="00000000" w:rsidRDefault="002A246B">
      <w:pPr>
        <w:divId w:val="698506487"/>
        <w:rPr>
          <w:rFonts w:eastAsia="Times New Roman"/>
        </w:rPr>
      </w:pPr>
      <w:r>
        <w:rPr>
          <w:rFonts w:eastAsia="Times New Roman"/>
          <w:b/>
          <w:bCs/>
          <w:color w:val="000000"/>
          <w:sz w:val="20"/>
          <w:szCs w:val="20"/>
        </w:rPr>
        <w:t>Asset/Liability and Interest Rate Risk</w:t>
      </w:r>
    </w:p>
    <w:p w:rsidR="00000000" w:rsidRDefault="002A246B">
      <w:pPr>
        <w:jc w:val="both"/>
        <w:divId w:val="332876246"/>
        <w:rPr>
          <w:rFonts w:eastAsia="Times New Roman"/>
        </w:rPr>
      </w:pPr>
      <w:r>
        <w:rPr>
          <w:rFonts w:eastAsia="Times New Roman"/>
          <w:color w:val="000000"/>
          <w:sz w:val="20"/>
          <w:szCs w:val="20"/>
        </w:rPr>
        <w:t>Management and the Board of Directors are responsible for managing interest rate risk and employing risk management policies that monitor and limit this exposure. Interest rate risk is measu</w:t>
      </w:r>
      <w:r>
        <w:rPr>
          <w:rFonts w:eastAsia="Times New Roman"/>
          <w:color w:val="000000"/>
          <w:sz w:val="20"/>
          <w:szCs w:val="20"/>
        </w:rPr>
        <w:t>red using net interest income simulations and market value of portfolio equity analyses. These analyses use various assumptions, including the nature and timing of interest rate changes, yield curve shape, prepayments on loans and securities, deposit decay</w:t>
      </w:r>
      <w:r>
        <w:rPr>
          <w:rFonts w:eastAsia="Times New Roman"/>
          <w:color w:val="000000"/>
          <w:sz w:val="20"/>
          <w:szCs w:val="20"/>
        </w:rPr>
        <w:t xml:space="preserve"> rates, pricing decisions on loans and deposits, and reinvestment/replacement of asset and liability cash flows.</w:t>
      </w:r>
    </w:p>
    <w:p w:rsidR="00000000" w:rsidRDefault="002A246B">
      <w:pPr>
        <w:jc w:val="both"/>
        <w:divId w:val="883174922"/>
        <w:rPr>
          <w:rFonts w:eastAsia="Times New Roman"/>
        </w:rPr>
      </w:pPr>
      <w:r>
        <w:rPr>
          <w:rFonts w:eastAsia="Times New Roman"/>
          <w:color w:val="000000"/>
          <w:sz w:val="20"/>
          <w:szCs w:val="20"/>
        </w:rPr>
        <w:t>The principal objective of the Company’</w:t>
      </w:r>
      <w:r>
        <w:rPr>
          <w:rFonts w:eastAsia="Times New Roman"/>
          <w:color w:val="000000"/>
          <w:sz w:val="20"/>
          <w:szCs w:val="20"/>
        </w:rPr>
        <w:t>s asset and liability management function is to evaluate the interest rate risk within the balance sheet and pursue a controlled assumption of interest rate risk while maximizing earnings and preserving adequate levels of liquidity and capital. The asset a</w:t>
      </w:r>
      <w:r>
        <w:rPr>
          <w:rFonts w:eastAsia="Times New Roman"/>
          <w:color w:val="000000"/>
          <w:sz w:val="20"/>
          <w:szCs w:val="20"/>
        </w:rPr>
        <w:t>nd liability management function is under the guidance of the ALCO with direction from the Board of Directors. The ALCO meets monthly to review, among other things, the sensitivity of the Company’s assets and liabilities to interest rate changes, local and</w:t>
      </w:r>
      <w:r>
        <w:rPr>
          <w:rFonts w:eastAsia="Times New Roman"/>
          <w:color w:val="000000"/>
          <w:sz w:val="20"/>
          <w:szCs w:val="20"/>
        </w:rPr>
        <w:t xml:space="preserve"> national market conditions and rates. The ALCO also reviews the liquidity, capital, deposit mix, loan mix and investment positions of the Company.</w:t>
      </w:r>
    </w:p>
    <w:p w:rsidR="00000000" w:rsidRDefault="002A246B">
      <w:pPr>
        <w:jc w:val="both"/>
        <w:divId w:val="1114906674"/>
        <w:rPr>
          <w:rFonts w:eastAsia="Times New Roman"/>
        </w:rPr>
      </w:pPr>
      <w:r>
        <w:rPr>
          <w:rFonts w:eastAsia="Times New Roman"/>
          <w:color w:val="000000"/>
          <w:sz w:val="20"/>
          <w:szCs w:val="20"/>
        </w:rPr>
        <w:t>Instantaneous parallel rate shift scenarios are modeled and utilized to evaluate risk and establish exposure</w:t>
      </w:r>
      <w:r>
        <w:rPr>
          <w:rFonts w:eastAsia="Times New Roman"/>
          <w:color w:val="000000"/>
          <w:sz w:val="20"/>
          <w:szCs w:val="20"/>
        </w:rPr>
        <w:t xml:space="preserve"> limits for acceptable changes in net interest margin. These scenarios, known as rate shocks, simulate an instantaneous change in interest rates and use various assumptions, including, but not limited to, prepayments on loans and securities, deposit decay </w:t>
      </w:r>
      <w:r>
        <w:rPr>
          <w:rFonts w:eastAsia="Times New Roman"/>
          <w:color w:val="000000"/>
          <w:sz w:val="20"/>
          <w:szCs w:val="20"/>
        </w:rPr>
        <w:t>rates, pricing decisions on loans and deposits, reinvestment and replacement of asset and liability cash flows.</w:t>
      </w:r>
    </w:p>
    <w:p w:rsidR="00000000" w:rsidRDefault="002A246B">
      <w:pPr>
        <w:jc w:val="both"/>
        <w:divId w:val="843400072"/>
        <w:rPr>
          <w:rFonts w:eastAsia="Times New Roman"/>
        </w:rPr>
      </w:pPr>
      <w:r>
        <w:rPr>
          <w:rFonts w:eastAsia="Times New Roman"/>
          <w:color w:val="000000"/>
          <w:sz w:val="20"/>
          <w:szCs w:val="20"/>
        </w:rPr>
        <w:t>Management analyzes the economic value of equity as a secondary measure of interest rate risk. This is a complementary measure to net interest i</w:t>
      </w:r>
      <w:r>
        <w:rPr>
          <w:rFonts w:eastAsia="Times New Roman"/>
          <w:color w:val="000000"/>
          <w:sz w:val="20"/>
          <w:szCs w:val="20"/>
        </w:rPr>
        <w:t xml:space="preserve">ncome where the calculated value is the result of the market value of assets less the market value of liabilities. The economic value of equity is a longer term view of interest rate risk because it measures the present value of the future cash flows. The </w:t>
      </w:r>
      <w:r>
        <w:rPr>
          <w:rFonts w:eastAsia="Times New Roman"/>
          <w:color w:val="000000"/>
          <w:sz w:val="20"/>
          <w:szCs w:val="20"/>
        </w:rPr>
        <w:t>impact of changes in interest rates on this calculation is analyzed for the risk to our future earnings and is used in conjunction with the analyses on net interest income.</w:t>
      </w:r>
    </w:p>
    <w:p w:rsidR="00000000" w:rsidRDefault="002A246B">
      <w:pPr>
        <w:jc w:val="both"/>
        <w:divId w:val="1180857207"/>
        <w:rPr>
          <w:rFonts w:eastAsia="Times New Roman"/>
        </w:rPr>
      </w:pPr>
      <w:r>
        <w:rPr>
          <w:rFonts w:eastAsia="Times New Roman"/>
          <w:color w:val="000000"/>
          <w:sz w:val="20"/>
          <w:szCs w:val="20"/>
        </w:rPr>
        <w:t>The table below illustrates the impact of an immediate and sustained 200 and 100 ba</w:t>
      </w:r>
      <w:r>
        <w:rPr>
          <w:rFonts w:eastAsia="Times New Roman"/>
          <w:color w:val="000000"/>
          <w:sz w:val="20"/>
          <w:szCs w:val="20"/>
        </w:rPr>
        <w:t>sis point increase and a 200 and 100 basis point decrease in interest rates on net interest income based on the interest rate risk model at March 31, 2022 and December 31, 2021.</w:t>
      </w:r>
    </w:p>
    <w:tbl>
      <w:tblPr>
        <w:tblW w:w="4939" w:type="pct"/>
        <w:tblCellMar>
          <w:top w:w="15" w:type="dxa"/>
          <w:left w:w="15" w:type="dxa"/>
          <w:bottom w:w="15" w:type="dxa"/>
          <w:right w:w="15" w:type="dxa"/>
        </w:tblCellMar>
        <w:tblLook w:val="04A0" w:firstRow="1" w:lastRow="0" w:firstColumn="1" w:lastColumn="0" w:noHBand="0" w:noVBand="1"/>
      </w:tblPr>
      <w:tblGrid>
        <w:gridCol w:w="37"/>
        <w:gridCol w:w="3239"/>
        <w:gridCol w:w="36"/>
        <w:gridCol w:w="36"/>
        <w:gridCol w:w="36"/>
        <w:gridCol w:w="36"/>
        <w:gridCol w:w="38"/>
        <w:gridCol w:w="2092"/>
        <w:gridCol w:w="189"/>
        <w:gridCol w:w="37"/>
        <w:gridCol w:w="36"/>
        <w:gridCol w:w="36"/>
        <w:gridCol w:w="37"/>
        <w:gridCol w:w="2132"/>
        <w:gridCol w:w="188"/>
      </w:tblGrid>
      <w:tr w:rsidR="00000000">
        <w:trPr>
          <w:divId w:val="1995450800"/>
        </w:trPr>
        <w:tc>
          <w:tcPr>
            <w:tcW w:w="50" w:type="pct"/>
            <w:vAlign w:val="center"/>
            <w:hideMark/>
          </w:tcPr>
          <w:p w:rsidR="00000000" w:rsidRDefault="002A246B">
            <w:pPr>
              <w:jc w:val="both"/>
              <w:rPr>
                <w:rFonts w:eastAsia="Times New Roman"/>
              </w:rPr>
            </w:pPr>
          </w:p>
        </w:tc>
        <w:tc>
          <w:tcPr>
            <w:tcW w:w="2023"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135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8"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1379"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995450800"/>
        </w:trPr>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2A246B">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 Change in projected net interest income</w:t>
            </w:r>
          </w:p>
        </w:tc>
      </w:tr>
      <w:tr w:rsidR="00000000">
        <w:trPr>
          <w:divId w:val="199545080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Hypothetical shift in interest rates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March 31,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December 31,</w:t>
            </w:r>
          </w:p>
        </w:tc>
      </w:tr>
      <w:tr w:rsidR="00000000">
        <w:trPr>
          <w:divId w:val="1995450800"/>
        </w:trPr>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i/>
                <w:iCs/>
                <w:color w:val="000000"/>
                <w:sz w:val="16"/>
                <w:szCs w:val="16"/>
              </w:rPr>
              <w:t>(bps)</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2021</w:t>
            </w:r>
          </w:p>
        </w:tc>
      </w:tr>
      <w:tr w:rsidR="00000000">
        <w:trPr>
          <w:divId w:val="199545080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color w:val="000000"/>
                <w:sz w:val="20"/>
                <w:szCs w:val="20"/>
              </w:rPr>
              <w:t>200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1.84%</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4.47%</w:t>
            </w:r>
          </w:p>
        </w:tc>
      </w:tr>
      <w:tr w:rsidR="00000000">
        <w:trPr>
          <w:divId w:val="1995450800"/>
        </w:trPr>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color w:val="000000"/>
                <w:sz w:val="20"/>
                <w:szCs w:val="20"/>
              </w:rPr>
              <w:t>100</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0.96%</w:t>
            </w:r>
          </w:p>
        </w:tc>
        <w:tc>
          <w:tcPr>
            <w:tcW w:w="0" w:type="auto"/>
            <w:gridSpan w:val="3"/>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1.80%</w:t>
            </w:r>
          </w:p>
        </w:tc>
      </w:tr>
      <w:tr w:rsidR="00000000">
        <w:trPr>
          <w:divId w:val="1995450800"/>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color w:val="000000"/>
                <w:sz w:val="20"/>
                <w:szCs w:val="20"/>
              </w:rPr>
              <w:t>(100)</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(2.16)</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(3.12)</w:t>
            </w:r>
          </w:p>
        </w:tc>
        <w:tc>
          <w:tcPr>
            <w:tcW w:w="0" w:type="auto"/>
            <w:shd w:val="clear" w:color="auto" w:fill="CCEEFF"/>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r w:rsidR="00000000">
        <w:trPr>
          <w:divId w:val="1995450800"/>
        </w:trPr>
        <w:tc>
          <w:tcPr>
            <w:tcW w:w="0" w:type="auto"/>
            <w:gridSpan w:val="3"/>
            <w:tcBorders>
              <w:bottom w:val="single" w:sz="6" w:space="0" w:color="000000"/>
            </w:tcBorders>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color w:val="000000"/>
                <w:sz w:val="20"/>
                <w:szCs w:val="20"/>
              </w:rPr>
              <w:t>(200)</w:t>
            </w:r>
          </w:p>
        </w:tc>
        <w:tc>
          <w:tcPr>
            <w:tcW w:w="0" w:type="auto"/>
            <w:gridSpan w:val="3"/>
            <w:tcBorders>
              <w:bottom w:val="single" w:sz="6" w:space="0" w:color="000000"/>
            </w:tcBorders>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2"/>
            <w:tcBorders>
              <w:bottom w:val="single" w:sz="6" w:space="0" w:color="000000"/>
            </w:tcBorders>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(3.28)</w:t>
            </w:r>
          </w:p>
        </w:tc>
        <w:tc>
          <w:tcPr>
            <w:tcW w:w="0" w:type="auto"/>
            <w:tcBorders>
              <w:bottom w:val="sing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tcBorders>
              <w:bottom w:val="single" w:sz="6" w:space="0" w:color="000000"/>
            </w:tcBorders>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2"/>
            <w:tcBorders>
              <w:bottom w:val="single" w:sz="6" w:space="0" w:color="000000"/>
            </w:tcBorders>
            <w:tcMar>
              <w:top w:w="30" w:type="dxa"/>
              <w:left w:w="20" w:type="dxa"/>
              <w:bottom w:w="30" w:type="dxa"/>
              <w:right w:w="0" w:type="dxa"/>
            </w:tcMar>
            <w:vAlign w:val="bottom"/>
            <w:hideMark/>
          </w:tcPr>
          <w:p w:rsidR="00000000" w:rsidRDefault="002A246B">
            <w:pPr>
              <w:spacing w:after="100"/>
              <w:jc w:val="right"/>
              <w:rPr>
                <w:rFonts w:eastAsia="Times New Roman"/>
              </w:rPr>
            </w:pPr>
            <w:r>
              <w:rPr>
                <w:rFonts w:eastAsia="Times New Roman"/>
                <w:color w:val="000000"/>
                <w:sz w:val="20"/>
                <w:szCs w:val="20"/>
              </w:rPr>
              <w:t>(4.02)</w:t>
            </w:r>
          </w:p>
        </w:tc>
        <w:tc>
          <w:tcPr>
            <w:tcW w:w="0" w:type="auto"/>
            <w:tcBorders>
              <w:bottom w:val="single" w:sz="6" w:space="0" w:color="000000"/>
            </w:tcBorders>
            <w:tcMar>
              <w:top w:w="30" w:type="dxa"/>
              <w:left w:w="0" w:type="dxa"/>
              <w:bottom w:w="30" w:type="dxa"/>
              <w:right w:w="20"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r>
    </w:tbl>
    <w:p w:rsidR="00000000" w:rsidRDefault="002A246B">
      <w:pPr>
        <w:jc w:val="both"/>
        <w:divId w:val="1693844257"/>
        <w:rPr>
          <w:rFonts w:eastAsia="Times New Roman"/>
        </w:rPr>
      </w:pPr>
      <w:r>
        <w:rPr>
          <w:rFonts w:eastAsia="Times New Roman"/>
          <w:color w:val="000000"/>
          <w:sz w:val="20"/>
          <w:szCs w:val="20"/>
        </w:rPr>
        <w:t>The change in the Company’s interest rate risk exposure from December 31, 2021 to March </w:t>
      </w:r>
      <w:r>
        <w:rPr>
          <w:rFonts w:eastAsia="Times New Roman"/>
          <w:color w:val="000000"/>
          <w:sz w:val="20"/>
          <w:szCs w:val="20"/>
        </w:rPr>
        <w:t>31, 2022 was primarily due to a decrease in Federal funds sold and interest bearing deposits in other financial institutions. This will cause the Company’s balance sheet to become less asset sensitive. Management believes the change in projected net intere</w:t>
      </w:r>
      <w:r>
        <w:rPr>
          <w:rFonts w:eastAsia="Times New Roman"/>
          <w:color w:val="000000"/>
          <w:sz w:val="20"/>
          <w:szCs w:val="20"/>
        </w:rPr>
        <w:t>st income from interest rate shifts of up 200 bps and down 200 bps is an acceptable level of interest rate risk.</w:t>
      </w:r>
    </w:p>
    <w:p w:rsidR="00000000" w:rsidRDefault="002A246B">
      <w:pPr>
        <w:jc w:val="both"/>
        <w:divId w:val="417596804"/>
        <w:rPr>
          <w:rFonts w:eastAsia="Times New Roman"/>
        </w:rPr>
      </w:pPr>
      <w:r>
        <w:rPr>
          <w:rFonts w:eastAsia="Times New Roman"/>
          <w:color w:val="000000"/>
          <w:sz w:val="20"/>
          <w:szCs w:val="20"/>
        </w:rPr>
        <w:t>Many assumptions are used to calculate the impact of interest rate fluctuations. Actual results may be significantly different than our project</w:t>
      </w:r>
      <w:r>
        <w:rPr>
          <w:rFonts w:eastAsia="Times New Roman"/>
          <w:color w:val="000000"/>
          <w:sz w:val="20"/>
          <w:szCs w:val="20"/>
        </w:rPr>
        <w:t>ions due to several factors, including the timing and frequency of rate changes, market conditions and the shape of the yield curve. The computations of interest rate risk shown above do not include actions that management may undertake to manage the risks</w:t>
      </w:r>
      <w:r>
        <w:rPr>
          <w:rFonts w:eastAsia="Times New Roman"/>
          <w:color w:val="000000"/>
          <w:sz w:val="20"/>
          <w:szCs w:val="20"/>
        </w:rPr>
        <w:t xml:space="preserve"> in response to anticipated changes in interest rates and actual results may also differ due to any actions taken in response to the changing rates.</w:t>
      </w:r>
    </w:p>
    <w:p w:rsidR="00000000" w:rsidRDefault="002A246B">
      <w:pPr>
        <w:divId w:val="717974562"/>
        <w:rPr>
          <w:rFonts w:eastAsia="Times New Roman"/>
        </w:rPr>
      </w:pPr>
    </w:p>
    <w:p w:rsidR="00000000" w:rsidRDefault="002A246B">
      <w:pPr>
        <w:divId w:val="233129800"/>
        <w:rPr>
          <w:rFonts w:eastAsia="Times New Roman"/>
        </w:rPr>
      </w:pPr>
    </w:p>
    <w:p w:rsidR="00000000" w:rsidRDefault="002A246B">
      <w:pPr>
        <w:divId w:val="543368256"/>
        <w:rPr>
          <w:rFonts w:eastAsia="Times New Roman"/>
        </w:rPr>
      </w:pPr>
    </w:p>
    <w:p w:rsidR="00000000" w:rsidRDefault="002A246B">
      <w:pPr>
        <w:jc w:val="center"/>
        <w:divId w:val="1278215952"/>
        <w:rPr>
          <w:rFonts w:eastAsia="Times New Roman"/>
        </w:rPr>
      </w:pPr>
      <w:r>
        <w:rPr>
          <w:rFonts w:eastAsia="Times New Roman"/>
          <w:color w:val="000000"/>
          <w:sz w:val="20"/>
          <w:szCs w:val="20"/>
        </w:rPr>
        <w:t>53</w:t>
      </w:r>
    </w:p>
    <w:p w:rsidR="00000000" w:rsidRDefault="002A246B">
      <w:pPr>
        <w:rPr>
          <w:rFonts w:eastAsia="Times New Roman"/>
        </w:rPr>
      </w:pPr>
      <w:r>
        <w:rPr>
          <w:rFonts w:eastAsia="Times New Roman"/>
        </w:rPr>
        <w:pict>
          <v:rect id="_x0000_i1077" style="width:0;height:1.5pt" o:hralign="center" o:hrstd="t" o:hr="t" fillcolor="#a0a0a0" stroked="f"/>
        </w:pict>
      </w:r>
    </w:p>
    <w:p w:rsidR="00000000" w:rsidRDefault="002A246B">
      <w:pPr>
        <w:divId w:val="1186823916"/>
        <w:rPr>
          <w:rFonts w:eastAsia="Times New Roman"/>
        </w:rPr>
      </w:pPr>
    </w:p>
    <w:p w:rsidR="00000000" w:rsidRDefault="002A246B">
      <w:pPr>
        <w:divId w:val="1742869140"/>
        <w:rPr>
          <w:rFonts w:eastAsia="Times New Roman"/>
        </w:rPr>
      </w:pPr>
      <w:r>
        <w:rPr>
          <w:rFonts w:eastAsia="Times New Roman"/>
          <w:b/>
          <w:bCs/>
          <w:color w:val="000000"/>
          <w:sz w:val="20"/>
          <w:szCs w:val="20"/>
        </w:rPr>
        <w:t>Effects of Inflation</w:t>
      </w:r>
    </w:p>
    <w:p w:rsidR="00000000" w:rsidRDefault="002A246B">
      <w:pPr>
        <w:jc w:val="both"/>
        <w:divId w:val="1360276779"/>
        <w:rPr>
          <w:rFonts w:eastAsia="Times New Roman"/>
        </w:rPr>
      </w:pPr>
      <w:r>
        <w:rPr>
          <w:rFonts w:eastAsia="Times New Roman"/>
          <w:color w:val="000000"/>
          <w:sz w:val="20"/>
          <w:szCs w:val="20"/>
        </w:rPr>
        <w:t>The effects of inflation on financial institutions are different from the effects on other commercial enterprises since financial institutions make few significant capital or inventory expenditures, which are directly affected by changing prices. Because b</w:t>
      </w:r>
      <w:r>
        <w:rPr>
          <w:rFonts w:eastAsia="Times New Roman"/>
          <w:color w:val="000000"/>
          <w:sz w:val="20"/>
          <w:szCs w:val="20"/>
        </w:rPr>
        <w:t xml:space="preserve">ank assets and liabilities are virtually all monetary in nature, inflation does not affect a financial institution as much as do changes in interest rates. The general level of inflation does underlie the general level of most interest rates, but interest </w:t>
      </w:r>
      <w:r>
        <w:rPr>
          <w:rFonts w:eastAsia="Times New Roman"/>
          <w:color w:val="000000"/>
          <w:sz w:val="20"/>
          <w:szCs w:val="20"/>
        </w:rPr>
        <w:t>rates do not increase at the rate of inflation as do prices of goods and services. Rather, interest rates react more to changes in the expected rate of inflation and to changes in monetary and fiscal policy.</w:t>
      </w:r>
    </w:p>
    <w:p w:rsidR="00000000" w:rsidRDefault="002A246B">
      <w:pPr>
        <w:jc w:val="both"/>
        <w:divId w:val="1289242813"/>
        <w:rPr>
          <w:rFonts w:eastAsia="Times New Roman"/>
        </w:rPr>
      </w:pPr>
      <w:r>
        <w:rPr>
          <w:rFonts w:eastAsia="Times New Roman"/>
          <w:color w:val="000000"/>
          <w:sz w:val="20"/>
          <w:szCs w:val="20"/>
        </w:rPr>
        <w:t>Inflation does have an impact on the growth of t</w:t>
      </w:r>
      <w:r>
        <w:rPr>
          <w:rFonts w:eastAsia="Times New Roman"/>
          <w:color w:val="000000"/>
          <w:sz w:val="20"/>
          <w:szCs w:val="20"/>
        </w:rPr>
        <w:t>otal assets in the banking industry, often resulting in a need to increase capital at higher than normal rates to maintain an appropriate capital to asset ratio. In the opinion of management, inflation did not have a significant effect on the Company’s ope</w:t>
      </w:r>
      <w:r>
        <w:rPr>
          <w:rFonts w:eastAsia="Times New Roman"/>
          <w:color w:val="000000"/>
          <w:sz w:val="20"/>
          <w:szCs w:val="20"/>
        </w:rPr>
        <w:t>rations for the three months ended March 31, 2022.</w:t>
      </w:r>
    </w:p>
    <w:p w:rsidR="00000000" w:rsidRDefault="002A246B">
      <w:pPr>
        <w:divId w:val="273949272"/>
        <w:rPr>
          <w:rFonts w:eastAsia="Times New Roman"/>
        </w:rPr>
      </w:pPr>
      <w:r>
        <w:rPr>
          <w:rFonts w:eastAsia="Times New Roman"/>
          <w:b/>
          <w:bCs/>
          <w:color w:val="000000"/>
          <w:sz w:val="20"/>
          <w:szCs w:val="20"/>
        </w:rPr>
        <w:t>Item 4. Controls and Procedures</w:t>
      </w:r>
    </w:p>
    <w:p w:rsidR="00000000" w:rsidRDefault="002A246B">
      <w:pPr>
        <w:divId w:val="257298051"/>
        <w:rPr>
          <w:rFonts w:eastAsia="Times New Roman"/>
        </w:rPr>
      </w:pPr>
      <w:r>
        <w:rPr>
          <w:rFonts w:eastAsia="Times New Roman"/>
          <w:b/>
          <w:bCs/>
          <w:color w:val="000000"/>
          <w:sz w:val="20"/>
          <w:szCs w:val="20"/>
        </w:rPr>
        <w:t>Evaluation of Disclosure Controls and Procedures</w:t>
      </w:r>
    </w:p>
    <w:p w:rsidR="00000000" w:rsidRDefault="002A246B">
      <w:pPr>
        <w:jc w:val="both"/>
        <w:divId w:val="1337074434"/>
        <w:rPr>
          <w:rFonts w:eastAsia="Times New Roman"/>
        </w:rPr>
      </w:pPr>
      <w:r>
        <w:rPr>
          <w:rFonts w:eastAsia="Times New Roman"/>
          <w:color w:val="000000"/>
          <w:sz w:val="20"/>
          <w:szCs w:val="20"/>
        </w:rPr>
        <w:t xml:space="preserve">Our Company’s management has evaluated, with the participation of our principal executive and principal financial officers, </w:t>
      </w:r>
      <w:r>
        <w:rPr>
          <w:rFonts w:eastAsia="Times New Roman"/>
          <w:color w:val="000000"/>
          <w:sz w:val="20"/>
          <w:szCs w:val="20"/>
        </w:rPr>
        <w:t xml:space="preserve">the effectiveness of our disclosure controls and procedures as defined in Rules 13a – 15(e) or 15d – 15(e) of the Securities Exchange Act of 1934 as of March 31, 2022. Based upon and as of the date of that evaluation, our principal executive and principal </w:t>
      </w:r>
      <w:r>
        <w:rPr>
          <w:rFonts w:eastAsia="Times New Roman"/>
          <w:color w:val="000000"/>
          <w:sz w:val="20"/>
          <w:szCs w:val="20"/>
        </w:rPr>
        <w:t>financial officers concluded that our disclosure controls and procedures were designed, and were effective, to provide reasonable assurance that information required to be disclosed in the reports we file and submit under the Securities Exchange Act of 193</w:t>
      </w:r>
      <w:r>
        <w:rPr>
          <w:rFonts w:eastAsia="Times New Roman"/>
          <w:color w:val="000000"/>
          <w:sz w:val="20"/>
          <w:szCs w:val="20"/>
        </w:rPr>
        <w:t>4 is recorded, processed, summarized and reported as and when required. It should be noted that any system of disclosure controls and procedures, however well designed and operated, can provide only reasonable, and not absolute, assurance that the objectiv</w:t>
      </w:r>
      <w:r>
        <w:rPr>
          <w:rFonts w:eastAsia="Times New Roman"/>
          <w:color w:val="000000"/>
          <w:sz w:val="20"/>
          <w:szCs w:val="20"/>
        </w:rPr>
        <w:t xml:space="preserve">es of the system are met. In addition, the design of any system of disclosure controls and procedures is based in part upon assumptions about the likelihood of future events. Because of these and other inherent limitations of any such system, there can be </w:t>
      </w:r>
      <w:r>
        <w:rPr>
          <w:rFonts w:eastAsia="Times New Roman"/>
          <w:color w:val="000000"/>
          <w:sz w:val="20"/>
          <w:szCs w:val="20"/>
        </w:rPr>
        <w:t>no assurance that any design will always succeed in achieving its stated goals under all circumstances.</w:t>
      </w:r>
    </w:p>
    <w:p w:rsidR="00000000" w:rsidRDefault="002A246B">
      <w:pPr>
        <w:divId w:val="243220736"/>
        <w:rPr>
          <w:rFonts w:eastAsia="Times New Roman"/>
        </w:rPr>
      </w:pPr>
      <w:r>
        <w:rPr>
          <w:rFonts w:eastAsia="Times New Roman"/>
          <w:b/>
          <w:bCs/>
          <w:color w:val="000000"/>
          <w:sz w:val="20"/>
          <w:szCs w:val="20"/>
        </w:rPr>
        <w:t>Changes in Internal Control Over Financial Reporting</w:t>
      </w:r>
    </w:p>
    <w:p w:rsidR="00000000" w:rsidRDefault="002A246B">
      <w:pPr>
        <w:jc w:val="both"/>
        <w:divId w:val="1155804041"/>
        <w:rPr>
          <w:rFonts w:eastAsia="Times New Roman"/>
        </w:rPr>
      </w:pPr>
      <w:r>
        <w:rPr>
          <w:rFonts w:eastAsia="Times New Roman"/>
          <w:color w:val="000000"/>
          <w:sz w:val="20"/>
          <w:szCs w:val="20"/>
        </w:rPr>
        <w:t>There have been no changes in our internal control over financial reporting (as defined in Rules 13</w:t>
      </w:r>
      <w:r>
        <w:rPr>
          <w:rFonts w:eastAsia="Times New Roman"/>
          <w:color w:val="000000"/>
          <w:sz w:val="20"/>
          <w:szCs w:val="20"/>
        </w:rPr>
        <w:t>a-15(f) or 15d-15(f) of the Securities Exchange Act of 1934) that occurred during the three months ended March 31, 2022 that have materially affected, or are reasonably likely to materially affect, the Company’s internal control over financial reporting.</w:t>
      </w:r>
    </w:p>
    <w:p w:rsidR="00000000" w:rsidRDefault="002A246B">
      <w:pPr>
        <w:divId w:val="1044523096"/>
        <w:rPr>
          <w:rFonts w:eastAsia="Times New Roman"/>
        </w:rPr>
      </w:pPr>
      <w:r>
        <w:rPr>
          <w:rFonts w:eastAsia="Times New Roman"/>
          <w:b/>
          <w:bCs/>
          <w:color w:val="000000"/>
          <w:sz w:val="20"/>
          <w:szCs w:val="20"/>
        </w:rPr>
        <w:t>I</w:t>
      </w:r>
      <w:r>
        <w:rPr>
          <w:rFonts w:eastAsia="Times New Roman"/>
          <w:b/>
          <w:bCs/>
          <w:color w:val="000000"/>
          <w:sz w:val="20"/>
          <w:szCs w:val="20"/>
        </w:rPr>
        <w:t>mpact of New Accounting Standards</w:t>
      </w:r>
    </w:p>
    <w:p w:rsidR="00000000" w:rsidRDefault="002A246B">
      <w:pPr>
        <w:jc w:val="both"/>
        <w:divId w:val="1236206146"/>
        <w:rPr>
          <w:rFonts w:eastAsia="Times New Roman"/>
        </w:rPr>
      </w:pPr>
      <w:r>
        <w:rPr>
          <w:rFonts w:eastAsia="Times New Roman"/>
          <w:b/>
          <w:bCs/>
          <w:i/>
          <w:iCs/>
          <w:color w:val="000000"/>
          <w:sz w:val="20"/>
          <w:szCs w:val="20"/>
        </w:rPr>
        <w:t>Financial Instruments:</w:t>
      </w:r>
    </w:p>
    <w:p w:rsidR="00000000" w:rsidRDefault="002A246B">
      <w:pPr>
        <w:jc w:val="both"/>
        <w:divId w:val="498928467"/>
        <w:rPr>
          <w:rFonts w:eastAsia="Times New Roman"/>
        </w:rPr>
      </w:pPr>
      <w:r>
        <w:rPr>
          <w:rFonts w:eastAsia="Times New Roman"/>
          <w:color w:val="000000"/>
          <w:sz w:val="20"/>
          <w:szCs w:val="20"/>
        </w:rPr>
        <w:t xml:space="preserve">In March 2022 the FASB issued ASU 2022-02 </w:t>
      </w:r>
      <w:r>
        <w:rPr>
          <w:rFonts w:eastAsia="Times New Roman"/>
          <w:i/>
          <w:iCs/>
          <w:color w:val="000000"/>
          <w:sz w:val="20"/>
          <w:szCs w:val="20"/>
        </w:rPr>
        <w:t>Financial Instruments</w:t>
      </w:r>
      <w:r>
        <w:rPr>
          <w:rFonts w:eastAsia="Times New Roman"/>
          <w:b/>
          <w:bCs/>
          <w:i/>
          <w:iCs/>
          <w:color w:val="000000"/>
          <w:sz w:val="20"/>
          <w:szCs w:val="20"/>
        </w:rPr>
        <w:t>–</w:t>
      </w:r>
      <w:r>
        <w:rPr>
          <w:rFonts w:eastAsia="Times New Roman"/>
          <w:i/>
          <w:iCs/>
          <w:color w:val="000000"/>
          <w:sz w:val="20"/>
          <w:szCs w:val="20"/>
        </w:rPr>
        <w:t xml:space="preserve">Credit Losses (Topic 326); </w:t>
      </w:r>
      <w:r>
        <w:rPr>
          <w:rFonts w:eastAsia="Times New Roman"/>
          <w:b/>
          <w:bCs/>
          <w:i/>
          <w:iCs/>
          <w:color w:val="000000"/>
          <w:sz w:val="20"/>
          <w:szCs w:val="20"/>
        </w:rPr>
        <w:t>T</w:t>
      </w:r>
      <w:r>
        <w:rPr>
          <w:rFonts w:eastAsia="Times New Roman"/>
          <w:i/>
          <w:iCs/>
          <w:color w:val="000000"/>
          <w:sz w:val="20"/>
          <w:szCs w:val="20"/>
        </w:rPr>
        <w:t>roubled Debt Restructurings and Vintage Disclosures</w:t>
      </w:r>
      <w:r>
        <w:rPr>
          <w:rFonts w:eastAsia="Times New Roman"/>
          <w:b/>
          <w:bCs/>
          <w:i/>
          <w:iCs/>
          <w:color w:val="000000"/>
          <w:sz w:val="20"/>
          <w:szCs w:val="20"/>
        </w:rPr>
        <w:t xml:space="preserve">. </w:t>
      </w:r>
      <w:r>
        <w:rPr>
          <w:rFonts w:eastAsia="Times New Roman"/>
          <w:color w:val="000000"/>
          <w:sz w:val="20"/>
          <w:szCs w:val="20"/>
        </w:rPr>
        <w:t>This ASU eliminates the accounting guidance on trouble</w:t>
      </w:r>
      <w:r>
        <w:rPr>
          <w:rFonts w:eastAsia="Times New Roman"/>
          <w:color w:val="000000"/>
          <w:sz w:val="20"/>
          <w:szCs w:val="20"/>
        </w:rPr>
        <w:t>d debt restructurings for creditors in ASC 310-40 and amends the guidance on “vintage disclosures” to require disclosure of current-period gross write-offs by year of origination. The ASU also updates the requirements related to accounting for credit losse</w:t>
      </w:r>
      <w:r>
        <w:rPr>
          <w:rFonts w:eastAsia="Times New Roman"/>
          <w:color w:val="000000"/>
          <w:sz w:val="20"/>
          <w:szCs w:val="20"/>
        </w:rPr>
        <w:t xml:space="preserve">s under ASC 326 and adds enhanced disclosures for creditors with respect to loan refinancings and restructurings for borrowers experiencing financial difficulty. The amendments in this update will be effective for fiscal years beginning after December 15, </w:t>
      </w:r>
      <w:r>
        <w:rPr>
          <w:rFonts w:eastAsia="Times New Roman"/>
          <w:color w:val="000000"/>
          <w:sz w:val="20"/>
          <w:szCs w:val="20"/>
        </w:rPr>
        <w:t xml:space="preserve">2022 for entities that have adopted the amendments in ASU 2016-13, </w:t>
      </w:r>
      <w:r>
        <w:rPr>
          <w:rFonts w:eastAsia="Times New Roman"/>
          <w:i/>
          <w:iCs/>
          <w:color w:val="000000"/>
          <w:sz w:val="20"/>
          <w:szCs w:val="20"/>
        </w:rPr>
        <w:t>Financial Instruments–Credit Losses (Topic 326) Measurement of Credit Losses on Financial Instruments</w:t>
      </w:r>
      <w:r>
        <w:rPr>
          <w:rFonts w:eastAsia="Times New Roman"/>
          <w:color w:val="000000"/>
          <w:sz w:val="20"/>
          <w:szCs w:val="20"/>
        </w:rPr>
        <w:t>. The Company is evaluating the additional disclosure requirements and does not expect t</w:t>
      </w:r>
      <w:r>
        <w:rPr>
          <w:rFonts w:eastAsia="Times New Roman"/>
          <w:color w:val="000000"/>
          <w:sz w:val="20"/>
          <w:szCs w:val="20"/>
        </w:rPr>
        <w:t>hem to have a material effect on the consolidated financial statements.</w:t>
      </w:r>
    </w:p>
    <w:p w:rsidR="00000000" w:rsidRDefault="002A246B">
      <w:pPr>
        <w:jc w:val="both"/>
        <w:divId w:val="2070033615"/>
        <w:rPr>
          <w:rFonts w:eastAsia="Times New Roman"/>
        </w:rPr>
      </w:pPr>
      <w:r>
        <w:rPr>
          <w:rFonts w:eastAsia="Times New Roman"/>
          <w:color w:val="000000"/>
          <w:sz w:val="20"/>
          <w:szCs w:val="20"/>
        </w:rPr>
        <w:t xml:space="preserve">In June 2016, the FASB issued ASU 2016-13, </w:t>
      </w:r>
      <w:r>
        <w:rPr>
          <w:rFonts w:eastAsia="Times New Roman"/>
          <w:i/>
          <w:iCs/>
          <w:color w:val="000000"/>
          <w:sz w:val="20"/>
          <w:szCs w:val="20"/>
        </w:rPr>
        <w:t>Financial Instruments - Credit Losses</w:t>
      </w:r>
      <w:r>
        <w:rPr>
          <w:rFonts w:eastAsia="Times New Roman"/>
          <w:color w:val="000000"/>
          <w:sz w:val="20"/>
          <w:szCs w:val="20"/>
        </w:rPr>
        <w:t xml:space="preserve"> </w:t>
      </w:r>
      <w:r>
        <w:rPr>
          <w:rFonts w:eastAsia="Times New Roman"/>
          <w:i/>
          <w:iCs/>
          <w:color w:val="000000"/>
          <w:sz w:val="20"/>
          <w:szCs w:val="20"/>
        </w:rPr>
        <w:t>(Topic 326):</w:t>
      </w:r>
      <w:r>
        <w:rPr>
          <w:rFonts w:eastAsia="Times New Roman"/>
          <w:color w:val="000000"/>
          <w:sz w:val="20"/>
          <w:szCs w:val="20"/>
        </w:rPr>
        <w:t xml:space="preserve"> </w:t>
      </w:r>
      <w:r>
        <w:rPr>
          <w:rFonts w:eastAsia="Times New Roman"/>
          <w:i/>
          <w:iCs/>
          <w:color w:val="000000"/>
          <w:sz w:val="20"/>
          <w:szCs w:val="20"/>
        </w:rPr>
        <w:t xml:space="preserve">Measurement of Credit Losses on Financial Instruments </w:t>
      </w:r>
      <w:r>
        <w:rPr>
          <w:rFonts w:eastAsia="Times New Roman"/>
          <w:color w:val="000000"/>
          <w:sz w:val="20"/>
          <w:szCs w:val="20"/>
        </w:rPr>
        <w:t>(CECL)</w:t>
      </w:r>
      <w:r>
        <w:rPr>
          <w:rFonts w:eastAsia="Times New Roman"/>
          <w:i/>
          <w:iCs/>
          <w:color w:val="000000"/>
          <w:sz w:val="20"/>
          <w:szCs w:val="20"/>
        </w:rPr>
        <w:t>.</w:t>
      </w:r>
      <w:r>
        <w:rPr>
          <w:rFonts w:eastAsia="Times New Roman"/>
          <w:color w:val="000000"/>
          <w:sz w:val="20"/>
          <w:szCs w:val="20"/>
        </w:rPr>
        <w:t xml:space="preserve"> The revised accounting guidance will remove all recognition thresholds and will require a company to recognize an allowance for credit losses for the difference between the amortized cost basis </w:t>
      </w:r>
      <w:r>
        <w:rPr>
          <w:rFonts w:eastAsia="Times New Roman"/>
          <w:color w:val="000000"/>
          <w:sz w:val="20"/>
          <w:szCs w:val="20"/>
        </w:rPr>
        <w:t>of a financial instrument and the amount of amortized cost that the company expects to collect over the instrument's contractual life. It also amends the credit loss measurement guidance for available-for-sale debt securities and beneficial interests in se</w:t>
      </w:r>
      <w:r>
        <w:rPr>
          <w:rFonts w:eastAsia="Times New Roman"/>
          <w:color w:val="000000"/>
          <w:sz w:val="20"/>
          <w:szCs w:val="20"/>
        </w:rPr>
        <w:t>curitized financial assets. This new accounting guidance will be effective for interim and annual reporting periods beginning after December 15, 2022. While the Company generally expects to recognize a one-time cumulative effect adjustment to the allowance</w:t>
      </w:r>
      <w:r>
        <w:rPr>
          <w:rFonts w:eastAsia="Times New Roman"/>
          <w:color w:val="000000"/>
          <w:sz w:val="20"/>
          <w:szCs w:val="20"/>
        </w:rPr>
        <w:t xml:space="preserve"> for loan losses as of the beginning of the first reporting period in which the new standard is effective, the Company has not determined the magnitude of any such one-time adjustment or the overall impact of the new guidance on the Company's consolidated </w:t>
      </w:r>
      <w:r>
        <w:rPr>
          <w:rFonts w:eastAsia="Times New Roman"/>
          <w:color w:val="000000"/>
          <w:sz w:val="20"/>
          <w:szCs w:val="20"/>
        </w:rPr>
        <w:t>financial statements. The Company has formed a committee and is continuing to evaluate the impact of the ASU's adoption on the Company's consolidated financial statements by assessing different credit risk models. In 2019, 2020 and 2021, the Company modele</w:t>
      </w:r>
      <w:r>
        <w:rPr>
          <w:rFonts w:eastAsia="Times New Roman"/>
          <w:color w:val="000000"/>
          <w:sz w:val="20"/>
          <w:szCs w:val="20"/>
        </w:rPr>
        <w:t xml:space="preserve">d the various methods prescribed in the ASU against the </w:t>
      </w:r>
    </w:p>
    <w:p w:rsidR="00000000" w:rsidRDefault="002A246B">
      <w:pPr>
        <w:jc w:val="center"/>
        <w:divId w:val="2139953132"/>
        <w:rPr>
          <w:rFonts w:eastAsia="Times New Roman"/>
        </w:rPr>
      </w:pPr>
      <w:r>
        <w:rPr>
          <w:rFonts w:eastAsia="Times New Roman"/>
          <w:color w:val="000000"/>
          <w:sz w:val="20"/>
          <w:szCs w:val="20"/>
        </w:rPr>
        <w:t>54</w:t>
      </w:r>
    </w:p>
    <w:p w:rsidR="00000000" w:rsidRDefault="002A246B">
      <w:pPr>
        <w:rPr>
          <w:rFonts w:eastAsia="Times New Roman"/>
        </w:rPr>
      </w:pPr>
      <w:r>
        <w:rPr>
          <w:rFonts w:eastAsia="Times New Roman"/>
        </w:rPr>
        <w:pict>
          <v:rect id="_x0000_i1078" style="width:0;height:1.5pt" o:hralign="center" o:hrstd="t" o:hr="t" fillcolor="#a0a0a0" stroked="f"/>
        </w:pict>
      </w:r>
    </w:p>
    <w:p w:rsidR="00000000" w:rsidRDefault="002A246B">
      <w:pPr>
        <w:divId w:val="1244026570"/>
        <w:rPr>
          <w:rFonts w:eastAsia="Times New Roman"/>
        </w:rPr>
      </w:pPr>
    </w:p>
    <w:p w:rsidR="00000000" w:rsidRDefault="002A246B">
      <w:pPr>
        <w:jc w:val="both"/>
        <w:divId w:val="603263984"/>
        <w:rPr>
          <w:rFonts w:eastAsia="Times New Roman"/>
        </w:rPr>
      </w:pPr>
      <w:r>
        <w:rPr>
          <w:rFonts w:eastAsia="Times New Roman"/>
          <w:color w:val="000000"/>
          <w:sz w:val="20"/>
          <w:szCs w:val="20"/>
        </w:rPr>
        <w:t xml:space="preserve">identified loan segments. The Company will continue to run parallel computations as it continues to evaluate the impact of adoption of this ASU on January 1, </w:t>
      </w:r>
      <w:r>
        <w:rPr>
          <w:rFonts w:eastAsia="Times New Roman"/>
          <w:color w:val="000000"/>
          <w:sz w:val="20"/>
          <w:szCs w:val="20"/>
        </w:rPr>
        <w:t xml:space="preserve">2023. </w:t>
      </w:r>
    </w:p>
    <w:p w:rsidR="00000000" w:rsidRDefault="002A246B">
      <w:pPr>
        <w:jc w:val="both"/>
        <w:divId w:val="1559054849"/>
        <w:rPr>
          <w:rFonts w:eastAsia="Times New Roman"/>
        </w:rPr>
      </w:pPr>
      <w:r>
        <w:rPr>
          <w:rFonts w:eastAsia="Times New Roman"/>
          <w:b/>
          <w:bCs/>
          <w:i/>
          <w:iCs/>
          <w:color w:val="000000"/>
          <w:sz w:val="20"/>
          <w:szCs w:val="20"/>
        </w:rPr>
        <w:t xml:space="preserve">Rate Reform </w:t>
      </w:r>
      <w:r>
        <w:rPr>
          <w:rFonts w:eastAsia="Times New Roman"/>
          <w:color w:val="000000"/>
          <w:sz w:val="20"/>
          <w:szCs w:val="20"/>
        </w:rPr>
        <w:t xml:space="preserve">In March 2020, the FASB issued ASU 2020-04, </w:t>
      </w:r>
      <w:r>
        <w:rPr>
          <w:rFonts w:eastAsia="Times New Roman"/>
          <w:i/>
          <w:iCs/>
          <w:color w:val="000000"/>
          <w:sz w:val="20"/>
          <w:szCs w:val="20"/>
        </w:rPr>
        <w:t>Reference Rate Reform (Topic 848) - Facilitation of the Effects of Reference Rate Reform on Financial Reporting</w:t>
      </w:r>
      <w:r>
        <w:rPr>
          <w:rFonts w:eastAsia="Times New Roman"/>
          <w:color w:val="000000"/>
          <w:sz w:val="20"/>
          <w:szCs w:val="20"/>
        </w:rPr>
        <w:t xml:space="preserve">. The amendments in this update provide optional guidance for a limited period of </w:t>
      </w:r>
      <w:r>
        <w:rPr>
          <w:rFonts w:eastAsia="Times New Roman"/>
          <w:color w:val="000000"/>
          <w:sz w:val="20"/>
          <w:szCs w:val="20"/>
        </w:rPr>
        <w:t>time to ease the potential burden in accounting for (or recognizing the effects of) reference rate reform on financial reporting. It provides optional expedients and exceptions for applying generally accepted accounting principles to contract modifications</w:t>
      </w:r>
      <w:r>
        <w:rPr>
          <w:rFonts w:eastAsia="Times New Roman"/>
          <w:color w:val="000000"/>
          <w:sz w:val="20"/>
          <w:szCs w:val="20"/>
        </w:rPr>
        <w:t xml:space="preserve"> and hedging relationships, subject to meeting certain criteria, that reference LIBOR or another reference rate expected to be discontinued. The amendments in this update are effective for all entities as of March 12, 2020 through December 31, 2022. The Co</w:t>
      </w:r>
      <w:r>
        <w:rPr>
          <w:rFonts w:eastAsia="Times New Roman"/>
          <w:color w:val="000000"/>
          <w:sz w:val="20"/>
          <w:szCs w:val="20"/>
        </w:rPr>
        <w:t>mpany is currently evaluating the impact of the reference rate reform on the Company’s consolidated financial statements.</w:t>
      </w:r>
    </w:p>
    <w:p w:rsidR="00000000" w:rsidRDefault="002A246B">
      <w:pPr>
        <w:jc w:val="both"/>
        <w:rPr>
          <w:rFonts w:eastAsia="Times New Roman"/>
        </w:rPr>
      </w:pPr>
    </w:p>
    <w:p w:rsidR="00000000" w:rsidRDefault="002A246B">
      <w:pPr>
        <w:jc w:val="center"/>
        <w:divId w:val="786511878"/>
        <w:rPr>
          <w:rFonts w:eastAsia="Times New Roman"/>
        </w:rPr>
      </w:pPr>
      <w:r>
        <w:rPr>
          <w:rFonts w:eastAsia="Times New Roman"/>
          <w:color w:val="000000"/>
          <w:sz w:val="20"/>
          <w:szCs w:val="20"/>
        </w:rPr>
        <w:t>55</w:t>
      </w:r>
    </w:p>
    <w:p w:rsidR="00000000" w:rsidRDefault="002A246B">
      <w:pPr>
        <w:rPr>
          <w:rFonts w:eastAsia="Times New Roman"/>
        </w:rPr>
      </w:pPr>
      <w:r>
        <w:rPr>
          <w:rFonts w:eastAsia="Times New Roman"/>
        </w:rPr>
        <w:pict>
          <v:rect id="_x0000_i1079" style="width:0;height:1.5pt" o:hralign="center" o:hrstd="t" o:hr="t" fillcolor="#a0a0a0" stroked="f"/>
        </w:pict>
      </w:r>
    </w:p>
    <w:p w:rsidR="00000000" w:rsidRDefault="002A246B">
      <w:pPr>
        <w:divId w:val="1037119285"/>
        <w:rPr>
          <w:rFonts w:eastAsia="Times New Roman"/>
        </w:rPr>
      </w:pPr>
    </w:p>
    <w:p w:rsidR="00000000" w:rsidRDefault="002A246B">
      <w:pPr>
        <w:jc w:val="center"/>
        <w:rPr>
          <w:rFonts w:eastAsia="Times New Roman"/>
        </w:rPr>
      </w:pPr>
      <w:r>
        <w:rPr>
          <w:rFonts w:eastAsia="Times New Roman"/>
          <w:b/>
          <w:bCs/>
          <w:color w:val="000000"/>
          <w:sz w:val="20"/>
          <w:szCs w:val="20"/>
        </w:rPr>
        <w:t>PART II - OTHER INFORMATION</w:t>
      </w:r>
    </w:p>
    <w:p w:rsidR="00000000" w:rsidRDefault="002A246B">
      <w:pPr>
        <w:divId w:val="1638611842"/>
        <w:rPr>
          <w:rFonts w:eastAsia="Times New Roman"/>
        </w:rPr>
      </w:pPr>
      <w:r>
        <w:rPr>
          <w:rFonts w:eastAsia="Times New Roman"/>
          <w:color w:val="000000"/>
          <w:sz w:val="20"/>
          <w:szCs w:val="20"/>
        </w:rPr>
        <w:t>Item 1. Legal Proceedings</w:t>
      </w:r>
    </w:p>
    <w:p w:rsidR="00000000" w:rsidRDefault="002A246B">
      <w:pPr>
        <w:divId w:val="311368198"/>
        <w:rPr>
          <w:rFonts w:eastAsia="Times New Roman"/>
        </w:rPr>
      </w:pPr>
      <w:r>
        <w:rPr>
          <w:rFonts w:eastAsia="Times New Roman"/>
          <w:color w:val="000000"/>
          <w:sz w:val="20"/>
          <w:szCs w:val="20"/>
        </w:rPr>
        <w:t>The information required by this Ite</w:t>
      </w:r>
      <w:r>
        <w:rPr>
          <w:rFonts w:eastAsia="Times New Roman"/>
          <w:color w:val="000000"/>
          <w:sz w:val="20"/>
          <w:szCs w:val="20"/>
        </w:rPr>
        <w:t xml:space="preserve">m is set forth in </w:t>
      </w:r>
      <w:r>
        <w:rPr>
          <w:rFonts w:eastAsia="Times New Roman"/>
          <w:i/>
          <w:iCs/>
          <w:color w:val="000000"/>
          <w:sz w:val="20"/>
          <w:szCs w:val="20"/>
        </w:rPr>
        <w:t>Note 15 -</w:t>
      </w:r>
      <w:r>
        <w:rPr>
          <w:rFonts w:eastAsia="Times New Roman"/>
          <w:color w:val="000000"/>
          <w:sz w:val="20"/>
          <w:szCs w:val="20"/>
        </w:rPr>
        <w:t xml:space="preserve"> </w:t>
      </w:r>
      <w:r>
        <w:rPr>
          <w:rFonts w:eastAsia="Times New Roman"/>
          <w:i/>
          <w:iCs/>
          <w:color w:val="000000"/>
          <w:sz w:val="20"/>
          <w:szCs w:val="20"/>
        </w:rPr>
        <w:t>Commitments and Contingencies, Pending Litigation,</w:t>
      </w:r>
      <w:r>
        <w:rPr>
          <w:rFonts w:eastAsia="Times New Roman"/>
          <w:color w:val="000000"/>
          <w:sz w:val="20"/>
          <w:szCs w:val="20"/>
        </w:rPr>
        <w:t xml:space="preserve"> in our Company’s Notes to Consolidated Financial Statements (</w:t>
      </w:r>
      <w:r>
        <w:rPr>
          <w:rFonts w:eastAsia="Times New Roman"/>
          <w:i/>
          <w:iCs/>
          <w:color w:val="000000"/>
          <w:sz w:val="20"/>
          <w:szCs w:val="20"/>
        </w:rPr>
        <w:t>unaudited)</w:t>
      </w:r>
      <w:r>
        <w:rPr>
          <w:rFonts w:eastAsia="Times New Roman"/>
          <w:color w:val="000000"/>
          <w:sz w:val="20"/>
          <w:szCs w:val="20"/>
        </w:rPr>
        <w:t xml:space="preserve">. </w:t>
      </w:r>
    </w:p>
    <w:p w:rsidR="00000000" w:rsidRDefault="002A246B">
      <w:pPr>
        <w:jc w:val="both"/>
        <w:divId w:val="1877111906"/>
        <w:rPr>
          <w:rFonts w:eastAsia="Times New Roman"/>
        </w:rPr>
      </w:pPr>
      <w:r>
        <w:rPr>
          <w:rFonts w:eastAsia="Times New Roman"/>
          <w:color w:val="000000"/>
          <w:sz w:val="20"/>
          <w:szCs w:val="20"/>
        </w:rPr>
        <w:t>Item 1A. Risk Factors</w:t>
      </w:r>
    </w:p>
    <w:p w:rsidR="00000000" w:rsidRDefault="002A246B">
      <w:pPr>
        <w:jc w:val="both"/>
        <w:divId w:val="179245444"/>
        <w:rPr>
          <w:rFonts w:eastAsia="Times New Roman"/>
        </w:rPr>
      </w:pPr>
      <w:r>
        <w:rPr>
          <w:rFonts w:eastAsia="Times New Roman"/>
          <w:color w:val="000000"/>
          <w:sz w:val="20"/>
          <w:szCs w:val="20"/>
        </w:rPr>
        <w:t>There has been no material change in risk factors previously disclosed under Part</w:t>
      </w:r>
      <w:r>
        <w:rPr>
          <w:rFonts w:eastAsia="Times New Roman"/>
          <w:color w:val="000000"/>
          <w:sz w:val="20"/>
          <w:szCs w:val="20"/>
        </w:rPr>
        <w:t xml:space="preserve"> I, Item 1A of the Company's Annual Report on Form 10-K for the year ended December 31, 2021.</w:t>
      </w:r>
    </w:p>
    <w:p w:rsidR="00000000" w:rsidRDefault="002A246B">
      <w:pPr>
        <w:divId w:val="1875997234"/>
        <w:rPr>
          <w:rFonts w:eastAsia="Times New Roman"/>
        </w:rPr>
      </w:pPr>
      <w:r>
        <w:rPr>
          <w:rFonts w:eastAsia="Times New Roman"/>
          <w:color w:val="000000"/>
          <w:sz w:val="20"/>
          <w:szCs w:val="20"/>
        </w:rPr>
        <w:t>Item 2. Unregistered Sales of Equity Securities and Use of Proceeds</w:t>
      </w:r>
    </w:p>
    <w:p w:rsidR="00000000" w:rsidRDefault="002A246B">
      <w:pPr>
        <w:divId w:val="169684682"/>
        <w:rPr>
          <w:rFonts w:eastAsia="Times New Roman"/>
        </w:rPr>
      </w:pPr>
      <w:r>
        <w:rPr>
          <w:rFonts w:eastAsia="Times New Roman"/>
          <w:b/>
          <w:bCs/>
          <w:color w:val="000000"/>
          <w:sz w:val="20"/>
          <w:szCs w:val="20"/>
        </w:rPr>
        <w:t>The Company's Purchases of Equity Securities</w:t>
      </w:r>
    </w:p>
    <w:p w:rsidR="00000000" w:rsidRDefault="002A246B">
      <w:pPr>
        <w:ind w:firstLine="720"/>
        <w:jc w:val="both"/>
        <w:divId w:val="132798813"/>
        <w:rPr>
          <w:rFonts w:eastAsia="Times New Roman"/>
        </w:rPr>
      </w:pPr>
      <w:r>
        <w:rPr>
          <w:rFonts w:eastAsia="Times New Roman"/>
          <w:color w:val="000000"/>
          <w:sz w:val="20"/>
          <w:szCs w:val="20"/>
        </w:rPr>
        <w:t>The following table summarizes the purchases made</w:t>
      </w:r>
      <w:r>
        <w:rPr>
          <w:rFonts w:eastAsia="Times New Roman"/>
          <w:color w:val="000000"/>
          <w:sz w:val="20"/>
          <w:szCs w:val="20"/>
        </w:rPr>
        <w:t xml:space="preserve"> by or on behalf of the Company or certain affiliated purchasers of shares of the Company's common stock during the quarter ended March 31, 2022:</w:t>
      </w:r>
    </w:p>
    <w:tbl>
      <w:tblPr>
        <w:tblW w:w="5000" w:type="pct"/>
        <w:tblCellMar>
          <w:top w:w="15" w:type="dxa"/>
          <w:left w:w="15" w:type="dxa"/>
          <w:bottom w:w="15" w:type="dxa"/>
          <w:right w:w="15" w:type="dxa"/>
        </w:tblCellMar>
        <w:tblLook w:val="04A0" w:firstRow="1" w:lastRow="0" w:firstColumn="1" w:lastColumn="0" w:noHBand="0" w:noVBand="1"/>
      </w:tblPr>
      <w:tblGrid>
        <w:gridCol w:w="39"/>
        <w:gridCol w:w="2240"/>
        <w:gridCol w:w="37"/>
        <w:gridCol w:w="36"/>
        <w:gridCol w:w="36"/>
        <w:gridCol w:w="36"/>
        <w:gridCol w:w="51"/>
        <w:gridCol w:w="887"/>
        <w:gridCol w:w="36"/>
        <w:gridCol w:w="99"/>
        <w:gridCol w:w="393"/>
        <w:gridCol w:w="98"/>
        <w:gridCol w:w="121"/>
        <w:gridCol w:w="962"/>
        <w:gridCol w:w="36"/>
        <w:gridCol w:w="36"/>
        <w:gridCol w:w="36"/>
        <w:gridCol w:w="36"/>
        <w:gridCol w:w="43"/>
        <w:gridCol w:w="1342"/>
        <w:gridCol w:w="36"/>
        <w:gridCol w:w="36"/>
        <w:gridCol w:w="36"/>
        <w:gridCol w:w="36"/>
        <w:gridCol w:w="121"/>
        <w:gridCol w:w="1405"/>
        <w:gridCol w:w="36"/>
      </w:tblGrid>
      <w:tr w:rsidR="00000000">
        <w:trPr>
          <w:divId w:val="1462306289"/>
        </w:trPr>
        <w:tc>
          <w:tcPr>
            <w:tcW w:w="50" w:type="pct"/>
            <w:vAlign w:val="center"/>
            <w:hideMark/>
          </w:tcPr>
          <w:p w:rsidR="00000000" w:rsidRDefault="002A246B">
            <w:pPr>
              <w:ind w:firstLine="720"/>
              <w:jc w:val="both"/>
              <w:rPr>
                <w:rFonts w:eastAsia="Times New Roman"/>
              </w:rPr>
            </w:pPr>
          </w:p>
        </w:tc>
        <w:tc>
          <w:tcPr>
            <w:tcW w:w="144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9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641"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90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0"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90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462306289"/>
        </w:trPr>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Period</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(a) Total Number of</w:t>
            </w:r>
            <w:r>
              <w:rPr>
                <w:rFonts w:eastAsia="Times New Roman"/>
                <w:b/>
                <w:bCs/>
                <w:color w:val="000000"/>
                <w:sz w:val="16"/>
                <w:szCs w:val="16"/>
              </w:rPr>
              <w:br/>
              <w:t>Shares (or Units)</w:t>
            </w:r>
            <w:r>
              <w:rPr>
                <w:rFonts w:eastAsia="Times New Roman"/>
                <w:b/>
                <w:bCs/>
                <w:color w:val="000000"/>
                <w:sz w:val="16"/>
                <w:szCs w:val="16"/>
              </w:rPr>
              <w:br/>
              <w:t>Purchased</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(b) Average Price</w:t>
            </w:r>
            <w:r>
              <w:rPr>
                <w:rFonts w:eastAsia="Times New Roman"/>
                <w:b/>
                <w:bCs/>
                <w:color w:val="000000"/>
                <w:sz w:val="16"/>
                <w:szCs w:val="16"/>
              </w:rPr>
              <w:br/>
              <w:t>Paid per Share (or</w:t>
            </w:r>
            <w:r>
              <w:rPr>
                <w:rFonts w:eastAsia="Times New Roman"/>
                <w:b/>
                <w:bCs/>
                <w:color w:val="000000"/>
                <w:sz w:val="16"/>
                <w:szCs w:val="16"/>
              </w:rPr>
              <w:br/>
              <w:t>Unit)</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(c) Total Number of</w:t>
            </w:r>
            <w:r>
              <w:rPr>
                <w:rFonts w:eastAsia="Times New Roman"/>
                <w:b/>
                <w:bCs/>
                <w:color w:val="000000"/>
                <w:sz w:val="16"/>
                <w:szCs w:val="16"/>
              </w:rPr>
              <w:br/>
              <w:t>Shares (or Units)</w:t>
            </w:r>
            <w:r>
              <w:rPr>
                <w:rFonts w:eastAsia="Times New Roman"/>
                <w:b/>
                <w:bCs/>
                <w:color w:val="000000"/>
                <w:sz w:val="16"/>
                <w:szCs w:val="16"/>
              </w:rPr>
              <w:br/>
              <w:t>Purchased as Part of</w:t>
            </w:r>
            <w:r>
              <w:rPr>
                <w:rFonts w:eastAsia="Times New Roman"/>
                <w:b/>
                <w:bCs/>
                <w:color w:val="000000"/>
                <w:sz w:val="16"/>
                <w:szCs w:val="16"/>
              </w:rPr>
              <w:br/>
              <w:t>Publicly Announced Plans</w:t>
            </w:r>
            <w:r>
              <w:rPr>
                <w:rFonts w:eastAsia="Times New Roman"/>
                <w:b/>
                <w:bCs/>
                <w:color w:val="000000"/>
                <w:sz w:val="16"/>
                <w:szCs w:val="16"/>
              </w:rPr>
              <w:br/>
              <w:t>or Programs</w:t>
            </w:r>
          </w:p>
        </w:tc>
        <w:tc>
          <w:tcPr>
            <w:tcW w:w="0" w:type="auto"/>
            <w:gridSpan w:val="3"/>
            <w:tcMar>
              <w:top w:w="0" w:type="dxa"/>
              <w:left w:w="20" w:type="dxa"/>
              <w:bottom w:w="0" w:type="dxa"/>
              <w:right w:w="20" w:type="dxa"/>
            </w:tcMar>
            <w:vAlign w:val="center"/>
            <w:hideMark/>
          </w:tcPr>
          <w:p w:rsidR="00000000" w:rsidRDefault="002A246B">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 Maximum Number (or</w:t>
            </w:r>
            <w:r>
              <w:rPr>
                <w:rFonts w:eastAsia="Times New Roman"/>
                <w:b/>
                <w:bCs/>
                <w:color w:val="000000"/>
                <w:sz w:val="16"/>
                <w:szCs w:val="16"/>
              </w:rPr>
              <w:br/>
              <w:t>Approximate Dollar</w:t>
            </w:r>
            <w:r>
              <w:rPr>
                <w:rFonts w:eastAsia="Times New Roman"/>
                <w:b/>
                <w:bCs/>
                <w:color w:val="000000"/>
                <w:sz w:val="16"/>
                <w:szCs w:val="16"/>
              </w:rPr>
              <w:br/>
              <w:t>Value) of Shares (or</w:t>
            </w:r>
            <w:r>
              <w:rPr>
                <w:rFonts w:eastAsia="Times New Roman"/>
                <w:b/>
                <w:bCs/>
                <w:color w:val="000000"/>
                <w:sz w:val="16"/>
                <w:szCs w:val="16"/>
              </w:rPr>
              <w:br/>
              <w:t>Units) that May Yet Be</w:t>
            </w:r>
            <w:r>
              <w:rPr>
                <w:rFonts w:eastAsia="Times New Roman"/>
                <w:b/>
                <w:bCs/>
                <w:color w:val="000000"/>
                <w:sz w:val="16"/>
                <w:szCs w:val="16"/>
              </w:rPr>
              <w:br/>
            </w:r>
            <w:r>
              <w:rPr>
                <w:rFonts w:eastAsia="Times New Roman"/>
                <w:b/>
                <w:bCs/>
                <w:color w:val="000000"/>
                <w:sz w:val="16"/>
                <w:szCs w:val="16"/>
              </w:rPr>
              <w:t>Purchased Under the</w:t>
            </w:r>
            <w:r>
              <w:rPr>
                <w:rFonts w:eastAsia="Times New Roman"/>
                <w:b/>
                <w:bCs/>
                <w:color w:val="000000"/>
                <w:sz w:val="16"/>
                <w:szCs w:val="16"/>
              </w:rPr>
              <w:br/>
              <w:t>Plans or Programs *</w:t>
            </w:r>
          </w:p>
        </w:tc>
      </w:tr>
      <w:tr w:rsidR="00000000">
        <w:trPr>
          <w:divId w:val="146230628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January 1-31, 2022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5,000,000</w:t>
            </w:r>
          </w:p>
        </w:tc>
      </w:tr>
      <w:tr w:rsidR="00000000">
        <w:trPr>
          <w:divId w:val="1462306289"/>
        </w:trPr>
        <w:tc>
          <w:tcPr>
            <w:tcW w:w="0" w:type="auto"/>
            <w:gridSpan w:val="3"/>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February 1-28, 2022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14,062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25.56</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14,062</w:t>
            </w:r>
          </w:p>
        </w:tc>
        <w:tc>
          <w:tcPr>
            <w:tcW w:w="0" w:type="auto"/>
            <w:gridSpan w:val="3"/>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4,640,575</w:t>
            </w:r>
          </w:p>
        </w:tc>
      </w:tr>
      <w:tr w:rsidR="00000000">
        <w:trPr>
          <w:divId w:val="1462306289"/>
        </w:trPr>
        <w:tc>
          <w:tcPr>
            <w:tcW w:w="0" w:type="auto"/>
            <w:gridSpan w:val="3"/>
            <w:shd w:val="clear" w:color="auto" w:fill="CCEE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March 1-31, 2022</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9,474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26.04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9,474</w:t>
            </w:r>
          </w:p>
        </w:tc>
        <w:tc>
          <w:tcPr>
            <w:tcW w:w="0" w:type="auto"/>
            <w:gridSpan w:val="3"/>
            <w:shd w:val="clear" w:color="auto" w:fill="CCEE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4,393,903</w:t>
            </w:r>
          </w:p>
        </w:tc>
      </w:tr>
      <w:tr w:rsidR="00000000">
        <w:trPr>
          <w:divId w:val="1462306289"/>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Total</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23,536</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2A246B">
            <w:pPr>
              <w:spacing w:after="100"/>
              <w:rPr>
                <w:rFonts w:eastAsia="Times New Roman"/>
              </w:rPr>
            </w:pPr>
            <w:r>
              <w:rPr>
                <w:rFonts w:eastAsia="Times New Roman"/>
                <w:color w:val="000000"/>
                <w:sz w:val="20"/>
                <w:szCs w:val="20"/>
              </w:rPr>
              <w:t>23,536</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25.75</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23,536</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2A246B">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2A246B">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7" w:type="dxa"/>
            </w:tcMar>
            <w:vAlign w:val="bottom"/>
            <w:hideMark/>
          </w:tcPr>
          <w:p w:rsidR="00000000" w:rsidRDefault="002A246B">
            <w:pPr>
              <w:spacing w:after="100"/>
              <w:jc w:val="right"/>
              <w:rPr>
                <w:rFonts w:eastAsia="Times New Roman"/>
              </w:rPr>
            </w:pPr>
            <w:r>
              <w:rPr>
                <w:rFonts w:eastAsia="Times New Roman"/>
                <w:color w:val="000000"/>
                <w:sz w:val="20"/>
                <w:szCs w:val="20"/>
              </w:rPr>
              <w:t>4,393,903</w:t>
            </w:r>
          </w:p>
        </w:tc>
      </w:tr>
    </w:tbl>
    <w:p w:rsidR="00000000" w:rsidRDefault="002A246B">
      <w:pPr>
        <w:divId w:val="2113210126"/>
        <w:rPr>
          <w:rFonts w:eastAsia="Times New Roman"/>
        </w:rPr>
      </w:pPr>
    </w:p>
    <w:p w:rsidR="00000000" w:rsidRDefault="002A246B">
      <w:pPr>
        <w:ind w:hanging="720"/>
        <w:jc w:val="both"/>
        <w:rPr>
          <w:rFonts w:eastAsia="Times New Roman"/>
        </w:rPr>
      </w:pPr>
      <w:r>
        <w:rPr>
          <w:rFonts w:eastAsia="Times New Roman"/>
          <w:color w:val="000000"/>
          <w:sz w:val="20"/>
          <w:szCs w:val="20"/>
        </w:rPr>
        <w:t>*The Company's 2019 Repurchase Plan was amended during the second quarter 2021 to authorize the purchase of up to an additional $5.0 million</w:t>
      </w:r>
      <w:r>
        <w:rPr>
          <w:rFonts w:eastAsia="Times New Roman"/>
          <w:color w:val="000000"/>
          <w:sz w:val="20"/>
          <w:szCs w:val="20"/>
        </w:rPr>
        <w:t xml:space="preserve"> in market value of the Company's common stock. Management was given discretion to determine the number and pricing of the shares to be purchased, as well as the timing of any such purchases. As of March 31, 2022, $4.4 million remained available for share </w:t>
      </w:r>
      <w:r>
        <w:rPr>
          <w:rFonts w:eastAsia="Times New Roman"/>
          <w:color w:val="000000"/>
          <w:sz w:val="20"/>
          <w:szCs w:val="20"/>
        </w:rPr>
        <w:t>repurchases pursuant to that authorization.</w:t>
      </w:r>
    </w:p>
    <w:p w:rsidR="00000000" w:rsidRDefault="002A246B">
      <w:pPr>
        <w:ind w:hanging="360"/>
        <w:divId w:val="663892966"/>
        <w:rPr>
          <w:rFonts w:eastAsia="Times New Roman"/>
        </w:rPr>
      </w:pPr>
    </w:p>
    <w:p w:rsidR="00000000" w:rsidRDefault="002A246B">
      <w:pPr>
        <w:divId w:val="86191968"/>
        <w:rPr>
          <w:rFonts w:eastAsia="Times New Roman"/>
        </w:rPr>
      </w:pPr>
      <w:r>
        <w:rPr>
          <w:rFonts w:eastAsia="Times New Roman"/>
          <w:color w:val="000000"/>
          <w:sz w:val="20"/>
          <w:szCs w:val="20"/>
        </w:rPr>
        <w:t>Item 3. Defaults Upon Senior Securities</w:t>
      </w:r>
    </w:p>
    <w:p w:rsidR="00000000" w:rsidRDefault="002A246B">
      <w:pPr>
        <w:divId w:val="200872514"/>
        <w:rPr>
          <w:rFonts w:eastAsia="Times New Roman"/>
        </w:rPr>
      </w:pPr>
      <w:r>
        <w:rPr>
          <w:rFonts w:eastAsia="Times New Roman"/>
          <w:color w:val="000000"/>
          <w:sz w:val="20"/>
          <w:szCs w:val="20"/>
        </w:rPr>
        <w:t>None.</w:t>
      </w:r>
    </w:p>
    <w:p w:rsidR="00000000" w:rsidRDefault="002A246B">
      <w:pPr>
        <w:divId w:val="1904100860"/>
        <w:rPr>
          <w:rFonts w:eastAsia="Times New Roman"/>
        </w:rPr>
      </w:pPr>
      <w:r>
        <w:rPr>
          <w:rFonts w:eastAsia="Times New Roman"/>
          <w:color w:val="000000"/>
          <w:sz w:val="20"/>
          <w:szCs w:val="20"/>
        </w:rPr>
        <w:t>Item 4. Mine Safety Disclosures</w:t>
      </w:r>
    </w:p>
    <w:p w:rsidR="00000000" w:rsidRDefault="002A246B">
      <w:pPr>
        <w:divId w:val="1729378264"/>
        <w:rPr>
          <w:rFonts w:eastAsia="Times New Roman"/>
        </w:rPr>
      </w:pPr>
      <w:r>
        <w:rPr>
          <w:rFonts w:eastAsia="Times New Roman"/>
          <w:color w:val="000000"/>
          <w:sz w:val="20"/>
          <w:szCs w:val="20"/>
        </w:rPr>
        <w:t xml:space="preserve">None. </w:t>
      </w:r>
    </w:p>
    <w:p w:rsidR="00000000" w:rsidRDefault="002A246B">
      <w:pPr>
        <w:divId w:val="2106266943"/>
        <w:rPr>
          <w:rFonts w:eastAsia="Times New Roman"/>
        </w:rPr>
      </w:pPr>
      <w:r>
        <w:rPr>
          <w:rFonts w:eastAsia="Times New Roman"/>
          <w:color w:val="000000"/>
          <w:sz w:val="20"/>
          <w:szCs w:val="20"/>
        </w:rPr>
        <w:t>Item 5. Other Information</w:t>
      </w:r>
    </w:p>
    <w:p w:rsidR="00000000" w:rsidRDefault="002A246B">
      <w:pPr>
        <w:divId w:val="807167889"/>
        <w:rPr>
          <w:rFonts w:eastAsia="Times New Roman"/>
        </w:rPr>
      </w:pPr>
      <w:r>
        <w:rPr>
          <w:rFonts w:eastAsia="Times New Roman"/>
          <w:color w:val="000000"/>
          <w:sz w:val="20"/>
          <w:szCs w:val="20"/>
        </w:rPr>
        <w:t>None.</w:t>
      </w:r>
    </w:p>
    <w:p w:rsidR="00000000" w:rsidRDefault="002A246B">
      <w:pPr>
        <w:divId w:val="1214346918"/>
        <w:rPr>
          <w:rFonts w:eastAsia="Times New Roman"/>
        </w:rPr>
      </w:pPr>
      <w:r>
        <w:rPr>
          <w:rFonts w:eastAsia="Times New Roman"/>
          <w:color w:val="000000"/>
          <w:sz w:val="20"/>
          <w:szCs w:val="20"/>
        </w:rPr>
        <w:t>Item 6. Exhibits</w:t>
      </w:r>
    </w:p>
    <w:p w:rsidR="00000000" w:rsidRDefault="002A246B">
      <w:pPr>
        <w:jc w:val="center"/>
        <w:divId w:val="1648583086"/>
        <w:rPr>
          <w:rFonts w:eastAsia="Times New Roman"/>
        </w:rPr>
      </w:pPr>
      <w:r>
        <w:rPr>
          <w:rFonts w:eastAsia="Times New Roman"/>
          <w:color w:val="000000"/>
          <w:sz w:val="20"/>
          <w:szCs w:val="20"/>
        </w:rPr>
        <w:t>56</w:t>
      </w:r>
    </w:p>
    <w:p w:rsidR="00000000" w:rsidRDefault="002A246B">
      <w:pPr>
        <w:rPr>
          <w:rFonts w:eastAsia="Times New Roman"/>
        </w:rPr>
      </w:pPr>
      <w:r>
        <w:rPr>
          <w:rFonts w:eastAsia="Times New Roman"/>
        </w:rPr>
        <w:pict>
          <v:rect id="_x0000_i1080" style="width:0;height:1.5pt" o:hralign="center" o:hrstd="t" o:hr="t" fillcolor="#a0a0a0" stroked="f"/>
        </w:pict>
      </w:r>
    </w:p>
    <w:p w:rsidR="00000000" w:rsidRDefault="002A246B">
      <w:pPr>
        <w:divId w:val="2022855729"/>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4"/>
        <w:gridCol w:w="1076"/>
        <w:gridCol w:w="38"/>
        <w:gridCol w:w="36"/>
        <w:gridCol w:w="36"/>
        <w:gridCol w:w="36"/>
        <w:gridCol w:w="47"/>
        <w:gridCol w:w="6924"/>
        <w:gridCol w:w="36"/>
      </w:tblGrid>
      <w:tr w:rsidR="00000000">
        <w:trPr>
          <w:divId w:val="397362993"/>
        </w:trPr>
        <w:tc>
          <w:tcPr>
            <w:tcW w:w="50" w:type="pct"/>
            <w:vAlign w:val="center"/>
            <w:hideMark/>
          </w:tcPr>
          <w:p w:rsidR="00000000" w:rsidRDefault="002A246B">
            <w:pPr>
              <w:rPr>
                <w:rFonts w:eastAsia="Times New Roman"/>
              </w:rPr>
            </w:pPr>
          </w:p>
        </w:tc>
        <w:tc>
          <w:tcPr>
            <w:tcW w:w="66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27"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4186"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397362993"/>
        </w:trPr>
        <w:tc>
          <w:tcPr>
            <w:tcW w:w="0" w:type="auto"/>
            <w:gridSpan w:val="3"/>
            <w:tcMar>
              <w:top w:w="30" w:type="dxa"/>
              <w:left w:w="20" w:type="dxa"/>
              <w:bottom w:w="30" w:type="dxa"/>
              <w:right w:w="164" w:type="dxa"/>
            </w:tcMar>
            <w:vAlign w:val="bottom"/>
            <w:hideMark/>
          </w:tcPr>
          <w:p w:rsidR="00000000" w:rsidRDefault="002A246B">
            <w:pPr>
              <w:spacing w:after="100"/>
              <w:jc w:val="both"/>
              <w:rPr>
                <w:rFonts w:eastAsia="Times New Roman"/>
              </w:rPr>
            </w:pPr>
            <w:r>
              <w:rPr>
                <w:rFonts w:eastAsia="Times New Roman"/>
                <w:b/>
                <w:bCs/>
                <w:color w:val="000000"/>
                <w:sz w:val="16"/>
                <w:szCs w:val="16"/>
              </w:rPr>
              <w:t>Exhibit No.</w:t>
            </w:r>
          </w:p>
        </w:tc>
        <w:tc>
          <w:tcPr>
            <w:tcW w:w="0" w:type="auto"/>
            <w:gridSpan w:val="3"/>
            <w:tcMar>
              <w:top w:w="0" w:type="dxa"/>
              <w:left w:w="20" w:type="dxa"/>
              <w:bottom w:w="0" w:type="dxa"/>
              <w:right w:w="20" w:type="dxa"/>
            </w:tcMar>
            <w:vAlign w:val="center"/>
            <w:hideMark/>
          </w:tcPr>
          <w:p w:rsidR="00000000" w:rsidRDefault="002A246B">
            <w:pPr>
              <w:spacing w:after="100"/>
              <w:jc w:val="both"/>
              <w:rPr>
                <w:rFonts w:eastAsia="Times New Roman"/>
              </w:rPr>
            </w:pPr>
          </w:p>
        </w:tc>
        <w:tc>
          <w:tcPr>
            <w:tcW w:w="0" w:type="auto"/>
            <w:gridSpan w:val="3"/>
            <w:tcMar>
              <w:top w:w="30" w:type="dxa"/>
              <w:left w:w="20" w:type="dxa"/>
              <w:bottom w:w="30" w:type="dxa"/>
              <w:right w:w="20" w:type="dxa"/>
            </w:tcMar>
            <w:vAlign w:val="bottom"/>
            <w:hideMark/>
          </w:tcPr>
          <w:p w:rsidR="00000000" w:rsidRDefault="002A246B">
            <w:pPr>
              <w:spacing w:after="100"/>
              <w:jc w:val="center"/>
              <w:rPr>
                <w:rFonts w:eastAsia="Times New Roman"/>
              </w:rPr>
            </w:pPr>
            <w:r>
              <w:rPr>
                <w:rFonts w:eastAsia="Times New Roman"/>
                <w:b/>
                <w:bCs/>
                <w:color w:val="000000"/>
                <w:sz w:val="16"/>
                <w:szCs w:val="16"/>
              </w:rPr>
              <w:t>Description</w:t>
            </w:r>
          </w:p>
        </w:tc>
      </w:tr>
      <w:tr w:rsidR="00000000">
        <w:trPr>
          <w:divId w:val="397362993"/>
        </w:trPr>
        <w:tc>
          <w:tcPr>
            <w:tcW w:w="0" w:type="auto"/>
            <w:gridSpan w:val="3"/>
            <w:tcBorders>
              <w:top w:val="single" w:sz="8" w:space="0" w:color="000000"/>
            </w:tcBorders>
            <w:tcMar>
              <w:top w:w="30" w:type="dxa"/>
              <w:left w:w="20" w:type="dxa"/>
              <w:bottom w:w="30" w:type="dxa"/>
              <w:right w:w="164" w:type="dxa"/>
            </w:tcMar>
            <w:hideMark/>
          </w:tcPr>
          <w:p w:rsidR="00000000" w:rsidRDefault="002A246B">
            <w:pPr>
              <w:spacing w:after="100"/>
              <w:jc w:val="both"/>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2A246B">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2A246B">
            <w:pPr>
              <w:spacing w:after="100"/>
              <w:divId w:val="1928614484"/>
              <w:rPr>
                <w:rFonts w:eastAsia="Times New Roman"/>
              </w:rPr>
            </w:pPr>
            <w:hyperlink r:id="rId4" w:history="1">
              <w:r>
                <w:rPr>
                  <w:rStyle w:val="a3"/>
                  <w:rFonts w:eastAsia="Times New Roman"/>
                  <w:sz w:val="20"/>
                  <w:szCs w:val="20"/>
                </w:rPr>
                <w:t>Restated Articles of Incorporation of the Company (filed as Exhibit 3.1 to the Company's current report on Form 8-K on August 9, 2007 and incorporated herein by r</w:t>
              </w:r>
              <w:r>
                <w:rPr>
                  <w:rStyle w:val="a3"/>
                  <w:rFonts w:eastAsia="Times New Roman"/>
                  <w:sz w:val="20"/>
                  <w:szCs w:val="20"/>
                </w:rPr>
                <w:t>eference).</w:t>
              </w:r>
            </w:hyperlink>
          </w:p>
        </w:tc>
      </w:tr>
      <w:tr w:rsidR="00000000">
        <w:trPr>
          <w:divId w:val="397362993"/>
        </w:trPr>
        <w:tc>
          <w:tcPr>
            <w:tcW w:w="0" w:type="auto"/>
            <w:gridSpan w:val="3"/>
            <w:tcMar>
              <w:top w:w="30" w:type="dxa"/>
              <w:left w:w="20" w:type="dxa"/>
              <w:bottom w:w="30" w:type="dxa"/>
              <w:right w:w="164" w:type="dxa"/>
            </w:tcMar>
            <w:hideMark/>
          </w:tcPr>
          <w:p w:rsidR="00000000" w:rsidRDefault="002A246B">
            <w:pPr>
              <w:spacing w:after="100"/>
              <w:jc w:val="both"/>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2A246B">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2A246B">
            <w:pPr>
              <w:spacing w:after="100"/>
              <w:divId w:val="168716245"/>
              <w:rPr>
                <w:rFonts w:eastAsia="Times New Roman"/>
              </w:rPr>
            </w:pPr>
            <w:hyperlink r:id="rId5" w:history="1">
              <w:r>
                <w:rPr>
                  <w:rStyle w:val="a3"/>
                  <w:rFonts w:eastAsia="Times New Roman"/>
                  <w:sz w:val="20"/>
                  <w:szCs w:val="20"/>
                </w:rPr>
                <w:t>Amended and Restated Bylaws of the Company (filed as Exhibit 3.1 to the Company's current report on Form 8-K on January 27, 2021 and incorporated herein by reference).</w:t>
              </w:r>
            </w:hyperlink>
          </w:p>
        </w:tc>
      </w:tr>
      <w:tr w:rsidR="00000000">
        <w:trPr>
          <w:divId w:val="397362993"/>
        </w:trPr>
        <w:tc>
          <w:tcPr>
            <w:tcW w:w="0" w:type="auto"/>
            <w:gridSpan w:val="3"/>
            <w:tcMar>
              <w:top w:w="30" w:type="dxa"/>
              <w:left w:w="20" w:type="dxa"/>
              <w:bottom w:w="30" w:type="dxa"/>
              <w:right w:w="164" w:type="dxa"/>
            </w:tcMar>
            <w:hideMark/>
          </w:tcPr>
          <w:p w:rsidR="00000000" w:rsidRDefault="002A246B">
            <w:pPr>
              <w:spacing w:after="100"/>
              <w:jc w:val="both"/>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2A246B">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2A246B">
            <w:pPr>
              <w:spacing w:after="100"/>
              <w:divId w:val="1967423198"/>
              <w:rPr>
                <w:rFonts w:eastAsia="Times New Roman"/>
              </w:rPr>
            </w:pPr>
            <w:hyperlink r:id="rId6" w:history="1">
              <w:r>
                <w:rPr>
                  <w:rStyle w:val="a3"/>
                  <w:rFonts w:eastAsia="Times New Roman"/>
                  <w:sz w:val="20"/>
                  <w:szCs w:val="20"/>
                </w:rPr>
                <w:t>Specimen certificate representing shares of the Company's $1.00 par value Common Stock (filed as Exhibit 4.1 to the Company's current report on Form 8-K/A on June 23, 2017 and incorporated herein by reference).</w:t>
              </w:r>
            </w:hyperlink>
          </w:p>
        </w:tc>
      </w:tr>
      <w:tr w:rsidR="00000000">
        <w:trPr>
          <w:divId w:val="397362993"/>
        </w:trPr>
        <w:tc>
          <w:tcPr>
            <w:tcW w:w="0" w:type="auto"/>
            <w:gridSpan w:val="3"/>
            <w:tcMar>
              <w:top w:w="30" w:type="dxa"/>
              <w:left w:w="20" w:type="dxa"/>
              <w:bottom w:w="30" w:type="dxa"/>
              <w:right w:w="164" w:type="dxa"/>
            </w:tcMar>
            <w:hideMark/>
          </w:tcPr>
          <w:p w:rsidR="00000000" w:rsidRDefault="002A246B">
            <w:pPr>
              <w:spacing w:after="100"/>
              <w:jc w:val="both"/>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2A246B">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2A246B">
            <w:pPr>
              <w:spacing w:after="100"/>
              <w:jc w:val="both"/>
              <w:divId w:val="748847035"/>
              <w:rPr>
                <w:rFonts w:eastAsia="Times New Roman"/>
              </w:rPr>
            </w:pPr>
            <w:hyperlink r:id="rId7" w:history="1">
              <w:r>
                <w:rPr>
                  <w:rStyle w:val="a3"/>
                  <w:rFonts w:eastAsia="Times New Roman"/>
                  <w:sz w:val="20"/>
                  <w:szCs w:val="20"/>
                </w:rPr>
                <w:t>Certificate of the Chief Executive Officer of the Company pursuant to Rule 13a-14(a) or 15d-14(a) of the Securities Exchange Act of 1934, as adopted pursuant to Section 302 of the Sarbanes-Oxley Act of 2002.</w:t>
              </w:r>
            </w:hyperlink>
          </w:p>
        </w:tc>
      </w:tr>
      <w:tr w:rsidR="00000000">
        <w:trPr>
          <w:divId w:val="397362993"/>
        </w:trPr>
        <w:tc>
          <w:tcPr>
            <w:tcW w:w="0" w:type="auto"/>
            <w:gridSpan w:val="3"/>
            <w:tcMar>
              <w:top w:w="30" w:type="dxa"/>
              <w:left w:w="20" w:type="dxa"/>
              <w:bottom w:w="30" w:type="dxa"/>
              <w:right w:w="164" w:type="dxa"/>
            </w:tcMar>
            <w:hideMark/>
          </w:tcPr>
          <w:p w:rsidR="00000000" w:rsidRDefault="002A246B">
            <w:pPr>
              <w:spacing w:after="100"/>
              <w:jc w:val="both"/>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2A246B">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2A246B">
            <w:pPr>
              <w:spacing w:after="100"/>
              <w:jc w:val="both"/>
              <w:divId w:val="1751610179"/>
              <w:rPr>
                <w:rFonts w:eastAsia="Times New Roman"/>
              </w:rPr>
            </w:pPr>
            <w:hyperlink r:id="rId8" w:history="1">
              <w:r>
                <w:rPr>
                  <w:rStyle w:val="a3"/>
                  <w:rFonts w:eastAsia="Times New Roman"/>
                  <w:sz w:val="20"/>
                  <w:szCs w:val="20"/>
                </w:rPr>
                <w:t>Certificate of the Chief Financial Officer of the Company pursuant to Rule 13a-14(a) or 15d-14(a) of the Securities Exchange Act of 1934, as adopted pursuant to Section 302 of the Sarbanes-Oxley Act of 2002.</w:t>
              </w:r>
            </w:hyperlink>
          </w:p>
        </w:tc>
      </w:tr>
      <w:tr w:rsidR="00000000">
        <w:trPr>
          <w:divId w:val="397362993"/>
        </w:trPr>
        <w:tc>
          <w:tcPr>
            <w:tcW w:w="0" w:type="auto"/>
            <w:gridSpan w:val="3"/>
            <w:tcMar>
              <w:top w:w="30" w:type="dxa"/>
              <w:left w:w="20" w:type="dxa"/>
              <w:bottom w:w="30" w:type="dxa"/>
              <w:right w:w="164" w:type="dxa"/>
            </w:tcMar>
            <w:hideMark/>
          </w:tcPr>
          <w:p w:rsidR="00000000" w:rsidRDefault="002A246B">
            <w:pPr>
              <w:spacing w:after="100"/>
              <w:jc w:val="both"/>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2A246B">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2A246B">
            <w:pPr>
              <w:spacing w:after="100"/>
              <w:jc w:val="both"/>
              <w:divId w:val="2017078034"/>
              <w:rPr>
                <w:rFonts w:eastAsia="Times New Roman"/>
              </w:rPr>
            </w:pPr>
            <w:hyperlink r:id="rId9" w:history="1">
              <w:r>
                <w:rPr>
                  <w:rStyle w:val="a3"/>
                  <w:rFonts w:eastAsia="Times New Roman"/>
                  <w:sz w:val="20"/>
                  <w:szCs w:val="20"/>
                </w:rPr>
                <w:t>Certificate of the Chief Executive Officer of the Company pursuant to 18 U.S.C. Section 1350, as adopted pursuant to Section 906 of the Sarbanes-Oxley Act of 2002</w:t>
              </w:r>
            </w:hyperlink>
            <w:hyperlink r:id="rId10" w:history="1">
              <w:r>
                <w:rPr>
                  <w:rStyle w:val="a3"/>
                  <w:rFonts w:eastAsia="Times New Roman"/>
                  <w:sz w:val="20"/>
                  <w:szCs w:val="20"/>
                </w:rPr>
                <w:t>.</w:t>
              </w:r>
            </w:hyperlink>
          </w:p>
        </w:tc>
      </w:tr>
      <w:tr w:rsidR="00000000">
        <w:trPr>
          <w:divId w:val="397362993"/>
        </w:trPr>
        <w:tc>
          <w:tcPr>
            <w:tcW w:w="0" w:type="auto"/>
            <w:gridSpan w:val="3"/>
            <w:tcMar>
              <w:top w:w="30" w:type="dxa"/>
              <w:left w:w="20" w:type="dxa"/>
              <w:bottom w:w="30" w:type="dxa"/>
              <w:right w:w="164" w:type="dxa"/>
            </w:tcMar>
            <w:hideMark/>
          </w:tcPr>
          <w:p w:rsidR="00000000" w:rsidRDefault="002A246B">
            <w:pPr>
              <w:spacing w:after="100"/>
              <w:jc w:val="both"/>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rsidR="00000000" w:rsidRDefault="002A246B">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2A246B">
            <w:pPr>
              <w:spacing w:after="100"/>
              <w:jc w:val="both"/>
              <w:divId w:val="1680548706"/>
              <w:rPr>
                <w:rFonts w:eastAsia="Times New Roman"/>
              </w:rPr>
            </w:pPr>
            <w:hyperlink r:id="rId11" w:history="1">
              <w:r>
                <w:rPr>
                  <w:rStyle w:val="a3"/>
                  <w:rFonts w:eastAsia="Times New Roman"/>
                  <w:sz w:val="20"/>
                  <w:szCs w:val="20"/>
                </w:rPr>
                <w:t>Certificate of the Chief Financial Officer of the Company pursuant to 18 U.S.C. Section 1350, as adopted pursuant to Section 906 of the Sarbanes-Oxley Act of 2002.</w:t>
              </w:r>
            </w:hyperlink>
          </w:p>
        </w:tc>
      </w:tr>
      <w:tr w:rsidR="00000000">
        <w:trPr>
          <w:divId w:val="397362993"/>
        </w:trPr>
        <w:tc>
          <w:tcPr>
            <w:tcW w:w="0" w:type="auto"/>
            <w:gridSpan w:val="3"/>
            <w:tcMar>
              <w:top w:w="30" w:type="dxa"/>
              <w:left w:w="20" w:type="dxa"/>
              <w:bottom w:w="30" w:type="dxa"/>
              <w:right w:w="164" w:type="dxa"/>
            </w:tcMar>
            <w:hideMark/>
          </w:tcPr>
          <w:p w:rsidR="00000000" w:rsidRDefault="002A246B">
            <w:pPr>
              <w:spacing w:after="100"/>
              <w:jc w:val="both"/>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2A246B">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2A246B">
            <w:pPr>
              <w:spacing w:after="100"/>
              <w:jc w:val="both"/>
              <w:rPr>
                <w:rFonts w:eastAsia="Times New Roman"/>
              </w:rPr>
            </w:pPr>
            <w:r>
              <w:rPr>
                <w:rFonts w:eastAsia="Times New Roman"/>
                <w:color w:val="000000"/>
                <w:sz w:val="20"/>
                <w:szCs w:val="20"/>
              </w:rPr>
              <w:t>Inline XBRL Instance Document (the instance</w:t>
            </w:r>
            <w:r>
              <w:rPr>
                <w:rFonts w:eastAsia="Times New Roman"/>
                <w:color w:val="000000"/>
                <w:sz w:val="20"/>
                <w:szCs w:val="20"/>
              </w:rPr>
              <w:t xml:space="preserve"> document does not appear in the Interactive Data File because its XBRL tags are embedded within the Inline XBRL document).</w:t>
            </w:r>
          </w:p>
        </w:tc>
      </w:tr>
      <w:tr w:rsidR="00000000">
        <w:trPr>
          <w:divId w:val="397362993"/>
        </w:trPr>
        <w:tc>
          <w:tcPr>
            <w:tcW w:w="0" w:type="auto"/>
            <w:gridSpan w:val="3"/>
            <w:tcMar>
              <w:top w:w="30" w:type="dxa"/>
              <w:left w:w="20" w:type="dxa"/>
              <w:bottom w:w="30" w:type="dxa"/>
              <w:right w:w="164" w:type="dxa"/>
            </w:tcMar>
            <w:hideMark/>
          </w:tcPr>
          <w:p w:rsidR="00000000" w:rsidRDefault="002A246B">
            <w:pPr>
              <w:spacing w:after="100"/>
              <w:jc w:val="both"/>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2A246B">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2A246B">
            <w:pPr>
              <w:spacing w:after="100"/>
              <w:jc w:val="both"/>
              <w:rPr>
                <w:rFonts w:eastAsia="Times New Roman"/>
              </w:rPr>
            </w:pPr>
            <w:r>
              <w:rPr>
                <w:rFonts w:eastAsia="Times New Roman"/>
                <w:color w:val="000000"/>
                <w:sz w:val="20"/>
                <w:szCs w:val="20"/>
              </w:rPr>
              <w:t>Inline XBRL Taxonomy Extension Schema Document.</w:t>
            </w:r>
          </w:p>
        </w:tc>
      </w:tr>
      <w:tr w:rsidR="00000000">
        <w:trPr>
          <w:divId w:val="397362993"/>
        </w:trPr>
        <w:tc>
          <w:tcPr>
            <w:tcW w:w="0" w:type="auto"/>
            <w:gridSpan w:val="3"/>
            <w:tcMar>
              <w:top w:w="30" w:type="dxa"/>
              <w:left w:w="20" w:type="dxa"/>
              <w:bottom w:w="30" w:type="dxa"/>
              <w:right w:w="164" w:type="dxa"/>
            </w:tcMar>
            <w:hideMark/>
          </w:tcPr>
          <w:p w:rsidR="00000000" w:rsidRDefault="002A246B">
            <w:pPr>
              <w:spacing w:after="100"/>
              <w:jc w:val="both"/>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2A246B">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2A246B">
            <w:pPr>
              <w:spacing w:after="100"/>
              <w:jc w:val="both"/>
              <w:rPr>
                <w:rFonts w:eastAsia="Times New Roman"/>
              </w:rPr>
            </w:pPr>
            <w:r>
              <w:rPr>
                <w:rFonts w:eastAsia="Times New Roman"/>
                <w:color w:val="000000"/>
                <w:sz w:val="20"/>
                <w:szCs w:val="20"/>
              </w:rPr>
              <w:t xml:space="preserve">Inline XBRL Taxonomy Extension Calculation Linkbase Document. </w:t>
            </w:r>
          </w:p>
        </w:tc>
      </w:tr>
      <w:tr w:rsidR="00000000">
        <w:trPr>
          <w:divId w:val="397362993"/>
        </w:trPr>
        <w:tc>
          <w:tcPr>
            <w:tcW w:w="0" w:type="auto"/>
            <w:gridSpan w:val="3"/>
            <w:tcMar>
              <w:top w:w="30" w:type="dxa"/>
              <w:left w:w="20" w:type="dxa"/>
              <w:bottom w:w="30" w:type="dxa"/>
              <w:right w:w="164" w:type="dxa"/>
            </w:tcMar>
            <w:hideMark/>
          </w:tcPr>
          <w:p w:rsidR="00000000" w:rsidRDefault="002A246B">
            <w:pPr>
              <w:spacing w:after="100"/>
              <w:jc w:val="both"/>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2A246B">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2A246B">
            <w:pPr>
              <w:spacing w:after="100"/>
              <w:jc w:val="both"/>
              <w:rPr>
                <w:rFonts w:eastAsia="Times New Roman"/>
              </w:rPr>
            </w:pPr>
            <w:r>
              <w:rPr>
                <w:rFonts w:eastAsia="Times New Roman"/>
                <w:color w:val="000000"/>
                <w:sz w:val="20"/>
                <w:szCs w:val="20"/>
              </w:rPr>
              <w:t>Inline XBRL Taxonomy Extension Definition Linkbase Document.</w:t>
            </w:r>
          </w:p>
        </w:tc>
      </w:tr>
      <w:tr w:rsidR="00000000">
        <w:trPr>
          <w:divId w:val="397362993"/>
        </w:trPr>
        <w:tc>
          <w:tcPr>
            <w:tcW w:w="0" w:type="auto"/>
            <w:gridSpan w:val="3"/>
            <w:tcMar>
              <w:top w:w="30" w:type="dxa"/>
              <w:left w:w="20" w:type="dxa"/>
              <w:bottom w:w="30" w:type="dxa"/>
              <w:right w:w="164" w:type="dxa"/>
            </w:tcMar>
            <w:hideMark/>
          </w:tcPr>
          <w:p w:rsidR="00000000" w:rsidRDefault="002A246B">
            <w:pPr>
              <w:spacing w:after="100"/>
              <w:jc w:val="both"/>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2A246B">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2A246B">
            <w:pPr>
              <w:spacing w:after="100"/>
              <w:jc w:val="both"/>
              <w:rPr>
                <w:rFonts w:eastAsia="Times New Roman"/>
              </w:rPr>
            </w:pPr>
            <w:r>
              <w:rPr>
                <w:rFonts w:eastAsia="Times New Roman"/>
                <w:color w:val="000000"/>
                <w:sz w:val="20"/>
                <w:szCs w:val="20"/>
              </w:rPr>
              <w:t xml:space="preserve">Inline XBRL Taxonomy Extension Label Linkbase Document. </w:t>
            </w:r>
          </w:p>
        </w:tc>
      </w:tr>
      <w:tr w:rsidR="00000000">
        <w:trPr>
          <w:divId w:val="397362993"/>
        </w:trPr>
        <w:tc>
          <w:tcPr>
            <w:tcW w:w="0" w:type="auto"/>
            <w:gridSpan w:val="3"/>
            <w:tcMar>
              <w:top w:w="30" w:type="dxa"/>
              <w:left w:w="20" w:type="dxa"/>
              <w:bottom w:w="30" w:type="dxa"/>
              <w:right w:w="164" w:type="dxa"/>
            </w:tcMar>
            <w:hideMark/>
          </w:tcPr>
          <w:p w:rsidR="00000000" w:rsidRDefault="002A246B">
            <w:pPr>
              <w:spacing w:after="100"/>
              <w:jc w:val="both"/>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2A246B">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2A246B">
            <w:pPr>
              <w:spacing w:after="100"/>
              <w:jc w:val="both"/>
              <w:rPr>
                <w:rFonts w:eastAsia="Times New Roman"/>
              </w:rPr>
            </w:pPr>
            <w:r>
              <w:rPr>
                <w:rFonts w:eastAsia="Times New Roman"/>
                <w:color w:val="000000"/>
                <w:sz w:val="20"/>
                <w:szCs w:val="20"/>
              </w:rPr>
              <w:t xml:space="preserve">Inline XBRL Taxonomy Extension Presentation Linkbase Document. </w:t>
            </w:r>
          </w:p>
        </w:tc>
      </w:tr>
      <w:tr w:rsidR="00000000">
        <w:trPr>
          <w:divId w:val="397362993"/>
        </w:trPr>
        <w:tc>
          <w:tcPr>
            <w:tcW w:w="0" w:type="auto"/>
            <w:gridSpan w:val="3"/>
            <w:tcMar>
              <w:top w:w="30" w:type="dxa"/>
              <w:left w:w="20" w:type="dxa"/>
              <w:bottom w:w="30" w:type="dxa"/>
              <w:right w:w="164" w:type="dxa"/>
            </w:tcMar>
            <w:hideMark/>
          </w:tcPr>
          <w:p w:rsidR="00000000" w:rsidRDefault="002A246B">
            <w:pPr>
              <w:spacing w:after="100"/>
              <w:jc w:val="both"/>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2A246B">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2A246B">
            <w:pPr>
              <w:spacing w:after="100"/>
              <w:jc w:val="both"/>
              <w:rPr>
                <w:rFonts w:eastAsia="Times New Roman"/>
              </w:rPr>
            </w:pPr>
            <w:r>
              <w:rPr>
                <w:rFonts w:eastAsia="Times New Roman"/>
                <w:color w:val="000000"/>
                <w:sz w:val="20"/>
                <w:szCs w:val="20"/>
              </w:rPr>
              <w:t>Cover Page Interactive Data File (formatted as inline XBRL and contained in Exhibit 101).</w:t>
            </w:r>
          </w:p>
        </w:tc>
      </w:tr>
    </w:tbl>
    <w:p w:rsidR="00000000" w:rsidRDefault="002A246B">
      <w:pPr>
        <w:jc w:val="center"/>
        <w:divId w:val="836917924"/>
        <w:rPr>
          <w:rFonts w:eastAsia="Times New Roman"/>
        </w:rPr>
      </w:pPr>
      <w:r>
        <w:rPr>
          <w:rFonts w:eastAsia="Times New Roman"/>
          <w:color w:val="000000"/>
          <w:sz w:val="20"/>
          <w:szCs w:val="20"/>
        </w:rPr>
        <w:t>57</w:t>
      </w:r>
    </w:p>
    <w:p w:rsidR="00000000" w:rsidRDefault="002A246B">
      <w:pPr>
        <w:rPr>
          <w:rFonts w:eastAsia="Times New Roman"/>
        </w:rPr>
      </w:pPr>
      <w:r>
        <w:rPr>
          <w:rFonts w:eastAsia="Times New Roman"/>
        </w:rPr>
        <w:pict>
          <v:rect id="_x0000_i1081" style="width:0;height:1.5pt" o:hralign="center" o:hrstd="t" o:hr="t" fillcolor="#a0a0a0" stroked="f"/>
        </w:pict>
      </w:r>
    </w:p>
    <w:p w:rsidR="00000000" w:rsidRDefault="002A246B">
      <w:pPr>
        <w:divId w:val="2081825888"/>
        <w:rPr>
          <w:rFonts w:eastAsia="Times New Roman"/>
        </w:rPr>
      </w:pPr>
    </w:p>
    <w:p w:rsidR="00000000" w:rsidRDefault="002A246B">
      <w:pPr>
        <w:jc w:val="center"/>
        <w:rPr>
          <w:rFonts w:eastAsia="Times New Roman"/>
        </w:rPr>
      </w:pPr>
      <w:r>
        <w:rPr>
          <w:rFonts w:eastAsia="Times New Roman"/>
          <w:b/>
          <w:bCs/>
          <w:color w:val="000000"/>
          <w:sz w:val="20"/>
          <w:szCs w:val="20"/>
        </w:rPr>
        <w:t>SIGNATURES</w:t>
      </w:r>
    </w:p>
    <w:p w:rsidR="00000000" w:rsidRDefault="002A246B">
      <w:pPr>
        <w:jc w:val="both"/>
        <w:divId w:val="1870755762"/>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tbl>
      <w:tblPr>
        <w:tblW w:w="4992" w:type="pct"/>
        <w:tblCellMar>
          <w:top w:w="15" w:type="dxa"/>
          <w:left w:w="15" w:type="dxa"/>
          <w:bottom w:w="15" w:type="dxa"/>
          <w:right w:w="15" w:type="dxa"/>
        </w:tblCellMar>
        <w:tblLook w:val="04A0" w:firstRow="1" w:lastRow="0" w:firstColumn="1" w:lastColumn="0" w:noHBand="0" w:noVBand="1"/>
      </w:tblPr>
      <w:tblGrid>
        <w:gridCol w:w="68"/>
        <w:gridCol w:w="2814"/>
        <w:gridCol w:w="37"/>
        <w:gridCol w:w="69"/>
        <w:gridCol w:w="5269"/>
        <w:gridCol w:w="36"/>
      </w:tblGrid>
      <w:tr w:rsidR="00000000">
        <w:trPr>
          <w:divId w:val="1589346006"/>
        </w:trPr>
        <w:tc>
          <w:tcPr>
            <w:tcW w:w="50" w:type="pct"/>
            <w:vAlign w:val="center"/>
            <w:hideMark/>
          </w:tcPr>
          <w:p w:rsidR="00000000" w:rsidRDefault="002A246B">
            <w:pPr>
              <w:jc w:val="both"/>
              <w:rPr>
                <w:rFonts w:eastAsia="Times New Roman"/>
              </w:rPr>
            </w:pPr>
          </w:p>
        </w:tc>
        <w:tc>
          <w:tcPr>
            <w:tcW w:w="1705"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c>
          <w:tcPr>
            <w:tcW w:w="50" w:type="pct"/>
            <w:vAlign w:val="center"/>
            <w:hideMark/>
          </w:tcPr>
          <w:p w:rsidR="00000000" w:rsidRDefault="002A246B">
            <w:pPr>
              <w:spacing w:after="100"/>
              <w:rPr>
                <w:rFonts w:eastAsia="Times New Roman"/>
                <w:sz w:val="20"/>
                <w:szCs w:val="20"/>
              </w:rPr>
            </w:pPr>
          </w:p>
        </w:tc>
        <w:tc>
          <w:tcPr>
            <w:tcW w:w="3184" w:type="pct"/>
            <w:vAlign w:val="center"/>
            <w:hideMark/>
          </w:tcPr>
          <w:p w:rsidR="00000000" w:rsidRDefault="002A246B">
            <w:pPr>
              <w:spacing w:after="100"/>
              <w:rPr>
                <w:rFonts w:eastAsia="Times New Roman"/>
                <w:sz w:val="20"/>
                <w:szCs w:val="20"/>
              </w:rPr>
            </w:pPr>
          </w:p>
        </w:tc>
        <w:tc>
          <w:tcPr>
            <w:tcW w:w="5" w:type="pct"/>
            <w:vAlign w:val="center"/>
            <w:hideMark/>
          </w:tcPr>
          <w:p w:rsidR="00000000" w:rsidRDefault="002A246B">
            <w:pPr>
              <w:spacing w:after="100"/>
              <w:rPr>
                <w:rFonts w:eastAsia="Times New Roman"/>
                <w:sz w:val="20"/>
                <w:szCs w:val="20"/>
              </w:rPr>
            </w:pPr>
          </w:p>
        </w:tc>
      </w:tr>
      <w:tr w:rsidR="00000000">
        <w:trPr>
          <w:divId w:val="1589346006"/>
        </w:trPr>
        <w:tc>
          <w:tcPr>
            <w:tcW w:w="0" w:type="auto"/>
            <w:gridSpan w:val="3"/>
            <w:tcMar>
              <w:top w:w="30" w:type="dxa"/>
              <w:left w:w="164" w:type="dxa"/>
              <w:bottom w:w="30" w:type="dxa"/>
              <w:right w:w="20" w:type="dxa"/>
            </w:tcMar>
            <w:hideMark/>
          </w:tcPr>
          <w:p w:rsidR="00000000" w:rsidRDefault="002A246B">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2A246B">
            <w:pPr>
              <w:spacing w:after="100"/>
              <w:rPr>
                <w:rFonts w:eastAsia="Times New Roman"/>
              </w:rPr>
            </w:pPr>
            <w:r>
              <w:rPr>
                <w:rFonts w:eastAsia="Times New Roman"/>
                <w:b/>
                <w:bCs/>
                <w:color w:val="000000"/>
                <w:sz w:val="20"/>
                <w:szCs w:val="20"/>
              </w:rPr>
              <w:t>HAWTHORN BANCSHARES, INC.</w:t>
            </w:r>
          </w:p>
        </w:tc>
      </w:tr>
      <w:tr w:rsidR="00000000">
        <w:trPr>
          <w:divId w:val="1589346006"/>
        </w:trPr>
        <w:tc>
          <w:tcPr>
            <w:tcW w:w="0" w:type="auto"/>
            <w:gridSpan w:val="3"/>
            <w:tcMar>
              <w:top w:w="30" w:type="dxa"/>
              <w:left w:w="164" w:type="dxa"/>
              <w:bottom w:w="30" w:type="dxa"/>
              <w:right w:w="20" w:type="dxa"/>
            </w:tcMar>
            <w:hideMark/>
          </w:tcPr>
          <w:p w:rsidR="00000000" w:rsidRDefault="002A246B">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2A246B">
            <w:pPr>
              <w:spacing w:after="100"/>
              <w:rPr>
                <w:rFonts w:eastAsia="Times New Roman"/>
              </w:rPr>
            </w:pPr>
            <w:r>
              <w:rPr>
                <w:rFonts w:eastAsia="Times New Roman"/>
                <w:color w:val="000000"/>
                <w:sz w:val="20"/>
                <w:szCs w:val="20"/>
              </w:rPr>
              <w:t> </w:t>
            </w:r>
          </w:p>
        </w:tc>
      </w:tr>
      <w:tr w:rsidR="00000000">
        <w:trPr>
          <w:divId w:val="1589346006"/>
        </w:trPr>
        <w:tc>
          <w:tcPr>
            <w:tcW w:w="0" w:type="auto"/>
            <w:gridSpan w:val="3"/>
            <w:tcMar>
              <w:top w:w="30" w:type="dxa"/>
              <w:left w:w="20" w:type="dxa"/>
              <w:bottom w:w="30" w:type="dxa"/>
              <w:right w:w="20" w:type="dxa"/>
            </w:tcMar>
            <w:hideMark/>
          </w:tcPr>
          <w:p w:rsidR="00000000" w:rsidRDefault="002A246B">
            <w:pPr>
              <w:spacing w:after="100"/>
              <w:ind w:hanging="144"/>
              <w:divId w:val="514923934"/>
              <w:rPr>
                <w:rFonts w:eastAsia="Times New Roman"/>
              </w:rPr>
            </w:pPr>
            <w:r>
              <w:rPr>
                <w:rFonts w:eastAsia="Times New Roman"/>
                <w:color w:val="000000"/>
                <w:sz w:val="20"/>
                <w:szCs w:val="20"/>
                <w:u w:val="single"/>
              </w:rPr>
              <w:t>Date</w:t>
            </w:r>
            <w:r>
              <w:rPr>
                <w:rFonts w:eastAsia="Times New Roman"/>
                <w:color w:val="000000"/>
                <w:sz w:val="20"/>
                <w:szCs w:val="20"/>
              </w:rPr>
              <w:t xml:space="preserve"> </w:t>
            </w:r>
          </w:p>
        </w:tc>
        <w:tc>
          <w:tcPr>
            <w:tcW w:w="0" w:type="auto"/>
            <w:gridSpan w:val="3"/>
            <w:tcMar>
              <w:top w:w="30" w:type="dxa"/>
              <w:left w:w="20" w:type="dxa"/>
              <w:bottom w:w="30" w:type="dxa"/>
              <w:right w:w="20" w:type="dxa"/>
            </w:tcMar>
            <w:hideMark/>
          </w:tcPr>
          <w:p w:rsidR="00000000" w:rsidRDefault="002A246B">
            <w:pPr>
              <w:spacing w:after="100"/>
              <w:rPr>
                <w:rFonts w:eastAsia="Times New Roman"/>
              </w:rPr>
            </w:pPr>
            <w:r>
              <w:rPr>
                <w:rFonts w:eastAsia="Times New Roman"/>
                <w:color w:val="000000"/>
                <w:sz w:val="20"/>
                <w:szCs w:val="20"/>
              </w:rPr>
              <w:t> </w:t>
            </w:r>
          </w:p>
        </w:tc>
      </w:tr>
      <w:tr w:rsidR="00000000">
        <w:trPr>
          <w:divId w:val="1589346006"/>
        </w:trPr>
        <w:tc>
          <w:tcPr>
            <w:tcW w:w="0" w:type="auto"/>
            <w:gridSpan w:val="3"/>
            <w:tcMar>
              <w:top w:w="30" w:type="dxa"/>
              <w:left w:w="164" w:type="dxa"/>
              <w:bottom w:w="30" w:type="dxa"/>
              <w:right w:w="20" w:type="dxa"/>
            </w:tcMar>
            <w:hideMark/>
          </w:tcPr>
          <w:p w:rsidR="00000000" w:rsidRDefault="002A246B">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2A246B">
            <w:pPr>
              <w:spacing w:after="100"/>
              <w:rPr>
                <w:rFonts w:eastAsia="Times New Roman"/>
              </w:rPr>
            </w:pPr>
            <w:r>
              <w:rPr>
                <w:rFonts w:eastAsia="Times New Roman"/>
                <w:color w:val="000000"/>
                <w:sz w:val="20"/>
                <w:szCs w:val="20"/>
              </w:rPr>
              <w:t> </w:t>
            </w:r>
          </w:p>
        </w:tc>
      </w:tr>
      <w:tr w:rsidR="00000000">
        <w:trPr>
          <w:divId w:val="1589346006"/>
        </w:trPr>
        <w:tc>
          <w:tcPr>
            <w:tcW w:w="0" w:type="auto"/>
            <w:gridSpan w:val="3"/>
            <w:tcMar>
              <w:top w:w="30" w:type="dxa"/>
              <w:left w:w="164" w:type="dxa"/>
              <w:bottom w:w="30" w:type="dxa"/>
              <w:right w:w="20" w:type="dxa"/>
            </w:tcMar>
            <w:hideMark/>
          </w:tcPr>
          <w:p w:rsidR="00000000" w:rsidRDefault="002A246B">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2A246B">
            <w:pPr>
              <w:spacing w:after="100"/>
              <w:rPr>
                <w:rFonts w:eastAsia="Times New Roman"/>
              </w:rPr>
            </w:pPr>
            <w:r>
              <w:rPr>
                <w:rFonts w:eastAsia="Times New Roman"/>
                <w:color w:val="000000"/>
                <w:sz w:val="20"/>
                <w:szCs w:val="20"/>
              </w:rPr>
              <w:t>/s/ David T. Turner</w:t>
            </w:r>
          </w:p>
        </w:tc>
      </w:tr>
      <w:tr w:rsidR="00000000">
        <w:trPr>
          <w:divId w:val="1589346006"/>
        </w:trPr>
        <w:tc>
          <w:tcPr>
            <w:tcW w:w="0" w:type="auto"/>
            <w:gridSpan w:val="3"/>
            <w:tcMar>
              <w:top w:w="30" w:type="dxa"/>
              <w:left w:w="164" w:type="dxa"/>
              <w:bottom w:w="30" w:type="dxa"/>
              <w:right w:w="20" w:type="dxa"/>
            </w:tcMar>
            <w:hideMark/>
          </w:tcPr>
          <w:p w:rsidR="00000000" w:rsidRDefault="002A246B">
            <w:pPr>
              <w:spacing w:after="100"/>
              <w:ind w:hanging="144"/>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2A246B">
            <w:pPr>
              <w:spacing w:after="100"/>
              <w:rPr>
                <w:rFonts w:eastAsia="Times New Roman"/>
              </w:rPr>
            </w:pPr>
            <w:r>
              <w:rPr>
                <w:rFonts w:eastAsia="Times New Roman"/>
                <w:color w:val="000000"/>
                <w:sz w:val="20"/>
                <w:szCs w:val="20"/>
              </w:rPr>
              <w:t> </w:t>
            </w:r>
          </w:p>
        </w:tc>
      </w:tr>
      <w:tr w:rsidR="00000000">
        <w:trPr>
          <w:divId w:val="1589346006"/>
        </w:trPr>
        <w:tc>
          <w:tcPr>
            <w:tcW w:w="0" w:type="auto"/>
            <w:gridSpan w:val="3"/>
            <w:tcMar>
              <w:top w:w="30" w:type="dxa"/>
              <w:left w:w="164" w:type="dxa"/>
              <w:bottom w:w="30" w:type="dxa"/>
              <w:right w:w="20" w:type="dxa"/>
            </w:tcMar>
            <w:hideMark/>
          </w:tcPr>
          <w:p w:rsidR="00000000" w:rsidRDefault="002A246B">
            <w:pPr>
              <w:spacing w:after="100"/>
              <w:ind w:hanging="144"/>
              <w:rPr>
                <w:rFonts w:eastAsia="Times New Roman"/>
              </w:rPr>
            </w:pPr>
            <w:r>
              <w:rPr>
                <w:rFonts w:eastAsia="Times New Roman"/>
                <w:color w:val="000000"/>
                <w:sz w:val="20"/>
                <w:szCs w:val="20"/>
              </w:rPr>
              <w:t>May 10, 2022</w:t>
            </w:r>
          </w:p>
        </w:tc>
        <w:tc>
          <w:tcPr>
            <w:tcW w:w="0" w:type="auto"/>
            <w:gridSpan w:val="3"/>
            <w:tcMar>
              <w:top w:w="30" w:type="dxa"/>
              <w:left w:w="20" w:type="dxa"/>
              <w:bottom w:w="30" w:type="dxa"/>
              <w:right w:w="20" w:type="dxa"/>
            </w:tcMar>
            <w:hideMark/>
          </w:tcPr>
          <w:p w:rsidR="00000000" w:rsidRDefault="002A246B">
            <w:pPr>
              <w:spacing w:after="100"/>
              <w:rPr>
                <w:rFonts w:eastAsia="Times New Roman"/>
              </w:rPr>
            </w:pPr>
            <w:r>
              <w:rPr>
                <w:rFonts w:eastAsia="Times New Roman"/>
                <w:color w:val="000000"/>
                <w:sz w:val="20"/>
                <w:szCs w:val="20"/>
              </w:rPr>
              <w:t>David T. Turner, Chairman of the Board, President and</w:t>
            </w:r>
          </w:p>
        </w:tc>
      </w:tr>
      <w:tr w:rsidR="00000000">
        <w:trPr>
          <w:divId w:val="1589346006"/>
        </w:trPr>
        <w:tc>
          <w:tcPr>
            <w:tcW w:w="0" w:type="auto"/>
            <w:gridSpan w:val="3"/>
            <w:tcMar>
              <w:top w:w="30" w:type="dxa"/>
              <w:left w:w="164" w:type="dxa"/>
              <w:bottom w:w="30" w:type="dxa"/>
              <w:right w:w="20" w:type="dxa"/>
            </w:tcMar>
            <w:hideMark/>
          </w:tcPr>
          <w:p w:rsidR="00000000" w:rsidRDefault="002A246B">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2A246B">
            <w:pPr>
              <w:spacing w:after="100"/>
              <w:rPr>
                <w:rFonts w:eastAsia="Times New Roman"/>
              </w:rPr>
            </w:pPr>
            <w:r>
              <w:rPr>
                <w:rFonts w:eastAsia="Times New Roman"/>
                <w:color w:val="000000"/>
                <w:sz w:val="20"/>
                <w:szCs w:val="20"/>
              </w:rPr>
              <w:t>Chief Executive Officer (Principal Executive Officer)</w:t>
            </w:r>
          </w:p>
        </w:tc>
      </w:tr>
      <w:tr w:rsidR="00000000">
        <w:trPr>
          <w:divId w:val="1589346006"/>
        </w:trPr>
        <w:tc>
          <w:tcPr>
            <w:tcW w:w="0" w:type="auto"/>
            <w:gridSpan w:val="3"/>
            <w:tcMar>
              <w:top w:w="30" w:type="dxa"/>
              <w:left w:w="164" w:type="dxa"/>
              <w:bottom w:w="30" w:type="dxa"/>
              <w:right w:w="20" w:type="dxa"/>
            </w:tcMar>
            <w:hideMark/>
          </w:tcPr>
          <w:p w:rsidR="00000000" w:rsidRDefault="002A246B">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2A246B">
            <w:pPr>
              <w:spacing w:after="100"/>
              <w:rPr>
                <w:rFonts w:eastAsia="Times New Roman"/>
              </w:rPr>
            </w:pPr>
            <w:r>
              <w:rPr>
                <w:rFonts w:eastAsia="Times New Roman"/>
                <w:color w:val="000000"/>
                <w:sz w:val="20"/>
                <w:szCs w:val="20"/>
              </w:rPr>
              <w:t> </w:t>
            </w:r>
          </w:p>
        </w:tc>
      </w:tr>
      <w:tr w:rsidR="00000000">
        <w:trPr>
          <w:divId w:val="1589346006"/>
        </w:trPr>
        <w:tc>
          <w:tcPr>
            <w:tcW w:w="0" w:type="auto"/>
            <w:gridSpan w:val="3"/>
            <w:tcMar>
              <w:top w:w="30" w:type="dxa"/>
              <w:left w:w="164" w:type="dxa"/>
              <w:bottom w:w="30" w:type="dxa"/>
              <w:right w:w="20" w:type="dxa"/>
            </w:tcMar>
            <w:hideMark/>
          </w:tcPr>
          <w:p w:rsidR="00000000" w:rsidRDefault="002A246B">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2A246B">
            <w:pPr>
              <w:spacing w:after="100"/>
              <w:rPr>
                <w:rFonts w:eastAsia="Times New Roman"/>
              </w:rPr>
            </w:pPr>
            <w:r>
              <w:rPr>
                <w:rFonts w:eastAsia="Times New Roman"/>
                <w:color w:val="000000"/>
                <w:sz w:val="20"/>
                <w:szCs w:val="20"/>
              </w:rPr>
              <w:t>/s/ Stephen E. Guthrie</w:t>
            </w:r>
          </w:p>
        </w:tc>
      </w:tr>
      <w:tr w:rsidR="00000000">
        <w:trPr>
          <w:divId w:val="1589346006"/>
        </w:trPr>
        <w:tc>
          <w:tcPr>
            <w:tcW w:w="0" w:type="auto"/>
            <w:gridSpan w:val="3"/>
            <w:tcMar>
              <w:top w:w="30" w:type="dxa"/>
              <w:left w:w="164" w:type="dxa"/>
              <w:bottom w:w="30" w:type="dxa"/>
              <w:right w:w="20" w:type="dxa"/>
            </w:tcMar>
            <w:hideMark/>
          </w:tcPr>
          <w:p w:rsidR="00000000" w:rsidRDefault="002A246B">
            <w:pPr>
              <w:spacing w:after="100"/>
              <w:ind w:hanging="144"/>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2A246B">
            <w:pPr>
              <w:spacing w:after="100"/>
              <w:rPr>
                <w:rFonts w:eastAsia="Times New Roman"/>
              </w:rPr>
            </w:pPr>
            <w:r>
              <w:rPr>
                <w:rFonts w:eastAsia="Times New Roman"/>
                <w:color w:val="000000"/>
                <w:sz w:val="20"/>
                <w:szCs w:val="20"/>
              </w:rPr>
              <w:t> </w:t>
            </w:r>
          </w:p>
        </w:tc>
      </w:tr>
      <w:tr w:rsidR="00000000">
        <w:trPr>
          <w:divId w:val="1589346006"/>
        </w:trPr>
        <w:tc>
          <w:tcPr>
            <w:tcW w:w="0" w:type="auto"/>
            <w:gridSpan w:val="3"/>
            <w:tcMar>
              <w:top w:w="30" w:type="dxa"/>
              <w:left w:w="20" w:type="dxa"/>
              <w:bottom w:w="30" w:type="dxa"/>
              <w:right w:w="20" w:type="dxa"/>
            </w:tcMar>
            <w:hideMark/>
          </w:tcPr>
          <w:p w:rsidR="00000000" w:rsidRDefault="002A246B">
            <w:pPr>
              <w:spacing w:after="100"/>
              <w:rPr>
                <w:rFonts w:eastAsia="Times New Roman"/>
              </w:rPr>
            </w:pPr>
            <w:r>
              <w:rPr>
                <w:rFonts w:eastAsia="Times New Roman"/>
                <w:color w:val="000000"/>
                <w:sz w:val="20"/>
                <w:szCs w:val="20"/>
              </w:rPr>
              <w:t>May 10, 2022</w:t>
            </w:r>
          </w:p>
        </w:tc>
        <w:tc>
          <w:tcPr>
            <w:tcW w:w="0" w:type="auto"/>
            <w:gridSpan w:val="3"/>
            <w:tcMar>
              <w:top w:w="30" w:type="dxa"/>
              <w:left w:w="20" w:type="dxa"/>
              <w:bottom w:w="30" w:type="dxa"/>
              <w:right w:w="20" w:type="dxa"/>
            </w:tcMar>
            <w:hideMark/>
          </w:tcPr>
          <w:p w:rsidR="00000000" w:rsidRDefault="002A246B">
            <w:pPr>
              <w:spacing w:after="100"/>
              <w:rPr>
                <w:rFonts w:eastAsia="Times New Roman"/>
              </w:rPr>
            </w:pPr>
            <w:r>
              <w:rPr>
                <w:rFonts w:eastAsia="Times New Roman"/>
                <w:color w:val="000000"/>
                <w:sz w:val="20"/>
                <w:szCs w:val="20"/>
              </w:rPr>
              <w:t>Stephen E. Guthrie, Chief Financial Officer (Principal Financial Officer and Principal Accounting Officer)</w:t>
            </w:r>
          </w:p>
        </w:tc>
      </w:tr>
      <w:tr w:rsidR="00000000">
        <w:trPr>
          <w:divId w:val="1589346006"/>
        </w:trPr>
        <w:tc>
          <w:tcPr>
            <w:tcW w:w="0" w:type="auto"/>
            <w:gridSpan w:val="3"/>
            <w:tcMar>
              <w:top w:w="30" w:type="dxa"/>
              <w:left w:w="164" w:type="dxa"/>
              <w:bottom w:w="30" w:type="dxa"/>
              <w:right w:w="20" w:type="dxa"/>
            </w:tcMar>
            <w:hideMark/>
          </w:tcPr>
          <w:p w:rsidR="00000000" w:rsidRDefault="002A246B">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2A246B">
            <w:pPr>
              <w:spacing w:after="100"/>
              <w:rPr>
                <w:rFonts w:eastAsia="Times New Roman"/>
              </w:rPr>
            </w:pPr>
            <w:r>
              <w:rPr>
                <w:rFonts w:eastAsia="Times New Roman"/>
                <w:color w:val="000000"/>
                <w:sz w:val="20"/>
                <w:szCs w:val="20"/>
              </w:rPr>
              <w:t> </w:t>
            </w:r>
          </w:p>
        </w:tc>
      </w:tr>
    </w:tbl>
    <w:p w:rsidR="002A246B" w:rsidRDefault="002A246B">
      <w:pPr>
        <w:jc w:val="center"/>
        <w:divId w:val="2095931373"/>
        <w:rPr>
          <w:rFonts w:eastAsia="Times New Roman"/>
        </w:rPr>
      </w:pPr>
      <w:r>
        <w:rPr>
          <w:rFonts w:eastAsia="Times New Roman"/>
          <w:color w:val="000000"/>
          <w:sz w:val="20"/>
          <w:szCs w:val="20"/>
        </w:rPr>
        <w:t>58</w:t>
      </w:r>
    </w:p>
    <w:sectPr w:rsidR="002A246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A246B"/>
    <w:rsid w:val="002A246B"/>
  </w:rsids>
  <m:mathPr>
    <m:mathFont m:val="Cambria Math"/>
    <m:brkBin m:val="before"/>
    <m:brkBinSub m:val="--"/>
    <m:smallFrac m:val="0"/>
    <m:dispDef/>
    <m:lMargin m:val="0"/>
    <m:rMargin m:val="0"/>
    <m:defJc m:val="centerGroup"/>
    <m:wrapIndent m:val="1440"/>
    <m:intLim m:val="subSup"/>
    <m:naryLim m:val="undOvr"/>
  </m:mathPr>
  <w:attachedSchema w:val="http://www.xbrl.org/inlineXBRL/transformation/2020-02-12"/>
  <w:attachedSchema w:val="http://www.xbrl.org/2013/inlineXBRL"/>
  <w:attachedSchema w:val="http://www.xbrl.org/2003/iso4217"/>
  <w:attachedSchema w:val="http://fasb.org/us-gaap/2021-01-31"/>
  <w:attachedSchema w:val="http://www.xbrl.org/2003/linkbase"/>
  <w:attachedSchema w:val="http://xbrl.org/2006/xbrldi"/>
  <w:attachedSchema w:val="http://fasb.org/srt/2021-01-31"/>
  <w:attachedSchema w:val="http://www.xbrl.org/2003/instance"/>
  <w:attachedSchema w:val="http://www.w3.org/1999/xlink"/>
  <w:attachedSchema w:val="http://xbrl.sec.gov/dei/2021q4"/>
  <w:attachedSchema w:val="http://www.sec.gov/inlineXBRL/transformation/2015-08-31"/>
  <w:attachedSchema w:val="http://hawthornbancshares.com/202203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566">
      <w:marLeft w:val="0"/>
      <w:marRight w:val="0"/>
      <w:marTop w:val="0"/>
      <w:marBottom w:val="240"/>
      <w:divBdr>
        <w:top w:val="none" w:sz="0" w:space="0" w:color="auto"/>
        <w:left w:val="none" w:sz="0" w:space="0" w:color="auto"/>
        <w:bottom w:val="none" w:sz="0" w:space="0" w:color="auto"/>
        <w:right w:val="none" w:sz="0" w:space="0" w:color="auto"/>
      </w:divBdr>
    </w:div>
    <w:div w:id="4596855">
      <w:marLeft w:val="0"/>
      <w:marRight w:val="0"/>
      <w:marTop w:val="0"/>
      <w:marBottom w:val="240"/>
      <w:divBdr>
        <w:top w:val="none" w:sz="0" w:space="0" w:color="auto"/>
        <w:left w:val="none" w:sz="0" w:space="0" w:color="auto"/>
        <w:bottom w:val="none" w:sz="0" w:space="0" w:color="auto"/>
        <w:right w:val="none" w:sz="0" w:space="0" w:color="auto"/>
      </w:divBdr>
    </w:div>
    <w:div w:id="5064329">
      <w:marLeft w:val="0"/>
      <w:marRight w:val="0"/>
      <w:marTop w:val="0"/>
      <w:marBottom w:val="0"/>
      <w:divBdr>
        <w:top w:val="none" w:sz="0" w:space="0" w:color="auto"/>
        <w:left w:val="none" w:sz="0" w:space="0" w:color="auto"/>
        <w:bottom w:val="none" w:sz="0" w:space="0" w:color="auto"/>
        <w:right w:val="none" w:sz="0" w:space="0" w:color="auto"/>
      </w:divBdr>
      <w:divsChild>
        <w:div w:id="1526677532">
          <w:marLeft w:val="0"/>
          <w:marRight w:val="0"/>
          <w:marTop w:val="0"/>
          <w:marBottom w:val="0"/>
          <w:divBdr>
            <w:top w:val="none" w:sz="0" w:space="0" w:color="auto"/>
            <w:left w:val="none" w:sz="0" w:space="0" w:color="auto"/>
            <w:bottom w:val="none" w:sz="0" w:space="0" w:color="auto"/>
            <w:right w:val="none" w:sz="0" w:space="0" w:color="auto"/>
          </w:divBdr>
        </w:div>
      </w:divsChild>
    </w:div>
    <w:div w:id="5598795">
      <w:marLeft w:val="0"/>
      <w:marRight w:val="0"/>
      <w:marTop w:val="240"/>
      <w:marBottom w:val="240"/>
      <w:divBdr>
        <w:top w:val="none" w:sz="0" w:space="0" w:color="auto"/>
        <w:left w:val="none" w:sz="0" w:space="0" w:color="auto"/>
        <w:bottom w:val="none" w:sz="0" w:space="0" w:color="auto"/>
        <w:right w:val="none" w:sz="0" w:space="0" w:color="auto"/>
      </w:divBdr>
    </w:div>
    <w:div w:id="6759168">
      <w:marLeft w:val="0"/>
      <w:marRight w:val="0"/>
      <w:marTop w:val="0"/>
      <w:marBottom w:val="240"/>
      <w:divBdr>
        <w:top w:val="none" w:sz="0" w:space="0" w:color="auto"/>
        <w:left w:val="none" w:sz="0" w:space="0" w:color="auto"/>
        <w:bottom w:val="none" w:sz="0" w:space="0" w:color="auto"/>
        <w:right w:val="none" w:sz="0" w:space="0" w:color="auto"/>
      </w:divBdr>
    </w:div>
    <w:div w:id="10424824">
      <w:marLeft w:val="0"/>
      <w:marRight w:val="0"/>
      <w:marTop w:val="0"/>
      <w:marBottom w:val="240"/>
      <w:divBdr>
        <w:top w:val="none" w:sz="0" w:space="0" w:color="auto"/>
        <w:left w:val="none" w:sz="0" w:space="0" w:color="auto"/>
        <w:bottom w:val="none" w:sz="0" w:space="0" w:color="auto"/>
        <w:right w:val="none" w:sz="0" w:space="0" w:color="auto"/>
      </w:divBdr>
    </w:div>
    <w:div w:id="13042470">
      <w:marLeft w:val="0"/>
      <w:marRight w:val="0"/>
      <w:marTop w:val="0"/>
      <w:marBottom w:val="0"/>
      <w:divBdr>
        <w:top w:val="none" w:sz="0" w:space="0" w:color="auto"/>
        <w:left w:val="none" w:sz="0" w:space="0" w:color="auto"/>
        <w:bottom w:val="none" w:sz="0" w:space="0" w:color="auto"/>
        <w:right w:val="none" w:sz="0" w:space="0" w:color="auto"/>
      </w:divBdr>
      <w:divsChild>
        <w:div w:id="957178523">
          <w:marLeft w:val="0"/>
          <w:marRight w:val="0"/>
          <w:marTop w:val="0"/>
          <w:marBottom w:val="0"/>
          <w:divBdr>
            <w:top w:val="none" w:sz="0" w:space="0" w:color="auto"/>
            <w:left w:val="none" w:sz="0" w:space="0" w:color="auto"/>
            <w:bottom w:val="none" w:sz="0" w:space="0" w:color="auto"/>
            <w:right w:val="none" w:sz="0" w:space="0" w:color="auto"/>
          </w:divBdr>
        </w:div>
      </w:divsChild>
    </w:div>
    <w:div w:id="17852358">
      <w:marLeft w:val="0"/>
      <w:marRight w:val="0"/>
      <w:marTop w:val="0"/>
      <w:marBottom w:val="0"/>
      <w:divBdr>
        <w:top w:val="none" w:sz="0" w:space="0" w:color="auto"/>
        <w:left w:val="none" w:sz="0" w:space="0" w:color="auto"/>
        <w:bottom w:val="none" w:sz="0" w:space="0" w:color="auto"/>
        <w:right w:val="none" w:sz="0" w:space="0" w:color="auto"/>
      </w:divBdr>
      <w:divsChild>
        <w:div w:id="1250025">
          <w:marLeft w:val="0"/>
          <w:marRight w:val="0"/>
          <w:marTop w:val="0"/>
          <w:marBottom w:val="0"/>
          <w:divBdr>
            <w:top w:val="none" w:sz="0" w:space="0" w:color="auto"/>
            <w:left w:val="none" w:sz="0" w:space="0" w:color="auto"/>
            <w:bottom w:val="none" w:sz="0" w:space="0" w:color="auto"/>
            <w:right w:val="none" w:sz="0" w:space="0" w:color="auto"/>
          </w:divBdr>
        </w:div>
      </w:divsChild>
    </w:div>
    <w:div w:id="21899767">
      <w:marLeft w:val="0"/>
      <w:marRight w:val="0"/>
      <w:marTop w:val="0"/>
      <w:marBottom w:val="240"/>
      <w:divBdr>
        <w:top w:val="none" w:sz="0" w:space="0" w:color="auto"/>
        <w:left w:val="none" w:sz="0" w:space="0" w:color="auto"/>
        <w:bottom w:val="none" w:sz="0" w:space="0" w:color="auto"/>
        <w:right w:val="none" w:sz="0" w:space="0" w:color="auto"/>
      </w:divBdr>
    </w:div>
    <w:div w:id="23867611">
      <w:marLeft w:val="0"/>
      <w:marRight w:val="0"/>
      <w:marTop w:val="240"/>
      <w:marBottom w:val="240"/>
      <w:divBdr>
        <w:top w:val="none" w:sz="0" w:space="0" w:color="auto"/>
        <w:left w:val="none" w:sz="0" w:space="0" w:color="auto"/>
        <w:bottom w:val="none" w:sz="0" w:space="0" w:color="auto"/>
        <w:right w:val="none" w:sz="0" w:space="0" w:color="auto"/>
      </w:divBdr>
    </w:div>
    <w:div w:id="27491417">
      <w:marLeft w:val="0"/>
      <w:marRight w:val="0"/>
      <w:marTop w:val="0"/>
      <w:marBottom w:val="0"/>
      <w:divBdr>
        <w:top w:val="none" w:sz="0" w:space="0" w:color="auto"/>
        <w:left w:val="none" w:sz="0" w:space="0" w:color="auto"/>
        <w:bottom w:val="none" w:sz="0" w:space="0" w:color="auto"/>
        <w:right w:val="none" w:sz="0" w:space="0" w:color="auto"/>
      </w:divBdr>
      <w:divsChild>
        <w:div w:id="531921155">
          <w:marLeft w:val="0"/>
          <w:marRight w:val="0"/>
          <w:marTop w:val="0"/>
          <w:marBottom w:val="0"/>
          <w:divBdr>
            <w:top w:val="none" w:sz="0" w:space="0" w:color="auto"/>
            <w:left w:val="none" w:sz="0" w:space="0" w:color="auto"/>
            <w:bottom w:val="none" w:sz="0" w:space="0" w:color="auto"/>
            <w:right w:val="none" w:sz="0" w:space="0" w:color="auto"/>
          </w:divBdr>
        </w:div>
      </w:divsChild>
    </w:div>
    <w:div w:id="28920072">
      <w:marLeft w:val="0"/>
      <w:marRight w:val="0"/>
      <w:marTop w:val="0"/>
      <w:marBottom w:val="240"/>
      <w:divBdr>
        <w:top w:val="none" w:sz="0" w:space="0" w:color="auto"/>
        <w:left w:val="none" w:sz="0" w:space="0" w:color="auto"/>
        <w:bottom w:val="none" w:sz="0" w:space="0" w:color="auto"/>
        <w:right w:val="none" w:sz="0" w:space="0" w:color="auto"/>
      </w:divBdr>
    </w:div>
    <w:div w:id="30109327">
      <w:marLeft w:val="0"/>
      <w:marRight w:val="0"/>
      <w:marTop w:val="0"/>
      <w:marBottom w:val="240"/>
      <w:divBdr>
        <w:top w:val="none" w:sz="0" w:space="0" w:color="auto"/>
        <w:left w:val="none" w:sz="0" w:space="0" w:color="auto"/>
        <w:bottom w:val="none" w:sz="0" w:space="0" w:color="auto"/>
        <w:right w:val="none" w:sz="0" w:space="0" w:color="auto"/>
      </w:divBdr>
    </w:div>
    <w:div w:id="31615438">
      <w:marLeft w:val="0"/>
      <w:marRight w:val="0"/>
      <w:marTop w:val="0"/>
      <w:marBottom w:val="240"/>
      <w:divBdr>
        <w:top w:val="none" w:sz="0" w:space="0" w:color="auto"/>
        <w:left w:val="none" w:sz="0" w:space="0" w:color="auto"/>
        <w:bottom w:val="none" w:sz="0" w:space="0" w:color="auto"/>
        <w:right w:val="none" w:sz="0" w:space="0" w:color="auto"/>
      </w:divBdr>
    </w:div>
    <w:div w:id="34359076">
      <w:marLeft w:val="0"/>
      <w:marRight w:val="0"/>
      <w:marTop w:val="0"/>
      <w:marBottom w:val="240"/>
      <w:divBdr>
        <w:top w:val="none" w:sz="0" w:space="0" w:color="auto"/>
        <w:left w:val="none" w:sz="0" w:space="0" w:color="auto"/>
        <w:bottom w:val="none" w:sz="0" w:space="0" w:color="auto"/>
        <w:right w:val="none" w:sz="0" w:space="0" w:color="auto"/>
      </w:divBdr>
    </w:div>
    <w:div w:id="44530268">
      <w:marLeft w:val="0"/>
      <w:marRight w:val="0"/>
      <w:marTop w:val="0"/>
      <w:marBottom w:val="240"/>
      <w:divBdr>
        <w:top w:val="none" w:sz="0" w:space="0" w:color="auto"/>
        <w:left w:val="none" w:sz="0" w:space="0" w:color="auto"/>
        <w:bottom w:val="none" w:sz="0" w:space="0" w:color="auto"/>
        <w:right w:val="none" w:sz="0" w:space="0" w:color="auto"/>
      </w:divBdr>
    </w:div>
    <w:div w:id="49884160">
      <w:marLeft w:val="0"/>
      <w:marRight w:val="0"/>
      <w:marTop w:val="0"/>
      <w:marBottom w:val="240"/>
      <w:divBdr>
        <w:top w:val="none" w:sz="0" w:space="0" w:color="auto"/>
        <w:left w:val="none" w:sz="0" w:space="0" w:color="auto"/>
        <w:bottom w:val="none" w:sz="0" w:space="0" w:color="auto"/>
        <w:right w:val="none" w:sz="0" w:space="0" w:color="auto"/>
      </w:divBdr>
    </w:div>
    <w:div w:id="52122407">
      <w:marLeft w:val="0"/>
      <w:marRight w:val="0"/>
      <w:marTop w:val="0"/>
      <w:marBottom w:val="0"/>
      <w:divBdr>
        <w:top w:val="none" w:sz="0" w:space="0" w:color="auto"/>
        <w:left w:val="none" w:sz="0" w:space="0" w:color="auto"/>
        <w:bottom w:val="none" w:sz="0" w:space="0" w:color="auto"/>
        <w:right w:val="none" w:sz="0" w:space="0" w:color="auto"/>
      </w:divBdr>
    </w:div>
    <w:div w:id="55202074">
      <w:marLeft w:val="0"/>
      <w:marRight w:val="0"/>
      <w:marTop w:val="0"/>
      <w:marBottom w:val="240"/>
      <w:divBdr>
        <w:top w:val="none" w:sz="0" w:space="0" w:color="auto"/>
        <w:left w:val="none" w:sz="0" w:space="0" w:color="auto"/>
        <w:bottom w:val="none" w:sz="0" w:space="0" w:color="auto"/>
        <w:right w:val="none" w:sz="0" w:space="0" w:color="auto"/>
      </w:divBdr>
    </w:div>
    <w:div w:id="56057718">
      <w:marLeft w:val="0"/>
      <w:marRight w:val="0"/>
      <w:marTop w:val="0"/>
      <w:marBottom w:val="240"/>
      <w:divBdr>
        <w:top w:val="none" w:sz="0" w:space="0" w:color="auto"/>
        <w:left w:val="none" w:sz="0" w:space="0" w:color="auto"/>
        <w:bottom w:val="none" w:sz="0" w:space="0" w:color="auto"/>
        <w:right w:val="none" w:sz="0" w:space="0" w:color="auto"/>
      </w:divBdr>
    </w:div>
    <w:div w:id="59980564">
      <w:marLeft w:val="0"/>
      <w:marRight w:val="0"/>
      <w:marTop w:val="240"/>
      <w:marBottom w:val="120"/>
      <w:divBdr>
        <w:top w:val="none" w:sz="0" w:space="0" w:color="auto"/>
        <w:left w:val="none" w:sz="0" w:space="0" w:color="auto"/>
        <w:bottom w:val="none" w:sz="0" w:space="0" w:color="auto"/>
        <w:right w:val="none" w:sz="0" w:space="0" w:color="auto"/>
      </w:divBdr>
    </w:div>
    <w:div w:id="71658192">
      <w:marLeft w:val="0"/>
      <w:marRight w:val="0"/>
      <w:marTop w:val="0"/>
      <w:marBottom w:val="240"/>
      <w:divBdr>
        <w:top w:val="none" w:sz="0" w:space="0" w:color="auto"/>
        <w:left w:val="none" w:sz="0" w:space="0" w:color="auto"/>
        <w:bottom w:val="none" w:sz="0" w:space="0" w:color="auto"/>
        <w:right w:val="none" w:sz="0" w:space="0" w:color="auto"/>
      </w:divBdr>
    </w:div>
    <w:div w:id="75516534">
      <w:marLeft w:val="0"/>
      <w:marRight w:val="0"/>
      <w:marTop w:val="0"/>
      <w:marBottom w:val="240"/>
      <w:divBdr>
        <w:top w:val="none" w:sz="0" w:space="0" w:color="auto"/>
        <w:left w:val="none" w:sz="0" w:space="0" w:color="auto"/>
        <w:bottom w:val="none" w:sz="0" w:space="0" w:color="auto"/>
        <w:right w:val="none" w:sz="0" w:space="0" w:color="auto"/>
      </w:divBdr>
    </w:div>
    <w:div w:id="79178321">
      <w:marLeft w:val="0"/>
      <w:marRight w:val="0"/>
      <w:marTop w:val="0"/>
      <w:marBottom w:val="0"/>
      <w:divBdr>
        <w:top w:val="none" w:sz="0" w:space="0" w:color="auto"/>
        <w:left w:val="none" w:sz="0" w:space="0" w:color="auto"/>
        <w:bottom w:val="none" w:sz="0" w:space="0" w:color="auto"/>
        <w:right w:val="none" w:sz="0" w:space="0" w:color="auto"/>
      </w:divBdr>
      <w:divsChild>
        <w:div w:id="1898397023">
          <w:marLeft w:val="0"/>
          <w:marRight w:val="0"/>
          <w:marTop w:val="0"/>
          <w:marBottom w:val="0"/>
          <w:divBdr>
            <w:top w:val="none" w:sz="0" w:space="0" w:color="auto"/>
            <w:left w:val="none" w:sz="0" w:space="0" w:color="auto"/>
            <w:bottom w:val="none" w:sz="0" w:space="0" w:color="auto"/>
            <w:right w:val="none" w:sz="0" w:space="0" w:color="auto"/>
          </w:divBdr>
        </w:div>
      </w:divsChild>
    </w:div>
    <w:div w:id="80807017">
      <w:marLeft w:val="0"/>
      <w:marRight w:val="0"/>
      <w:marTop w:val="0"/>
      <w:marBottom w:val="240"/>
      <w:divBdr>
        <w:top w:val="none" w:sz="0" w:space="0" w:color="auto"/>
        <w:left w:val="none" w:sz="0" w:space="0" w:color="auto"/>
        <w:bottom w:val="none" w:sz="0" w:space="0" w:color="auto"/>
        <w:right w:val="none" w:sz="0" w:space="0" w:color="auto"/>
      </w:divBdr>
    </w:div>
    <w:div w:id="84807313">
      <w:marLeft w:val="0"/>
      <w:marRight w:val="0"/>
      <w:marTop w:val="0"/>
      <w:marBottom w:val="240"/>
      <w:divBdr>
        <w:top w:val="none" w:sz="0" w:space="0" w:color="auto"/>
        <w:left w:val="none" w:sz="0" w:space="0" w:color="auto"/>
        <w:bottom w:val="none" w:sz="0" w:space="0" w:color="auto"/>
        <w:right w:val="none" w:sz="0" w:space="0" w:color="auto"/>
      </w:divBdr>
    </w:div>
    <w:div w:id="85688089">
      <w:marLeft w:val="0"/>
      <w:marRight w:val="0"/>
      <w:marTop w:val="120"/>
      <w:marBottom w:val="240"/>
      <w:divBdr>
        <w:top w:val="none" w:sz="0" w:space="0" w:color="auto"/>
        <w:left w:val="none" w:sz="0" w:space="0" w:color="auto"/>
        <w:bottom w:val="none" w:sz="0" w:space="0" w:color="auto"/>
        <w:right w:val="none" w:sz="0" w:space="0" w:color="auto"/>
      </w:divBdr>
    </w:div>
    <w:div w:id="86191968">
      <w:marLeft w:val="0"/>
      <w:marRight w:val="0"/>
      <w:marTop w:val="240"/>
      <w:marBottom w:val="240"/>
      <w:divBdr>
        <w:top w:val="none" w:sz="0" w:space="0" w:color="auto"/>
        <w:left w:val="none" w:sz="0" w:space="0" w:color="auto"/>
        <w:bottom w:val="none" w:sz="0" w:space="0" w:color="auto"/>
        <w:right w:val="none" w:sz="0" w:space="0" w:color="auto"/>
      </w:divBdr>
    </w:div>
    <w:div w:id="86584126">
      <w:marLeft w:val="0"/>
      <w:marRight w:val="0"/>
      <w:marTop w:val="0"/>
      <w:marBottom w:val="240"/>
      <w:divBdr>
        <w:top w:val="none" w:sz="0" w:space="0" w:color="auto"/>
        <w:left w:val="none" w:sz="0" w:space="0" w:color="auto"/>
        <w:bottom w:val="none" w:sz="0" w:space="0" w:color="auto"/>
        <w:right w:val="none" w:sz="0" w:space="0" w:color="auto"/>
      </w:divBdr>
    </w:div>
    <w:div w:id="92823061">
      <w:marLeft w:val="0"/>
      <w:marRight w:val="0"/>
      <w:marTop w:val="0"/>
      <w:marBottom w:val="0"/>
      <w:divBdr>
        <w:top w:val="none" w:sz="0" w:space="0" w:color="auto"/>
        <w:left w:val="none" w:sz="0" w:space="0" w:color="auto"/>
        <w:bottom w:val="none" w:sz="0" w:space="0" w:color="auto"/>
        <w:right w:val="none" w:sz="0" w:space="0" w:color="auto"/>
      </w:divBdr>
      <w:divsChild>
        <w:div w:id="1554269833">
          <w:marLeft w:val="0"/>
          <w:marRight w:val="0"/>
          <w:marTop w:val="0"/>
          <w:marBottom w:val="0"/>
          <w:divBdr>
            <w:top w:val="none" w:sz="0" w:space="0" w:color="auto"/>
            <w:left w:val="none" w:sz="0" w:space="0" w:color="auto"/>
            <w:bottom w:val="none" w:sz="0" w:space="0" w:color="auto"/>
            <w:right w:val="none" w:sz="0" w:space="0" w:color="auto"/>
          </w:divBdr>
          <w:divsChild>
            <w:div w:id="822890037">
              <w:marLeft w:val="0"/>
              <w:marRight w:val="0"/>
              <w:marTop w:val="480"/>
              <w:marBottom w:val="600"/>
              <w:divBdr>
                <w:top w:val="none" w:sz="0" w:space="0" w:color="auto"/>
                <w:left w:val="none" w:sz="0" w:space="0" w:color="auto"/>
                <w:bottom w:val="none" w:sz="0" w:space="0" w:color="auto"/>
                <w:right w:val="none" w:sz="0" w:space="0" w:color="auto"/>
              </w:divBdr>
            </w:div>
          </w:divsChild>
        </w:div>
      </w:divsChild>
    </w:div>
    <w:div w:id="94836838">
      <w:marLeft w:val="0"/>
      <w:marRight w:val="0"/>
      <w:marTop w:val="240"/>
      <w:marBottom w:val="240"/>
      <w:divBdr>
        <w:top w:val="none" w:sz="0" w:space="0" w:color="auto"/>
        <w:left w:val="none" w:sz="0" w:space="0" w:color="auto"/>
        <w:bottom w:val="none" w:sz="0" w:space="0" w:color="auto"/>
        <w:right w:val="none" w:sz="0" w:space="0" w:color="auto"/>
      </w:divBdr>
    </w:div>
    <w:div w:id="104547753">
      <w:marLeft w:val="0"/>
      <w:marRight w:val="0"/>
      <w:marTop w:val="0"/>
      <w:marBottom w:val="240"/>
      <w:divBdr>
        <w:top w:val="none" w:sz="0" w:space="0" w:color="auto"/>
        <w:left w:val="none" w:sz="0" w:space="0" w:color="auto"/>
        <w:bottom w:val="none" w:sz="0" w:space="0" w:color="auto"/>
        <w:right w:val="none" w:sz="0" w:space="0" w:color="auto"/>
      </w:divBdr>
    </w:div>
    <w:div w:id="110441118">
      <w:marLeft w:val="0"/>
      <w:marRight w:val="0"/>
      <w:marTop w:val="0"/>
      <w:marBottom w:val="240"/>
      <w:divBdr>
        <w:top w:val="none" w:sz="0" w:space="0" w:color="auto"/>
        <w:left w:val="none" w:sz="0" w:space="0" w:color="auto"/>
        <w:bottom w:val="none" w:sz="0" w:space="0" w:color="auto"/>
        <w:right w:val="none" w:sz="0" w:space="0" w:color="auto"/>
      </w:divBdr>
    </w:div>
    <w:div w:id="110906206">
      <w:marLeft w:val="0"/>
      <w:marRight w:val="0"/>
      <w:marTop w:val="0"/>
      <w:marBottom w:val="0"/>
      <w:divBdr>
        <w:top w:val="none" w:sz="0" w:space="0" w:color="auto"/>
        <w:left w:val="none" w:sz="0" w:space="0" w:color="auto"/>
        <w:bottom w:val="none" w:sz="0" w:space="0" w:color="auto"/>
        <w:right w:val="none" w:sz="0" w:space="0" w:color="auto"/>
      </w:divBdr>
      <w:divsChild>
        <w:div w:id="1902599128">
          <w:marLeft w:val="0"/>
          <w:marRight w:val="0"/>
          <w:marTop w:val="0"/>
          <w:marBottom w:val="0"/>
          <w:divBdr>
            <w:top w:val="none" w:sz="0" w:space="0" w:color="auto"/>
            <w:left w:val="none" w:sz="0" w:space="0" w:color="auto"/>
            <w:bottom w:val="none" w:sz="0" w:space="0" w:color="auto"/>
            <w:right w:val="none" w:sz="0" w:space="0" w:color="auto"/>
          </w:divBdr>
        </w:div>
      </w:divsChild>
    </w:div>
    <w:div w:id="111751985">
      <w:marLeft w:val="0"/>
      <w:marRight w:val="0"/>
      <w:marTop w:val="240"/>
      <w:marBottom w:val="240"/>
      <w:divBdr>
        <w:top w:val="none" w:sz="0" w:space="0" w:color="auto"/>
        <w:left w:val="none" w:sz="0" w:space="0" w:color="auto"/>
        <w:bottom w:val="none" w:sz="0" w:space="0" w:color="auto"/>
        <w:right w:val="none" w:sz="0" w:space="0" w:color="auto"/>
      </w:divBdr>
    </w:div>
    <w:div w:id="120464314">
      <w:marLeft w:val="0"/>
      <w:marRight w:val="0"/>
      <w:marTop w:val="0"/>
      <w:marBottom w:val="0"/>
      <w:divBdr>
        <w:top w:val="none" w:sz="0" w:space="0" w:color="auto"/>
        <w:left w:val="none" w:sz="0" w:space="0" w:color="auto"/>
        <w:bottom w:val="none" w:sz="0" w:space="0" w:color="auto"/>
        <w:right w:val="none" w:sz="0" w:space="0" w:color="auto"/>
      </w:divBdr>
    </w:div>
    <w:div w:id="125049548">
      <w:marLeft w:val="0"/>
      <w:marRight w:val="0"/>
      <w:marTop w:val="0"/>
      <w:marBottom w:val="0"/>
      <w:divBdr>
        <w:top w:val="none" w:sz="0" w:space="0" w:color="auto"/>
        <w:left w:val="none" w:sz="0" w:space="0" w:color="auto"/>
        <w:bottom w:val="none" w:sz="0" w:space="0" w:color="auto"/>
        <w:right w:val="none" w:sz="0" w:space="0" w:color="auto"/>
      </w:divBdr>
    </w:div>
    <w:div w:id="125240991">
      <w:marLeft w:val="0"/>
      <w:marRight w:val="0"/>
      <w:marTop w:val="0"/>
      <w:marBottom w:val="180"/>
      <w:divBdr>
        <w:top w:val="none" w:sz="0" w:space="0" w:color="auto"/>
        <w:left w:val="none" w:sz="0" w:space="0" w:color="auto"/>
        <w:bottom w:val="none" w:sz="0" w:space="0" w:color="auto"/>
        <w:right w:val="none" w:sz="0" w:space="0" w:color="auto"/>
      </w:divBdr>
    </w:div>
    <w:div w:id="127361055">
      <w:marLeft w:val="0"/>
      <w:marRight w:val="0"/>
      <w:marTop w:val="0"/>
      <w:marBottom w:val="240"/>
      <w:divBdr>
        <w:top w:val="none" w:sz="0" w:space="0" w:color="auto"/>
        <w:left w:val="none" w:sz="0" w:space="0" w:color="auto"/>
        <w:bottom w:val="none" w:sz="0" w:space="0" w:color="auto"/>
        <w:right w:val="none" w:sz="0" w:space="0" w:color="auto"/>
      </w:divBdr>
    </w:div>
    <w:div w:id="132798813">
      <w:marLeft w:val="0"/>
      <w:marRight w:val="0"/>
      <w:marTop w:val="240"/>
      <w:marBottom w:val="240"/>
      <w:divBdr>
        <w:top w:val="none" w:sz="0" w:space="0" w:color="auto"/>
        <w:left w:val="none" w:sz="0" w:space="0" w:color="auto"/>
        <w:bottom w:val="none" w:sz="0" w:space="0" w:color="auto"/>
        <w:right w:val="none" w:sz="0" w:space="0" w:color="auto"/>
      </w:divBdr>
    </w:div>
    <w:div w:id="137502738">
      <w:marLeft w:val="0"/>
      <w:marRight w:val="0"/>
      <w:marTop w:val="0"/>
      <w:marBottom w:val="240"/>
      <w:divBdr>
        <w:top w:val="none" w:sz="0" w:space="0" w:color="auto"/>
        <w:left w:val="none" w:sz="0" w:space="0" w:color="auto"/>
        <w:bottom w:val="none" w:sz="0" w:space="0" w:color="auto"/>
        <w:right w:val="none" w:sz="0" w:space="0" w:color="auto"/>
      </w:divBdr>
    </w:div>
    <w:div w:id="138153477">
      <w:marLeft w:val="0"/>
      <w:marRight w:val="0"/>
      <w:marTop w:val="0"/>
      <w:marBottom w:val="240"/>
      <w:divBdr>
        <w:top w:val="none" w:sz="0" w:space="0" w:color="auto"/>
        <w:left w:val="none" w:sz="0" w:space="0" w:color="auto"/>
        <w:bottom w:val="none" w:sz="0" w:space="0" w:color="auto"/>
        <w:right w:val="none" w:sz="0" w:space="0" w:color="auto"/>
      </w:divBdr>
    </w:div>
    <w:div w:id="140509453">
      <w:marLeft w:val="0"/>
      <w:marRight w:val="0"/>
      <w:marTop w:val="0"/>
      <w:marBottom w:val="240"/>
      <w:divBdr>
        <w:top w:val="none" w:sz="0" w:space="0" w:color="auto"/>
        <w:left w:val="none" w:sz="0" w:space="0" w:color="auto"/>
        <w:bottom w:val="none" w:sz="0" w:space="0" w:color="auto"/>
        <w:right w:val="none" w:sz="0" w:space="0" w:color="auto"/>
      </w:divBdr>
    </w:div>
    <w:div w:id="145754625">
      <w:marLeft w:val="0"/>
      <w:marRight w:val="0"/>
      <w:marTop w:val="0"/>
      <w:marBottom w:val="0"/>
      <w:divBdr>
        <w:top w:val="none" w:sz="0" w:space="0" w:color="auto"/>
        <w:left w:val="none" w:sz="0" w:space="0" w:color="auto"/>
        <w:bottom w:val="none" w:sz="0" w:space="0" w:color="auto"/>
        <w:right w:val="none" w:sz="0" w:space="0" w:color="auto"/>
      </w:divBdr>
    </w:div>
    <w:div w:id="146366204">
      <w:marLeft w:val="0"/>
      <w:marRight w:val="0"/>
      <w:marTop w:val="0"/>
      <w:marBottom w:val="240"/>
      <w:divBdr>
        <w:top w:val="none" w:sz="0" w:space="0" w:color="auto"/>
        <w:left w:val="none" w:sz="0" w:space="0" w:color="auto"/>
        <w:bottom w:val="none" w:sz="0" w:space="0" w:color="auto"/>
        <w:right w:val="none" w:sz="0" w:space="0" w:color="auto"/>
      </w:divBdr>
    </w:div>
    <w:div w:id="146946723">
      <w:marLeft w:val="0"/>
      <w:marRight w:val="0"/>
      <w:marTop w:val="0"/>
      <w:marBottom w:val="240"/>
      <w:divBdr>
        <w:top w:val="none" w:sz="0" w:space="0" w:color="auto"/>
        <w:left w:val="none" w:sz="0" w:space="0" w:color="auto"/>
        <w:bottom w:val="none" w:sz="0" w:space="0" w:color="auto"/>
        <w:right w:val="none" w:sz="0" w:space="0" w:color="auto"/>
      </w:divBdr>
    </w:div>
    <w:div w:id="160514519">
      <w:marLeft w:val="0"/>
      <w:marRight w:val="0"/>
      <w:marTop w:val="0"/>
      <w:marBottom w:val="0"/>
      <w:divBdr>
        <w:top w:val="none" w:sz="0" w:space="0" w:color="auto"/>
        <w:left w:val="none" w:sz="0" w:space="0" w:color="auto"/>
        <w:bottom w:val="none" w:sz="0" w:space="0" w:color="auto"/>
        <w:right w:val="none" w:sz="0" w:space="0" w:color="auto"/>
      </w:divBdr>
      <w:divsChild>
        <w:div w:id="2081825888">
          <w:marLeft w:val="0"/>
          <w:marRight w:val="0"/>
          <w:marTop w:val="0"/>
          <w:marBottom w:val="0"/>
          <w:divBdr>
            <w:top w:val="none" w:sz="0" w:space="0" w:color="auto"/>
            <w:left w:val="none" w:sz="0" w:space="0" w:color="auto"/>
            <w:bottom w:val="none" w:sz="0" w:space="0" w:color="auto"/>
            <w:right w:val="none" w:sz="0" w:space="0" w:color="auto"/>
          </w:divBdr>
        </w:div>
      </w:divsChild>
    </w:div>
    <w:div w:id="162860135">
      <w:marLeft w:val="0"/>
      <w:marRight w:val="0"/>
      <w:marTop w:val="0"/>
      <w:marBottom w:val="240"/>
      <w:divBdr>
        <w:top w:val="none" w:sz="0" w:space="0" w:color="auto"/>
        <w:left w:val="none" w:sz="0" w:space="0" w:color="auto"/>
        <w:bottom w:val="none" w:sz="0" w:space="0" w:color="auto"/>
        <w:right w:val="none" w:sz="0" w:space="0" w:color="auto"/>
      </w:divBdr>
    </w:div>
    <w:div w:id="163280337">
      <w:marLeft w:val="0"/>
      <w:marRight w:val="0"/>
      <w:marTop w:val="0"/>
      <w:marBottom w:val="0"/>
      <w:divBdr>
        <w:top w:val="none" w:sz="0" w:space="0" w:color="auto"/>
        <w:left w:val="none" w:sz="0" w:space="0" w:color="auto"/>
        <w:bottom w:val="none" w:sz="0" w:space="0" w:color="auto"/>
        <w:right w:val="none" w:sz="0" w:space="0" w:color="auto"/>
      </w:divBdr>
      <w:divsChild>
        <w:div w:id="1579945972">
          <w:marLeft w:val="0"/>
          <w:marRight w:val="0"/>
          <w:marTop w:val="0"/>
          <w:marBottom w:val="0"/>
          <w:divBdr>
            <w:top w:val="none" w:sz="0" w:space="0" w:color="auto"/>
            <w:left w:val="none" w:sz="0" w:space="0" w:color="auto"/>
            <w:bottom w:val="none" w:sz="0" w:space="0" w:color="auto"/>
            <w:right w:val="none" w:sz="0" w:space="0" w:color="auto"/>
          </w:divBdr>
        </w:div>
      </w:divsChild>
    </w:div>
    <w:div w:id="165675145">
      <w:marLeft w:val="0"/>
      <w:marRight w:val="0"/>
      <w:marTop w:val="0"/>
      <w:marBottom w:val="0"/>
      <w:divBdr>
        <w:top w:val="none" w:sz="0" w:space="0" w:color="auto"/>
        <w:left w:val="none" w:sz="0" w:space="0" w:color="auto"/>
        <w:bottom w:val="none" w:sz="0" w:space="0" w:color="auto"/>
        <w:right w:val="none" w:sz="0" w:space="0" w:color="auto"/>
      </w:divBdr>
    </w:div>
    <w:div w:id="169684682">
      <w:marLeft w:val="0"/>
      <w:marRight w:val="0"/>
      <w:marTop w:val="240"/>
      <w:marBottom w:val="240"/>
      <w:divBdr>
        <w:top w:val="none" w:sz="0" w:space="0" w:color="auto"/>
        <w:left w:val="none" w:sz="0" w:space="0" w:color="auto"/>
        <w:bottom w:val="none" w:sz="0" w:space="0" w:color="auto"/>
        <w:right w:val="none" w:sz="0" w:space="0" w:color="auto"/>
      </w:divBdr>
    </w:div>
    <w:div w:id="170266802">
      <w:marLeft w:val="0"/>
      <w:marRight w:val="0"/>
      <w:marTop w:val="0"/>
      <w:marBottom w:val="0"/>
      <w:divBdr>
        <w:top w:val="none" w:sz="0" w:space="0" w:color="auto"/>
        <w:left w:val="none" w:sz="0" w:space="0" w:color="auto"/>
        <w:bottom w:val="none" w:sz="0" w:space="0" w:color="auto"/>
        <w:right w:val="none" w:sz="0" w:space="0" w:color="auto"/>
      </w:divBdr>
    </w:div>
    <w:div w:id="172578161">
      <w:marLeft w:val="0"/>
      <w:marRight w:val="0"/>
      <w:marTop w:val="0"/>
      <w:marBottom w:val="240"/>
      <w:divBdr>
        <w:top w:val="none" w:sz="0" w:space="0" w:color="auto"/>
        <w:left w:val="none" w:sz="0" w:space="0" w:color="auto"/>
        <w:bottom w:val="none" w:sz="0" w:space="0" w:color="auto"/>
        <w:right w:val="none" w:sz="0" w:space="0" w:color="auto"/>
      </w:divBdr>
    </w:div>
    <w:div w:id="176425966">
      <w:marLeft w:val="0"/>
      <w:marRight w:val="0"/>
      <w:marTop w:val="0"/>
      <w:marBottom w:val="0"/>
      <w:divBdr>
        <w:top w:val="none" w:sz="0" w:space="0" w:color="auto"/>
        <w:left w:val="none" w:sz="0" w:space="0" w:color="auto"/>
        <w:bottom w:val="none" w:sz="0" w:space="0" w:color="auto"/>
        <w:right w:val="none" w:sz="0" w:space="0" w:color="auto"/>
      </w:divBdr>
      <w:divsChild>
        <w:div w:id="432239514">
          <w:marLeft w:val="0"/>
          <w:marRight w:val="0"/>
          <w:marTop w:val="0"/>
          <w:marBottom w:val="0"/>
          <w:divBdr>
            <w:top w:val="none" w:sz="0" w:space="0" w:color="auto"/>
            <w:left w:val="none" w:sz="0" w:space="0" w:color="auto"/>
            <w:bottom w:val="none" w:sz="0" w:space="0" w:color="auto"/>
            <w:right w:val="none" w:sz="0" w:space="0" w:color="auto"/>
          </w:divBdr>
        </w:div>
      </w:divsChild>
    </w:div>
    <w:div w:id="179245444">
      <w:marLeft w:val="0"/>
      <w:marRight w:val="0"/>
      <w:marTop w:val="0"/>
      <w:marBottom w:val="240"/>
      <w:divBdr>
        <w:top w:val="none" w:sz="0" w:space="0" w:color="auto"/>
        <w:left w:val="none" w:sz="0" w:space="0" w:color="auto"/>
        <w:bottom w:val="none" w:sz="0" w:space="0" w:color="auto"/>
        <w:right w:val="none" w:sz="0" w:space="0" w:color="auto"/>
      </w:divBdr>
    </w:div>
    <w:div w:id="180319151">
      <w:marLeft w:val="0"/>
      <w:marRight w:val="0"/>
      <w:marTop w:val="0"/>
      <w:marBottom w:val="240"/>
      <w:divBdr>
        <w:top w:val="none" w:sz="0" w:space="0" w:color="auto"/>
        <w:left w:val="none" w:sz="0" w:space="0" w:color="auto"/>
        <w:bottom w:val="none" w:sz="0" w:space="0" w:color="auto"/>
        <w:right w:val="none" w:sz="0" w:space="0" w:color="auto"/>
      </w:divBdr>
    </w:div>
    <w:div w:id="181482550">
      <w:marLeft w:val="0"/>
      <w:marRight w:val="0"/>
      <w:marTop w:val="0"/>
      <w:marBottom w:val="0"/>
      <w:divBdr>
        <w:top w:val="none" w:sz="0" w:space="0" w:color="auto"/>
        <w:left w:val="none" w:sz="0" w:space="0" w:color="auto"/>
        <w:bottom w:val="none" w:sz="0" w:space="0" w:color="auto"/>
        <w:right w:val="none" w:sz="0" w:space="0" w:color="auto"/>
      </w:divBdr>
    </w:div>
    <w:div w:id="186259762">
      <w:marLeft w:val="0"/>
      <w:marRight w:val="0"/>
      <w:marTop w:val="0"/>
      <w:marBottom w:val="240"/>
      <w:divBdr>
        <w:top w:val="none" w:sz="0" w:space="0" w:color="auto"/>
        <w:left w:val="none" w:sz="0" w:space="0" w:color="auto"/>
        <w:bottom w:val="none" w:sz="0" w:space="0" w:color="auto"/>
        <w:right w:val="none" w:sz="0" w:space="0" w:color="auto"/>
      </w:divBdr>
    </w:div>
    <w:div w:id="195705717">
      <w:marLeft w:val="0"/>
      <w:marRight w:val="0"/>
      <w:marTop w:val="0"/>
      <w:marBottom w:val="240"/>
      <w:divBdr>
        <w:top w:val="none" w:sz="0" w:space="0" w:color="auto"/>
        <w:left w:val="none" w:sz="0" w:space="0" w:color="auto"/>
        <w:bottom w:val="none" w:sz="0" w:space="0" w:color="auto"/>
        <w:right w:val="none" w:sz="0" w:space="0" w:color="auto"/>
      </w:divBdr>
    </w:div>
    <w:div w:id="197855931">
      <w:marLeft w:val="0"/>
      <w:marRight w:val="0"/>
      <w:marTop w:val="0"/>
      <w:marBottom w:val="160"/>
      <w:divBdr>
        <w:top w:val="none" w:sz="0" w:space="0" w:color="auto"/>
        <w:left w:val="none" w:sz="0" w:space="0" w:color="auto"/>
        <w:bottom w:val="none" w:sz="0" w:space="0" w:color="auto"/>
        <w:right w:val="none" w:sz="0" w:space="0" w:color="auto"/>
      </w:divBdr>
    </w:div>
    <w:div w:id="199319939">
      <w:marLeft w:val="0"/>
      <w:marRight w:val="0"/>
      <w:marTop w:val="240"/>
      <w:marBottom w:val="240"/>
      <w:divBdr>
        <w:top w:val="none" w:sz="0" w:space="0" w:color="auto"/>
        <w:left w:val="none" w:sz="0" w:space="0" w:color="auto"/>
        <w:bottom w:val="none" w:sz="0" w:space="0" w:color="auto"/>
        <w:right w:val="none" w:sz="0" w:space="0" w:color="auto"/>
      </w:divBdr>
    </w:div>
    <w:div w:id="200872514">
      <w:marLeft w:val="0"/>
      <w:marRight w:val="0"/>
      <w:marTop w:val="0"/>
      <w:marBottom w:val="0"/>
      <w:divBdr>
        <w:top w:val="none" w:sz="0" w:space="0" w:color="auto"/>
        <w:left w:val="none" w:sz="0" w:space="0" w:color="auto"/>
        <w:bottom w:val="none" w:sz="0" w:space="0" w:color="auto"/>
        <w:right w:val="none" w:sz="0" w:space="0" w:color="auto"/>
      </w:divBdr>
    </w:div>
    <w:div w:id="202326568">
      <w:marLeft w:val="0"/>
      <w:marRight w:val="0"/>
      <w:marTop w:val="0"/>
      <w:marBottom w:val="240"/>
      <w:divBdr>
        <w:top w:val="none" w:sz="0" w:space="0" w:color="auto"/>
        <w:left w:val="none" w:sz="0" w:space="0" w:color="auto"/>
        <w:bottom w:val="none" w:sz="0" w:space="0" w:color="auto"/>
        <w:right w:val="none" w:sz="0" w:space="0" w:color="auto"/>
      </w:divBdr>
    </w:div>
    <w:div w:id="202446693">
      <w:marLeft w:val="0"/>
      <w:marRight w:val="0"/>
      <w:marTop w:val="0"/>
      <w:marBottom w:val="240"/>
      <w:divBdr>
        <w:top w:val="none" w:sz="0" w:space="0" w:color="auto"/>
        <w:left w:val="none" w:sz="0" w:space="0" w:color="auto"/>
        <w:bottom w:val="none" w:sz="0" w:space="0" w:color="auto"/>
        <w:right w:val="none" w:sz="0" w:space="0" w:color="auto"/>
      </w:divBdr>
    </w:div>
    <w:div w:id="205024240">
      <w:marLeft w:val="0"/>
      <w:marRight w:val="0"/>
      <w:marTop w:val="240"/>
      <w:marBottom w:val="240"/>
      <w:divBdr>
        <w:top w:val="none" w:sz="0" w:space="0" w:color="auto"/>
        <w:left w:val="none" w:sz="0" w:space="0" w:color="auto"/>
        <w:bottom w:val="none" w:sz="0" w:space="0" w:color="auto"/>
        <w:right w:val="none" w:sz="0" w:space="0" w:color="auto"/>
      </w:divBdr>
    </w:div>
    <w:div w:id="209928039">
      <w:marLeft w:val="0"/>
      <w:marRight w:val="0"/>
      <w:marTop w:val="0"/>
      <w:marBottom w:val="0"/>
      <w:divBdr>
        <w:top w:val="none" w:sz="0" w:space="0" w:color="auto"/>
        <w:left w:val="none" w:sz="0" w:space="0" w:color="auto"/>
        <w:bottom w:val="none" w:sz="0" w:space="0" w:color="auto"/>
        <w:right w:val="none" w:sz="0" w:space="0" w:color="auto"/>
      </w:divBdr>
      <w:divsChild>
        <w:div w:id="1273900642">
          <w:marLeft w:val="0"/>
          <w:marRight w:val="0"/>
          <w:marTop w:val="0"/>
          <w:marBottom w:val="0"/>
          <w:divBdr>
            <w:top w:val="none" w:sz="0" w:space="0" w:color="auto"/>
            <w:left w:val="none" w:sz="0" w:space="0" w:color="auto"/>
            <w:bottom w:val="none" w:sz="0" w:space="0" w:color="auto"/>
            <w:right w:val="none" w:sz="0" w:space="0" w:color="auto"/>
          </w:divBdr>
        </w:div>
      </w:divsChild>
    </w:div>
    <w:div w:id="210847162">
      <w:marLeft w:val="0"/>
      <w:marRight w:val="0"/>
      <w:marTop w:val="0"/>
      <w:marBottom w:val="0"/>
      <w:divBdr>
        <w:top w:val="none" w:sz="0" w:space="0" w:color="auto"/>
        <w:left w:val="none" w:sz="0" w:space="0" w:color="auto"/>
        <w:bottom w:val="none" w:sz="0" w:space="0" w:color="auto"/>
        <w:right w:val="none" w:sz="0" w:space="0" w:color="auto"/>
      </w:divBdr>
      <w:divsChild>
        <w:div w:id="328599342">
          <w:marLeft w:val="0"/>
          <w:marRight w:val="0"/>
          <w:marTop w:val="0"/>
          <w:marBottom w:val="0"/>
          <w:divBdr>
            <w:top w:val="none" w:sz="0" w:space="0" w:color="auto"/>
            <w:left w:val="none" w:sz="0" w:space="0" w:color="auto"/>
            <w:bottom w:val="none" w:sz="0" w:space="0" w:color="auto"/>
            <w:right w:val="none" w:sz="0" w:space="0" w:color="auto"/>
          </w:divBdr>
        </w:div>
      </w:divsChild>
    </w:div>
    <w:div w:id="212818289">
      <w:marLeft w:val="0"/>
      <w:marRight w:val="0"/>
      <w:marTop w:val="240"/>
      <w:marBottom w:val="240"/>
      <w:divBdr>
        <w:top w:val="none" w:sz="0" w:space="0" w:color="auto"/>
        <w:left w:val="none" w:sz="0" w:space="0" w:color="auto"/>
        <w:bottom w:val="none" w:sz="0" w:space="0" w:color="auto"/>
        <w:right w:val="none" w:sz="0" w:space="0" w:color="auto"/>
      </w:divBdr>
    </w:div>
    <w:div w:id="213348488">
      <w:marLeft w:val="0"/>
      <w:marRight w:val="0"/>
      <w:marTop w:val="0"/>
      <w:marBottom w:val="240"/>
      <w:divBdr>
        <w:top w:val="none" w:sz="0" w:space="0" w:color="auto"/>
        <w:left w:val="none" w:sz="0" w:space="0" w:color="auto"/>
        <w:bottom w:val="none" w:sz="0" w:space="0" w:color="auto"/>
        <w:right w:val="none" w:sz="0" w:space="0" w:color="auto"/>
      </w:divBdr>
    </w:div>
    <w:div w:id="214466518">
      <w:marLeft w:val="0"/>
      <w:marRight w:val="0"/>
      <w:marTop w:val="0"/>
      <w:marBottom w:val="0"/>
      <w:divBdr>
        <w:top w:val="none" w:sz="0" w:space="0" w:color="auto"/>
        <w:left w:val="none" w:sz="0" w:space="0" w:color="auto"/>
        <w:bottom w:val="none" w:sz="0" w:space="0" w:color="auto"/>
        <w:right w:val="none" w:sz="0" w:space="0" w:color="auto"/>
      </w:divBdr>
      <w:divsChild>
        <w:div w:id="1136871736">
          <w:marLeft w:val="0"/>
          <w:marRight w:val="0"/>
          <w:marTop w:val="0"/>
          <w:marBottom w:val="0"/>
          <w:divBdr>
            <w:top w:val="none" w:sz="0" w:space="0" w:color="auto"/>
            <w:left w:val="none" w:sz="0" w:space="0" w:color="auto"/>
            <w:bottom w:val="none" w:sz="0" w:space="0" w:color="auto"/>
            <w:right w:val="none" w:sz="0" w:space="0" w:color="auto"/>
          </w:divBdr>
        </w:div>
      </w:divsChild>
    </w:div>
    <w:div w:id="214511534">
      <w:marLeft w:val="0"/>
      <w:marRight w:val="0"/>
      <w:marTop w:val="0"/>
      <w:marBottom w:val="240"/>
      <w:divBdr>
        <w:top w:val="none" w:sz="0" w:space="0" w:color="auto"/>
        <w:left w:val="none" w:sz="0" w:space="0" w:color="auto"/>
        <w:bottom w:val="none" w:sz="0" w:space="0" w:color="auto"/>
        <w:right w:val="none" w:sz="0" w:space="0" w:color="auto"/>
      </w:divBdr>
    </w:div>
    <w:div w:id="215820096">
      <w:marLeft w:val="0"/>
      <w:marRight w:val="0"/>
      <w:marTop w:val="0"/>
      <w:marBottom w:val="240"/>
      <w:divBdr>
        <w:top w:val="none" w:sz="0" w:space="0" w:color="auto"/>
        <w:left w:val="none" w:sz="0" w:space="0" w:color="auto"/>
        <w:bottom w:val="none" w:sz="0" w:space="0" w:color="auto"/>
        <w:right w:val="none" w:sz="0" w:space="0" w:color="auto"/>
      </w:divBdr>
    </w:div>
    <w:div w:id="219559207">
      <w:marLeft w:val="0"/>
      <w:marRight w:val="0"/>
      <w:marTop w:val="0"/>
      <w:marBottom w:val="0"/>
      <w:divBdr>
        <w:top w:val="none" w:sz="0" w:space="0" w:color="auto"/>
        <w:left w:val="none" w:sz="0" w:space="0" w:color="auto"/>
        <w:bottom w:val="none" w:sz="0" w:space="0" w:color="auto"/>
        <w:right w:val="none" w:sz="0" w:space="0" w:color="auto"/>
      </w:divBdr>
      <w:divsChild>
        <w:div w:id="1477724352">
          <w:marLeft w:val="0"/>
          <w:marRight w:val="0"/>
          <w:marTop w:val="0"/>
          <w:marBottom w:val="0"/>
          <w:divBdr>
            <w:top w:val="none" w:sz="0" w:space="0" w:color="auto"/>
            <w:left w:val="none" w:sz="0" w:space="0" w:color="auto"/>
            <w:bottom w:val="none" w:sz="0" w:space="0" w:color="auto"/>
            <w:right w:val="none" w:sz="0" w:space="0" w:color="auto"/>
          </w:divBdr>
        </w:div>
      </w:divsChild>
    </w:div>
    <w:div w:id="223100590">
      <w:marLeft w:val="0"/>
      <w:marRight w:val="0"/>
      <w:marTop w:val="0"/>
      <w:marBottom w:val="0"/>
      <w:divBdr>
        <w:top w:val="none" w:sz="0" w:space="0" w:color="auto"/>
        <w:left w:val="none" w:sz="0" w:space="0" w:color="auto"/>
        <w:bottom w:val="none" w:sz="0" w:space="0" w:color="auto"/>
        <w:right w:val="none" w:sz="0" w:space="0" w:color="auto"/>
      </w:divBdr>
      <w:divsChild>
        <w:div w:id="1278215952">
          <w:marLeft w:val="0"/>
          <w:marRight w:val="0"/>
          <w:marTop w:val="0"/>
          <w:marBottom w:val="0"/>
          <w:divBdr>
            <w:top w:val="none" w:sz="0" w:space="0" w:color="auto"/>
            <w:left w:val="none" w:sz="0" w:space="0" w:color="auto"/>
            <w:bottom w:val="none" w:sz="0" w:space="0" w:color="auto"/>
            <w:right w:val="none" w:sz="0" w:space="0" w:color="auto"/>
          </w:divBdr>
        </w:div>
      </w:divsChild>
    </w:div>
    <w:div w:id="231236234">
      <w:marLeft w:val="0"/>
      <w:marRight w:val="0"/>
      <w:marTop w:val="0"/>
      <w:marBottom w:val="0"/>
      <w:divBdr>
        <w:top w:val="none" w:sz="0" w:space="0" w:color="auto"/>
        <w:left w:val="none" w:sz="0" w:space="0" w:color="auto"/>
        <w:bottom w:val="none" w:sz="0" w:space="0" w:color="auto"/>
        <w:right w:val="none" w:sz="0" w:space="0" w:color="auto"/>
      </w:divBdr>
      <w:divsChild>
        <w:div w:id="1995648300">
          <w:marLeft w:val="0"/>
          <w:marRight w:val="0"/>
          <w:marTop w:val="0"/>
          <w:marBottom w:val="0"/>
          <w:divBdr>
            <w:top w:val="none" w:sz="0" w:space="0" w:color="auto"/>
            <w:left w:val="none" w:sz="0" w:space="0" w:color="auto"/>
            <w:bottom w:val="none" w:sz="0" w:space="0" w:color="auto"/>
            <w:right w:val="none" w:sz="0" w:space="0" w:color="auto"/>
          </w:divBdr>
        </w:div>
      </w:divsChild>
    </w:div>
    <w:div w:id="233129800">
      <w:marLeft w:val="0"/>
      <w:marRight w:val="0"/>
      <w:marTop w:val="0"/>
      <w:marBottom w:val="240"/>
      <w:divBdr>
        <w:top w:val="none" w:sz="0" w:space="0" w:color="auto"/>
        <w:left w:val="none" w:sz="0" w:space="0" w:color="auto"/>
        <w:bottom w:val="none" w:sz="0" w:space="0" w:color="auto"/>
        <w:right w:val="none" w:sz="0" w:space="0" w:color="auto"/>
      </w:divBdr>
    </w:div>
    <w:div w:id="235672676">
      <w:marLeft w:val="0"/>
      <w:marRight w:val="0"/>
      <w:marTop w:val="0"/>
      <w:marBottom w:val="240"/>
      <w:divBdr>
        <w:top w:val="none" w:sz="0" w:space="0" w:color="auto"/>
        <w:left w:val="none" w:sz="0" w:space="0" w:color="auto"/>
        <w:bottom w:val="none" w:sz="0" w:space="0" w:color="auto"/>
        <w:right w:val="none" w:sz="0" w:space="0" w:color="auto"/>
      </w:divBdr>
    </w:div>
    <w:div w:id="236525012">
      <w:marLeft w:val="0"/>
      <w:marRight w:val="0"/>
      <w:marTop w:val="0"/>
      <w:marBottom w:val="0"/>
      <w:divBdr>
        <w:top w:val="none" w:sz="0" w:space="0" w:color="auto"/>
        <w:left w:val="none" w:sz="0" w:space="0" w:color="auto"/>
        <w:bottom w:val="none" w:sz="0" w:space="0" w:color="auto"/>
        <w:right w:val="none" w:sz="0" w:space="0" w:color="auto"/>
      </w:divBdr>
      <w:divsChild>
        <w:div w:id="1668364913">
          <w:marLeft w:val="0"/>
          <w:marRight w:val="0"/>
          <w:marTop w:val="0"/>
          <w:marBottom w:val="0"/>
          <w:divBdr>
            <w:top w:val="none" w:sz="0" w:space="0" w:color="auto"/>
            <w:left w:val="none" w:sz="0" w:space="0" w:color="auto"/>
            <w:bottom w:val="none" w:sz="0" w:space="0" w:color="auto"/>
            <w:right w:val="none" w:sz="0" w:space="0" w:color="auto"/>
          </w:divBdr>
        </w:div>
      </w:divsChild>
    </w:div>
    <w:div w:id="241986304">
      <w:marLeft w:val="0"/>
      <w:marRight w:val="0"/>
      <w:marTop w:val="0"/>
      <w:marBottom w:val="0"/>
      <w:divBdr>
        <w:top w:val="none" w:sz="0" w:space="0" w:color="auto"/>
        <w:left w:val="none" w:sz="0" w:space="0" w:color="auto"/>
        <w:bottom w:val="none" w:sz="0" w:space="0" w:color="auto"/>
        <w:right w:val="none" w:sz="0" w:space="0" w:color="auto"/>
      </w:divBdr>
    </w:div>
    <w:div w:id="243220736">
      <w:marLeft w:val="0"/>
      <w:marRight w:val="0"/>
      <w:marTop w:val="0"/>
      <w:marBottom w:val="120"/>
      <w:divBdr>
        <w:top w:val="none" w:sz="0" w:space="0" w:color="auto"/>
        <w:left w:val="none" w:sz="0" w:space="0" w:color="auto"/>
        <w:bottom w:val="none" w:sz="0" w:space="0" w:color="auto"/>
        <w:right w:val="none" w:sz="0" w:space="0" w:color="auto"/>
      </w:divBdr>
    </w:div>
    <w:div w:id="243802146">
      <w:marLeft w:val="0"/>
      <w:marRight w:val="0"/>
      <w:marTop w:val="0"/>
      <w:marBottom w:val="0"/>
      <w:divBdr>
        <w:top w:val="none" w:sz="0" w:space="0" w:color="auto"/>
        <w:left w:val="none" w:sz="0" w:space="0" w:color="auto"/>
        <w:bottom w:val="none" w:sz="0" w:space="0" w:color="auto"/>
        <w:right w:val="none" w:sz="0" w:space="0" w:color="auto"/>
      </w:divBdr>
    </w:div>
    <w:div w:id="244535459">
      <w:marLeft w:val="0"/>
      <w:marRight w:val="0"/>
      <w:marTop w:val="0"/>
      <w:marBottom w:val="240"/>
      <w:divBdr>
        <w:top w:val="none" w:sz="0" w:space="0" w:color="auto"/>
        <w:left w:val="none" w:sz="0" w:space="0" w:color="auto"/>
        <w:bottom w:val="none" w:sz="0" w:space="0" w:color="auto"/>
        <w:right w:val="none" w:sz="0" w:space="0" w:color="auto"/>
      </w:divBdr>
    </w:div>
    <w:div w:id="244538459">
      <w:marLeft w:val="0"/>
      <w:marRight w:val="0"/>
      <w:marTop w:val="40"/>
      <w:marBottom w:val="0"/>
      <w:divBdr>
        <w:top w:val="none" w:sz="0" w:space="0" w:color="auto"/>
        <w:left w:val="none" w:sz="0" w:space="0" w:color="auto"/>
        <w:bottom w:val="none" w:sz="0" w:space="0" w:color="auto"/>
        <w:right w:val="none" w:sz="0" w:space="0" w:color="auto"/>
      </w:divBdr>
    </w:div>
    <w:div w:id="250940943">
      <w:marLeft w:val="0"/>
      <w:marRight w:val="0"/>
      <w:marTop w:val="0"/>
      <w:marBottom w:val="240"/>
      <w:divBdr>
        <w:top w:val="none" w:sz="0" w:space="0" w:color="auto"/>
        <w:left w:val="none" w:sz="0" w:space="0" w:color="auto"/>
        <w:bottom w:val="none" w:sz="0" w:space="0" w:color="auto"/>
        <w:right w:val="none" w:sz="0" w:space="0" w:color="auto"/>
      </w:divBdr>
    </w:div>
    <w:div w:id="255751372">
      <w:marLeft w:val="0"/>
      <w:marRight w:val="0"/>
      <w:marTop w:val="0"/>
      <w:marBottom w:val="240"/>
      <w:divBdr>
        <w:top w:val="none" w:sz="0" w:space="0" w:color="auto"/>
        <w:left w:val="none" w:sz="0" w:space="0" w:color="auto"/>
        <w:bottom w:val="none" w:sz="0" w:space="0" w:color="auto"/>
        <w:right w:val="none" w:sz="0" w:space="0" w:color="auto"/>
      </w:divBdr>
    </w:div>
    <w:div w:id="256983439">
      <w:marLeft w:val="0"/>
      <w:marRight w:val="0"/>
      <w:marTop w:val="240"/>
      <w:marBottom w:val="240"/>
      <w:divBdr>
        <w:top w:val="none" w:sz="0" w:space="0" w:color="auto"/>
        <w:left w:val="none" w:sz="0" w:space="0" w:color="auto"/>
        <w:bottom w:val="none" w:sz="0" w:space="0" w:color="auto"/>
        <w:right w:val="none" w:sz="0" w:space="0" w:color="auto"/>
      </w:divBdr>
    </w:div>
    <w:div w:id="257298051">
      <w:marLeft w:val="0"/>
      <w:marRight w:val="0"/>
      <w:marTop w:val="0"/>
      <w:marBottom w:val="120"/>
      <w:divBdr>
        <w:top w:val="none" w:sz="0" w:space="0" w:color="auto"/>
        <w:left w:val="none" w:sz="0" w:space="0" w:color="auto"/>
        <w:bottom w:val="none" w:sz="0" w:space="0" w:color="auto"/>
        <w:right w:val="none" w:sz="0" w:space="0" w:color="auto"/>
      </w:divBdr>
    </w:div>
    <w:div w:id="262886377">
      <w:marLeft w:val="0"/>
      <w:marRight w:val="0"/>
      <w:marTop w:val="0"/>
      <w:marBottom w:val="240"/>
      <w:divBdr>
        <w:top w:val="none" w:sz="0" w:space="0" w:color="auto"/>
        <w:left w:val="none" w:sz="0" w:space="0" w:color="auto"/>
        <w:bottom w:val="none" w:sz="0" w:space="0" w:color="auto"/>
        <w:right w:val="none" w:sz="0" w:space="0" w:color="auto"/>
      </w:divBdr>
    </w:div>
    <w:div w:id="263347874">
      <w:marLeft w:val="0"/>
      <w:marRight w:val="0"/>
      <w:marTop w:val="0"/>
      <w:marBottom w:val="0"/>
      <w:divBdr>
        <w:top w:val="none" w:sz="0" w:space="0" w:color="auto"/>
        <w:left w:val="none" w:sz="0" w:space="0" w:color="auto"/>
        <w:bottom w:val="none" w:sz="0" w:space="0" w:color="auto"/>
        <w:right w:val="none" w:sz="0" w:space="0" w:color="auto"/>
      </w:divBdr>
      <w:divsChild>
        <w:div w:id="1697004919">
          <w:marLeft w:val="0"/>
          <w:marRight w:val="0"/>
          <w:marTop w:val="0"/>
          <w:marBottom w:val="0"/>
          <w:divBdr>
            <w:top w:val="none" w:sz="0" w:space="0" w:color="auto"/>
            <w:left w:val="none" w:sz="0" w:space="0" w:color="auto"/>
            <w:bottom w:val="none" w:sz="0" w:space="0" w:color="auto"/>
            <w:right w:val="none" w:sz="0" w:space="0" w:color="auto"/>
          </w:divBdr>
        </w:div>
      </w:divsChild>
    </w:div>
    <w:div w:id="265506441">
      <w:marLeft w:val="0"/>
      <w:marRight w:val="0"/>
      <w:marTop w:val="0"/>
      <w:marBottom w:val="240"/>
      <w:divBdr>
        <w:top w:val="none" w:sz="0" w:space="0" w:color="auto"/>
        <w:left w:val="none" w:sz="0" w:space="0" w:color="auto"/>
        <w:bottom w:val="none" w:sz="0" w:space="0" w:color="auto"/>
        <w:right w:val="none" w:sz="0" w:space="0" w:color="auto"/>
      </w:divBdr>
    </w:div>
    <w:div w:id="265889950">
      <w:marLeft w:val="0"/>
      <w:marRight w:val="0"/>
      <w:marTop w:val="0"/>
      <w:marBottom w:val="240"/>
      <w:divBdr>
        <w:top w:val="none" w:sz="0" w:space="0" w:color="auto"/>
        <w:left w:val="none" w:sz="0" w:space="0" w:color="auto"/>
        <w:bottom w:val="none" w:sz="0" w:space="0" w:color="auto"/>
        <w:right w:val="none" w:sz="0" w:space="0" w:color="auto"/>
      </w:divBdr>
    </w:div>
    <w:div w:id="266544680">
      <w:marLeft w:val="0"/>
      <w:marRight w:val="0"/>
      <w:marTop w:val="0"/>
      <w:marBottom w:val="0"/>
      <w:divBdr>
        <w:top w:val="none" w:sz="0" w:space="0" w:color="auto"/>
        <w:left w:val="none" w:sz="0" w:space="0" w:color="auto"/>
        <w:bottom w:val="none" w:sz="0" w:space="0" w:color="auto"/>
        <w:right w:val="none" w:sz="0" w:space="0" w:color="auto"/>
      </w:divBdr>
    </w:div>
    <w:div w:id="270551181">
      <w:marLeft w:val="0"/>
      <w:marRight w:val="0"/>
      <w:marTop w:val="0"/>
      <w:marBottom w:val="0"/>
      <w:divBdr>
        <w:top w:val="none" w:sz="0" w:space="0" w:color="auto"/>
        <w:left w:val="none" w:sz="0" w:space="0" w:color="auto"/>
        <w:bottom w:val="none" w:sz="0" w:space="0" w:color="auto"/>
        <w:right w:val="none" w:sz="0" w:space="0" w:color="auto"/>
      </w:divBdr>
    </w:div>
    <w:div w:id="273634293">
      <w:marLeft w:val="0"/>
      <w:marRight w:val="0"/>
      <w:marTop w:val="0"/>
      <w:marBottom w:val="240"/>
      <w:divBdr>
        <w:top w:val="none" w:sz="0" w:space="0" w:color="auto"/>
        <w:left w:val="none" w:sz="0" w:space="0" w:color="auto"/>
        <w:bottom w:val="none" w:sz="0" w:space="0" w:color="auto"/>
        <w:right w:val="none" w:sz="0" w:space="0" w:color="auto"/>
      </w:divBdr>
    </w:div>
    <w:div w:id="273949272">
      <w:marLeft w:val="0"/>
      <w:marRight w:val="0"/>
      <w:marTop w:val="240"/>
      <w:marBottom w:val="240"/>
      <w:divBdr>
        <w:top w:val="none" w:sz="0" w:space="0" w:color="auto"/>
        <w:left w:val="none" w:sz="0" w:space="0" w:color="auto"/>
        <w:bottom w:val="none" w:sz="0" w:space="0" w:color="auto"/>
        <w:right w:val="none" w:sz="0" w:space="0" w:color="auto"/>
      </w:divBdr>
    </w:div>
    <w:div w:id="274336258">
      <w:marLeft w:val="0"/>
      <w:marRight w:val="0"/>
      <w:marTop w:val="0"/>
      <w:marBottom w:val="120"/>
      <w:divBdr>
        <w:top w:val="none" w:sz="0" w:space="0" w:color="auto"/>
        <w:left w:val="none" w:sz="0" w:space="0" w:color="auto"/>
        <w:bottom w:val="none" w:sz="0" w:space="0" w:color="auto"/>
        <w:right w:val="none" w:sz="0" w:space="0" w:color="auto"/>
      </w:divBdr>
    </w:div>
    <w:div w:id="275910531">
      <w:marLeft w:val="0"/>
      <w:marRight w:val="0"/>
      <w:marTop w:val="0"/>
      <w:marBottom w:val="0"/>
      <w:divBdr>
        <w:top w:val="none" w:sz="0" w:space="0" w:color="auto"/>
        <w:left w:val="none" w:sz="0" w:space="0" w:color="auto"/>
        <w:bottom w:val="none" w:sz="0" w:space="0" w:color="auto"/>
        <w:right w:val="none" w:sz="0" w:space="0" w:color="auto"/>
      </w:divBdr>
    </w:div>
    <w:div w:id="279143639">
      <w:marLeft w:val="0"/>
      <w:marRight w:val="0"/>
      <w:marTop w:val="0"/>
      <w:marBottom w:val="0"/>
      <w:divBdr>
        <w:top w:val="none" w:sz="0" w:space="0" w:color="auto"/>
        <w:left w:val="none" w:sz="0" w:space="0" w:color="auto"/>
        <w:bottom w:val="none" w:sz="0" w:space="0" w:color="auto"/>
        <w:right w:val="none" w:sz="0" w:space="0" w:color="auto"/>
      </w:divBdr>
    </w:div>
    <w:div w:id="287127597">
      <w:marLeft w:val="0"/>
      <w:marRight w:val="0"/>
      <w:marTop w:val="0"/>
      <w:marBottom w:val="240"/>
      <w:divBdr>
        <w:top w:val="none" w:sz="0" w:space="0" w:color="auto"/>
        <w:left w:val="none" w:sz="0" w:space="0" w:color="auto"/>
        <w:bottom w:val="none" w:sz="0" w:space="0" w:color="auto"/>
        <w:right w:val="none" w:sz="0" w:space="0" w:color="auto"/>
      </w:divBdr>
    </w:div>
    <w:div w:id="299381260">
      <w:marLeft w:val="0"/>
      <w:marRight w:val="0"/>
      <w:marTop w:val="0"/>
      <w:marBottom w:val="240"/>
      <w:divBdr>
        <w:top w:val="none" w:sz="0" w:space="0" w:color="auto"/>
        <w:left w:val="none" w:sz="0" w:space="0" w:color="auto"/>
        <w:bottom w:val="none" w:sz="0" w:space="0" w:color="auto"/>
        <w:right w:val="none" w:sz="0" w:space="0" w:color="auto"/>
      </w:divBdr>
    </w:div>
    <w:div w:id="304162230">
      <w:marLeft w:val="0"/>
      <w:marRight w:val="0"/>
      <w:marTop w:val="0"/>
      <w:marBottom w:val="0"/>
      <w:divBdr>
        <w:top w:val="none" w:sz="0" w:space="0" w:color="auto"/>
        <w:left w:val="none" w:sz="0" w:space="0" w:color="auto"/>
        <w:bottom w:val="none" w:sz="0" w:space="0" w:color="auto"/>
        <w:right w:val="none" w:sz="0" w:space="0" w:color="auto"/>
      </w:divBdr>
    </w:div>
    <w:div w:id="305814445">
      <w:marLeft w:val="0"/>
      <w:marRight w:val="0"/>
      <w:marTop w:val="0"/>
      <w:marBottom w:val="240"/>
      <w:divBdr>
        <w:top w:val="none" w:sz="0" w:space="0" w:color="auto"/>
        <w:left w:val="none" w:sz="0" w:space="0" w:color="auto"/>
        <w:bottom w:val="none" w:sz="0" w:space="0" w:color="auto"/>
        <w:right w:val="none" w:sz="0" w:space="0" w:color="auto"/>
      </w:divBdr>
    </w:div>
    <w:div w:id="311368198">
      <w:marLeft w:val="0"/>
      <w:marRight w:val="0"/>
      <w:marTop w:val="0"/>
      <w:marBottom w:val="240"/>
      <w:divBdr>
        <w:top w:val="none" w:sz="0" w:space="0" w:color="auto"/>
        <w:left w:val="none" w:sz="0" w:space="0" w:color="auto"/>
        <w:bottom w:val="none" w:sz="0" w:space="0" w:color="auto"/>
        <w:right w:val="none" w:sz="0" w:space="0" w:color="auto"/>
      </w:divBdr>
    </w:div>
    <w:div w:id="313990801">
      <w:marLeft w:val="0"/>
      <w:marRight w:val="0"/>
      <w:marTop w:val="0"/>
      <w:marBottom w:val="240"/>
      <w:divBdr>
        <w:top w:val="none" w:sz="0" w:space="0" w:color="auto"/>
        <w:left w:val="none" w:sz="0" w:space="0" w:color="auto"/>
        <w:bottom w:val="none" w:sz="0" w:space="0" w:color="auto"/>
        <w:right w:val="none" w:sz="0" w:space="0" w:color="auto"/>
      </w:divBdr>
    </w:div>
    <w:div w:id="315108517">
      <w:marLeft w:val="0"/>
      <w:marRight w:val="0"/>
      <w:marTop w:val="0"/>
      <w:marBottom w:val="0"/>
      <w:divBdr>
        <w:top w:val="none" w:sz="0" w:space="0" w:color="auto"/>
        <w:left w:val="none" w:sz="0" w:space="0" w:color="auto"/>
        <w:bottom w:val="none" w:sz="0" w:space="0" w:color="auto"/>
        <w:right w:val="none" w:sz="0" w:space="0" w:color="auto"/>
      </w:divBdr>
      <w:divsChild>
        <w:div w:id="722675775">
          <w:marLeft w:val="0"/>
          <w:marRight w:val="0"/>
          <w:marTop w:val="0"/>
          <w:marBottom w:val="0"/>
          <w:divBdr>
            <w:top w:val="none" w:sz="0" w:space="0" w:color="auto"/>
            <w:left w:val="none" w:sz="0" w:space="0" w:color="auto"/>
            <w:bottom w:val="none" w:sz="0" w:space="0" w:color="auto"/>
            <w:right w:val="none" w:sz="0" w:space="0" w:color="auto"/>
          </w:divBdr>
        </w:div>
      </w:divsChild>
    </w:div>
    <w:div w:id="318116117">
      <w:marLeft w:val="0"/>
      <w:marRight w:val="0"/>
      <w:marTop w:val="0"/>
      <w:marBottom w:val="0"/>
      <w:divBdr>
        <w:top w:val="none" w:sz="0" w:space="0" w:color="auto"/>
        <w:left w:val="none" w:sz="0" w:space="0" w:color="auto"/>
        <w:bottom w:val="none" w:sz="0" w:space="0" w:color="auto"/>
        <w:right w:val="none" w:sz="0" w:space="0" w:color="auto"/>
      </w:divBdr>
    </w:div>
    <w:div w:id="331299393">
      <w:marLeft w:val="0"/>
      <w:marRight w:val="0"/>
      <w:marTop w:val="0"/>
      <w:marBottom w:val="240"/>
      <w:divBdr>
        <w:top w:val="none" w:sz="0" w:space="0" w:color="auto"/>
        <w:left w:val="none" w:sz="0" w:space="0" w:color="auto"/>
        <w:bottom w:val="none" w:sz="0" w:space="0" w:color="auto"/>
        <w:right w:val="none" w:sz="0" w:space="0" w:color="auto"/>
      </w:divBdr>
    </w:div>
    <w:div w:id="332686254">
      <w:marLeft w:val="0"/>
      <w:marRight w:val="0"/>
      <w:marTop w:val="0"/>
      <w:marBottom w:val="240"/>
      <w:divBdr>
        <w:top w:val="none" w:sz="0" w:space="0" w:color="auto"/>
        <w:left w:val="none" w:sz="0" w:space="0" w:color="auto"/>
        <w:bottom w:val="none" w:sz="0" w:space="0" w:color="auto"/>
        <w:right w:val="none" w:sz="0" w:space="0" w:color="auto"/>
      </w:divBdr>
    </w:div>
    <w:div w:id="332876246">
      <w:marLeft w:val="0"/>
      <w:marRight w:val="0"/>
      <w:marTop w:val="0"/>
      <w:marBottom w:val="240"/>
      <w:divBdr>
        <w:top w:val="none" w:sz="0" w:space="0" w:color="auto"/>
        <w:left w:val="none" w:sz="0" w:space="0" w:color="auto"/>
        <w:bottom w:val="none" w:sz="0" w:space="0" w:color="auto"/>
        <w:right w:val="none" w:sz="0" w:space="0" w:color="auto"/>
      </w:divBdr>
    </w:div>
    <w:div w:id="344402513">
      <w:marLeft w:val="0"/>
      <w:marRight w:val="0"/>
      <w:marTop w:val="0"/>
      <w:marBottom w:val="240"/>
      <w:divBdr>
        <w:top w:val="none" w:sz="0" w:space="0" w:color="auto"/>
        <w:left w:val="none" w:sz="0" w:space="0" w:color="auto"/>
        <w:bottom w:val="none" w:sz="0" w:space="0" w:color="auto"/>
        <w:right w:val="none" w:sz="0" w:space="0" w:color="auto"/>
      </w:divBdr>
    </w:div>
    <w:div w:id="346949127">
      <w:marLeft w:val="0"/>
      <w:marRight w:val="0"/>
      <w:marTop w:val="240"/>
      <w:marBottom w:val="240"/>
      <w:divBdr>
        <w:top w:val="none" w:sz="0" w:space="0" w:color="auto"/>
        <w:left w:val="none" w:sz="0" w:space="0" w:color="auto"/>
        <w:bottom w:val="none" w:sz="0" w:space="0" w:color="auto"/>
        <w:right w:val="none" w:sz="0" w:space="0" w:color="auto"/>
      </w:divBdr>
    </w:div>
    <w:div w:id="349916203">
      <w:marLeft w:val="0"/>
      <w:marRight w:val="0"/>
      <w:marTop w:val="0"/>
      <w:marBottom w:val="0"/>
      <w:divBdr>
        <w:top w:val="none" w:sz="0" w:space="0" w:color="auto"/>
        <w:left w:val="none" w:sz="0" w:space="0" w:color="auto"/>
        <w:bottom w:val="none" w:sz="0" w:space="0" w:color="auto"/>
        <w:right w:val="none" w:sz="0" w:space="0" w:color="auto"/>
      </w:divBdr>
    </w:div>
    <w:div w:id="364797042">
      <w:marLeft w:val="0"/>
      <w:marRight w:val="0"/>
      <w:marTop w:val="0"/>
      <w:marBottom w:val="240"/>
      <w:divBdr>
        <w:top w:val="none" w:sz="0" w:space="0" w:color="auto"/>
        <w:left w:val="none" w:sz="0" w:space="0" w:color="auto"/>
        <w:bottom w:val="none" w:sz="0" w:space="0" w:color="auto"/>
        <w:right w:val="none" w:sz="0" w:space="0" w:color="auto"/>
      </w:divBdr>
    </w:div>
    <w:div w:id="370690626">
      <w:marLeft w:val="0"/>
      <w:marRight w:val="0"/>
      <w:marTop w:val="240"/>
      <w:marBottom w:val="240"/>
      <w:divBdr>
        <w:top w:val="none" w:sz="0" w:space="0" w:color="auto"/>
        <w:left w:val="none" w:sz="0" w:space="0" w:color="auto"/>
        <w:bottom w:val="none" w:sz="0" w:space="0" w:color="auto"/>
        <w:right w:val="none" w:sz="0" w:space="0" w:color="auto"/>
      </w:divBdr>
    </w:div>
    <w:div w:id="371464966">
      <w:marLeft w:val="0"/>
      <w:marRight w:val="0"/>
      <w:marTop w:val="0"/>
      <w:marBottom w:val="0"/>
      <w:divBdr>
        <w:top w:val="none" w:sz="0" w:space="0" w:color="auto"/>
        <w:left w:val="none" w:sz="0" w:space="0" w:color="auto"/>
        <w:bottom w:val="none" w:sz="0" w:space="0" w:color="auto"/>
        <w:right w:val="none" w:sz="0" w:space="0" w:color="auto"/>
      </w:divBdr>
      <w:divsChild>
        <w:div w:id="624240096">
          <w:marLeft w:val="0"/>
          <w:marRight w:val="0"/>
          <w:marTop w:val="0"/>
          <w:marBottom w:val="0"/>
          <w:divBdr>
            <w:top w:val="none" w:sz="0" w:space="0" w:color="auto"/>
            <w:left w:val="none" w:sz="0" w:space="0" w:color="auto"/>
            <w:bottom w:val="none" w:sz="0" w:space="0" w:color="auto"/>
            <w:right w:val="none" w:sz="0" w:space="0" w:color="auto"/>
          </w:divBdr>
        </w:div>
      </w:divsChild>
    </w:div>
    <w:div w:id="376513251">
      <w:marLeft w:val="0"/>
      <w:marRight w:val="0"/>
      <w:marTop w:val="0"/>
      <w:marBottom w:val="240"/>
      <w:divBdr>
        <w:top w:val="none" w:sz="0" w:space="0" w:color="auto"/>
        <w:left w:val="none" w:sz="0" w:space="0" w:color="auto"/>
        <w:bottom w:val="none" w:sz="0" w:space="0" w:color="auto"/>
        <w:right w:val="none" w:sz="0" w:space="0" w:color="auto"/>
      </w:divBdr>
    </w:div>
    <w:div w:id="384377451">
      <w:marLeft w:val="0"/>
      <w:marRight w:val="0"/>
      <w:marTop w:val="0"/>
      <w:marBottom w:val="240"/>
      <w:divBdr>
        <w:top w:val="none" w:sz="0" w:space="0" w:color="auto"/>
        <w:left w:val="none" w:sz="0" w:space="0" w:color="auto"/>
        <w:bottom w:val="none" w:sz="0" w:space="0" w:color="auto"/>
        <w:right w:val="none" w:sz="0" w:space="0" w:color="auto"/>
      </w:divBdr>
    </w:div>
    <w:div w:id="387069506">
      <w:marLeft w:val="0"/>
      <w:marRight w:val="0"/>
      <w:marTop w:val="0"/>
      <w:marBottom w:val="240"/>
      <w:divBdr>
        <w:top w:val="none" w:sz="0" w:space="0" w:color="auto"/>
        <w:left w:val="none" w:sz="0" w:space="0" w:color="auto"/>
        <w:bottom w:val="none" w:sz="0" w:space="0" w:color="auto"/>
        <w:right w:val="none" w:sz="0" w:space="0" w:color="auto"/>
      </w:divBdr>
    </w:div>
    <w:div w:id="390079752">
      <w:marLeft w:val="0"/>
      <w:marRight w:val="0"/>
      <w:marTop w:val="0"/>
      <w:marBottom w:val="0"/>
      <w:divBdr>
        <w:top w:val="none" w:sz="0" w:space="0" w:color="auto"/>
        <w:left w:val="none" w:sz="0" w:space="0" w:color="auto"/>
        <w:bottom w:val="none" w:sz="0" w:space="0" w:color="auto"/>
        <w:right w:val="none" w:sz="0" w:space="0" w:color="auto"/>
      </w:divBdr>
    </w:div>
    <w:div w:id="391663721">
      <w:marLeft w:val="0"/>
      <w:marRight w:val="0"/>
      <w:marTop w:val="0"/>
      <w:marBottom w:val="0"/>
      <w:divBdr>
        <w:top w:val="none" w:sz="0" w:space="0" w:color="auto"/>
        <w:left w:val="none" w:sz="0" w:space="0" w:color="auto"/>
        <w:bottom w:val="none" w:sz="0" w:space="0" w:color="auto"/>
        <w:right w:val="none" w:sz="0" w:space="0" w:color="auto"/>
      </w:divBdr>
      <w:divsChild>
        <w:div w:id="62065322">
          <w:marLeft w:val="0"/>
          <w:marRight w:val="0"/>
          <w:marTop w:val="0"/>
          <w:marBottom w:val="0"/>
          <w:divBdr>
            <w:top w:val="none" w:sz="0" w:space="0" w:color="auto"/>
            <w:left w:val="none" w:sz="0" w:space="0" w:color="auto"/>
            <w:bottom w:val="none" w:sz="0" w:space="0" w:color="auto"/>
            <w:right w:val="none" w:sz="0" w:space="0" w:color="auto"/>
          </w:divBdr>
        </w:div>
      </w:divsChild>
    </w:div>
    <w:div w:id="393049306">
      <w:marLeft w:val="0"/>
      <w:marRight w:val="0"/>
      <w:marTop w:val="0"/>
      <w:marBottom w:val="0"/>
      <w:divBdr>
        <w:top w:val="none" w:sz="0" w:space="0" w:color="auto"/>
        <w:left w:val="none" w:sz="0" w:space="0" w:color="auto"/>
        <w:bottom w:val="none" w:sz="0" w:space="0" w:color="auto"/>
        <w:right w:val="none" w:sz="0" w:space="0" w:color="auto"/>
      </w:divBdr>
      <w:divsChild>
        <w:div w:id="371151174">
          <w:marLeft w:val="0"/>
          <w:marRight w:val="0"/>
          <w:marTop w:val="0"/>
          <w:marBottom w:val="0"/>
          <w:divBdr>
            <w:top w:val="none" w:sz="0" w:space="0" w:color="auto"/>
            <w:left w:val="none" w:sz="0" w:space="0" w:color="auto"/>
            <w:bottom w:val="none" w:sz="0" w:space="0" w:color="auto"/>
            <w:right w:val="none" w:sz="0" w:space="0" w:color="auto"/>
          </w:divBdr>
        </w:div>
      </w:divsChild>
    </w:div>
    <w:div w:id="395671177">
      <w:marLeft w:val="0"/>
      <w:marRight w:val="0"/>
      <w:marTop w:val="0"/>
      <w:marBottom w:val="240"/>
      <w:divBdr>
        <w:top w:val="none" w:sz="0" w:space="0" w:color="auto"/>
        <w:left w:val="none" w:sz="0" w:space="0" w:color="auto"/>
        <w:bottom w:val="none" w:sz="0" w:space="0" w:color="auto"/>
        <w:right w:val="none" w:sz="0" w:space="0" w:color="auto"/>
      </w:divBdr>
    </w:div>
    <w:div w:id="396899355">
      <w:marLeft w:val="0"/>
      <w:marRight w:val="0"/>
      <w:marTop w:val="0"/>
      <w:marBottom w:val="240"/>
      <w:divBdr>
        <w:top w:val="none" w:sz="0" w:space="0" w:color="auto"/>
        <w:left w:val="none" w:sz="0" w:space="0" w:color="auto"/>
        <w:bottom w:val="none" w:sz="0" w:space="0" w:color="auto"/>
        <w:right w:val="none" w:sz="0" w:space="0" w:color="auto"/>
      </w:divBdr>
    </w:div>
    <w:div w:id="397362993">
      <w:marLeft w:val="0"/>
      <w:marRight w:val="0"/>
      <w:marTop w:val="0"/>
      <w:marBottom w:val="0"/>
      <w:divBdr>
        <w:top w:val="none" w:sz="0" w:space="0" w:color="auto"/>
        <w:left w:val="none" w:sz="0" w:space="0" w:color="auto"/>
        <w:bottom w:val="none" w:sz="0" w:space="0" w:color="auto"/>
        <w:right w:val="none" w:sz="0" w:space="0" w:color="auto"/>
      </w:divBdr>
      <w:divsChild>
        <w:div w:id="1928614484">
          <w:marLeft w:val="0"/>
          <w:marRight w:val="0"/>
          <w:marTop w:val="0"/>
          <w:marBottom w:val="0"/>
          <w:divBdr>
            <w:top w:val="none" w:sz="0" w:space="0" w:color="auto"/>
            <w:left w:val="none" w:sz="0" w:space="0" w:color="auto"/>
            <w:bottom w:val="none" w:sz="0" w:space="0" w:color="auto"/>
            <w:right w:val="none" w:sz="0" w:space="0" w:color="auto"/>
          </w:divBdr>
        </w:div>
        <w:div w:id="168716245">
          <w:marLeft w:val="0"/>
          <w:marRight w:val="0"/>
          <w:marTop w:val="0"/>
          <w:marBottom w:val="0"/>
          <w:divBdr>
            <w:top w:val="none" w:sz="0" w:space="0" w:color="auto"/>
            <w:left w:val="none" w:sz="0" w:space="0" w:color="auto"/>
            <w:bottom w:val="none" w:sz="0" w:space="0" w:color="auto"/>
            <w:right w:val="none" w:sz="0" w:space="0" w:color="auto"/>
          </w:divBdr>
        </w:div>
        <w:div w:id="1967423198">
          <w:marLeft w:val="0"/>
          <w:marRight w:val="0"/>
          <w:marTop w:val="0"/>
          <w:marBottom w:val="0"/>
          <w:divBdr>
            <w:top w:val="none" w:sz="0" w:space="0" w:color="auto"/>
            <w:left w:val="none" w:sz="0" w:space="0" w:color="auto"/>
            <w:bottom w:val="none" w:sz="0" w:space="0" w:color="auto"/>
            <w:right w:val="none" w:sz="0" w:space="0" w:color="auto"/>
          </w:divBdr>
        </w:div>
        <w:div w:id="748847035">
          <w:marLeft w:val="0"/>
          <w:marRight w:val="0"/>
          <w:marTop w:val="0"/>
          <w:marBottom w:val="120"/>
          <w:divBdr>
            <w:top w:val="none" w:sz="0" w:space="0" w:color="auto"/>
            <w:left w:val="none" w:sz="0" w:space="0" w:color="auto"/>
            <w:bottom w:val="none" w:sz="0" w:space="0" w:color="auto"/>
            <w:right w:val="none" w:sz="0" w:space="0" w:color="auto"/>
          </w:divBdr>
        </w:div>
        <w:div w:id="1751610179">
          <w:marLeft w:val="0"/>
          <w:marRight w:val="0"/>
          <w:marTop w:val="0"/>
          <w:marBottom w:val="120"/>
          <w:divBdr>
            <w:top w:val="none" w:sz="0" w:space="0" w:color="auto"/>
            <w:left w:val="none" w:sz="0" w:space="0" w:color="auto"/>
            <w:bottom w:val="none" w:sz="0" w:space="0" w:color="auto"/>
            <w:right w:val="none" w:sz="0" w:space="0" w:color="auto"/>
          </w:divBdr>
        </w:div>
        <w:div w:id="2017078034">
          <w:marLeft w:val="0"/>
          <w:marRight w:val="0"/>
          <w:marTop w:val="0"/>
          <w:marBottom w:val="120"/>
          <w:divBdr>
            <w:top w:val="none" w:sz="0" w:space="0" w:color="auto"/>
            <w:left w:val="none" w:sz="0" w:space="0" w:color="auto"/>
            <w:bottom w:val="none" w:sz="0" w:space="0" w:color="auto"/>
            <w:right w:val="none" w:sz="0" w:space="0" w:color="auto"/>
          </w:divBdr>
        </w:div>
        <w:div w:id="1680548706">
          <w:marLeft w:val="0"/>
          <w:marRight w:val="0"/>
          <w:marTop w:val="0"/>
          <w:marBottom w:val="120"/>
          <w:divBdr>
            <w:top w:val="none" w:sz="0" w:space="0" w:color="auto"/>
            <w:left w:val="none" w:sz="0" w:space="0" w:color="auto"/>
            <w:bottom w:val="none" w:sz="0" w:space="0" w:color="auto"/>
            <w:right w:val="none" w:sz="0" w:space="0" w:color="auto"/>
          </w:divBdr>
        </w:div>
      </w:divsChild>
    </w:div>
    <w:div w:id="401489550">
      <w:marLeft w:val="0"/>
      <w:marRight w:val="0"/>
      <w:marTop w:val="0"/>
      <w:marBottom w:val="240"/>
      <w:divBdr>
        <w:top w:val="none" w:sz="0" w:space="0" w:color="auto"/>
        <w:left w:val="none" w:sz="0" w:space="0" w:color="auto"/>
        <w:bottom w:val="none" w:sz="0" w:space="0" w:color="auto"/>
        <w:right w:val="none" w:sz="0" w:space="0" w:color="auto"/>
      </w:divBdr>
    </w:div>
    <w:div w:id="404500103">
      <w:marLeft w:val="0"/>
      <w:marRight w:val="0"/>
      <w:marTop w:val="0"/>
      <w:marBottom w:val="0"/>
      <w:divBdr>
        <w:top w:val="none" w:sz="0" w:space="0" w:color="auto"/>
        <w:left w:val="none" w:sz="0" w:space="0" w:color="auto"/>
        <w:bottom w:val="none" w:sz="0" w:space="0" w:color="auto"/>
        <w:right w:val="none" w:sz="0" w:space="0" w:color="auto"/>
      </w:divBdr>
      <w:divsChild>
        <w:div w:id="1382054898">
          <w:marLeft w:val="0"/>
          <w:marRight w:val="0"/>
          <w:marTop w:val="0"/>
          <w:marBottom w:val="0"/>
          <w:divBdr>
            <w:top w:val="none" w:sz="0" w:space="0" w:color="auto"/>
            <w:left w:val="none" w:sz="0" w:space="0" w:color="auto"/>
            <w:bottom w:val="none" w:sz="0" w:space="0" w:color="auto"/>
            <w:right w:val="none" w:sz="0" w:space="0" w:color="auto"/>
          </w:divBdr>
        </w:div>
      </w:divsChild>
    </w:div>
    <w:div w:id="405225397">
      <w:marLeft w:val="0"/>
      <w:marRight w:val="0"/>
      <w:marTop w:val="0"/>
      <w:marBottom w:val="0"/>
      <w:divBdr>
        <w:top w:val="none" w:sz="0" w:space="0" w:color="auto"/>
        <w:left w:val="none" w:sz="0" w:space="0" w:color="auto"/>
        <w:bottom w:val="none" w:sz="0" w:space="0" w:color="auto"/>
        <w:right w:val="none" w:sz="0" w:space="0" w:color="auto"/>
      </w:divBdr>
    </w:div>
    <w:div w:id="409355687">
      <w:marLeft w:val="0"/>
      <w:marRight w:val="0"/>
      <w:marTop w:val="0"/>
      <w:marBottom w:val="0"/>
      <w:divBdr>
        <w:top w:val="none" w:sz="0" w:space="0" w:color="auto"/>
        <w:left w:val="none" w:sz="0" w:space="0" w:color="auto"/>
        <w:bottom w:val="none" w:sz="0" w:space="0" w:color="auto"/>
        <w:right w:val="none" w:sz="0" w:space="0" w:color="auto"/>
      </w:divBdr>
    </w:div>
    <w:div w:id="412312995">
      <w:marLeft w:val="0"/>
      <w:marRight w:val="0"/>
      <w:marTop w:val="0"/>
      <w:marBottom w:val="0"/>
      <w:divBdr>
        <w:top w:val="none" w:sz="0" w:space="0" w:color="auto"/>
        <w:left w:val="none" w:sz="0" w:space="0" w:color="auto"/>
        <w:bottom w:val="none" w:sz="0" w:space="0" w:color="auto"/>
        <w:right w:val="none" w:sz="0" w:space="0" w:color="auto"/>
      </w:divBdr>
    </w:div>
    <w:div w:id="415058336">
      <w:marLeft w:val="0"/>
      <w:marRight w:val="0"/>
      <w:marTop w:val="0"/>
      <w:marBottom w:val="240"/>
      <w:divBdr>
        <w:top w:val="none" w:sz="0" w:space="0" w:color="auto"/>
        <w:left w:val="none" w:sz="0" w:space="0" w:color="auto"/>
        <w:bottom w:val="none" w:sz="0" w:space="0" w:color="auto"/>
        <w:right w:val="none" w:sz="0" w:space="0" w:color="auto"/>
      </w:divBdr>
    </w:div>
    <w:div w:id="415709359">
      <w:marLeft w:val="0"/>
      <w:marRight w:val="0"/>
      <w:marTop w:val="0"/>
      <w:marBottom w:val="240"/>
      <w:divBdr>
        <w:top w:val="none" w:sz="0" w:space="0" w:color="auto"/>
        <w:left w:val="none" w:sz="0" w:space="0" w:color="auto"/>
        <w:bottom w:val="none" w:sz="0" w:space="0" w:color="auto"/>
        <w:right w:val="none" w:sz="0" w:space="0" w:color="auto"/>
      </w:divBdr>
    </w:div>
    <w:div w:id="415831383">
      <w:marLeft w:val="0"/>
      <w:marRight w:val="0"/>
      <w:marTop w:val="0"/>
      <w:marBottom w:val="0"/>
      <w:divBdr>
        <w:top w:val="none" w:sz="0" w:space="0" w:color="auto"/>
        <w:left w:val="none" w:sz="0" w:space="0" w:color="auto"/>
        <w:bottom w:val="none" w:sz="0" w:space="0" w:color="auto"/>
        <w:right w:val="none" w:sz="0" w:space="0" w:color="auto"/>
      </w:divBdr>
    </w:div>
    <w:div w:id="417596804">
      <w:marLeft w:val="0"/>
      <w:marRight w:val="0"/>
      <w:marTop w:val="0"/>
      <w:marBottom w:val="240"/>
      <w:divBdr>
        <w:top w:val="none" w:sz="0" w:space="0" w:color="auto"/>
        <w:left w:val="none" w:sz="0" w:space="0" w:color="auto"/>
        <w:bottom w:val="none" w:sz="0" w:space="0" w:color="auto"/>
        <w:right w:val="none" w:sz="0" w:space="0" w:color="auto"/>
      </w:divBdr>
    </w:div>
    <w:div w:id="423958471">
      <w:marLeft w:val="0"/>
      <w:marRight w:val="0"/>
      <w:marTop w:val="0"/>
      <w:marBottom w:val="0"/>
      <w:divBdr>
        <w:top w:val="none" w:sz="0" w:space="0" w:color="auto"/>
        <w:left w:val="none" w:sz="0" w:space="0" w:color="auto"/>
        <w:bottom w:val="none" w:sz="0" w:space="0" w:color="auto"/>
        <w:right w:val="none" w:sz="0" w:space="0" w:color="auto"/>
      </w:divBdr>
    </w:div>
    <w:div w:id="424500531">
      <w:marLeft w:val="0"/>
      <w:marRight w:val="0"/>
      <w:marTop w:val="0"/>
      <w:marBottom w:val="240"/>
      <w:divBdr>
        <w:top w:val="none" w:sz="0" w:space="0" w:color="auto"/>
        <w:left w:val="none" w:sz="0" w:space="0" w:color="auto"/>
        <w:bottom w:val="none" w:sz="0" w:space="0" w:color="auto"/>
        <w:right w:val="none" w:sz="0" w:space="0" w:color="auto"/>
      </w:divBdr>
    </w:div>
    <w:div w:id="434327953">
      <w:marLeft w:val="0"/>
      <w:marRight w:val="0"/>
      <w:marTop w:val="0"/>
      <w:marBottom w:val="0"/>
      <w:divBdr>
        <w:top w:val="none" w:sz="0" w:space="0" w:color="auto"/>
        <w:left w:val="none" w:sz="0" w:space="0" w:color="auto"/>
        <w:bottom w:val="none" w:sz="0" w:space="0" w:color="auto"/>
        <w:right w:val="none" w:sz="0" w:space="0" w:color="auto"/>
      </w:divBdr>
      <w:divsChild>
        <w:div w:id="1605502602">
          <w:marLeft w:val="0"/>
          <w:marRight w:val="0"/>
          <w:marTop w:val="0"/>
          <w:marBottom w:val="0"/>
          <w:divBdr>
            <w:top w:val="none" w:sz="0" w:space="0" w:color="auto"/>
            <w:left w:val="none" w:sz="0" w:space="0" w:color="auto"/>
            <w:bottom w:val="none" w:sz="0" w:space="0" w:color="auto"/>
            <w:right w:val="none" w:sz="0" w:space="0" w:color="auto"/>
          </w:divBdr>
        </w:div>
      </w:divsChild>
    </w:div>
    <w:div w:id="436678256">
      <w:marLeft w:val="0"/>
      <w:marRight w:val="0"/>
      <w:marTop w:val="0"/>
      <w:marBottom w:val="240"/>
      <w:divBdr>
        <w:top w:val="none" w:sz="0" w:space="0" w:color="auto"/>
        <w:left w:val="none" w:sz="0" w:space="0" w:color="auto"/>
        <w:bottom w:val="none" w:sz="0" w:space="0" w:color="auto"/>
        <w:right w:val="none" w:sz="0" w:space="0" w:color="auto"/>
      </w:divBdr>
    </w:div>
    <w:div w:id="440145806">
      <w:marLeft w:val="0"/>
      <w:marRight w:val="0"/>
      <w:marTop w:val="0"/>
      <w:marBottom w:val="0"/>
      <w:divBdr>
        <w:top w:val="none" w:sz="0" w:space="0" w:color="auto"/>
        <w:left w:val="none" w:sz="0" w:space="0" w:color="auto"/>
        <w:bottom w:val="none" w:sz="0" w:space="0" w:color="auto"/>
        <w:right w:val="none" w:sz="0" w:space="0" w:color="auto"/>
      </w:divBdr>
      <w:divsChild>
        <w:div w:id="1943949298">
          <w:marLeft w:val="0"/>
          <w:marRight w:val="0"/>
          <w:marTop w:val="0"/>
          <w:marBottom w:val="0"/>
          <w:divBdr>
            <w:top w:val="none" w:sz="0" w:space="0" w:color="auto"/>
            <w:left w:val="none" w:sz="0" w:space="0" w:color="auto"/>
            <w:bottom w:val="none" w:sz="0" w:space="0" w:color="auto"/>
            <w:right w:val="none" w:sz="0" w:space="0" w:color="auto"/>
          </w:divBdr>
        </w:div>
      </w:divsChild>
    </w:div>
    <w:div w:id="446781342">
      <w:marLeft w:val="0"/>
      <w:marRight w:val="0"/>
      <w:marTop w:val="0"/>
      <w:marBottom w:val="240"/>
      <w:divBdr>
        <w:top w:val="none" w:sz="0" w:space="0" w:color="auto"/>
        <w:left w:val="none" w:sz="0" w:space="0" w:color="auto"/>
        <w:bottom w:val="none" w:sz="0" w:space="0" w:color="auto"/>
        <w:right w:val="none" w:sz="0" w:space="0" w:color="auto"/>
      </w:divBdr>
    </w:div>
    <w:div w:id="447164053">
      <w:marLeft w:val="0"/>
      <w:marRight w:val="0"/>
      <w:marTop w:val="0"/>
      <w:marBottom w:val="240"/>
      <w:divBdr>
        <w:top w:val="none" w:sz="0" w:space="0" w:color="auto"/>
        <w:left w:val="none" w:sz="0" w:space="0" w:color="auto"/>
        <w:bottom w:val="none" w:sz="0" w:space="0" w:color="auto"/>
        <w:right w:val="none" w:sz="0" w:space="0" w:color="auto"/>
      </w:divBdr>
    </w:div>
    <w:div w:id="452479181">
      <w:marLeft w:val="0"/>
      <w:marRight w:val="0"/>
      <w:marTop w:val="240"/>
      <w:marBottom w:val="240"/>
      <w:divBdr>
        <w:top w:val="none" w:sz="0" w:space="0" w:color="auto"/>
        <w:left w:val="none" w:sz="0" w:space="0" w:color="auto"/>
        <w:bottom w:val="none" w:sz="0" w:space="0" w:color="auto"/>
        <w:right w:val="none" w:sz="0" w:space="0" w:color="auto"/>
      </w:divBdr>
    </w:div>
    <w:div w:id="452553790">
      <w:marLeft w:val="0"/>
      <w:marRight w:val="0"/>
      <w:marTop w:val="0"/>
      <w:marBottom w:val="0"/>
      <w:divBdr>
        <w:top w:val="none" w:sz="0" w:space="0" w:color="auto"/>
        <w:left w:val="none" w:sz="0" w:space="0" w:color="auto"/>
        <w:bottom w:val="none" w:sz="0" w:space="0" w:color="auto"/>
        <w:right w:val="none" w:sz="0" w:space="0" w:color="auto"/>
      </w:divBdr>
      <w:divsChild>
        <w:div w:id="19552596">
          <w:marLeft w:val="0"/>
          <w:marRight w:val="0"/>
          <w:marTop w:val="0"/>
          <w:marBottom w:val="0"/>
          <w:divBdr>
            <w:top w:val="none" w:sz="0" w:space="0" w:color="auto"/>
            <w:left w:val="none" w:sz="0" w:space="0" w:color="auto"/>
            <w:bottom w:val="none" w:sz="0" w:space="0" w:color="auto"/>
            <w:right w:val="none" w:sz="0" w:space="0" w:color="auto"/>
          </w:divBdr>
        </w:div>
      </w:divsChild>
    </w:div>
    <w:div w:id="457720914">
      <w:marLeft w:val="0"/>
      <w:marRight w:val="0"/>
      <w:marTop w:val="0"/>
      <w:marBottom w:val="0"/>
      <w:divBdr>
        <w:top w:val="none" w:sz="0" w:space="0" w:color="auto"/>
        <w:left w:val="none" w:sz="0" w:space="0" w:color="auto"/>
        <w:bottom w:val="none" w:sz="0" w:space="0" w:color="auto"/>
        <w:right w:val="none" w:sz="0" w:space="0" w:color="auto"/>
      </w:divBdr>
    </w:div>
    <w:div w:id="459112168">
      <w:marLeft w:val="0"/>
      <w:marRight w:val="0"/>
      <w:marTop w:val="0"/>
      <w:marBottom w:val="240"/>
      <w:divBdr>
        <w:top w:val="none" w:sz="0" w:space="0" w:color="auto"/>
        <w:left w:val="none" w:sz="0" w:space="0" w:color="auto"/>
        <w:bottom w:val="none" w:sz="0" w:space="0" w:color="auto"/>
        <w:right w:val="none" w:sz="0" w:space="0" w:color="auto"/>
      </w:divBdr>
    </w:div>
    <w:div w:id="465120697">
      <w:marLeft w:val="0"/>
      <w:marRight w:val="0"/>
      <w:marTop w:val="0"/>
      <w:marBottom w:val="240"/>
      <w:divBdr>
        <w:top w:val="none" w:sz="0" w:space="0" w:color="auto"/>
        <w:left w:val="none" w:sz="0" w:space="0" w:color="auto"/>
        <w:bottom w:val="none" w:sz="0" w:space="0" w:color="auto"/>
        <w:right w:val="none" w:sz="0" w:space="0" w:color="auto"/>
      </w:divBdr>
    </w:div>
    <w:div w:id="468670703">
      <w:marLeft w:val="0"/>
      <w:marRight w:val="0"/>
      <w:marTop w:val="20"/>
      <w:marBottom w:val="20"/>
      <w:divBdr>
        <w:top w:val="none" w:sz="0" w:space="0" w:color="auto"/>
        <w:left w:val="none" w:sz="0" w:space="0" w:color="auto"/>
        <w:bottom w:val="none" w:sz="0" w:space="0" w:color="auto"/>
        <w:right w:val="none" w:sz="0" w:space="0" w:color="auto"/>
      </w:divBdr>
    </w:div>
    <w:div w:id="473529741">
      <w:marLeft w:val="0"/>
      <w:marRight w:val="0"/>
      <w:marTop w:val="0"/>
      <w:marBottom w:val="240"/>
      <w:divBdr>
        <w:top w:val="none" w:sz="0" w:space="0" w:color="auto"/>
        <w:left w:val="none" w:sz="0" w:space="0" w:color="auto"/>
        <w:bottom w:val="none" w:sz="0" w:space="0" w:color="auto"/>
        <w:right w:val="none" w:sz="0" w:space="0" w:color="auto"/>
      </w:divBdr>
    </w:div>
    <w:div w:id="474760496">
      <w:marLeft w:val="0"/>
      <w:marRight w:val="0"/>
      <w:marTop w:val="0"/>
      <w:marBottom w:val="0"/>
      <w:divBdr>
        <w:top w:val="none" w:sz="0" w:space="0" w:color="auto"/>
        <w:left w:val="none" w:sz="0" w:space="0" w:color="auto"/>
        <w:bottom w:val="none" w:sz="0" w:space="0" w:color="auto"/>
        <w:right w:val="none" w:sz="0" w:space="0" w:color="auto"/>
      </w:divBdr>
    </w:div>
    <w:div w:id="490563846">
      <w:marLeft w:val="0"/>
      <w:marRight w:val="0"/>
      <w:marTop w:val="0"/>
      <w:marBottom w:val="240"/>
      <w:divBdr>
        <w:top w:val="none" w:sz="0" w:space="0" w:color="auto"/>
        <w:left w:val="none" w:sz="0" w:space="0" w:color="auto"/>
        <w:bottom w:val="none" w:sz="0" w:space="0" w:color="auto"/>
        <w:right w:val="none" w:sz="0" w:space="0" w:color="auto"/>
      </w:divBdr>
    </w:div>
    <w:div w:id="492457272">
      <w:marLeft w:val="0"/>
      <w:marRight w:val="0"/>
      <w:marTop w:val="0"/>
      <w:marBottom w:val="0"/>
      <w:divBdr>
        <w:top w:val="none" w:sz="0" w:space="0" w:color="auto"/>
        <w:left w:val="none" w:sz="0" w:space="0" w:color="auto"/>
        <w:bottom w:val="none" w:sz="0" w:space="0" w:color="auto"/>
        <w:right w:val="none" w:sz="0" w:space="0" w:color="auto"/>
      </w:divBdr>
      <w:divsChild>
        <w:div w:id="662273731">
          <w:marLeft w:val="0"/>
          <w:marRight w:val="0"/>
          <w:marTop w:val="0"/>
          <w:marBottom w:val="0"/>
          <w:divBdr>
            <w:top w:val="none" w:sz="0" w:space="0" w:color="auto"/>
            <w:left w:val="none" w:sz="0" w:space="0" w:color="auto"/>
            <w:bottom w:val="none" w:sz="0" w:space="0" w:color="auto"/>
            <w:right w:val="none" w:sz="0" w:space="0" w:color="auto"/>
          </w:divBdr>
        </w:div>
      </w:divsChild>
    </w:div>
    <w:div w:id="497036170">
      <w:marLeft w:val="0"/>
      <w:marRight w:val="0"/>
      <w:marTop w:val="240"/>
      <w:marBottom w:val="240"/>
      <w:divBdr>
        <w:top w:val="none" w:sz="0" w:space="0" w:color="auto"/>
        <w:left w:val="none" w:sz="0" w:space="0" w:color="auto"/>
        <w:bottom w:val="none" w:sz="0" w:space="0" w:color="auto"/>
        <w:right w:val="none" w:sz="0" w:space="0" w:color="auto"/>
      </w:divBdr>
    </w:div>
    <w:div w:id="498928467">
      <w:marLeft w:val="0"/>
      <w:marRight w:val="0"/>
      <w:marTop w:val="0"/>
      <w:marBottom w:val="240"/>
      <w:divBdr>
        <w:top w:val="none" w:sz="0" w:space="0" w:color="auto"/>
        <w:left w:val="none" w:sz="0" w:space="0" w:color="auto"/>
        <w:bottom w:val="none" w:sz="0" w:space="0" w:color="auto"/>
        <w:right w:val="none" w:sz="0" w:space="0" w:color="auto"/>
      </w:divBdr>
    </w:div>
    <w:div w:id="499009455">
      <w:marLeft w:val="0"/>
      <w:marRight w:val="0"/>
      <w:marTop w:val="0"/>
      <w:marBottom w:val="240"/>
      <w:divBdr>
        <w:top w:val="none" w:sz="0" w:space="0" w:color="auto"/>
        <w:left w:val="none" w:sz="0" w:space="0" w:color="auto"/>
        <w:bottom w:val="none" w:sz="0" w:space="0" w:color="auto"/>
        <w:right w:val="none" w:sz="0" w:space="0" w:color="auto"/>
      </w:divBdr>
    </w:div>
    <w:div w:id="519509240">
      <w:marLeft w:val="0"/>
      <w:marRight w:val="0"/>
      <w:marTop w:val="0"/>
      <w:marBottom w:val="240"/>
      <w:divBdr>
        <w:top w:val="none" w:sz="0" w:space="0" w:color="auto"/>
        <w:left w:val="none" w:sz="0" w:space="0" w:color="auto"/>
        <w:bottom w:val="none" w:sz="0" w:space="0" w:color="auto"/>
        <w:right w:val="none" w:sz="0" w:space="0" w:color="auto"/>
      </w:divBdr>
    </w:div>
    <w:div w:id="535243677">
      <w:marLeft w:val="0"/>
      <w:marRight w:val="0"/>
      <w:marTop w:val="0"/>
      <w:marBottom w:val="240"/>
      <w:divBdr>
        <w:top w:val="none" w:sz="0" w:space="0" w:color="auto"/>
        <w:left w:val="none" w:sz="0" w:space="0" w:color="auto"/>
        <w:bottom w:val="none" w:sz="0" w:space="0" w:color="auto"/>
        <w:right w:val="none" w:sz="0" w:space="0" w:color="auto"/>
      </w:divBdr>
    </w:div>
    <w:div w:id="540481216">
      <w:marLeft w:val="0"/>
      <w:marRight w:val="0"/>
      <w:marTop w:val="240"/>
      <w:marBottom w:val="0"/>
      <w:divBdr>
        <w:top w:val="none" w:sz="0" w:space="0" w:color="auto"/>
        <w:left w:val="none" w:sz="0" w:space="0" w:color="auto"/>
        <w:bottom w:val="none" w:sz="0" w:space="0" w:color="auto"/>
        <w:right w:val="none" w:sz="0" w:space="0" w:color="auto"/>
      </w:divBdr>
    </w:div>
    <w:div w:id="543368256">
      <w:marLeft w:val="0"/>
      <w:marRight w:val="0"/>
      <w:marTop w:val="0"/>
      <w:marBottom w:val="240"/>
      <w:divBdr>
        <w:top w:val="none" w:sz="0" w:space="0" w:color="auto"/>
        <w:left w:val="none" w:sz="0" w:space="0" w:color="auto"/>
        <w:bottom w:val="none" w:sz="0" w:space="0" w:color="auto"/>
        <w:right w:val="none" w:sz="0" w:space="0" w:color="auto"/>
      </w:divBdr>
    </w:div>
    <w:div w:id="543518313">
      <w:marLeft w:val="0"/>
      <w:marRight w:val="0"/>
      <w:marTop w:val="240"/>
      <w:marBottom w:val="240"/>
      <w:divBdr>
        <w:top w:val="none" w:sz="0" w:space="0" w:color="auto"/>
        <w:left w:val="none" w:sz="0" w:space="0" w:color="auto"/>
        <w:bottom w:val="none" w:sz="0" w:space="0" w:color="auto"/>
        <w:right w:val="none" w:sz="0" w:space="0" w:color="auto"/>
      </w:divBdr>
    </w:div>
    <w:div w:id="549420338">
      <w:marLeft w:val="0"/>
      <w:marRight w:val="0"/>
      <w:marTop w:val="240"/>
      <w:marBottom w:val="240"/>
      <w:divBdr>
        <w:top w:val="none" w:sz="0" w:space="0" w:color="auto"/>
        <w:left w:val="none" w:sz="0" w:space="0" w:color="auto"/>
        <w:bottom w:val="none" w:sz="0" w:space="0" w:color="auto"/>
        <w:right w:val="none" w:sz="0" w:space="0" w:color="auto"/>
      </w:divBdr>
    </w:div>
    <w:div w:id="549729730">
      <w:marLeft w:val="0"/>
      <w:marRight w:val="0"/>
      <w:marTop w:val="0"/>
      <w:marBottom w:val="0"/>
      <w:divBdr>
        <w:top w:val="none" w:sz="0" w:space="0" w:color="auto"/>
        <w:left w:val="none" w:sz="0" w:space="0" w:color="auto"/>
        <w:bottom w:val="none" w:sz="0" w:space="0" w:color="auto"/>
        <w:right w:val="none" w:sz="0" w:space="0" w:color="auto"/>
      </w:divBdr>
      <w:divsChild>
        <w:div w:id="840967325">
          <w:marLeft w:val="0"/>
          <w:marRight w:val="0"/>
          <w:marTop w:val="0"/>
          <w:marBottom w:val="0"/>
          <w:divBdr>
            <w:top w:val="none" w:sz="0" w:space="0" w:color="auto"/>
            <w:left w:val="none" w:sz="0" w:space="0" w:color="auto"/>
            <w:bottom w:val="none" w:sz="0" w:space="0" w:color="auto"/>
            <w:right w:val="none" w:sz="0" w:space="0" w:color="auto"/>
          </w:divBdr>
        </w:div>
      </w:divsChild>
    </w:div>
    <w:div w:id="551966852">
      <w:marLeft w:val="0"/>
      <w:marRight w:val="0"/>
      <w:marTop w:val="0"/>
      <w:marBottom w:val="0"/>
      <w:divBdr>
        <w:top w:val="none" w:sz="0" w:space="0" w:color="auto"/>
        <w:left w:val="none" w:sz="0" w:space="0" w:color="auto"/>
        <w:bottom w:val="none" w:sz="0" w:space="0" w:color="auto"/>
        <w:right w:val="none" w:sz="0" w:space="0" w:color="auto"/>
      </w:divBdr>
    </w:div>
    <w:div w:id="557322677">
      <w:marLeft w:val="0"/>
      <w:marRight w:val="0"/>
      <w:marTop w:val="0"/>
      <w:marBottom w:val="240"/>
      <w:divBdr>
        <w:top w:val="none" w:sz="0" w:space="0" w:color="auto"/>
        <w:left w:val="none" w:sz="0" w:space="0" w:color="auto"/>
        <w:bottom w:val="none" w:sz="0" w:space="0" w:color="auto"/>
        <w:right w:val="none" w:sz="0" w:space="0" w:color="auto"/>
      </w:divBdr>
    </w:div>
    <w:div w:id="563757686">
      <w:marLeft w:val="0"/>
      <w:marRight w:val="0"/>
      <w:marTop w:val="0"/>
      <w:marBottom w:val="240"/>
      <w:divBdr>
        <w:top w:val="none" w:sz="0" w:space="0" w:color="auto"/>
        <w:left w:val="none" w:sz="0" w:space="0" w:color="auto"/>
        <w:bottom w:val="none" w:sz="0" w:space="0" w:color="auto"/>
        <w:right w:val="none" w:sz="0" w:space="0" w:color="auto"/>
      </w:divBdr>
    </w:div>
    <w:div w:id="564529054">
      <w:marLeft w:val="0"/>
      <w:marRight w:val="0"/>
      <w:marTop w:val="0"/>
      <w:marBottom w:val="120"/>
      <w:divBdr>
        <w:top w:val="none" w:sz="0" w:space="0" w:color="auto"/>
        <w:left w:val="none" w:sz="0" w:space="0" w:color="auto"/>
        <w:bottom w:val="none" w:sz="0" w:space="0" w:color="auto"/>
        <w:right w:val="none" w:sz="0" w:space="0" w:color="auto"/>
      </w:divBdr>
    </w:div>
    <w:div w:id="572814117">
      <w:marLeft w:val="0"/>
      <w:marRight w:val="0"/>
      <w:marTop w:val="0"/>
      <w:marBottom w:val="240"/>
      <w:divBdr>
        <w:top w:val="none" w:sz="0" w:space="0" w:color="auto"/>
        <w:left w:val="none" w:sz="0" w:space="0" w:color="auto"/>
        <w:bottom w:val="none" w:sz="0" w:space="0" w:color="auto"/>
        <w:right w:val="none" w:sz="0" w:space="0" w:color="auto"/>
      </w:divBdr>
    </w:div>
    <w:div w:id="574704767">
      <w:marLeft w:val="0"/>
      <w:marRight w:val="0"/>
      <w:marTop w:val="0"/>
      <w:marBottom w:val="240"/>
      <w:divBdr>
        <w:top w:val="none" w:sz="0" w:space="0" w:color="auto"/>
        <w:left w:val="none" w:sz="0" w:space="0" w:color="auto"/>
        <w:bottom w:val="none" w:sz="0" w:space="0" w:color="auto"/>
        <w:right w:val="none" w:sz="0" w:space="0" w:color="auto"/>
      </w:divBdr>
    </w:div>
    <w:div w:id="575867546">
      <w:marLeft w:val="0"/>
      <w:marRight w:val="0"/>
      <w:marTop w:val="60"/>
      <w:marBottom w:val="0"/>
      <w:divBdr>
        <w:top w:val="none" w:sz="0" w:space="0" w:color="auto"/>
        <w:left w:val="none" w:sz="0" w:space="0" w:color="auto"/>
        <w:bottom w:val="none" w:sz="0" w:space="0" w:color="auto"/>
        <w:right w:val="none" w:sz="0" w:space="0" w:color="auto"/>
      </w:divBdr>
    </w:div>
    <w:div w:id="579293866">
      <w:marLeft w:val="0"/>
      <w:marRight w:val="0"/>
      <w:marTop w:val="0"/>
      <w:marBottom w:val="240"/>
      <w:divBdr>
        <w:top w:val="none" w:sz="0" w:space="0" w:color="auto"/>
        <w:left w:val="none" w:sz="0" w:space="0" w:color="auto"/>
        <w:bottom w:val="none" w:sz="0" w:space="0" w:color="auto"/>
        <w:right w:val="none" w:sz="0" w:space="0" w:color="auto"/>
      </w:divBdr>
    </w:div>
    <w:div w:id="580260449">
      <w:marLeft w:val="0"/>
      <w:marRight w:val="0"/>
      <w:marTop w:val="60"/>
      <w:marBottom w:val="0"/>
      <w:divBdr>
        <w:top w:val="none" w:sz="0" w:space="0" w:color="auto"/>
        <w:left w:val="none" w:sz="0" w:space="0" w:color="auto"/>
        <w:bottom w:val="none" w:sz="0" w:space="0" w:color="auto"/>
        <w:right w:val="none" w:sz="0" w:space="0" w:color="auto"/>
      </w:divBdr>
    </w:div>
    <w:div w:id="585840649">
      <w:marLeft w:val="0"/>
      <w:marRight w:val="0"/>
      <w:marTop w:val="0"/>
      <w:marBottom w:val="0"/>
      <w:divBdr>
        <w:top w:val="none" w:sz="0" w:space="0" w:color="auto"/>
        <w:left w:val="none" w:sz="0" w:space="0" w:color="auto"/>
        <w:bottom w:val="none" w:sz="0" w:space="0" w:color="auto"/>
        <w:right w:val="none" w:sz="0" w:space="0" w:color="auto"/>
      </w:divBdr>
      <w:divsChild>
        <w:div w:id="2069575398">
          <w:marLeft w:val="0"/>
          <w:marRight w:val="0"/>
          <w:marTop w:val="0"/>
          <w:marBottom w:val="0"/>
          <w:divBdr>
            <w:top w:val="none" w:sz="0" w:space="0" w:color="auto"/>
            <w:left w:val="none" w:sz="0" w:space="0" w:color="auto"/>
            <w:bottom w:val="none" w:sz="0" w:space="0" w:color="auto"/>
            <w:right w:val="none" w:sz="0" w:space="0" w:color="auto"/>
          </w:divBdr>
        </w:div>
      </w:divsChild>
    </w:div>
    <w:div w:id="588730498">
      <w:marLeft w:val="0"/>
      <w:marRight w:val="0"/>
      <w:marTop w:val="0"/>
      <w:marBottom w:val="240"/>
      <w:divBdr>
        <w:top w:val="none" w:sz="0" w:space="0" w:color="auto"/>
        <w:left w:val="none" w:sz="0" w:space="0" w:color="auto"/>
        <w:bottom w:val="none" w:sz="0" w:space="0" w:color="auto"/>
        <w:right w:val="none" w:sz="0" w:space="0" w:color="auto"/>
      </w:divBdr>
    </w:div>
    <w:div w:id="589698024">
      <w:marLeft w:val="0"/>
      <w:marRight w:val="0"/>
      <w:marTop w:val="0"/>
      <w:marBottom w:val="0"/>
      <w:divBdr>
        <w:top w:val="none" w:sz="0" w:space="0" w:color="auto"/>
        <w:left w:val="none" w:sz="0" w:space="0" w:color="auto"/>
        <w:bottom w:val="none" w:sz="0" w:space="0" w:color="auto"/>
        <w:right w:val="none" w:sz="0" w:space="0" w:color="auto"/>
      </w:divBdr>
    </w:div>
    <w:div w:id="599412320">
      <w:marLeft w:val="0"/>
      <w:marRight w:val="0"/>
      <w:marTop w:val="0"/>
      <w:marBottom w:val="0"/>
      <w:divBdr>
        <w:top w:val="none" w:sz="0" w:space="0" w:color="auto"/>
        <w:left w:val="none" w:sz="0" w:space="0" w:color="auto"/>
        <w:bottom w:val="none" w:sz="0" w:space="0" w:color="auto"/>
        <w:right w:val="none" w:sz="0" w:space="0" w:color="auto"/>
      </w:divBdr>
      <w:divsChild>
        <w:div w:id="293340585">
          <w:marLeft w:val="0"/>
          <w:marRight w:val="0"/>
          <w:marTop w:val="0"/>
          <w:marBottom w:val="0"/>
          <w:divBdr>
            <w:top w:val="none" w:sz="0" w:space="0" w:color="auto"/>
            <w:left w:val="none" w:sz="0" w:space="0" w:color="auto"/>
            <w:bottom w:val="none" w:sz="0" w:space="0" w:color="auto"/>
            <w:right w:val="none" w:sz="0" w:space="0" w:color="auto"/>
          </w:divBdr>
        </w:div>
      </w:divsChild>
    </w:div>
    <w:div w:id="603263984">
      <w:marLeft w:val="0"/>
      <w:marRight w:val="0"/>
      <w:marTop w:val="0"/>
      <w:marBottom w:val="240"/>
      <w:divBdr>
        <w:top w:val="none" w:sz="0" w:space="0" w:color="auto"/>
        <w:left w:val="none" w:sz="0" w:space="0" w:color="auto"/>
        <w:bottom w:val="none" w:sz="0" w:space="0" w:color="auto"/>
        <w:right w:val="none" w:sz="0" w:space="0" w:color="auto"/>
      </w:divBdr>
    </w:div>
    <w:div w:id="603462142">
      <w:marLeft w:val="0"/>
      <w:marRight w:val="0"/>
      <w:marTop w:val="0"/>
      <w:marBottom w:val="240"/>
      <w:divBdr>
        <w:top w:val="none" w:sz="0" w:space="0" w:color="auto"/>
        <w:left w:val="none" w:sz="0" w:space="0" w:color="auto"/>
        <w:bottom w:val="none" w:sz="0" w:space="0" w:color="auto"/>
        <w:right w:val="none" w:sz="0" w:space="0" w:color="auto"/>
      </w:divBdr>
    </w:div>
    <w:div w:id="605693470">
      <w:marLeft w:val="0"/>
      <w:marRight w:val="0"/>
      <w:marTop w:val="0"/>
      <w:marBottom w:val="240"/>
      <w:divBdr>
        <w:top w:val="none" w:sz="0" w:space="0" w:color="auto"/>
        <w:left w:val="none" w:sz="0" w:space="0" w:color="auto"/>
        <w:bottom w:val="none" w:sz="0" w:space="0" w:color="auto"/>
        <w:right w:val="none" w:sz="0" w:space="0" w:color="auto"/>
      </w:divBdr>
    </w:div>
    <w:div w:id="611088759">
      <w:marLeft w:val="0"/>
      <w:marRight w:val="0"/>
      <w:marTop w:val="0"/>
      <w:marBottom w:val="240"/>
      <w:divBdr>
        <w:top w:val="none" w:sz="0" w:space="0" w:color="auto"/>
        <w:left w:val="none" w:sz="0" w:space="0" w:color="auto"/>
        <w:bottom w:val="none" w:sz="0" w:space="0" w:color="auto"/>
        <w:right w:val="none" w:sz="0" w:space="0" w:color="auto"/>
      </w:divBdr>
    </w:div>
    <w:div w:id="612711894">
      <w:marLeft w:val="0"/>
      <w:marRight w:val="0"/>
      <w:marTop w:val="0"/>
      <w:marBottom w:val="120"/>
      <w:divBdr>
        <w:top w:val="none" w:sz="0" w:space="0" w:color="auto"/>
        <w:left w:val="none" w:sz="0" w:space="0" w:color="auto"/>
        <w:bottom w:val="none" w:sz="0" w:space="0" w:color="auto"/>
        <w:right w:val="none" w:sz="0" w:space="0" w:color="auto"/>
      </w:divBdr>
    </w:div>
    <w:div w:id="613098751">
      <w:marLeft w:val="0"/>
      <w:marRight w:val="0"/>
      <w:marTop w:val="0"/>
      <w:marBottom w:val="240"/>
      <w:divBdr>
        <w:top w:val="none" w:sz="0" w:space="0" w:color="auto"/>
        <w:left w:val="none" w:sz="0" w:space="0" w:color="auto"/>
        <w:bottom w:val="none" w:sz="0" w:space="0" w:color="auto"/>
        <w:right w:val="none" w:sz="0" w:space="0" w:color="auto"/>
      </w:divBdr>
    </w:div>
    <w:div w:id="614481426">
      <w:marLeft w:val="0"/>
      <w:marRight w:val="0"/>
      <w:marTop w:val="0"/>
      <w:marBottom w:val="0"/>
      <w:divBdr>
        <w:top w:val="none" w:sz="0" w:space="0" w:color="auto"/>
        <w:left w:val="none" w:sz="0" w:space="0" w:color="auto"/>
        <w:bottom w:val="none" w:sz="0" w:space="0" w:color="auto"/>
        <w:right w:val="none" w:sz="0" w:space="0" w:color="auto"/>
      </w:divBdr>
      <w:divsChild>
        <w:div w:id="1037119285">
          <w:marLeft w:val="0"/>
          <w:marRight w:val="0"/>
          <w:marTop w:val="0"/>
          <w:marBottom w:val="0"/>
          <w:divBdr>
            <w:top w:val="none" w:sz="0" w:space="0" w:color="auto"/>
            <w:left w:val="none" w:sz="0" w:space="0" w:color="auto"/>
            <w:bottom w:val="none" w:sz="0" w:space="0" w:color="auto"/>
            <w:right w:val="none" w:sz="0" w:space="0" w:color="auto"/>
          </w:divBdr>
        </w:div>
      </w:divsChild>
    </w:div>
    <w:div w:id="628904184">
      <w:marLeft w:val="0"/>
      <w:marRight w:val="0"/>
      <w:marTop w:val="0"/>
      <w:marBottom w:val="240"/>
      <w:divBdr>
        <w:top w:val="none" w:sz="0" w:space="0" w:color="auto"/>
        <w:left w:val="none" w:sz="0" w:space="0" w:color="auto"/>
        <w:bottom w:val="none" w:sz="0" w:space="0" w:color="auto"/>
        <w:right w:val="none" w:sz="0" w:space="0" w:color="auto"/>
      </w:divBdr>
    </w:div>
    <w:div w:id="629434139">
      <w:marLeft w:val="0"/>
      <w:marRight w:val="0"/>
      <w:marTop w:val="0"/>
      <w:marBottom w:val="240"/>
      <w:divBdr>
        <w:top w:val="none" w:sz="0" w:space="0" w:color="auto"/>
        <w:left w:val="none" w:sz="0" w:space="0" w:color="auto"/>
        <w:bottom w:val="none" w:sz="0" w:space="0" w:color="auto"/>
        <w:right w:val="none" w:sz="0" w:space="0" w:color="auto"/>
      </w:divBdr>
    </w:div>
    <w:div w:id="630019129">
      <w:marLeft w:val="0"/>
      <w:marRight w:val="0"/>
      <w:marTop w:val="0"/>
      <w:marBottom w:val="0"/>
      <w:divBdr>
        <w:top w:val="none" w:sz="0" w:space="0" w:color="auto"/>
        <w:left w:val="none" w:sz="0" w:space="0" w:color="auto"/>
        <w:bottom w:val="none" w:sz="0" w:space="0" w:color="auto"/>
        <w:right w:val="none" w:sz="0" w:space="0" w:color="auto"/>
      </w:divBdr>
    </w:div>
    <w:div w:id="630788875">
      <w:marLeft w:val="0"/>
      <w:marRight w:val="0"/>
      <w:marTop w:val="0"/>
      <w:marBottom w:val="240"/>
      <w:divBdr>
        <w:top w:val="none" w:sz="0" w:space="0" w:color="auto"/>
        <w:left w:val="none" w:sz="0" w:space="0" w:color="auto"/>
        <w:bottom w:val="none" w:sz="0" w:space="0" w:color="auto"/>
        <w:right w:val="none" w:sz="0" w:space="0" w:color="auto"/>
      </w:divBdr>
    </w:div>
    <w:div w:id="632440967">
      <w:marLeft w:val="0"/>
      <w:marRight w:val="0"/>
      <w:marTop w:val="0"/>
      <w:marBottom w:val="0"/>
      <w:divBdr>
        <w:top w:val="none" w:sz="0" w:space="0" w:color="auto"/>
        <w:left w:val="none" w:sz="0" w:space="0" w:color="auto"/>
        <w:bottom w:val="none" w:sz="0" w:space="0" w:color="auto"/>
        <w:right w:val="none" w:sz="0" w:space="0" w:color="auto"/>
      </w:divBdr>
      <w:divsChild>
        <w:div w:id="789475797">
          <w:marLeft w:val="0"/>
          <w:marRight w:val="0"/>
          <w:marTop w:val="0"/>
          <w:marBottom w:val="0"/>
          <w:divBdr>
            <w:top w:val="none" w:sz="0" w:space="0" w:color="auto"/>
            <w:left w:val="none" w:sz="0" w:space="0" w:color="auto"/>
            <w:bottom w:val="none" w:sz="0" w:space="0" w:color="auto"/>
            <w:right w:val="none" w:sz="0" w:space="0" w:color="auto"/>
          </w:divBdr>
        </w:div>
      </w:divsChild>
    </w:div>
    <w:div w:id="640842133">
      <w:marLeft w:val="0"/>
      <w:marRight w:val="0"/>
      <w:marTop w:val="0"/>
      <w:marBottom w:val="240"/>
      <w:divBdr>
        <w:top w:val="none" w:sz="0" w:space="0" w:color="auto"/>
        <w:left w:val="none" w:sz="0" w:space="0" w:color="auto"/>
        <w:bottom w:val="none" w:sz="0" w:space="0" w:color="auto"/>
        <w:right w:val="none" w:sz="0" w:space="0" w:color="auto"/>
      </w:divBdr>
    </w:div>
    <w:div w:id="641545451">
      <w:marLeft w:val="0"/>
      <w:marRight w:val="0"/>
      <w:marTop w:val="0"/>
      <w:marBottom w:val="0"/>
      <w:divBdr>
        <w:top w:val="none" w:sz="0" w:space="0" w:color="auto"/>
        <w:left w:val="none" w:sz="0" w:space="0" w:color="auto"/>
        <w:bottom w:val="none" w:sz="0" w:space="0" w:color="auto"/>
        <w:right w:val="none" w:sz="0" w:space="0" w:color="auto"/>
      </w:divBdr>
    </w:div>
    <w:div w:id="645667730">
      <w:marLeft w:val="0"/>
      <w:marRight w:val="0"/>
      <w:marTop w:val="0"/>
      <w:marBottom w:val="0"/>
      <w:divBdr>
        <w:top w:val="none" w:sz="0" w:space="0" w:color="auto"/>
        <w:left w:val="none" w:sz="0" w:space="0" w:color="auto"/>
        <w:bottom w:val="none" w:sz="0" w:space="0" w:color="auto"/>
        <w:right w:val="none" w:sz="0" w:space="0" w:color="auto"/>
      </w:divBdr>
    </w:div>
    <w:div w:id="646058501">
      <w:marLeft w:val="0"/>
      <w:marRight w:val="0"/>
      <w:marTop w:val="0"/>
      <w:marBottom w:val="260"/>
      <w:divBdr>
        <w:top w:val="none" w:sz="0" w:space="0" w:color="auto"/>
        <w:left w:val="none" w:sz="0" w:space="0" w:color="auto"/>
        <w:bottom w:val="none" w:sz="0" w:space="0" w:color="auto"/>
        <w:right w:val="none" w:sz="0" w:space="0" w:color="auto"/>
      </w:divBdr>
    </w:div>
    <w:div w:id="646595954">
      <w:marLeft w:val="0"/>
      <w:marRight w:val="0"/>
      <w:marTop w:val="240"/>
      <w:marBottom w:val="240"/>
      <w:divBdr>
        <w:top w:val="none" w:sz="0" w:space="0" w:color="auto"/>
        <w:left w:val="none" w:sz="0" w:space="0" w:color="auto"/>
        <w:bottom w:val="none" w:sz="0" w:space="0" w:color="auto"/>
        <w:right w:val="none" w:sz="0" w:space="0" w:color="auto"/>
      </w:divBdr>
    </w:div>
    <w:div w:id="653877662">
      <w:marLeft w:val="0"/>
      <w:marRight w:val="0"/>
      <w:marTop w:val="0"/>
      <w:marBottom w:val="0"/>
      <w:divBdr>
        <w:top w:val="none" w:sz="0" w:space="0" w:color="auto"/>
        <w:left w:val="none" w:sz="0" w:space="0" w:color="auto"/>
        <w:bottom w:val="none" w:sz="0" w:space="0" w:color="auto"/>
        <w:right w:val="none" w:sz="0" w:space="0" w:color="auto"/>
      </w:divBdr>
      <w:divsChild>
        <w:div w:id="1055545473">
          <w:marLeft w:val="0"/>
          <w:marRight w:val="0"/>
          <w:marTop w:val="0"/>
          <w:marBottom w:val="0"/>
          <w:divBdr>
            <w:top w:val="none" w:sz="0" w:space="0" w:color="auto"/>
            <w:left w:val="none" w:sz="0" w:space="0" w:color="auto"/>
            <w:bottom w:val="none" w:sz="0" w:space="0" w:color="auto"/>
            <w:right w:val="none" w:sz="0" w:space="0" w:color="auto"/>
          </w:divBdr>
        </w:div>
        <w:div w:id="1692102843">
          <w:marLeft w:val="0"/>
          <w:marRight w:val="0"/>
          <w:marTop w:val="0"/>
          <w:marBottom w:val="0"/>
          <w:divBdr>
            <w:top w:val="none" w:sz="0" w:space="0" w:color="auto"/>
            <w:left w:val="none" w:sz="0" w:space="0" w:color="auto"/>
            <w:bottom w:val="none" w:sz="0" w:space="0" w:color="auto"/>
            <w:right w:val="none" w:sz="0" w:space="0" w:color="auto"/>
          </w:divBdr>
        </w:div>
        <w:div w:id="1537039159">
          <w:marLeft w:val="0"/>
          <w:marRight w:val="0"/>
          <w:marTop w:val="0"/>
          <w:marBottom w:val="0"/>
          <w:divBdr>
            <w:top w:val="none" w:sz="0" w:space="0" w:color="auto"/>
            <w:left w:val="none" w:sz="0" w:space="0" w:color="auto"/>
            <w:bottom w:val="none" w:sz="0" w:space="0" w:color="auto"/>
            <w:right w:val="none" w:sz="0" w:space="0" w:color="auto"/>
          </w:divBdr>
        </w:div>
        <w:div w:id="2009013651">
          <w:marLeft w:val="0"/>
          <w:marRight w:val="0"/>
          <w:marTop w:val="0"/>
          <w:marBottom w:val="0"/>
          <w:divBdr>
            <w:top w:val="none" w:sz="0" w:space="0" w:color="auto"/>
            <w:left w:val="none" w:sz="0" w:space="0" w:color="auto"/>
            <w:bottom w:val="none" w:sz="0" w:space="0" w:color="auto"/>
            <w:right w:val="none" w:sz="0" w:space="0" w:color="auto"/>
          </w:divBdr>
        </w:div>
        <w:div w:id="569972242">
          <w:marLeft w:val="0"/>
          <w:marRight w:val="0"/>
          <w:marTop w:val="0"/>
          <w:marBottom w:val="0"/>
          <w:divBdr>
            <w:top w:val="none" w:sz="0" w:space="0" w:color="auto"/>
            <w:left w:val="none" w:sz="0" w:space="0" w:color="auto"/>
            <w:bottom w:val="none" w:sz="0" w:space="0" w:color="auto"/>
            <w:right w:val="none" w:sz="0" w:space="0" w:color="auto"/>
          </w:divBdr>
        </w:div>
        <w:div w:id="1141770111">
          <w:marLeft w:val="0"/>
          <w:marRight w:val="0"/>
          <w:marTop w:val="0"/>
          <w:marBottom w:val="0"/>
          <w:divBdr>
            <w:top w:val="none" w:sz="0" w:space="0" w:color="auto"/>
            <w:left w:val="none" w:sz="0" w:space="0" w:color="auto"/>
            <w:bottom w:val="none" w:sz="0" w:space="0" w:color="auto"/>
            <w:right w:val="none" w:sz="0" w:space="0" w:color="auto"/>
          </w:divBdr>
        </w:div>
      </w:divsChild>
    </w:div>
    <w:div w:id="654604740">
      <w:marLeft w:val="0"/>
      <w:marRight w:val="0"/>
      <w:marTop w:val="0"/>
      <w:marBottom w:val="240"/>
      <w:divBdr>
        <w:top w:val="none" w:sz="0" w:space="0" w:color="auto"/>
        <w:left w:val="none" w:sz="0" w:space="0" w:color="auto"/>
        <w:bottom w:val="none" w:sz="0" w:space="0" w:color="auto"/>
        <w:right w:val="none" w:sz="0" w:space="0" w:color="auto"/>
      </w:divBdr>
    </w:div>
    <w:div w:id="654720663">
      <w:marLeft w:val="0"/>
      <w:marRight w:val="0"/>
      <w:marTop w:val="0"/>
      <w:marBottom w:val="240"/>
      <w:divBdr>
        <w:top w:val="none" w:sz="0" w:space="0" w:color="auto"/>
        <w:left w:val="none" w:sz="0" w:space="0" w:color="auto"/>
        <w:bottom w:val="none" w:sz="0" w:space="0" w:color="auto"/>
        <w:right w:val="none" w:sz="0" w:space="0" w:color="auto"/>
      </w:divBdr>
    </w:div>
    <w:div w:id="655190404">
      <w:marLeft w:val="0"/>
      <w:marRight w:val="0"/>
      <w:marTop w:val="0"/>
      <w:marBottom w:val="240"/>
      <w:divBdr>
        <w:top w:val="none" w:sz="0" w:space="0" w:color="auto"/>
        <w:left w:val="none" w:sz="0" w:space="0" w:color="auto"/>
        <w:bottom w:val="none" w:sz="0" w:space="0" w:color="auto"/>
        <w:right w:val="none" w:sz="0" w:space="0" w:color="auto"/>
      </w:divBdr>
    </w:div>
    <w:div w:id="657198638">
      <w:marLeft w:val="0"/>
      <w:marRight w:val="0"/>
      <w:marTop w:val="0"/>
      <w:marBottom w:val="240"/>
      <w:divBdr>
        <w:top w:val="none" w:sz="0" w:space="0" w:color="auto"/>
        <w:left w:val="none" w:sz="0" w:space="0" w:color="auto"/>
        <w:bottom w:val="none" w:sz="0" w:space="0" w:color="auto"/>
        <w:right w:val="none" w:sz="0" w:space="0" w:color="auto"/>
      </w:divBdr>
    </w:div>
    <w:div w:id="657921478">
      <w:marLeft w:val="0"/>
      <w:marRight w:val="0"/>
      <w:marTop w:val="0"/>
      <w:marBottom w:val="0"/>
      <w:divBdr>
        <w:top w:val="none" w:sz="0" w:space="0" w:color="auto"/>
        <w:left w:val="none" w:sz="0" w:space="0" w:color="auto"/>
        <w:bottom w:val="none" w:sz="0" w:space="0" w:color="auto"/>
        <w:right w:val="none" w:sz="0" w:space="0" w:color="auto"/>
      </w:divBdr>
      <w:divsChild>
        <w:div w:id="2095931373">
          <w:marLeft w:val="0"/>
          <w:marRight w:val="0"/>
          <w:marTop w:val="0"/>
          <w:marBottom w:val="0"/>
          <w:divBdr>
            <w:top w:val="none" w:sz="0" w:space="0" w:color="auto"/>
            <w:left w:val="none" w:sz="0" w:space="0" w:color="auto"/>
            <w:bottom w:val="none" w:sz="0" w:space="0" w:color="auto"/>
            <w:right w:val="none" w:sz="0" w:space="0" w:color="auto"/>
          </w:divBdr>
        </w:div>
      </w:divsChild>
    </w:div>
    <w:div w:id="658188663">
      <w:marLeft w:val="0"/>
      <w:marRight w:val="0"/>
      <w:marTop w:val="0"/>
      <w:marBottom w:val="240"/>
      <w:divBdr>
        <w:top w:val="none" w:sz="0" w:space="0" w:color="auto"/>
        <w:left w:val="none" w:sz="0" w:space="0" w:color="auto"/>
        <w:bottom w:val="none" w:sz="0" w:space="0" w:color="auto"/>
        <w:right w:val="none" w:sz="0" w:space="0" w:color="auto"/>
      </w:divBdr>
    </w:div>
    <w:div w:id="659115795">
      <w:marLeft w:val="0"/>
      <w:marRight w:val="0"/>
      <w:marTop w:val="0"/>
      <w:marBottom w:val="120"/>
      <w:divBdr>
        <w:top w:val="none" w:sz="0" w:space="0" w:color="auto"/>
        <w:left w:val="none" w:sz="0" w:space="0" w:color="auto"/>
        <w:bottom w:val="none" w:sz="0" w:space="0" w:color="auto"/>
        <w:right w:val="none" w:sz="0" w:space="0" w:color="auto"/>
      </w:divBdr>
    </w:div>
    <w:div w:id="661087758">
      <w:marLeft w:val="0"/>
      <w:marRight w:val="0"/>
      <w:marTop w:val="0"/>
      <w:marBottom w:val="240"/>
      <w:divBdr>
        <w:top w:val="none" w:sz="0" w:space="0" w:color="auto"/>
        <w:left w:val="none" w:sz="0" w:space="0" w:color="auto"/>
        <w:bottom w:val="none" w:sz="0" w:space="0" w:color="auto"/>
        <w:right w:val="none" w:sz="0" w:space="0" w:color="auto"/>
      </w:divBdr>
    </w:div>
    <w:div w:id="663047464">
      <w:marLeft w:val="0"/>
      <w:marRight w:val="0"/>
      <w:marTop w:val="0"/>
      <w:marBottom w:val="240"/>
      <w:divBdr>
        <w:top w:val="none" w:sz="0" w:space="0" w:color="auto"/>
        <w:left w:val="none" w:sz="0" w:space="0" w:color="auto"/>
        <w:bottom w:val="none" w:sz="0" w:space="0" w:color="auto"/>
        <w:right w:val="none" w:sz="0" w:space="0" w:color="auto"/>
      </w:divBdr>
    </w:div>
    <w:div w:id="663892966">
      <w:marLeft w:val="0"/>
      <w:marRight w:val="0"/>
      <w:marTop w:val="0"/>
      <w:marBottom w:val="0"/>
      <w:divBdr>
        <w:top w:val="none" w:sz="0" w:space="0" w:color="auto"/>
        <w:left w:val="none" w:sz="0" w:space="0" w:color="auto"/>
        <w:bottom w:val="none" w:sz="0" w:space="0" w:color="auto"/>
        <w:right w:val="none" w:sz="0" w:space="0" w:color="auto"/>
      </w:divBdr>
    </w:div>
    <w:div w:id="668750677">
      <w:marLeft w:val="0"/>
      <w:marRight w:val="0"/>
      <w:marTop w:val="0"/>
      <w:marBottom w:val="240"/>
      <w:divBdr>
        <w:top w:val="none" w:sz="0" w:space="0" w:color="auto"/>
        <w:left w:val="none" w:sz="0" w:space="0" w:color="auto"/>
        <w:bottom w:val="none" w:sz="0" w:space="0" w:color="auto"/>
        <w:right w:val="none" w:sz="0" w:space="0" w:color="auto"/>
      </w:divBdr>
    </w:div>
    <w:div w:id="670641696">
      <w:marLeft w:val="0"/>
      <w:marRight w:val="0"/>
      <w:marTop w:val="0"/>
      <w:marBottom w:val="240"/>
      <w:divBdr>
        <w:top w:val="none" w:sz="0" w:space="0" w:color="auto"/>
        <w:left w:val="none" w:sz="0" w:space="0" w:color="auto"/>
        <w:bottom w:val="none" w:sz="0" w:space="0" w:color="auto"/>
        <w:right w:val="none" w:sz="0" w:space="0" w:color="auto"/>
      </w:divBdr>
    </w:div>
    <w:div w:id="671488315">
      <w:marLeft w:val="0"/>
      <w:marRight w:val="0"/>
      <w:marTop w:val="0"/>
      <w:marBottom w:val="240"/>
      <w:divBdr>
        <w:top w:val="none" w:sz="0" w:space="0" w:color="auto"/>
        <w:left w:val="none" w:sz="0" w:space="0" w:color="auto"/>
        <w:bottom w:val="none" w:sz="0" w:space="0" w:color="auto"/>
        <w:right w:val="none" w:sz="0" w:space="0" w:color="auto"/>
      </w:divBdr>
    </w:div>
    <w:div w:id="677317504">
      <w:marLeft w:val="0"/>
      <w:marRight w:val="0"/>
      <w:marTop w:val="240"/>
      <w:marBottom w:val="240"/>
      <w:divBdr>
        <w:top w:val="none" w:sz="0" w:space="0" w:color="auto"/>
        <w:left w:val="none" w:sz="0" w:space="0" w:color="auto"/>
        <w:bottom w:val="none" w:sz="0" w:space="0" w:color="auto"/>
        <w:right w:val="none" w:sz="0" w:space="0" w:color="auto"/>
      </w:divBdr>
    </w:div>
    <w:div w:id="678197373">
      <w:marLeft w:val="0"/>
      <w:marRight w:val="0"/>
      <w:marTop w:val="0"/>
      <w:marBottom w:val="240"/>
      <w:divBdr>
        <w:top w:val="none" w:sz="0" w:space="0" w:color="auto"/>
        <w:left w:val="none" w:sz="0" w:space="0" w:color="auto"/>
        <w:bottom w:val="none" w:sz="0" w:space="0" w:color="auto"/>
        <w:right w:val="none" w:sz="0" w:space="0" w:color="auto"/>
      </w:divBdr>
    </w:div>
    <w:div w:id="680819936">
      <w:marLeft w:val="0"/>
      <w:marRight w:val="0"/>
      <w:marTop w:val="0"/>
      <w:marBottom w:val="240"/>
      <w:divBdr>
        <w:top w:val="none" w:sz="0" w:space="0" w:color="auto"/>
        <w:left w:val="none" w:sz="0" w:space="0" w:color="auto"/>
        <w:bottom w:val="none" w:sz="0" w:space="0" w:color="auto"/>
        <w:right w:val="none" w:sz="0" w:space="0" w:color="auto"/>
      </w:divBdr>
    </w:div>
    <w:div w:id="680939082">
      <w:marLeft w:val="0"/>
      <w:marRight w:val="0"/>
      <w:marTop w:val="0"/>
      <w:marBottom w:val="0"/>
      <w:divBdr>
        <w:top w:val="none" w:sz="0" w:space="0" w:color="auto"/>
        <w:left w:val="none" w:sz="0" w:space="0" w:color="auto"/>
        <w:bottom w:val="none" w:sz="0" w:space="0" w:color="auto"/>
        <w:right w:val="none" w:sz="0" w:space="0" w:color="auto"/>
      </w:divBdr>
    </w:div>
    <w:div w:id="685248327">
      <w:marLeft w:val="0"/>
      <w:marRight w:val="0"/>
      <w:marTop w:val="0"/>
      <w:marBottom w:val="0"/>
      <w:divBdr>
        <w:top w:val="none" w:sz="0" w:space="0" w:color="auto"/>
        <w:left w:val="none" w:sz="0" w:space="0" w:color="auto"/>
        <w:bottom w:val="none" w:sz="0" w:space="0" w:color="auto"/>
        <w:right w:val="none" w:sz="0" w:space="0" w:color="auto"/>
      </w:divBdr>
      <w:divsChild>
        <w:div w:id="1828742452">
          <w:marLeft w:val="0"/>
          <w:marRight w:val="0"/>
          <w:marTop w:val="0"/>
          <w:marBottom w:val="0"/>
          <w:divBdr>
            <w:top w:val="none" w:sz="0" w:space="0" w:color="auto"/>
            <w:left w:val="none" w:sz="0" w:space="0" w:color="auto"/>
            <w:bottom w:val="none" w:sz="0" w:space="0" w:color="auto"/>
            <w:right w:val="none" w:sz="0" w:space="0" w:color="auto"/>
          </w:divBdr>
        </w:div>
      </w:divsChild>
    </w:div>
    <w:div w:id="687297389">
      <w:marLeft w:val="0"/>
      <w:marRight w:val="0"/>
      <w:marTop w:val="0"/>
      <w:marBottom w:val="0"/>
      <w:divBdr>
        <w:top w:val="none" w:sz="0" w:space="0" w:color="auto"/>
        <w:left w:val="none" w:sz="0" w:space="0" w:color="auto"/>
        <w:bottom w:val="none" w:sz="0" w:space="0" w:color="auto"/>
        <w:right w:val="none" w:sz="0" w:space="0" w:color="auto"/>
      </w:divBdr>
      <w:divsChild>
        <w:div w:id="1244026570">
          <w:marLeft w:val="0"/>
          <w:marRight w:val="0"/>
          <w:marTop w:val="0"/>
          <w:marBottom w:val="0"/>
          <w:divBdr>
            <w:top w:val="none" w:sz="0" w:space="0" w:color="auto"/>
            <w:left w:val="none" w:sz="0" w:space="0" w:color="auto"/>
            <w:bottom w:val="none" w:sz="0" w:space="0" w:color="auto"/>
            <w:right w:val="none" w:sz="0" w:space="0" w:color="auto"/>
          </w:divBdr>
        </w:div>
      </w:divsChild>
    </w:div>
    <w:div w:id="691809860">
      <w:marLeft w:val="0"/>
      <w:marRight w:val="0"/>
      <w:marTop w:val="0"/>
      <w:marBottom w:val="240"/>
      <w:divBdr>
        <w:top w:val="none" w:sz="0" w:space="0" w:color="auto"/>
        <w:left w:val="none" w:sz="0" w:space="0" w:color="auto"/>
        <w:bottom w:val="none" w:sz="0" w:space="0" w:color="auto"/>
        <w:right w:val="none" w:sz="0" w:space="0" w:color="auto"/>
      </w:divBdr>
    </w:div>
    <w:div w:id="698506487">
      <w:marLeft w:val="0"/>
      <w:marRight w:val="0"/>
      <w:marTop w:val="240"/>
      <w:marBottom w:val="240"/>
      <w:divBdr>
        <w:top w:val="none" w:sz="0" w:space="0" w:color="auto"/>
        <w:left w:val="none" w:sz="0" w:space="0" w:color="auto"/>
        <w:bottom w:val="none" w:sz="0" w:space="0" w:color="auto"/>
        <w:right w:val="none" w:sz="0" w:space="0" w:color="auto"/>
      </w:divBdr>
    </w:div>
    <w:div w:id="701514022">
      <w:marLeft w:val="0"/>
      <w:marRight w:val="0"/>
      <w:marTop w:val="0"/>
      <w:marBottom w:val="240"/>
      <w:divBdr>
        <w:top w:val="none" w:sz="0" w:space="0" w:color="auto"/>
        <w:left w:val="none" w:sz="0" w:space="0" w:color="auto"/>
        <w:bottom w:val="none" w:sz="0" w:space="0" w:color="auto"/>
        <w:right w:val="none" w:sz="0" w:space="0" w:color="auto"/>
      </w:divBdr>
    </w:div>
    <w:div w:id="703335342">
      <w:marLeft w:val="0"/>
      <w:marRight w:val="0"/>
      <w:marTop w:val="0"/>
      <w:marBottom w:val="240"/>
      <w:divBdr>
        <w:top w:val="none" w:sz="0" w:space="0" w:color="auto"/>
        <w:left w:val="none" w:sz="0" w:space="0" w:color="auto"/>
        <w:bottom w:val="none" w:sz="0" w:space="0" w:color="auto"/>
        <w:right w:val="none" w:sz="0" w:space="0" w:color="auto"/>
      </w:divBdr>
    </w:div>
    <w:div w:id="707878107">
      <w:marLeft w:val="0"/>
      <w:marRight w:val="0"/>
      <w:marTop w:val="0"/>
      <w:marBottom w:val="240"/>
      <w:divBdr>
        <w:top w:val="none" w:sz="0" w:space="0" w:color="auto"/>
        <w:left w:val="none" w:sz="0" w:space="0" w:color="auto"/>
        <w:bottom w:val="none" w:sz="0" w:space="0" w:color="auto"/>
        <w:right w:val="none" w:sz="0" w:space="0" w:color="auto"/>
      </w:divBdr>
    </w:div>
    <w:div w:id="717974562">
      <w:marLeft w:val="0"/>
      <w:marRight w:val="0"/>
      <w:marTop w:val="0"/>
      <w:marBottom w:val="240"/>
      <w:divBdr>
        <w:top w:val="none" w:sz="0" w:space="0" w:color="auto"/>
        <w:left w:val="none" w:sz="0" w:space="0" w:color="auto"/>
        <w:bottom w:val="none" w:sz="0" w:space="0" w:color="auto"/>
        <w:right w:val="none" w:sz="0" w:space="0" w:color="auto"/>
      </w:divBdr>
    </w:div>
    <w:div w:id="718364029">
      <w:marLeft w:val="0"/>
      <w:marRight w:val="0"/>
      <w:marTop w:val="0"/>
      <w:marBottom w:val="240"/>
      <w:divBdr>
        <w:top w:val="none" w:sz="0" w:space="0" w:color="auto"/>
        <w:left w:val="none" w:sz="0" w:space="0" w:color="auto"/>
        <w:bottom w:val="none" w:sz="0" w:space="0" w:color="auto"/>
        <w:right w:val="none" w:sz="0" w:space="0" w:color="auto"/>
      </w:divBdr>
    </w:div>
    <w:div w:id="722097731">
      <w:marLeft w:val="0"/>
      <w:marRight w:val="0"/>
      <w:marTop w:val="0"/>
      <w:marBottom w:val="240"/>
      <w:divBdr>
        <w:top w:val="none" w:sz="0" w:space="0" w:color="auto"/>
        <w:left w:val="none" w:sz="0" w:space="0" w:color="auto"/>
        <w:bottom w:val="none" w:sz="0" w:space="0" w:color="auto"/>
        <w:right w:val="none" w:sz="0" w:space="0" w:color="auto"/>
      </w:divBdr>
    </w:div>
    <w:div w:id="723914925">
      <w:marLeft w:val="0"/>
      <w:marRight w:val="0"/>
      <w:marTop w:val="60"/>
      <w:marBottom w:val="0"/>
      <w:divBdr>
        <w:top w:val="none" w:sz="0" w:space="0" w:color="auto"/>
        <w:left w:val="none" w:sz="0" w:space="0" w:color="auto"/>
        <w:bottom w:val="none" w:sz="0" w:space="0" w:color="auto"/>
        <w:right w:val="none" w:sz="0" w:space="0" w:color="auto"/>
      </w:divBdr>
    </w:div>
    <w:div w:id="729965219">
      <w:marLeft w:val="0"/>
      <w:marRight w:val="0"/>
      <w:marTop w:val="240"/>
      <w:marBottom w:val="240"/>
      <w:divBdr>
        <w:top w:val="none" w:sz="0" w:space="0" w:color="auto"/>
        <w:left w:val="none" w:sz="0" w:space="0" w:color="auto"/>
        <w:bottom w:val="none" w:sz="0" w:space="0" w:color="auto"/>
        <w:right w:val="none" w:sz="0" w:space="0" w:color="auto"/>
      </w:divBdr>
    </w:div>
    <w:div w:id="733704196">
      <w:marLeft w:val="0"/>
      <w:marRight w:val="0"/>
      <w:marTop w:val="0"/>
      <w:marBottom w:val="240"/>
      <w:divBdr>
        <w:top w:val="none" w:sz="0" w:space="0" w:color="auto"/>
        <w:left w:val="none" w:sz="0" w:space="0" w:color="auto"/>
        <w:bottom w:val="none" w:sz="0" w:space="0" w:color="auto"/>
        <w:right w:val="none" w:sz="0" w:space="0" w:color="auto"/>
      </w:divBdr>
      <w:divsChild>
        <w:div w:id="1349873524">
          <w:marLeft w:val="0"/>
          <w:marRight w:val="0"/>
          <w:marTop w:val="0"/>
          <w:marBottom w:val="1"/>
          <w:divBdr>
            <w:top w:val="none" w:sz="0" w:space="0" w:color="auto"/>
            <w:left w:val="none" w:sz="0" w:space="0" w:color="auto"/>
            <w:bottom w:val="none" w:sz="0" w:space="0" w:color="auto"/>
            <w:right w:val="none" w:sz="0" w:space="0" w:color="auto"/>
          </w:divBdr>
        </w:div>
        <w:div w:id="1470975392">
          <w:marLeft w:val="0"/>
          <w:marRight w:val="0"/>
          <w:marTop w:val="0"/>
          <w:marBottom w:val="1"/>
          <w:divBdr>
            <w:top w:val="none" w:sz="0" w:space="0" w:color="auto"/>
            <w:left w:val="none" w:sz="0" w:space="0" w:color="auto"/>
            <w:bottom w:val="none" w:sz="0" w:space="0" w:color="auto"/>
            <w:right w:val="none" w:sz="0" w:space="0" w:color="auto"/>
          </w:divBdr>
        </w:div>
        <w:div w:id="597252852">
          <w:marLeft w:val="0"/>
          <w:marRight w:val="0"/>
          <w:marTop w:val="0"/>
          <w:marBottom w:val="1"/>
          <w:divBdr>
            <w:top w:val="none" w:sz="0" w:space="0" w:color="auto"/>
            <w:left w:val="none" w:sz="0" w:space="0" w:color="auto"/>
            <w:bottom w:val="none" w:sz="0" w:space="0" w:color="auto"/>
            <w:right w:val="none" w:sz="0" w:space="0" w:color="auto"/>
          </w:divBdr>
        </w:div>
        <w:div w:id="1990360679">
          <w:marLeft w:val="0"/>
          <w:marRight w:val="0"/>
          <w:marTop w:val="0"/>
          <w:marBottom w:val="1"/>
          <w:divBdr>
            <w:top w:val="none" w:sz="0" w:space="0" w:color="auto"/>
            <w:left w:val="none" w:sz="0" w:space="0" w:color="auto"/>
            <w:bottom w:val="none" w:sz="0" w:space="0" w:color="auto"/>
            <w:right w:val="none" w:sz="0" w:space="0" w:color="auto"/>
          </w:divBdr>
        </w:div>
      </w:divsChild>
    </w:div>
    <w:div w:id="744835413">
      <w:marLeft w:val="0"/>
      <w:marRight w:val="0"/>
      <w:marTop w:val="0"/>
      <w:marBottom w:val="0"/>
      <w:divBdr>
        <w:top w:val="none" w:sz="0" w:space="0" w:color="auto"/>
        <w:left w:val="none" w:sz="0" w:space="0" w:color="auto"/>
        <w:bottom w:val="none" w:sz="0" w:space="0" w:color="auto"/>
        <w:right w:val="none" w:sz="0" w:space="0" w:color="auto"/>
      </w:divBdr>
    </w:div>
    <w:div w:id="754548699">
      <w:marLeft w:val="0"/>
      <w:marRight w:val="0"/>
      <w:marTop w:val="0"/>
      <w:marBottom w:val="240"/>
      <w:divBdr>
        <w:top w:val="none" w:sz="0" w:space="0" w:color="auto"/>
        <w:left w:val="none" w:sz="0" w:space="0" w:color="auto"/>
        <w:bottom w:val="none" w:sz="0" w:space="0" w:color="auto"/>
        <w:right w:val="none" w:sz="0" w:space="0" w:color="auto"/>
      </w:divBdr>
    </w:div>
    <w:div w:id="754668278">
      <w:marLeft w:val="0"/>
      <w:marRight w:val="0"/>
      <w:marTop w:val="0"/>
      <w:marBottom w:val="240"/>
      <w:divBdr>
        <w:top w:val="none" w:sz="0" w:space="0" w:color="auto"/>
        <w:left w:val="none" w:sz="0" w:space="0" w:color="auto"/>
        <w:bottom w:val="none" w:sz="0" w:space="0" w:color="auto"/>
        <w:right w:val="none" w:sz="0" w:space="0" w:color="auto"/>
      </w:divBdr>
    </w:div>
    <w:div w:id="760755752">
      <w:marLeft w:val="0"/>
      <w:marRight w:val="0"/>
      <w:marTop w:val="0"/>
      <w:marBottom w:val="0"/>
      <w:divBdr>
        <w:top w:val="none" w:sz="0" w:space="0" w:color="auto"/>
        <w:left w:val="none" w:sz="0" w:space="0" w:color="auto"/>
        <w:bottom w:val="none" w:sz="0" w:space="0" w:color="auto"/>
        <w:right w:val="none" w:sz="0" w:space="0" w:color="auto"/>
      </w:divBdr>
      <w:divsChild>
        <w:div w:id="2115323156">
          <w:marLeft w:val="0"/>
          <w:marRight w:val="0"/>
          <w:marTop w:val="0"/>
          <w:marBottom w:val="0"/>
          <w:divBdr>
            <w:top w:val="none" w:sz="0" w:space="0" w:color="auto"/>
            <w:left w:val="none" w:sz="0" w:space="0" w:color="auto"/>
            <w:bottom w:val="none" w:sz="0" w:space="0" w:color="auto"/>
            <w:right w:val="none" w:sz="0" w:space="0" w:color="auto"/>
          </w:divBdr>
        </w:div>
      </w:divsChild>
    </w:div>
    <w:div w:id="768236990">
      <w:marLeft w:val="0"/>
      <w:marRight w:val="0"/>
      <w:marTop w:val="0"/>
      <w:marBottom w:val="240"/>
      <w:divBdr>
        <w:top w:val="none" w:sz="0" w:space="0" w:color="auto"/>
        <w:left w:val="none" w:sz="0" w:space="0" w:color="auto"/>
        <w:bottom w:val="none" w:sz="0" w:space="0" w:color="auto"/>
        <w:right w:val="none" w:sz="0" w:space="0" w:color="auto"/>
      </w:divBdr>
    </w:div>
    <w:div w:id="771365593">
      <w:marLeft w:val="0"/>
      <w:marRight w:val="0"/>
      <w:marTop w:val="0"/>
      <w:marBottom w:val="0"/>
      <w:divBdr>
        <w:top w:val="none" w:sz="0" w:space="0" w:color="auto"/>
        <w:left w:val="none" w:sz="0" w:space="0" w:color="auto"/>
        <w:bottom w:val="none" w:sz="0" w:space="0" w:color="auto"/>
        <w:right w:val="none" w:sz="0" w:space="0" w:color="auto"/>
      </w:divBdr>
      <w:divsChild>
        <w:div w:id="755328285">
          <w:marLeft w:val="0"/>
          <w:marRight w:val="0"/>
          <w:marTop w:val="0"/>
          <w:marBottom w:val="0"/>
          <w:divBdr>
            <w:top w:val="none" w:sz="0" w:space="0" w:color="auto"/>
            <w:left w:val="none" w:sz="0" w:space="0" w:color="auto"/>
            <w:bottom w:val="none" w:sz="0" w:space="0" w:color="auto"/>
            <w:right w:val="none" w:sz="0" w:space="0" w:color="auto"/>
          </w:divBdr>
        </w:div>
        <w:div w:id="828012923">
          <w:marLeft w:val="0"/>
          <w:marRight w:val="0"/>
          <w:marTop w:val="0"/>
          <w:marBottom w:val="0"/>
          <w:divBdr>
            <w:top w:val="none" w:sz="0" w:space="0" w:color="auto"/>
            <w:left w:val="none" w:sz="0" w:space="0" w:color="auto"/>
            <w:bottom w:val="none" w:sz="0" w:space="0" w:color="auto"/>
            <w:right w:val="none" w:sz="0" w:space="0" w:color="auto"/>
          </w:divBdr>
        </w:div>
      </w:divsChild>
    </w:div>
    <w:div w:id="774442221">
      <w:marLeft w:val="0"/>
      <w:marRight w:val="0"/>
      <w:marTop w:val="0"/>
      <w:marBottom w:val="0"/>
      <w:divBdr>
        <w:top w:val="none" w:sz="0" w:space="0" w:color="auto"/>
        <w:left w:val="none" w:sz="0" w:space="0" w:color="auto"/>
        <w:bottom w:val="none" w:sz="0" w:space="0" w:color="auto"/>
        <w:right w:val="none" w:sz="0" w:space="0" w:color="auto"/>
      </w:divBdr>
      <w:divsChild>
        <w:div w:id="1654136422">
          <w:marLeft w:val="0"/>
          <w:marRight w:val="0"/>
          <w:marTop w:val="0"/>
          <w:marBottom w:val="0"/>
          <w:divBdr>
            <w:top w:val="none" w:sz="0" w:space="0" w:color="auto"/>
            <w:left w:val="none" w:sz="0" w:space="0" w:color="auto"/>
            <w:bottom w:val="none" w:sz="0" w:space="0" w:color="auto"/>
            <w:right w:val="none" w:sz="0" w:space="0" w:color="auto"/>
          </w:divBdr>
        </w:div>
      </w:divsChild>
    </w:div>
    <w:div w:id="775946487">
      <w:marLeft w:val="0"/>
      <w:marRight w:val="0"/>
      <w:marTop w:val="0"/>
      <w:marBottom w:val="240"/>
      <w:divBdr>
        <w:top w:val="none" w:sz="0" w:space="0" w:color="auto"/>
        <w:left w:val="none" w:sz="0" w:space="0" w:color="auto"/>
        <w:bottom w:val="none" w:sz="0" w:space="0" w:color="auto"/>
        <w:right w:val="none" w:sz="0" w:space="0" w:color="auto"/>
      </w:divBdr>
    </w:div>
    <w:div w:id="779029783">
      <w:marLeft w:val="0"/>
      <w:marRight w:val="0"/>
      <w:marTop w:val="0"/>
      <w:marBottom w:val="240"/>
      <w:divBdr>
        <w:top w:val="none" w:sz="0" w:space="0" w:color="auto"/>
        <w:left w:val="none" w:sz="0" w:space="0" w:color="auto"/>
        <w:bottom w:val="none" w:sz="0" w:space="0" w:color="auto"/>
        <w:right w:val="none" w:sz="0" w:space="0" w:color="auto"/>
      </w:divBdr>
    </w:div>
    <w:div w:id="782729134">
      <w:marLeft w:val="0"/>
      <w:marRight w:val="0"/>
      <w:marTop w:val="0"/>
      <w:marBottom w:val="240"/>
      <w:divBdr>
        <w:top w:val="none" w:sz="0" w:space="0" w:color="auto"/>
        <w:left w:val="none" w:sz="0" w:space="0" w:color="auto"/>
        <w:bottom w:val="none" w:sz="0" w:space="0" w:color="auto"/>
        <w:right w:val="none" w:sz="0" w:space="0" w:color="auto"/>
      </w:divBdr>
    </w:div>
    <w:div w:id="786123409">
      <w:marLeft w:val="0"/>
      <w:marRight w:val="0"/>
      <w:marTop w:val="0"/>
      <w:marBottom w:val="240"/>
      <w:divBdr>
        <w:top w:val="none" w:sz="0" w:space="0" w:color="auto"/>
        <w:left w:val="none" w:sz="0" w:space="0" w:color="auto"/>
        <w:bottom w:val="none" w:sz="0" w:space="0" w:color="auto"/>
        <w:right w:val="none" w:sz="0" w:space="0" w:color="auto"/>
      </w:divBdr>
    </w:div>
    <w:div w:id="790247271">
      <w:marLeft w:val="0"/>
      <w:marRight w:val="0"/>
      <w:marTop w:val="0"/>
      <w:marBottom w:val="240"/>
      <w:divBdr>
        <w:top w:val="none" w:sz="0" w:space="0" w:color="auto"/>
        <w:left w:val="none" w:sz="0" w:space="0" w:color="auto"/>
        <w:bottom w:val="none" w:sz="0" w:space="0" w:color="auto"/>
        <w:right w:val="none" w:sz="0" w:space="0" w:color="auto"/>
      </w:divBdr>
    </w:div>
    <w:div w:id="792212801">
      <w:marLeft w:val="0"/>
      <w:marRight w:val="0"/>
      <w:marTop w:val="0"/>
      <w:marBottom w:val="0"/>
      <w:divBdr>
        <w:top w:val="none" w:sz="0" w:space="0" w:color="auto"/>
        <w:left w:val="none" w:sz="0" w:space="0" w:color="auto"/>
        <w:bottom w:val="none" w:sz="0" w:space="0" w:color="auto"/>
        <w:right w:val="none" w:sz="0" w:space="0" w:color="auto"/>
      </w:divBdr>
      <w:divsChild>
        <w:div w:id="831798407">
          <w:marLeft w:val="0"/>
          <w:marRight w:val="0"/>
          <w:marTop w:val="0"/>
          <w:marBottom w:val="0"/>
          <w:divBdr>
            <w:top w:val="none" w:sz="0" w:space="0" w:color="auto"/>
            <w:left w:val="none" w:sz="0" w:space="0" w:color="auto"/>
            <w:bottom w:val="none" w:sz="0" w:space="0" w:color="auto"/>
            <w:right w:val="none" w:sz="0" w:space="0" w:color="auto"/>
          </w:divBdr>
        </w:div>
      </w:divsChild>
    </w:div>
    <w:div w:id="799759642">
      <w:marLeft w:val="0"/>
      <w:marRight w:val="0"/>
      <w:marTop w:val="0"/>
      <w:marBottom w:val="240"/>
      <w:divBdr>
        <w:top w:val="none" w:sz="0" w:space="0" w:color="auto"/>
        <w:left w:val="none" w:sz="0" w:space="0" w:color="auto"/>
        <w:bottom w:val="none" w:sz="0" w:space="0" w:color="auto"/>
        <w:right w:val="none" w:sz="0" w:space="0" w:color="auto"/>
      </w:divBdr>
    </w:div>
    <w:div w:id="800920399">
      <w:marLeft w:val="0"/>
      <w:marRight w:val="0"/>
      <w:marTop w:val="0"/>
      <w:marBottom w:val="240"/>
      <w:divBdr>
        <w:top w:val="none" w:sz="0" w:space="0" w:color="auto"/>
        <w:left w:val="none" w:sz="0" w:space="0" w:color="auto"/>
        <w:bottom w:val="none" w:sz="0" w:space="0" w:color="auto"/>
        <w:right w:val="none" w:sz="0" w:space="0" w:color="auto"/>
      </w:divBdr>
    </w:div>
    <w:div w:id="802038605">
      <w:marLeft w:val="0"/>
      <w:marRight w:val="0"/>
      <w:marTop w:val="0"/>
      <w:marBottom w:val="240"/>
      <w:divBdr>
        <w:top w:val="none" w:sz="0" w:space="0" w:color="auto"/>
        <w:left w:val="none" w:sz="0" w:space="0" w:color="auto"/>
        <w:bottom w:val="none" w:sz="0" w:space="0" w:color="auto"/>
        <w:right w:val="none" w:sz="0" w:space="0" w:color="auto"/>
      </w:divBdr>
    </w:div>
    <w:div w:id="804931881">
      <w:marLeft w:val="0"/>
      <w:marRight w:val="0"/>
      <w:marTop w:val="0"/>
      <w:marBottom w:val="0"/>
      <w:divBdr>
        <w:top w:val="none" w:sz="0" w:space="0" w:color="auto"/>
        <w:left w:val="none" w:sz="0" w:space="0" w:color="auto"/>
        <w:bottom w:val="none" w:sz="0" w:space="0" w:color="auto"/>
        <w:right w:val="none" w:sz="0" w:space="0" w:color="auto"/>
      </w:divBdr>
    </w:div>
    <w:div w:id="805394445">
      <w:marLeft w:val="0"/>
      <w:marRight w:val="0"/>
      <w:marTop w:val="240"/>
      <w:marBottom w:val="240"/>
      <w:divBdr>
        <w:top w:val="none" w:sz="0" w:space="0" w:color="auto"/>
        <w:left w:val="none" w:sz="0" w:space="0" w:color="auto"/>
        <w:bottom w:val="none" w:sz="0" w:space="0" w:color="auto"/>
        <w:right w:val="none" w:sz="0" w:space="0" w:color="auto"/>
      </w:divBdr>
    </w:div>
    <w:div w:id="807167889">
      <w:marLeft w:val="0"/>
      <w:marRight w:val="0"/>
      <w:marTop w:val="0"/>
      <w:marBottom w:val="0"/>
      <w:divBdr>
        <w:top w:val="none" w:sz="0" w:space="0" w:color="auto"/>
        <w:left w:val="none" w:sz="0" w:space="0" w:color="auto"/>
        <w:bottom w:val="none" w:sz="0" w:space="0" w:color="auto"/>
        <w:right w:val="none" w:sz="0" w:space="0" w:color="auto"/>
      </w:divBdr>
    </w:div>
    <w:div w:id="811556824">
      <w:marLeft w:val="0"/>
      <w:marRight w:val="0"/>
      <w:marTop w:val="0"/>
      <w:marBottom w:val="240"/>
      <w:divBdr>
        <w:top w:val="none" w:sz="0" w:space="0" w:color="auto"/>
        <w:left w:val="none" w:sz="0" w:space="0" w:color="auto"/>
        <w:bottom w:val="none" w:sz="0" w:space="0" w:color="auto"/>
        <w:right w:val="none" w:sz="0" w:space="0" w:color="auto"/>
      </w:divBdr>
    </w:div>
    <w:div w:id="811871928">
      <w:marLeft w:val="0"/>
      <w:marRight w:val="0"/>
      <w:marTop w:val="0"/>
      <w:marBottom w:val="0"/>
      <w:divBdr>
        <w:top w:val="none" w:sz="0" w:space="0" w:color="auto"/>
        <w:left w:val="none" w:sz="0" w:space="0" w:color="auto"/>
        <w:bottom w:val="none" w:sz="0" w:space="0" w:color="auto"/>
        <w:right w:val="none" w:sz="0" w:space="0" w:color="auto"/>
      </w:divBdr>
    </w:div>
    <w:div w:id="823277355">
      <w:marLeft w:val="0"/>
      <w:marRight w:val="0"/>
      <w:marTop w:val="0"/>
      <w:marBottom w:val="240"/>
      <w:divBdr>
        <w:top w:val="none" w:sz="0" w:space="0" w:color="auto"/>
        <w:left w:val="none" w:sz="0" w:space="0" w:color="auto"/>
        <w:bottom w:val="none" w:sz="0" w:space="0" w:color="auto"/>
        <w:right w:val="none" w:sz="0" w:space="0" w:color="auto"/>
      </w:divBdr>
    </w:div>
    <w:div w:id="825172151">
      <w:marLeft w:val="0"/>
      <w:marRight w:val="0"/>
      <w:marTop w:val="0"/>
      <w:marBottom w:val="0"/>
      <w:divBdr>
        <w:top w:val="none" w:sz="0" w:space="0" w:color="auto"/>
        <w:left w:val="none" w:sz="0" w:space="0" w:color="auto"/>
        <w:bottom w:val="none" w:sz="0" w:space="0" w:color="auto"/>
        <w:right w:val="none" w:sz="0" w:space="0" w:color="auto"/>
      </w:divBdr>
      <w:divsChild>
        <w:div w:id="1781945685">
          <w:marLeft w:val="0"/>
          <w:marRight w:val="0"/>
          <w:marTop w:val="0"/>
          <w:marBottom w:val="0"/>
          <w:divBdr>
            <w:top w:val="none" w:sz="0" w:space="0" w:color="auto"/>
            <w:left w:val="none" w:sz="0" w:space="0" w:color="auto"/>
            <w:bottom w:val="none" w:sz="0" w:space="0" w:color="auto"/>
            <w:right w:val="none" w:sz="0" w:space="0" w:color="auto"/>
          </w:divBdr>
        </w:div>
      </w:divsChild>
    </w:div>
    <w:div w:id="828322745">
      <w:marLeft w:val="0"/>
      <w:marRight w:val="0"/>
      <w:marTop w:val="240"/>
      <w:marBottom w:val="240"/>
      <w:divBdr>
        <w:top w:val="none" w:sz="0" w:space="0" w:color="auto"/>
        <w:left w:val="none" w:sz="0" w:space="0" w:color="auto"/>
        <w:bottom w:val="none" w:sz="0" w:space="0" w:color="auto"/>
        <w:right w:val="none" w:sz="0" w:space="0" w:color="auto"/>
      </w:divBdr>
    </w:div>
    <w:div w:id="830222839">
      <w:marLeft w:val="0"/>
      <w:marRight w:val="0"/>
      <w:marTop w:val="0"/>
      <w:marBottom w:val="0"/>
      <w:divBdr>
        <w:top w:val="none" w:sz="0" w:space="0" w:color="auto"/>
        <w:left w:val="none" w:sz="0" w:space="0" w:color="auto"/>
        <w:bottom w:val="none" w:sz="0" w:space="0" w:color="auto"/>
        <w:right w:val="none" w:sz="0" w:space="0" w:color="auto"/>
      </w:divBdr>
    </w:div>
    <w:div w:id="838084572">
      <w:marLeft w:val="0"/>
      <w:marRight w:val="0"/>
      <w:marTop w:val="0"/>
      <w:marBottom w:val="240"/>
      <w:divBdr>
        <w:top w:val="none" w:sz="0" w:space="0" w:color="auto"/>
        <w:left w:val="none" w:sz="0" w:space="0" w:color="auto"/>
        <w:bottom w:val="none" w:sz="0" w:space="0" w:color="auto"/>
        <w:right w:val="none" w:sz="0" w:space="0" w:color="auto"/>
      </w:divBdr>
    </w:div>
    <w:div w:id="839471952">
      <w:marLeft w:val="0"/>
      <w:marRight w:val="0"/>
      <w:marTop w:val="0"/>
      <w:marBottom w:val="240"/>
      <w:divBdr>
        <w:top w:val="none" w:sz="0" w:space="0" w:color="auto"/>
        <w:left w:val="none" w:sz="0" w:space="0" w:color="auto"/>
        <w:bottom w:val="none" w:sz="0" w:space="0" w:color="auto"/>
        <w:right w:val="none" w:sz="0" w:space="0" w:color="auto"/>
      </w:divBdr>
    </w:div>
    <w:div w:id="839781800">
      <w:marLeft w:val="0"/>
      <w:marRight w:val="0"/>
      <w:marTop w:val="0"/>
      <w:marBottom w:val="240"/>
      <w:divBdr>
        <w:top w:val="none" w:sz="0" w:space="0" w:color="auto"/>
        <w:left w:val="none" w:sz="0" w:space="0" w:color="auto"/>
        <w:bottom w:val="none" w:sz="0" w:space="0" w:color="auto"/>
        <w:right w:val="none" w:sz="0" w:space="0" w:color="auto"/>
      </w:divBdr>
    </w:div>
    <w:div w:id="840512443">
      <w:marLeft w:val="0"/>
      <w:marRight w:val="0"/>
      <w:marTop w:val="0"/>
      <w:marBottom w:val="240"/>
      <w:divBdr>
        <w:top w:val="none" w:sz="0" w:space="0" w:color="auto"/>
        <w:left w:val="none" w:sz="0" w:space="0" w:color="auto"/>
        <w:bottom w:val="none" w:sz="0" w:space="0" w:color="auto"/>
        <w:right w:val="none" w:sz="0" w:space="0" w:color="auto"/>
      </w:divBdr>
    </w:div>
    <w:div w:id="842401431">
      <w:marLeft w:val="0"/>
      <w:marRight w:val="0"/>
      <w:marTop w:val="0"/>
      <w:marBottom w:val="240"/>
      <w:divBdr>
        <w:top w:val="none" w:sz="0" w:space="0" w:color="auto"/>
        <w:left w:val="none" w:sz="0" w:space="0" w:color="auto"/>
        <w:bottom w:val="none" w:sz="0" w:space="0" w:color="auto"/>
        <w:right w:val="none" w:sz="0" w:space="0" w:color="auto"/>
      </w:divBdr>
    </w:div>
    <w:div w:id="843400072">
      <w:marLeft w:val="0"/>
      <w:marRight w:val="0"/>
      <w:marTop w:val="0"/>
      <w:marBottom w:val="240"/>
      <w:divBdr>
        <w:top w:val="none" w:sz="0" w:space="0" w:color="auto"/>
        <w:left w:val="none" w:sz="0" w:space="0" w:color="auto"/>
        <w:bottom w:val="none" w:sz="0" w:space="0" w:color="auto"/>
        <w:right w:val="none" w:sz="0" w:space="0" w:color="auto"/>
      </w:divBdr>
    </w:div>
    <w:div w:id="846987583">
      <w:marLeft w:val="0"/>
      <w:marRight w:val="0"/>
      <w:marTop w:val="0"/>
      <w:marBottom w:val="0"/>
      <w:divBdr>
        <w:top w:val="none" w:sz="0" w:space="0" w:color="auto"/>
        <w:left w:val="none" w:sz="0" w:space="0" w:color="auto"/>
        <w:bottom w:val="none" w:sz="0" w:space="0" w:color="auto"/>
        <w:right w:val="none" w:sz="0" w:space="0" w:color="auto"/>
      </w:divBdr>
    </w:div>
    <w:div w:id="847133293">
      <w:marLeft w:val="0"/>
      <w:marRight w:val="0"/>
      <w:marTop w:val="0"/>
      <w:marBottom w:val="0"/>
      <w:divBdr>
        <w:top w:val="none" w:sz="0" w:space="0" w:color="auto"/>
        <w:left w:val="none" w:sz="0" w:space="0" w:color="auto"/>
        <w:bottom w:val="none" w:sz="0" w:space="0" w:color="auto"/>
        <w:right w:val="none" w:sz="0" w:space="0" w:color="auto"/>
      </w:divBdr>
    </w:div>
    <w:div w:id="848837057">
      <w:marLeft w:val="0"/>
      <w:marRight w:val="0"/>
      <w:marTop w:val="0"/>
      <w:marBottom w:val="240"/>
      <w:divBdr>
        <w:top w:val="none" w:sz="0" w:space="0" w:color="auto"/>
        <w:left w:val="none" w:sz="0" w:space="0" w:color="auto"/>
        <w:bottom w:val="none" w:sz="0" w:space="0" w:color="auto"/>
        <w:right w:val="none" w:sz="0" w:space="0" w:color="auto"/>
      </w:divBdr>
    </w:div>
    <w:div w:id="850070770">
      <w:marLeft w:val="0"/>
      <w:marRight w:val="0"/>
      <w:marTop w:val="240"/>
      <w:marBottom w:val="120"/>
      <w:divBdr>
        <w:top w:val="none" w:sz="0" w:space="0" w:color="auto"/>
        <w:left w:val="none" w:sz="0" w:space="0" w:color="auto"/>
        <w:bottom w:val="none" w:sz="0" w:space="0" w:color="auto"/>
        <w:right w:val="none" w:sz="0" w:space="0" w:color="auto"/>
      </w:divBdr>
    </w:div>
    <w:div w:id="853300628">
      <w:marLeft w:val="0"/>
      <w:marRight w:val="0"/>
      <w:marTop w:val="240"/>
      <w:marBottom w:val="0"/>
      <w:divBdr>
        <w:top w:val="none" w:sz="0" w:space="0" w:color="auto"/>
        <w:left w:val="none" w:sz="0" w:space="0" w:color="auto"/>
        <w:bottom w:val="none" w:sz="0" w:space="0" w:color="auto"/>
        <w:right w:val="none" w:sz="0" w:space="0" w:color="auto"/>
      </w:divBdr>
    </w:div>
    <w:div w:id="854227983">
      <w:marLeft w:val="0"/>
      <w:marRight w:val="0"/>
      <w:marTop w:val="0"/>
      <w:marBottom w:val="240"/>
      <w:divBdr>
        <w:top w:val="none" w:sz="0" w:space="0" w:color="auto"/>
        <w:left w:val="none" w:sz="0" w:space="0" w:color="auto"/>
        <w:bottom w:val="none" w:sz="0" w:space="0" w:color="auto"/>
        <w:right w:val="none" w:sz="0" w:space="0" w:color="auto"/>
      </w:divBdr>
    </w:div>
    <w:div w:id="855537000">
      <w:marLeft w:val="0"/>
      <w:marRight w:val="0"/>
      <w:marTop w:val="0"/>
      <w:marBottom w:val="0"/>
      <w:divBdr>
        <w:top w:val="none" w:sz="0" w:space="0" w:color="auto"/>
        <w:left w:val="none" w:sz="0" w:space="0" w:color="auto"/>
        <w:bottom w:val="none" w:sz="0" w:space="0" w:color="auto"/>
        <w:right w:val="none" w:sz="0" w:space="0" w:color="auto"/>
      </w:divBdr>
    </w:div>
    <w:div w:id="858662896">
      <w:marLeft w:val="0"/>
      <w:marRight w:val="0"/>
      <w:marTop w:val="0"/>
      <w:marBottom w:val="240"/>
      <w:divBdr>
        <w:top w:val="none" w:sz="0" w:space="0" w:color="auto"/>
        <w:left w:val="none" w:sz="0" w:space="0" w:color="auto"/>
        <w:bottom w:val="none" w:sz="0" w:space="0" w:color="auto"/>
        <w:right w:val="none" w:sz="0" w:space="0" w:color="auto"/>
      </w:divBdr>
    </w:div>
    <w:div w:id="861825443">
      <w:marLeft w:val="0"/>
      <w:marRight w:val="0"/>
      <w:marTop w:val="0"/>
      <w:marBottom w:val="0"/>
      <w:divBdr>
        <w:top w:val="none" w:sz="0" w:space="0" w:color="auto"/>
        <w:left w:val="none" w:sz="0" w:space="0" w:color="auto"/>
        <w:bottom w:val="none" w:sz="0" w:space="0" w:color="auto"/>
        <w:right w:val="none" w:sz="0" w:space="0" w:color="auto"/>
      </w:divBdr>
    </w:div>
    <w:div w:id="866217127">
      <w:marLeft w:val="0"/>
      <w:marRight w:val="0"/>
      <w:marTop w:val="0"/>
      <w:marBottom w:val="180"/>
      <w:divBdr>
        <w:top w:val="none" w:sz="0" w:space="0" w:color="auto"/>
        <w:left w:val="none" w:sz="0" w:space="0" w:color="auto"/>
        <w:bottom w:val="none" w:sz="0" w:space="0" w:color="auto"/>
        <w:right w:val="none" w:sz="0" w:space="0" w:color="auto"/>
      </w:divBdr>
    </w:div>
    <w:div w:id="870607175">
      <w:marLeft w:val="0"/>
      <w:marRight w:val="0"/>
      <w:marTop w:val="0"/>
      <w:marBottom w:val="240"/>
      <w:divBdr>
        <w:top w:val="none" w:sz="0" w:space="0" w:color="auto"/>
        <w:left w:val="none" w:sz="0" w:space="0" w:color="auto"/>
        <w:bottom w:val="none" w:sz="0" w:space="0" w:color="auto"/>
        <w:right w:val="none" w:sz="0" w:space="0" w:color="auto"/>
      </w:divBdr>
    </w:div>
    <w:div w:id="877938043">
      <w:marLeft w:val="0"/>
      <w:marRight w:val="0"/>
      <w:marTop w:val="0"/>
      <w:marBottom w:val="0"/>
      <w:divBdr>
        <w:top w:val="none" w:sz="0" w:space="0" w:color="auto"/>
        <w:left w:val="none" w:sz="0" w:space="0" w:color="auto"/>
        <w:bottom w:val="none" w:sz="0" w:space="0" w:color="auto"/>
        <w:right w:val="none" w:sz="0" w:space="0" w:color="auto"/>
      </w:divBdr>
    </w:div>
    <w:div w:id="882790776">
      <w:marLeft w:val="0"/>
      <w:marRight w:val="0"/>
      <w:marTop w:val="240"/>
      <w:marBottom w:val="240"/>
      <w:divBdr>
        <w:top w:val="none" w:sz="0" w:space="0" w:color="auto"/>
        <w:left w:val="none" w:sz="0" w:space="0" w:color="auto"/>
        <w:bottom w:val="none" w:sz="0" w:space="0" w:color="auto"/>
        <w:right w:val="none" w:sz="0" w:space="0" w:color="auto"/>
      </w:divBdr>
    </w:div>
    <w:div w:id="883174922">
      <w:marLeft w:val="0"/>
      <w:marRight w:val="0"/>
      <w:marTop w:val="0"/>
      <w:marBottom w:val="240"/>
      <w:divBdr>
        <w:top w:val="none" w:sz="0" w:space="0" w:color="auto"/>
        <w:left w:val="none" w:sz="0" w:space="0" w:color="auto"/>
        <w:bottom w:val="none" w:sz="0" w:space="0" w:color="auto"/>
        <w:right w:val="none" w:sz="0" w:space="0" w:color="auto"/>
      </w:divBdr>
    </w:div>
    <w:div w:id="883178071">
      <w:marLeft w:val="0"/>
      <w:marRight w:val="0"/>
      <w:marTop w:val="0"/>
      <w:marBottom w:val="240"/>
      <w:divBdr>
        <w:top w:val="none" w:sz="0" w:space="0" w:color="auto"/>
        <w:left w:val="none" w:sz="0" w:space="0" w:color="auto"/>
        <w:bottom w:val="none" w:sz="0" w:space="0" w:color="auto"/>
        <w:right w:val="none" w:sz="0" w:space="0" w:color="auto"/>
      </w:divBdr>
    </w:div>
    <w:div w:id="887034208">
      <w:marLeft w:val="0"/>
      <w:marRight w:val="0"/>
      <w:marTop w:val="0"/>
      <w:marBottom w:val="120"/>
      <w:divBdr>
        <w:top w:val="none" w:sz="0" w:space="0" w:color="auto"/>
        <w:left w:val="none" w:sz="0" w:space="0" w:color="auto"/>
        <w:bottom w:val="none" w:sz="0" w:space="0" w:color="auto"/>
        <w:right w:val="none" w:sz="0" w:space="0" w:color="auto"/>
      </w:divBdr>
    </w:div>
    <w:div w:id="890075381">
      <w:marLeft w:val="0"/>
      <w:marRight w:val="0"/>
      <w:marTop w:val="0"/>
      <w:marBottom w:val="0"/>
      <w:divBdr>
        <w:top w:val="none" w:sz="0" w:space="0" w:color="auto"/>
        <w:left w:val="none" w:sz="0" w:space="0" w:color="auto"/>
        <w:bottom w:val="none" w:sz="0" w:space="0" w:color="auto"/>
        <w:right w:val="none" w:sz="0" w:space="0" w:color="auto"/>
      </w:divBdr>
      <w:divsChild>
        <w:div w:id="210924440">
          <w:marLeft w:val="0"/>
          <w:marRight w:val="0"/>
          <w:marTop w:val="0"/>
          <w:marBottom w:val="0"/>
          <w:divBdr>
            <w:top w:val="none" w:sz="0" w:space="0" w:color="auto"/>
            <w:left w:val="none" w:sz="0" w:space="0" w:color="auto"/>
            <w:bottom w:val="none" w:sz="0" w:space="0" w:color="auto"/>
            <w:right w:val="none" w:sz="0" w:space="0" w:color="auto"/>
          </w:divBdr>
        </w:div>
      </w:divsChild>
    </w:div>
    <w:div w:id="901479308">
      <w:marLeft w:val="0"/>
      <w:marRight w:val="0"/>
      <w:marTop w:val="0"/>
      <w:marBottom w:val="120"/>
      <w:divBdr>
        <w:top w:val="none" w:sz="0" w:space="0" w:color="auto"/>
        <w:left w:val="none" w:sz="0" w:space="0" w:color="auto"/>
        <w:bottom w:val="none" w:sz="0" w:space="0" w:color="auto"/>
        <w:right w:val="none" w:sz="0" w:space="0" w:color="auto"/>
      </w:divBdr>
    </w:div>
    <w:div w:id="902057396">
      <w:marLeft w:val="0"/>
      <w:marRight w:val="0"/>
      <w:marTop w:val="0"/>
      <w:marBottom w:val="0"/>
      <w:divBdr>
        <w:top w:val="none" w:sz="0" w:space="0" w:color="auto"/>
        <w:left w:val="none" w:sz="0" w:space="0" w:color="auto"/>
        <w:bottom w:val="none" w:sz="0" w:space="0" w:color="auto"/>
        <w:right w:val="none" w:sz="0" w:space="0" w:color="auto"/>
      </w:divBdr>
    </w:div>
    <w:div w:id="904679834">
      <w:marLeft w:val="0"/>
      <w:marRight w:val="0"/>
      <w:marTop w:val="0"/>
      <w:marBottom w:val="240"/>
      <w:divBdr>
        <w:top w:val="none" w:sz="0" w:space="0" w:color="auto"/>
        <w:left w:val="none" w:sz="0" w:space="0" w:color="auto"/>
        <w:bottom w:val="none" w:sz="0" w:space="0" w:color="auto"/>
        <w:right w:val="none" w:sz="0" w:space="0" w:color="auto"/>
      </w:divBdr>
    </w:div>
    <w:div w:id="911701461">
      <w:marLeft w:val="0"/>
      <w:marRight w:val="0"/>
      <w:marTop w:val="0"/>
      <w:marBottom w:val="0"/>
      <w:divBdr>
        <w:top w:val="none" w:sz="0" w:space="0" w:color="auto"/>
        <w:left w:val="none" w:sz="0" w:space="0" w:color="auto"/>
        <w:bottom w:val="none" w:sz="0" w:space="0" w:color="auto"/>
        <w:right w:val="none" w:sz="0" w:space="0" w:color="auto"/>
      </w:divBdr>
      <w:divsChild>
        <w:div w:id="665208681">
          <w:marLeft w:val="0"/>
          <w:marRight w:val="0"/>
          <w:marTop w:val="0"/>
          <w:marBottom w:val="0"/>
          <w:divBdr>
            <w:top w:val="none" w:sz="0" w:space="0" w:color="auto"/>
            <w:left w:val="none" w:sz="0" w:space="0" w:color="auto"/>
            <w:bottom w:val="none" w:sz="0" w:space="0" w:color="auto"/>
            <w:right w:val="none" w:sz="0" w:space="0" w:color="auto"/>
          </w:divBdr>
        </w:div>
      </w:divsChild>
    </w:div>
    <w:div w:id="916134878">
      <w:marLeft w:val="0"/>
      <w:marRight w:val="0"/>
      <w:marTop w:val="240"/>
      <w:marBottom w:val="240"/>
      <w:divBdr>
        <w:top w:val="none" w:sz="0" w:space="0" w:color="auto"/>
        <w:left w:val="none" w:sz="0" w:space="0" w:color="auto"/>
        <w:bottom w:val="none" w:sz="0" w:space="0" w:color="auto"/>
        <w:right w:val="none" w:sz="0" w:space="0" w:color="auto"/>
      </w:divBdr>
    </w:div>
    <w:div w:id="921061886">
      <w:marLeft w:val="0"/>
      <w:marRight w:val="0"/>
      <w:marTop w:val="0"/>
      <w:marBottom w:val="0"/>
      <w:divBdr>
        <w:top w:val="none" w:sz="0" w:space="0" w:color="auto"/>
        <w:left w:val="none" w:sz="0" w:space="0" w:color="auto"/>
        <w:bottom w:val="none" w:sz="0" w:space="0" w:color="auto"/>
        <w:right w:val="none" w:sz="0" w:space="0" w:color="auto"/>
      </w:divBdr>
    </w:div>
    <w:div w:id="921305162">
      <w:marLeft w:val="0"/>
      <w:marRight w:val="0"/>
      <w:marTop w:val="0"/>
      <w:marBottom w:val="0"/>
      <w:divBdr>
        <w:top w:val="none" w:sz="0" w:space="0" w:color="auto"/>
        <w:left w:val="none" w:sz="0" w:space="0" w:color="auto"/>
        <w:bottom w:val="none" w:sz="0" w:space="0" w:color="auto"/>
        <w:right w:val="none" w:sz="0" w:space="0" w:color="auto"/>
      </w:divBdr>
    </w:div>
    <w:div w:id="931623977">
      <w:marLeft w:val="0"/>
      <w:marRight w:val="0"/>
      <w:marTop w:val="0"/>
      <w:marBottom w:val="120"/>
      <w:divBdr>
        <w:top w:val="none" w:sz="0" w:space="0" w:color="auto"/>
        <w:left w:val="none" w:sz="0" w:space="0" w:color="auto"/>
        <w:bottom w:val="none" w:sz="0" w:space="0" w:color="auto"/>
        <w:right w:val="none" w:sz="0" w:space="0" w:color="auto"/>
      </w:divBdr>
    </w:div>
    <w:div w:id="932713022">
      <w:marLeft w:val="0"/>
      <w:marRight w:val="0"/>
      <w:marTop w:val="0"/>
      <w:marBottom w:val="0"/>
      <w:divBdr>
        <w:top w:val="none" w:sz="0" w:space="0" w:color="auto"/>
        <w:left w:val="none" w:sz="0" w:space="0" w:color="auto"/>
        <w:bottom w:val="none" w:sz="0" w:space="0" w:color="auto"/>
        <w:right w:val="none" w:sz="0" w:space="0" w:color="auto"/>
      </w:divBdr>
    </w:div>
    <w:div w:id="934478204">
      <w:marLeft w:val="0"/>
      <w:marRight w:val="0"/>
      <w:marTop w:val="0"/>
      <w:marBottom w:val="240"/>
      <w:divBdr>
        <w:top w:val="none" w:sz="0" w:space="0" w:color="auto"/>
        <w:left w:val="none" w:sz="0" w:space="0" w:color="auto"/>
        <w:bottom w:val="none" w:sz="0" w:space="0" w:color="auto"/>
        <w:right w:val="none" w:sz="0" w:space="0" w:color="auto"/>
      </w:divBdr>
    </w:div>
    <w:div w:id="936719746">
      <w:marLeft w:val="0"/>
      <w:marRight w:val="0"/>
      <w:marTop w:val="0"/>
      <w:marBottom w:val="0"/>
      <w:divBdr>
        <w:top w:val="none" w:sz="0" w:space="0" w:color="auto"/>
        <w:left w:val="none" w:sz="0" w:space="0" w:color="auto"/>
        <w:bottom w:val="none" w:sz="0" w:space="0" w:color="auto"/>
        <w:right w:val="none" w:sz="0" w:space="0" w:color="auto"/>
      </w:divBdr>
      <w:divsChild>
        <w:div w:id="1374042621">
          <w:marLeft w:val="0"/>
          <w:marRight w:val="0"/>
          <w:marTop w:val="0"/>
          <w:marBottom w:val="0"/>
          <w:divBdr>
            <w:top w:val="none" w:sz="0" w:space="0" w:color="auto"/>
            <w:left w:val="none" w:sz="0" w:space="0" w:color="auto"/>
            <w:bottom w:val="none" w:sz="0" w:space="0" w:color="auto"/>
            <w:right w:val="none" w:sz="0" w:space="0" w:color="auto"/>
          </w:divBdr>
        </w:div>
      </w:divsChild>
    </w:div>
    <w:div w:id="942612157">
      <w:marLeft w:val="0"/>
      <w:marRight w:val="0"/>
      <w:marTop w:val="0"/>
      <w:marBottom w:val="240"/>
      <w:divBdr>
        <w:top w:val="none" w:sz="0" w:space="0" w:color="auto"/>
        <w:left w:val="none" w:sz="0" w:space="0" w:color="auto"/>
        <w:bottom w:val="none" w:sz="0" w:space="0" w:color="auto"/>
        <w:right w:val="none" w:sz="0" w:space="0" w:color="auto"/>
      </w:divBdr>
    </w:div>
    <w:div w:id="943223538">
      <w:marLeft w:val="0"/>
      <w:marRight w:val="0"/>
      <w:marTop w:val="0"/>
      <w:marBottom w:val="240"/>
      <w:divBdr>
        <w:top w:val="none" w:sz="0" w:space="0" w:color="auto"/>
        <w:left w:val="none" w:sz="0" w:space="0" w:color="auto"/>
        <w:bottom w:val="none" w:sz="0" w:space="0" w:color="auto"/>
        <w:right w:val="none" w:sz="0" w:space="0" w:color="auto"/>
      </w:divBdr>
    </w:div>
    <w:div w:id="945968161">
      <w:marLeft w:val="0"/>
      <w:marRight w:val="0"/>
      <w:marTop w:val="0"/>
      <w:marBottom w:val="240"/>
      <w:divBdr>
        <w:top w:val="none" w:sz="0" w:space="0" w:color="auto"/>
        <w:left w:val="none" w:sz="0" w:space="0" w:color="auto"/>
        <w:bottom w:val="none" w:sz="0" w:space="0" w:color="auto"/>
        <w:right w:val="none" w:sz="0" w:space="0" w:color="auto"/>
      </w:divBdr>
    </w:div>
    <w:div w:id="947661108">
      <w:marLeft w:val="0"/>
      <w:marRight w:val="0"/>
      <w:marTop w:val="0"/>
      <w:marBottom w:val="0"/>
      <w:divBdr>
        <w:top w:val="none" w:sz="0" w:space="0" w:color="auto"/>
        <w:left w:val="none" w:sz="0" w:space="0" w:color="auto"/>
        <w:bottom w:val="none" w:sz="0" w:space="0" w:color="auto"/>
        <w:right w:val="none" w:sz="0" w:space="0" w:color="auto"/>
      </w:divBdr>
    </w:div>
    <w:div w:id="952828266">
      <w:marLeft w:val="0"/>
      <w:marRight w:val="0"/>
      <w:marTop w:val="0"/>
      <w:marBottom w:val="240"/>
      <w:divBdr>
        <w:top w:val="none" w:sz="0" w:space="0" w:color="auto"/>
        <w:left w:val="none" w:sz="0" w:space="0" w:color="auto"/>
        <w:bottom w:val="none" w:sz="0" w:space="0" w:color="auto"/>
        <w:right w:val="none" w:sz="0" w:space="0" w:color="auto"/>
      </w:divBdr>
    </w:div>
    <w:div w:id="954100864">
      <w:marLeft w:val="0"/>
      <w:marRight w:val="0"/>
      <w:marTop w:val="0"/>
      <w:marBottom w:val="240"/>
      <w:divBdr>
        <w:top w:val="none" w:sz="0" w:space="0" w:color="auto"/>
        <w:left w:val="none" w:sz="0" w:space="0" w:color="auto"/>
        <w:bottom w:val="none" w:sz="0" w:space="0" w:color="auto"/>
        <w:right w:val="none" w:sz="0" w:space="0" w:color="auto"/>
      </w:divBdr>
    </w:div>
    <w:div w:id="954292351">
      <w:marLeft w:val="0"/>
      <w:marRight w:val="0"/>
      <w:marTop w:val="0"/>
      <w:marBottom w:val="240"/>
      <w:divBdr>
        <w:top w:val="none" w:sz="0" w:space="0" w:color="auto"/>
        <w:left w:val="none" w:sz="0" w:space="0" w:color="auto"/>
        <w:bottom w:val="none" w:sz="0" w:space="0" w:color="auto"/>
        <w:right w:val="none" w:sz="0" w:space="0" w:color="auto"/>
      </w:divBdr>
    </w:div>
    <w:div w:id="956638716">
      <w:marLeft w:val="0"/>
      <w:marRight w:val="0"/>
      <w:marTop w:val="0"/>
      <w:marBottom w:val="0"/>
      <w:divBdr>
        <w:top w:val="none" w:sz="0" w:space="0" w:color="auto"/>
        <w:left w:val="none" w:sz="0" w:space="0" w:color="auto"/>
        <w:bottom w:val="none" w:sz="0" w:space="0" w:color="auto"/>
        <w:right w:val="none" w:sz="0" w:space="0" w:color="auto"/>
      </w:divBdr>
    </w:div>
    <w:div w:id="959149482">
      <w:marLeft w:val="0"/>
      <w:marRight w:val="0"/>
      <w:marTop w:val="0"/>
      <w:marBottom w:val="240"/>
      <w:divBdr>
        <w:top w:val="none" w:sz="0" w:space="0" w:color="auto"/>
        <w:left w:val="none" w:sz="0" w:space="0" w:color="auto"/>
        <w:bottom w:val="none" w:sz="0" w:space="0" w:color="auto"/>
        <w:right w:val="none" w:sz="0" w:space="0" w:color="auto"/>
      </w:divBdr>
    </w:div>
    <w:div w:id="959917680">
      <w:marLeft w:val="0"/>
      <w:marRight w:val="0"/>
      <w:marTop w:val="0"/>
      <w:marBottom w:val="240"/>
      <w:divBdr>
        <w:top w:val="none" w:sz="0" w:space="0" w:color="auto"/>
        <w:left w:val="none" w:sz="0" w:space="0" w:color="auto"/>
        <w:bottom w:val="none" w:sz="0" w:space="0" w:color="auto"/>
        <w:right w:val="none" w:sz="0" w:space="0" w:color="auto"/>
      </w:divBdr>
    </w:div>
    <w:div w:id="960695187">
      <w:marLeft w:val="0"/>
      <w:marRight w:val="0"/>
      <w:marTop w:val="240"/>
      <w:marBottom w:val="240"/>
      <w:divBdr>
        <w:top w:val="none" w:sz="0" w:space="0" w:color="auto"/>
        <w:left w:val="none" w:sz="0" w:space="0" w:color="auto"/>
        <w:bottom w:val="none" w:sz="0" w:space="0" w:color="auto"/>
        <w:right w:val="none" w:sz="0" w:space="0" w:color="auto"/>
      </w:divBdr>
    </w:div>
    <w:div w:id="964967580">
      <w:marLeft w:val="0"/>
      <w:marRight w:val="0"/>
      <w:marTop w:val="0"/>
      <w:marBottom w:val="240"/>
      <w:divBdr>
        <w:top w:val="none" w:sz="0" w:space="0" w:color="auto"/>
        <w:left w:val="none" w:sz="0" w:space="0" w:color="auto"/>
        <w:bottom w:val="none" w:sz="0" w:space="0" w:color="auto"/>
        <w:right w:val="none" w:sz="0" w:space="0" w:color="auto"/>
      </w:divBdr>
    </w:div>
    <w:div w:id="965237139">
      <w:marLeft w:val="0"/>
      <w:marRight w:val="0"/>
      <w:marTop w:val="0"/>
      <w:marBottom w:val="120"/>
      <w:divBdr>
        <w:top w:val="none" w:sz="0" w:space="0" w:color="auto"/>
        <w:left w:val="none" w:sz="0" w:space="0" w:color="auto"/>
        <w:bottom w:val="none" w:sz="0" w:space="0" w:color="auto"/>
        <w:right w:val="none" w:sz="0" w:space="0" w:color="auto"/>
      </w:divBdr>
    </w:div>
    <w:div w:id="966282099">
      <w:marLeft w:val="0"/>
      <w:marRight w:val="0"/>
      <w:marTop w:val="240"/>
      <w:marBottom w:val="240"/>
      <w:divBdr>
        <w:top w:val="none" w:sz="0" w:space="0" w:color="auto"/>
        <w:left w:val="none" w:sz="0" w:space="0" w:color="auto"/>
        <w:bottom w:val="none" w:sz="0" w:space="0" w:color="auto"/>
        <w:right w:val="none" w:sz="0" w:space="0" w:color="auto"/>
      </w:divBdr>
    </w:div>
    <w:div w:id="967050378">
      <w:marLeft w:val="0"/>
      <w:marRight w:val="0"/>
      <w:marTop w:val="0"/>
      <w:marBottom w:val="240"/>
      <w:divBdr>
        <w:top w:val="none" w:sz="0" w:space="0" w:color="auto"/>
        <w:left w:val="none" w:sz="0" w:space="0" w:color="auto"/>
        <w:bottom w:val="none" w:sz="0" w:space="0" w:color="auto"/>
        <w:right w:val="none" w:sz="0" w:space="0" w:color="auto"/>
      </w:divBdr>
    </w:div>
    <w:div w:id="968782817">
      <w:marLeft w:val="0"/>
      <w:marRight w:val="0"/>
      <w:marTop w:val="0"/>
      <w:marBottom w:val="240"/>
      <w:divBdr>
        <w:top w:val="none" w:sz="0" w:space="0" w:color="auto"/>
        <w:left w:val="none" w:sz="0" w:space="0" w:color="auto"/>
        <w:bottom w:val="none" w:sz="0" w:space="0" w:color="auto"/>
        <w:right w:val="none" w:sz="0" w:space="0" w:color="auto"/>
      </w:divBdr>
    </w:div>
    <w:div w:id="968896716">
      <w:marLeft w:val="0"/>
      <w:marRight w:val="0"/>
      <w:marTop w:val="0"/>
      <w:marBottom w:val="240"/>
      <w:divBdr>
        <w:top w:val="none" w:sz="0" w:space="0" w:color="auto"/>
        <w:left w:val="none" w:sz="0" w:space="0" w:color="auto"/>
        <w:bottom w:val="none" w:sz="0" w:space="0" w:color="auto"/>
        <w:right w:val="none" w:sz="0" w:space="0" w:color="auto"/>
      </w:divBdr>
    </w:div>
    <w:div w:id="970788441">
      <w:marLeft w:val="0"/>
      <w:marRight w:val="0"/>
      <w:marTop w:val="0"/>
      <w:marBottom w:val="240"/>
      <w:divBdr>
        <w:top w:val="none" w:sz="0" w:space="0" w:color="auto"/>
        <w:left w:val="none" w:sz="0" w:space="0" w:color="auto"/>
        <w:bottom w:val="none" w:sz="0" w:space="0" w:color="auto"/>
        <w:right w:val="none" w:sz="0" w:space="0" w:color="auto"/>
      </w:divBdr>
    </w:div>
    <w:div w:id="978457944">
      <w:marLeft w:val="0"/>
      <w:marRight w:val="0"/>
      <w:marTop w:val="240"/>
      <w:marBottom w:val="0"/>
      <w:divBdr>
        <w:top w:val="none" w:sz="0" w:space="0" w:color="auto"/>
        <w:left w:val="none" w:sz="0" w:space="0" w:color="auto"/>
        <w:bottom w:val="none" w:sz="0" w:space="0" w:color="auto"/>
        <w:right w:val="none" w:sz="0" w:space="0" w:color="auto"/>
      </w:divBdr>
    </w:div>
    <w:div w:id="980041986">
      <w:marLeft w:val="0"/>
      <w:marRight w:val="0"/>
      <w:marTop w:val="60"/>
      <w:marBottom w:val="0"/>
      <w:divBdr>
        <w:top w:val="none" w:sz="0" w:space="0" w:color="auto"/>
        <w:left w:val="none" w:sz="0" w:space="0" w:color="auto"/>
        <w:bottom w:val="none" w:sz="0" w:space="0" w:color="auto"/>
        <w:right w:val="none" w:sz="0" w:space="0" w:color="auto"/>
      </w:divBdr>
    </w:div>
    <w:div w:id="980696889">
      <w:marLeft w:val="0"/>
      <w:marRight w:val="0"/>
      <w:marTop w:val="0"/>
      <w:marBottom w:val="0"/>
      <w:divBdr>
        <w:top w:val="none" w:sz="0" w:space="0" w:color="auto"/>
        <w:left w:val="none" w:sz="0" w:space="0" w:color="auto"/>
        <w:bottom w:val="none" w:sz="0" w:space="0" w:color="auto"/>
        <w:right w:val="none" w:sz="0" w:space="0" w:color="auto"/>
      </w:divBdr>
    </w:div>
    <w:div w:id="982808053">
      <w:marLeft w:val="0"/>
      <w:marRight w:val="0"/>
      <w:marTop w:val="0"/>
      <w:marBottom w:val="240"/>
      <w:divBdr>
        <w:top w:val="none" w:sz="0" w:space="0" w:color="auto"/>
        <w:left w:val="none" w:sz="0" w:space="0" w:color="auto"/>
        <w:bottom w:val="none" w:sz="0" w:space="0" w:color="auto"/>
        <w:right w:val="none" w:sz="0" w:space="0" w:color="auto"/>
      </w:divBdr>
    </w:div>
    <w:div w:id="983967229">
      <w:marLeft w:val="0"/>
      <w:marRight w:val="0"/>
      <w:marTop w:val="240"/>
      <w:marBottom w:val="240"/>
      <w:divBdr>
        <w:top w:val="none" w:sz="0" w:space="0" w:color="auto"/>
        <w:left w:val="none" w:sz="0" w:space="0" w:color="auto"/>
        <w:bottom w:val="none" w:sz="0" w:space="0" w:color="auto"/>
        <w:right w:val="none" w:sz="0" w:space="0" w:color="auto"/>
      </w:divBdr>
    </w:div>
    <w:div w:id="984360505">
      <w:marLeft w:val="0"/>
      <w:marRight w:val="0"/>
      <w:marTop w:val="0"/>
      <w:marBottom w:val="240"/>
      <w:divBdr>
        <w:top w:val="none" w:sz="0" w:space="0" w:color="auto"/>
        <w:left w:val="none" w:sz="0" w:space="0" w:color="auto"/>
        <w:bottom w:val="none" w:sz="0" w:space="0" w:color="auto"/>
        <w:right w:val="none" w:sz="0" w:space="0" w:color="auto"/>
      </w:divBdr>
    </w:div>
    <w:div w:id="986281622">
      <w:marLeft w:val="0"/>
      <w:marRight w:val="0"/>
      <w:marTop w:val="0"/>
      <w:marBottom w:val="0"/>
      <w:divBdr>
        <w:top w:val="none" w:sz="0" w:space="0" w:color="auto"/>
        <w:left w:val="none" w:sz="0" w:space="0" w:color="auto"/>
        <w:bottom w:val="none" w:sz="0" w:space="0" w:color="auto"/>
        <w:right w:val="none" w:sz="0" w:space="0" w:color="auto"/>
      </w:divBdr>
      <w:divsChild>
        <w:div w:id="1662805561">
          <w:marLeft w:val="0"/>
          <w:marRight w:val="0"/>
          <w:marTop w:val="0"/>
          <w:marBottom w:val="0"/>
          <w:divBdr>
            <w:top w:val="none" w:sz="0" w:space="0" w:color="auto"/>
            <w:left w:val="none" w:sz="0" w:space="0" w:color="auto"/>
            <w:bottom w:val="none" w:sz="0" w:space="0" w:color="auto"/>
            <w:right w:val="none" w:sz="0" w:space="0" w:color="auto"/>
          </w:divBdr>
        </w:div>
      </w:divsChild>
    </w:div>
    <w:div w:id="992953655">
      <w:marLeft w:val="0"/>
      <w:marRight w:val="0"/>
      <w:marTop w:val="0"/>
      <w:marBottom w:val="240"/>
      <w:divBdr>
        <w:top w:val="none" w:sz="0" w:space="0" w:color="auto"/>
        <w:left w:val="none" w:sz="0" w:space="0" w:color="auto"/>
        <w:bottom w:val="none" w:sz="0" w:space="0" w:color="auto"/>
        <w:right w:val="none" w:sz="0" w:space="0" w:color="auto"/>
      </w:divBdr>
    </w:div>
    <w:div w:id="995916666">
      <w:marLeft w:val="0"/>
      <w:marRight w:val="0"/>
      <w:marTop w:val="0"/>
      <w:marBottom w:val="240"/>
      <w:divBdr>
        <w:top w:val="none" w:sz="0" w:space="0" w:color="auto"/>
        <w:left w:val="none" w:sz="0" w:space="0" w:color="auto"/>
        <w:bottom w:val="none" w:sz="0" w:space="0" w:color="auto"/>
        <w:right w:val="none" w:sz="0" w:space="0" w:color="auto"/>
      </w:divBdr>
    </w:div>
    <w:div w:id="1001851945">
      <w:marLeft w:val="0"/>
      <w:marRight w:val="0"/>
      <w:marTop w:val="0"/>
      <w:marBottom w:val="240"/>
      <w:divBdr>
        <w:top w:val="none" w:sz="0" w:space="0" w:color="auto"/>
        <w:left w:val="none" w:sz="0" w:space="0" w:color="auto"/>
        <w:bottom w:val="none" w:sz="0" w:space="0" w:color="auto"/>
        <w:right w:val="none" w:sz="0" w:space="0" w:color="auto"/>
      </w:divBdr>
    </w:div>
    <w:div w:id="1002929100">
      <w:marLeft w:val="0"/>
      <w:marRight w:val="0"/>
      <w:marTop w:val="0"/>
      <w:marBottom w:val="240"/>
      <w:divBdr>
        <w:top w:val="none" w:sz="0" w:space="0" w:color="auto"/>
        <w:left w:val="none" w:sz="0" w:space="0" w:color="auto"/>
        <w:bottom w:val="none" w:sz="0" w:space="0" w:color="auto"/>
        <w:right w:val="none" w:sz="0" w:space="0" w:color="auto"/>
      </w:divBdr>
    </w:div>
    <w:div w:id="1007709767">
      <w:marLeft w:val="0"/>
      <w:marRight w:val="0"/>
      <w:marTop w:val="60"/>
      <w:marBottom w:val="0"/>
      <w:divBdr>
        <w:top w:val="none" w:sz="0" w:space="0" w:color="auto"/>
        <w:left w:val="none" w:sz="0" w:space="0" w:color="auto"/>
        <w:bottom w:val="none" w:sz="0" w:space="0" w:color="auto"/>
        <w:right w:val="none" w:sz="0" w:space="0" w:color="auto"/>
      </w:divBdr>
    </w:div>
    <w:div w:id="1012607983">
      <w:marLeft w:val="0"/>
      <w:marRight w:val="0"/>
      <w:marTop w:val="0"/>
      <w:marBottom w:val="240"/>
      <w:divBdr>
        <w:top w:val="none" w:sz="0" w:space="0" w:color="auto"/>
        <w:left w:val="none" w:sz="0" w:space="0" w:color="auto"/>
        <w:bottom w:val="none" w:sz="0" w:space="0" w:color="auto"/>
        <w:right w:val="none" w:sz="0" w:space="0" w:color="auto"/>
      </w:divBdr>
    </w:div>
    <w:div w:id="1016737029">
      <w:marLeft w:val="0"/>
      <w:marRight w:val="0"/>
      <w:marTop w:val="0"/>
      <w:marBottom w:val="0"/>
      <w:divBdr>
        <w:top w:val="none" w:sz="0" w:space="0" w:color="auto"/>
        <w:left w:val="none" w:sz="0" w:space="0" w:color="auto"/>
        <w:bottom w:val="none" w:sz="0" w:space="0" w:color="auto"/>
        <w:right w:val="none" w:sz="0" w:space="0" w:color="auto"/>
      </w:divBdr>
    </w:div>
    <w:div w:id="1017779589">
      <w:marLeft w:val="0"/>
      <w:marRight w:val="0"/>
      <w:marTop w:val="0"/>
      <w:marBottom w:val="240"/>
      <w:divBdr>
        <w:top w:val="none" w:sz="0" w:space="0" w:color="auto"/>
        <w:left w:val="none" w:sz="0" w:space="0" w:color="auto"/>
        <w:bottom w:val="none" w:sz="0" w:space="0" w:color="auto"/>
        <w:right w:val="none" w:sz="0" w:space="0" w:color="auto"/>
      </w:divBdr>
    </w:div>
    <w:div w:id="1019308448">
      <w:marLeft w:val="0"/>
      <w:marRight w:val="0"/>
      <w:marTop w:val="0"/>
      <w:marBottom w:val="240"/>
      <w:divBdr>
        <w:top w:val="none" w:sz="0" w:space="0" w:color="auto"/>
        <w:left w:val="none" w:sz="0" w:space="0" w:color="auto"/>
        <w:bottom w:val="none" w:sz="0" w:space="0" w:color="auto"/>
        <w:right w:val="none" w:sz="0" w:space="0" w:color="auto"/>
      </w:divBdr>
    </w:div>
    <w:div w:id="1021082708">
      <w:marLeft w:val="0"/>
      <w:marRight w:val="0"/>
      <w:marTop w:val="0"/>
      <w:marBottom w:val="240"/>
      <w:divBdr>
        <w:top w:val="none" w:sz="0" w:space="0" w:color="auto"/>
        <w:left w:val="none" w:sz="0" w:space="0" w:color="auto"/>
        <w:bottom w:val="none" w:sz="0" w:space="0" w:color="auto"/>
        <w:right w:val="none" w:sz="0" w:space="0" w:color="auto"/>
      </w:divBdr>
    </w:div>
    <w:div w:id="1023168536">
      <w:marLeft w:val="0"/>
      <w:marRight w:val="0"/>
      <w:marTop w:val="0"/>
      <w:marBottom w:val="260"/>
      <w:divBdr>
        <w:top w:val="none" w:sz="0" w:space="0" w:color="auto"/>
        <w:left w:val="none" w:sz="0" w:space="0" w:color="auto"/>
        <w:bottom w:val="none" w:sz="0" w:space="0" w:color="auto"/>
        <w:right w:val="none" w:sz="0" w:space="0" w:color="auto"/>
      </w:divBdr>
    </w:div>
    <w:div w:id="1023246124">
      <w:marLeft w:val="0"/>
      <w:marRight w:val="0"/>
      <w:marTop w:val="0"/>
      <w:marBottom w:val="240"/>
      <w:divBdr>
        <w:top w:val="none" w:sz="0" w:space="0" w:color="auto"/>
        <w:left w:val="none" w:sz="0" w:space="0" w:color="auto"/>
        <w:bottom w:val="none" w:sz="0" w:space="0" w:color="auto"/>
        <w:right w:val="none" w:sz="0" w:space="0" w:color="auto"/>
      </w:divBdr>
    </w:div>
    <w:div w:id="1028217879">
      <w:marLeft w:val="0"/>
      <w:marRight w:val="0"/>
      <w:marTop w:val="0"/>
      <w:marBottom w:val="240"/>
      <w:divBdr>
        <w:top w:val="none" w:sz="0" w:space="0" w:color="auto"/>
        <w:left w:val="none" w:sz="0" w:space="0" w:color="auto"/>
        <w:bottom w:val="none" w:sz="0" w:space="0" w:color="auto"/>
        <w:right w:val="none" w:sz="0" w:space="0" w:color="auto"/>
      </w:divBdr>
    </w:div>
    <w:div w:id="1031880427">
      <w:marLeft w:val="0"/>
      <w:marRight w:val="0"/>
      <w:marTop w:val="0"/>
      <w:marBottom w:val="0"/>
      <w:divBdr>
        <w:top w:val="none" w:sz="0" w:space="0" w:color="auto"/>
        <w:left w:val="none" w:sz="0" w:space="0" w:color="auto"/>
        <w:bottom w:val="none" w:sz="0" w:space="0" w:color="auto"/>
        <w:right w:val="none" w:sz="0" w:space="0" w:color="auto"/>
      </w:divBdr>
      <w:divsChild>
        <w:div w:id="1711420922">
          <w:marLeft w:val="0"/>
          <w:marRight w:val="0"/>
          <w:marTop w:val="0"/>
          <w:marBottom w:val="1"/>
          <w:divBdr>
            <w:top w:val="none" w:sz="0" w:space="0" w:color="auto"/>
            <w:left w:val="none" w:sz="0" w:space="0" w:color="auto"/>
            <w:bottom w:val="none" w:sz="0" w:space="0" w:color="auto"/>
            <w:right w:val="none" w:sz="0" w:space="0" w:color="auto"/>
          </w:divBdr>
        </w:div>
        <w:div w:id="1320769526">
          <w:marLeft w:val="0"/>
          <w:marRight w:val="0"/>
          <w:marTop w:val="0"/>
          <w:marBottom w:val="1"/>
          <w:divBdr>
            <w:top w:val="none" w:sz="0" w:space="0" w:color="auto"/>
            <w:left w:val="none" w:sz="0" w:space="0" w:color="auto"/>
            <w:bottom w:val="none" w:sz="0" w:space="0" w:color="auto"/>
            <w:right w:val="none" w:sz="0" w:space="0" w:color="auto"/>
          </w:divBdr>
        </w:div>
        <w:div w:id="205875097">
          <w:marLeft w:val="0"/>
          <w:marRight w:val="0"/>
          <w:marTop w:val="0"/>
          <w:marBottom w:val="1"/>
          <w:divBdr>
            <w:top w:val="none" w:sz="0" w:space="0" w:color="auto"/>
            <w:left w:val="none" w:sz="0" w:space="0" w:color="auto"/>
            <w:bottom w:val="none" w:sz="0" w:space="0" w:color="auto"/>
            <w:right w:val="none" w:sz="0" w:space="0" w:color="auto"/>
          </w:divBdr>
        </w:div>
        <w:div w:id="1964342122">
          <w:marLeft w:val="0"/>
          <w:marRight w:val="0"/>
          <w:marTop w:val="0"/>
          <w:marBottom w:val="1"/>
          <w:divBdr>
            <w:top w:val="none" w:sz="0" w:space="0" w:color="auto"/>
            <w:left w:val="none" w:sz="0" w:space="0" w:color="auto"/>
            <w:bottom w:val="none" w:sz="0" w:space="0" w:color="auto"/>
            <w:right w:val="none" w:sz="0" w:space="0" w:color="auto"/>
          </w:divBdr>
        </w:div>
      </w:divsChild>
    </w:div>
    <w:div w:id="1036929109">
      <w:marLeft w:val="0"/>
      <w:marRight w:val="0"/>
      <w:marTop w:val="0"/>
      <w:marBottom w:val="240"/>
      <w:divBdr>
        <w:top w:val="none" w:sz="0" w:space="0" w:color="auto"/>
        <w:left w:val="none" w:sz="0" w:space="0" w:color="auto"/>
        <w:bottom w:val="none" w:sz="0" w:space="0" w:color="auto"/>
        <w:right w:val="none" w:sz="0" w:space="0" w:color="auto"/>
      </w:divBdr>
    </w:div>
    <w:div w:id="1037702982">
      <w:marLeft w:val="0"/>
      <w:marRight w:val="0"/>
      <w:marTop w:val="0"/>
      <w:marBottom w:val="240"/>
      <w:divBdr>
        <w:top w:val="none" w:sz="0" w:space="0" w:color="auto"/>
        <w:left w:val="none" w:sz="0" w:space="0" w:color="auto"/>
        <w:bottom w:val="none" w:sz="0" w:space="0" w:color="auto"/>
        <w:right w:val="none" w:sz="0" w:space="0" w:color="auto"/>
      </w:divBdr>
    </w:div>
    <w:div w:id="1043093695">
      <w:marLeft w:val="0"/>
      <w:marRight w:val="0"/>
      <w:marTop w:val="0"/>
      <w:marBottom w:val="0"/>
      <w:divBdr>
        <w:top w:val="none" w:sz="0" w:space="0" w:color="auto"/>
        <w:left w:val="none" w:sz="0" w:space="0" w:color="auto"/>
        <w:bottom w:val="none" w:sz="0" w:space="0" w:color="auto"/>
        <w:right w:val="none" w:sz="0" w:space="0" w:color="auto"/>
      </w:divBdr>
      <w:divsChild>
        <w:div w:id="2139953132">
          <w:marLeft w:val="0"/>
          <w:marRight w:val="0"/>
          <w:marTop w:val="0"/>
          <w:marBottom w:val="0"/>
          <w:divBdr>
            <w:top w:val="none" w:sz="0" w:space="0" w:color="auto"/>
            <w:left w:val="none" w:sz="0" w:space="0" w:color="auto"/>
            <w:bottom w:val="none" w:sz="0" w:space="0" w:color="auto"/>
            <w:right w:val="none" w:sz="0" w:space="0" w:color="auto"/>
          </w:divBdr>
        </w:div>
      </w:divsChild>
    </w:div>
    <w:div w:id="1044523096">
      <w:marLeft w:val="0"/>
      <w:marRight w:val="0"/>
      <w:marTop w:val="0"/>
      <w:marBottom w:val="240"/>
      <w:divBdr>
        <w:top w:val="none" w:sz="0" w:space="0" w:color="auto"/>
        <w:left w:val="none" w:sz="0" w:space="0" w:color="auto"/>
        <w:bottom w:val="none" w:sz="0" w:space="0" w:color="auto"/>
        <w:right w:val="none" w:sz="0" w:space="0" w:color="auto"/>
      </w:divBdr>
    </w:div>
    <w:div w:id="1047756741">
      <w:marLeft w:val="0"/>
      <w:marRight w:val="0"/>
      <w:marTop w:val="0"/>
      <w:marBottom w:val="240"/>
      <w:divBdr>
        <w:top w:val="none" w:sz="0" w:space="0" w:color="auto"/>
        <w:left w:val="none" w:sz="0" w:space="0" w:color="auto"/>
        <w:bottom w:val="none" w:sz="0" w:space="0" w:color="auto"/>
        <w:right w:val="none" w:sz="0" w:space="0" w:color="auto"/>
      </w:divBdr>
    </w:div>
    <w:div w:id="1052727759">
      <w:marLeft w:val="0"/>
      <w:marRight w:val="0"/>
      <w:marTop w:val="240"/>
      <w:marBottom w:val="120"/>
      <w:divBdr>
        <w:top w:val="none" w:sz="0" w:space="0" w:color="auto"/>
        <w:left w:val="none" w:sz="0" w:space="0" w:color="auto"/>
        <w:bottom w:val="none" w:sz="0" w:space="0" w:color="auto"/>
        <w:right w:val="none" w:sz="0" w:space="0" w:color="auto"/>
      </w:divBdr>
    </w:div>
    <w:div w:id="1053121629">
      <w:marLeft w:val="0"/>
      <w:marRight w:val="0"/>
      <w:marTop w:val="0"/>
      <w:marBottom w:val="0"/>
      <w:divBdr>
        <w:top w:val="none" w:sz="0" w:space="0" w:color="auto"/>
        <w:left w:val="none" w:sz="0" w:space="0" w:color="auto"/>
        <w:bottom w:val="none" w:sz="0" w:space="0" w:color="auto"/>
        <w:right w:val="none" w:sz="0" w:space="0" w:color="auto"/>
      </w:divBdr>
    </w:div>
    <w:div w:id="1055199007">
      <w:marLeft w:val="0"/>
      <w:marRight w:val="0"/>
      <w:marTop w:val="0"/>
      <w:marBottom w:val="0"/>
      <w:divBdr>
        <w:top w:val="none" w:sz="0" w:space="0" w:color="auto"/>
        <w:left w:val="none" w:sz="0" w:space="0" w:color="auto"/>
        <w:bottom w:val="none" w:sz="0" w:space="0" w:color="auto"/>
        <w:right w:val="none" w:sz="0" w:space="0" w:color="auto"/>
      </w:divBdr>
      <w:divsChild>
        <w:div w:id="183787642">
          <w:marLeft w:val="0"/>
          <w:marRight w:val="0"/>
          <w:marTop w:val="0"/>
          <w:marBottom w:val="0"/>
          <w:divBdr>
            <w:top w:val="none" w:sz="0" w:space="0" w:color="auto"/>
            <w:left w:val="none" w:sz="0" w:space="0" w:color="auto"/>
            <w:bottom w:val="none" w:sz="0" w:space="0" w:color="auto"/>
            <w:right w:val="none" w:sz="0" w:space="0" w:color="auto"/>
          </w:divBdr>
        </w:div>
      </w:divsChild>
    </w:div>
    <w:div w:id="1055736266">
      <w:marLeft w:val="0"/>
      <w:marRight w:val="0"/>
      <w:marTop w:val="60"/>
      <w:marBottom w:val="0"/>
      <w:divBdr>
        <w:top w:val="none" w:sz="0" w:space="0" w:color="auto"/>
        <w:left w:val="none" w:sz="0" w:space="0" w:color="auto"/>
        <w:bottom w:val="none" w:sz="0" w:space="0" w:color="auto"/>
        <w:right w:val="none" w:sz="0" w:space="0" w:color="auto"/>
      </w:divBdr>
    </w:div>
    <w:div w:id="1056125567">
      <w:marLeft w:val="0"/>
      <w:marRight w:val="0"/>
      <w:marTop w:val="60"/>
      <w:marBottom w:val="60"/>
      <w:divBdr>
        <w:top w:val="none" w:sz="0" w:space="0" w:color="auto"/>
        <w:left w:val="none" w:sz="0" w:space="0" w:color="auto"/>
        <w:bottom w:val="none" w:sz="0" w:space="0" w:color="auto"/>
        <w:right w:val="none" w:sz="0" w:space="0" w:color="auto"/>
      </w:divBdr>
    </w:div>
    <w:div w:id="1060858556">
      <w:marLeft w:val="0"/>
      <w:marRight w:val="0"/>
      <w:marTop w:val="240"/>
      <w:marBottom w:val="240"/>
      <w:divBdr>
        <w:top w:val="none" w:sz="0" w:space="0" w:color="auto"/>
        <w:left w:val="none" w:sz="0" w:space="0" w:color="auto"/>
        <w:bottom w:val="none" w:sz="0" w:space="0" w:color="auto"/>
        <w:right w:val="none" w:sz="0" w:space="0" w:color="auto"/>
      </w:divBdr>
    </w:div>
    <w:div w:id="1063480105">
      <w:marLeft w:val="0"/>
      <w:marRight w:val="0"/>
      <w:marTop w:val="0"/>
      <w:marBottom w:val="240"/>
      <w:divBdr>
        <w:top w:val="none" w:sz="0" w:space="0" w:color="auto"/>
        <w:left w:val="none" w:sz="0" w:space="0" w:color="auto"/>
        <w:bottom w:val="none" w:sz="0" w:space="0" w:color="auto"/>
        <w:right w:val="none" w:sz="0" w:space="0" w:color="auto"/>
      </w:divBdr>
    </w:div>
    <w:div w:id="1066222079">
      <w:marLeft w:val="0"/>
      <w:marRight w:val="0"/>
      <w:marTop w:val="0"/>
      <w:marBottom w:val="0"/>
      <w:divBdr>
        <w:top w:val="none" w:sz="0" w:space="0" w:color="auto"/>
        <w:left w:val="none" w:sz="0" w:space="0" w:color="auto"/>
        <w:bottom w:val="none" w:sz="0" w:space="0" w:color="auto"/>
        <w:right w:val="none" w:sz="0" w:space="0" w:color="auto"/>
      </w:divBdr>
      <w:divsChild>
        <w:div w:id="245769090">
          <w:marLeft w:val="0"/>
          <w:marRight w:val="0"/>
          <w:marTop w:val="0"/>
          <w:marBottom w:val="0"/>
          <w:divBdr>
            <w:top w:val="none" w:sz="0" w:space="0" w:color="auto"/>
            <w:left w:val="none" w:sz="0" w:space="0" w:color="auto"/>
            <w:bottom w:val="none" w:sz="0" w:space="0" w:color="auto"/>
            <w:right w:val="none" w:sz="0" w:space="0" w:color="auto"/>
          </w:divBdr>
        </w:div>
      </w:divsChild>
    </w:div>
    <w:div w:id="1068193048">
      <w:marLeft w:val="0"/>
      <w:marRight w:val="0"/>
      <w:marTop w:val="0"/>
      <w:marBottom w:val="40"/>
      <w:divBdr>
        <w:top w:val="none" w:sz="0" w:space="0" w:color="auto"/>
        <w:left w:val="none" w:sz="0" w:space="0" w:color="auto"/>
        <w:bottom w:val="none" w:sz="0" w:space="0" w:color="auto"/>
        <w:right w:val="none" w:sz="0" w:space="0" w:color="auto"/>
      </w:divBdr>
    </w:div>
    <w:div w:id="1070813316">
      <w:marLeft w:val="0"/>
      <w:marRight w:val="0"/>
      <w:marTop w:val="0"/>
      <w:marBottom w:val="0"/>
      <w:divBdr>
        <w:top w:val="none" w:sz="0" w:space="0" w:color="auto"/>
        <w:left w:val="none" w:sz="0" w:space="0" w:color="auto"/>
        <w:bottom w:val="none" w:sz="0" w:space="0" w:color="auto"/>
        <w:right w:val="none" w:sz="0" w:space="0" w:color="auto"/>
      </w:divBdr>
      <w:divsChild>
        <w:div w:id="1213886387">
          <w:marLeft w:val="0"/>
          <w:marRight w:val="0"/>
          <w:marTop w:val="0"/>
          <w:marBottom w:val="0"/>
          <w:divBdr>
            <w:top w:val="none" w:sz="0" w:space="0" w:color="auto"/>
            <w:left w:val="none" w:sz="0" w:space="0" w:color="auto"/>
            <w:bottom w:val="none" w:sz="0" w:space="0" w:color="auto"/>
            <w:right w:val="none" w:sz="0" w:space="0" w:color="auto"/>
          </w:divBdr>
        </w:div>
      </w:divsChild>
    </w:div>
    <w:div w:id="1073821868">
      <w:marLeft w:val="0"/>
      <w:marRight w:val="0"/>
      <w:marTop w:val="0"/>
      <w:marBottom w:val="0"/>
      <w:divBdr>
        <w:top w:val="none" w:sz="0" w:space="0" w:color="auto"/>
        <w:left w:val="none" w:sz="0" w:space="0" w:color="auto"/>
        <w:bottom w:val="none" w:sz="0" w:space="0" w:color="auto"/>
        <w:right w:val="none" w:sz="0" w:space="0" w:color="auto"/>
      </w:divBdr>
      <w:divsChild>
        <w:div w:id="1091780844">
          <w:marLeft w:val="0"/>
          <w:marRight w:val="0"/>
          <w:marTop w:val="0"/>
          <w:marBottom w:val="0"/>
          <w:divBdr>
            <w:top w:val="none" w:sz="0" w:space="0" w:color="auto"/>
            <w:left w:val="none" w:sz="0" w:space="0" w:color="auto"/>
            <w:bottom w:val="none" w:sz="0" w:space="0" w:color="auto"/>
            <w:right w:val="none" w:sz="0" w:space="0" w:color="auto"/>
          </w:divBdr>
        </w:div>
      </w:divsChild>
    </w:div>
    <w:div w:id="1074626553">
      <w:marLeft w:val="0"/>
      <w:marRight w:val="0"/>
      <w:marTop w:val="0"/>
      <w:marBottom w:val="0"/>
      <w:divBdr>
        <w:top w:val="none" w:sz="0" w:space="0" w:color="auto"/>
        <w:left w:val="none" w:sz="0" w:space="0" w:color="auto"/>
        <w:bottom w:val="none" w:sz="0" w:space="0" w:color="auto"/>
        <w:right w:val="none" w:sz="0" w:space="0" w:color="auto"/>
      </w:divBdr>
      <w:divsChild>
        <w:div w:id="861213535">
          <w:marLeft w:val="0"/>
          <w:marRight w:val="0"/>
          <w:marTop w:val="0"/>
          <w:marBottom w:val="0"/>
          <w:divBdr>
            <w:top w:val="none" w:sz="0" w:space="0" w:color="auto"/>
            <w:left w:val="none" w:sz="0" w:space="0" w:color="auto"/>
            <w:bottom w:val="none" w:sz="0" w:space="0" w:color="auto"/>
            <w:right w:val="none" w:sz="0" w:space="0" w:color="auto"/>
          </w:divBdr>
        </w:div>
      </w:divsChild>
    </w:div>
    <w:div w:id="1090076598">
      <w:marLeft w:val="0"/>
      <w:marRight w:val="0"/>
      <w:marTop w:val="0"/>
      <w:marBottom w:val="0"/>
      <w:divBdr>
        <w:top w:val="none" w:sz="0" w:space="0" w:color="auto"/>
        <w:left w:val="none" w:sz="0" w:space="0" w:color="auto"/>
        <w:bottom w:val="none" w:sz="0" w:space="0" w:color="auto"/>
        <w:right w:val="none" w:sz="0" w:space="0" w:color="auto"/>
      </w:divBdr>
      <w:divsChild>
        <w:div w:id="1229463416">
          <w:marLeft w:val="0"/>
          <w:marRight w:val="0"/>
          <w:marTop w:val="0"/>
          <w:marBottom w:val="0"/>
          <w:divBdr>
            <w:top w:val="none" w:sz="0" w:space="0" w:color="auto"/>
            <w:left w:val="none" w:sz="0" w:space="0" w:color="auto"/>
            <w:bottom w:val="none" w:sz="0" w:space="0" w:color="auto"/>
            <w:right w:val="none" w:sz="0" w:space="0" w:color="auto"/>
          </w:divBdr>
        </w:div>
      </w:divsChild>
    </w:div>
    <w:div w:id="1092437445">
      <w:marLeft w:val="0"/>
      <w:marRight w:val="0"/>
      <w:marTop w:val="240"/>
      <w:marBottom w:val="240"/>
      <w:divBdr>
        <w:top w:val="none" w:sz="0" w:space="0" w:color="auto"/>
        <w:left w:val="none" w:sz="0" w:space="0" w:color="auto"/>
        <w:bottom w:val="none" w:sz="0" w:space="0" w:color="auto"/>
        <w:right w:val="none" w:sz="0" w:space="0" w:color="auto"/>
      </w:divBdr>
    </w:div>
    <w:div w:id="1100951167">
      <w:marLeft w:val="0"/>
      <w:marRight w:val="0"/>
      <w:marTop w:val="0"/>
      <w:marBottom w:val="240"/>
      <w:divBdr>
        <w:top w:val="none" w:sz="0" w:space="0" w:color="auto"/>
        <w:left w:val="none" w:sz="0" w:space="0" w:color="auto"/>
        <w:bottom w:val="none" w:sz="0" w:space="0" w:color="auto"/>
        <w:right w:val="none" w:sz="0" w:space="0" w:color="auto"/>
      </w:divBdr>
    </w:div>
    <w:div w:id="1102142135">
      <w:marLeft w:val="0"/>
      <w:marRight w:val="0"/>
      <w:marTop w:val="240"/>
      <w:marBottom w:val="240"/>
      <w:divBdr>
        <w:top w:val="none" w:sz="0" w:space="0" w:color="auto"/>
        <w:left w:val="none" w:sz="0" w:space="0" w:color="auto"/>
        <w:bottom w:val="none" w:sz="0" w:space="0" w:color="auto"/>
        <w:right w:val="none" w:sz="0" w:space="0" w:color="auto"/>
      </w:divBdr>
    </w:div>
    <w:div w:id="1104762325">
      <w:marLeft w:val="0"/>
      <w:marRight w:val="0"/>
      <w:marTop w:val="0"/>
      <w:marBottom w:val="0"/>
      <w:divBdr>
        <w:top w:val="none" w:sz="0" w:space="0" w:color="auto"/>
        <w:left w:val="none" w:sz="0" w:space="0" w:color="auto"/>
        <w:bottom w:val="none" w:sz="0" w:space="0" w:color="auto"/>
        <w:right w:val="none" w:sz="0" w:space="0" w:color="auto"/>
      </w:divBdr>
      <w:divsChild>
        <w:div w:id="508299997">
          <w:marLeft w:val="0"/>
          <w:marRight w:val="0"/>
          <w:marTop w:val="0"/>
          <w:marBottom w:val="0"/>
          <w:divBdr>
            <w:top w:val="none" w:sz="0" w:space="0" w:color="auto"/>
            <w:left w:val="none" w:sz="0" w:space="0" w:color="auto"/>
            <w:bottom w:val="none" w:sz="0" w:space="0" w:color="auto"/>
            <w:right w:val="none" w:sz="0" w:space="0" w:color="auto"/>
          </w:divBdr>
        </w:div>
      </w:divsChild>
    </w:div>
    <w:div w:id="1111781458">
      <w:marLeft w:val="0"/>
      <w:marRight w:val="0"/>
      <w:marTop w:val="0"/>
      <w:marBottom w:val="0"/>
      <w:divBdr>
        <w:top w:val="none" w:sz="0" w:space="0" w:color="auto"/>
        <w:left w:val="none" w:sz="0" w:space="0" w:color="auto"/>
        <w:bottom w:val="none" w:sz="0" w:space="0" w:color="auto"/>
        <w:right w:val="none" w:sz="0" w:space="0" w:color="auto"/>
      </w:divBdr>
    </w:div>
    <w:div w:id="1114906674">
      <w:marLeft w:val="0"/>
      <w:marRight w:val="0"/>
      <w:marTop w:val="0"/>
      <w:marBottom w:val="240"/>
      <w:divBdr>
        <w:top w:val="none" w:sz="0" w:space="0" w:color="auto"/>
        <w:left w:val="none" w:sz="0" w:space="0" w:color="auto"/>
        <w:bottom w:val="none" w:sz="0" w:space="0" w:color="auto"/>
        <w:right w:val="none" w:sz="0" w:space="0" w:color="auto"/>
      </w:divBdr>
    </w:div>
    <w:div w:id="1117408393">
      <w:marLeft w:val="0"/>
      <w:marRight w:val="0"/>
      <w:marTop w:val="0"/>
      <w:marBottom w:val="240"/>
      <w:divBdr>
        <w:top w:val="none" w:sz="0" w:space="0" w:color="auto"/>
        <w:left w:val="none" w:sz="0" w:space="0" w:color="auto"/>
        <w:bottom w:val="none" w:sz="0" w:space="0" w:color="auto"/>
        <w:right w:val="none" w:sz="0" w:space="0" w:color="auto"/>
      </w:divBdr>
    </w:div>
    <w:div w:id="1130131818">
      <w:marLeft w:val="0"/>
      <w:marRight w:val="0"/>
      <w:marTop w:val="0"/>
      <w:marBottom w:val="240"/>
      <w:divBdr>
        <w:top w:val="none" w:sz="0" w:space="0" w:color="auto"/>
        <w:left w:val="none" w:sz="0" w:space="0" w:color="auto"/>
        <w:bottom w:val="none" w:sz="0" w:space="0" w:color="auto"/>
        <w:right w:val="none" w:sz="0" w:space="0" w:color="auto"/>
      </w:divBdr>
    </w:div>
    <w:div w:id="1133596269">
      <w:marLeft w:val="0"/>
      <w:marRight w:val="0"/>
      <w:marTop w:val="0"/>
      <w:marBottom w:val="120"/>
      <w:divBdr>
        <w:top w:val="none" w:sz="0" w:space="0" w:color="auto"/>
        <w:left w:val="none" w:sz="0" w:space="0" w:color="auto"/>
        <w:bottom w:val="none" w:sz="0" w:space="0" w:color="auto"/>
        <w:right w:val="none" w:sz="0" w:space="0" w:color="auto"/>
      </w:divBdr>
    </w:div>
    <w:div w:id="1135951169">
      <w:marLeft w:val="0"/>
      <w:marRight w:val="0"/>
      <w:marTop w:val="0"/>
      <w:marBottom w:val="240"/>
      <w:divBdr>
        <w:top w:val="none" w:sz="0" w:space="0" w:color="auto"/>
        <w:left w:val="none" w:sz="0" w:space="0" w:color="auto"/>
        <w:bottom w:val="none" w:sz="0" w:space="0" w:color="auto"/>
        <w:right w:val="none" w:sz="0" w:space="0" w:color="auto"/>
      </w:divBdr>
    </w:div>
    <w:div w:id="1136294069">
      <w:marLeft w:val="0"/>
      <w:marRight w:val="0"/>
      <w:marTop w:val="240"/>
      <w:marBottom w:val="240"/>
      <w:divBdr>
        <w:top w:val="none" w:sz="0" w:space="0" w:color="auto"/>
        <w:left w:val="none" w:sz="0" w:space="0" w:color="auto"/>
        <w:bottom w:val="none" w:sz="0" w:space="0" w:color="auto"/>
        <w:right w:val="none" w:sz="0" w:space="0" w:color="auto"/>
      </w:divBdr>
    </w:div>
    <w:div w:id="1136675947">
      <w:marLeft w:val="0"/>
      <w:marRight w:val="0"/>
      <w:marTop w:val="240"/>
      <w:marBottom w:val="0"/>
      <w:divBdr>
        <w:top w:val="none" w:sz="0" w:space="0" w:color="auto"/>
        <w:left w:val="none" w:sz="0" w:space="0" w:color="auto"/>
        <w:bottom w:val="none" w:sz="0" w:space="0" w:color="auto"/>
        <w:right w:val="none" w:sz="0" w:space="0" w:color="auto"/>
      </w:divBdr>
    </w:div>
    <w:div w:id="1138111350">
      <w:marLeft w:val="0"/>
      <w:marRight w:val="0"/>
      <w:marTop w:val="0"/>
      <w:marBottom w:val="240"/>
      <w:divBdr>
        <w:top w:val="none" w:sz="0" w:space="0" w:color="auto"/>
        <w:left w:val="none" w:sz="0" w:space="0" w:color="auto"/>
        <w:bottom w:val="none" w:sz="0" w:space="0" w:color="auto"/>
        <w:right w:val="none" w:sz="0" w:space="0" w:color="auto"/>
      </w:divBdr>
    </w:div>
    <w:div w:id="1155804041">
      <w:marLeft w:val="0"/>
      <w:marRight w:val="0"/>
      <w:marTop w:val="0"/>
      <w:marBottom w:val="120"/>
      <w:divBdr>
        <w:top w:val="none" w:sz="0" w:space="0" w:color="auto"/>
        <w:left w:val="none" w:sz="0" w:space="0" w:color="auto"/>
        <w:bottom w:val="none" w:sz="0" w:space="0" w:color="auto"/>
        <w:right w:val="none" w:sz="0" w:space="0" w:color="auto"/>
      </w:divBdr>
    </w:div>
    <w:div w:id="1159687574">
      <w:marLeft w:val="0"/>
      <w:marRight w:val="0"/>
      <w:marTop w:val="0"/>
      <w:marBottom w:val="240"/>
      <w:divBdr>
        <w:top w:val="none" w:sz="0" w:space="0" w:color="auto"/>
        <w:left w:val="none" w:sz="0" w:space="0" w:color="auto"/>
        <w:bottom w:val="none" w:sz="0" w:space="0" w:color="auto"/>
        <w:right w:val="none" w:sz="0" w:space="0" w:color="auto"/>
      </w:divBdr>
    </w:div>
    <w:div w:id="1161431955">
      <w:marLeft w:val="0"/>
      <w:marRight w:val="0"/>
      <w:marTop w:val="0"/>
      <w:marBottom w:val="240"/>
      <w:divBdr>
        <w:top w:val="none" w:sz="0" w:space="0" w:color="auto"/>
        <w:left w:val="none" w:sz="0" w:space="0" w:color="auto"/>
        <w:bottom w:val="none" w:sz="0" w:space="0" w:color="auto"/>
        <w:right w:val="none" w:sz="0" w:space="0" w:color="auto"/>
      </w:divBdr>
      <w:divsChild>
        <w:div w:id="229197178">
          <w:marLeft w:val="0"/>
          <w:marRight w:val="0"/>
          <w:marTop w:val="0"/>
          <w:marBottom w:val="0"/>
          <w:divBdr>
            <w:top w:val="none" w:sz="0" w:space="0" w:color="auto"/>
            <w:left w:val="none" w:sz="0" w:space="0" w:color="auto"/>
            <w:bottom w:val="none" w:sz="0" w:space="0" w:color="auto"/>
            <w:right w:val="none" w:sz="0" w:space="0" w:color="auto"/>
          </w:divBdr>
        </w:div>
        <w:div w:id="1819374062">
          <w:marLeft w:val="0"/>
          <w:marRight w:val="0"/>
          <w:marTop w:val="0"/>
          <w:marBottom w:val="0"/>
          <w:divBdr>
            <w:top w:val="none" w:sz="0" w:space="0" w:color="auto"/>
            <w:left w:val="none" w:sz="0" w:space="0" w:color="auto"/>
            <w:bottom w:val="none" w:sz="0" w:space="0" w:color="auto"/>
            <w:right w:val="none" w:sz="0" w:space="0" w:color="auto"/>
          </w:divBdr>
        </w:div>
        <w:div w:id="1488204904">
          <w:marLeft w:val="0"/>
          <w:marRight w:val="0"/>
          <w:marTop w:val="0"/>
          <w:marBottom w:val="0"/>
          <w:divBdr>
            <w:top w:val="none" w:sz="0" w:space="0" w:color="auto"/>
            <w:left w:val="none" w:sz="0" w:space="0" w:color="auto"/>
            <w:bottom w:val="none" w:sz="0" w:space="0" w:color="auto"/>
            <w:right w:val="none" w:sz="0" w:space="0" w:color="auto"/>
          </w:divBdr>
        </w:div>
      </w:divsChild>
    </w:div>
    <w:div w:id="1165783678">
      <w:marLeft w:val="0"/>
      <w:marRight w:val="0"/>
      <w:marTop w:val="0"/>
      <w:marBottom w:val="240"/>
      <w:divBdr>
        <w:top w:val="none" w:sz="0" w:space="0" w:color="auto"/>
        <w:left w:val="none" w:sz="0" w:space="0" w:color="auto"/>
        <w:bottom w:val="none" w:sz="0" w:space="0" w:color="auto"/>
        <w:right w:val="none" w:sz="0" w:space="0" w:color="auto"/>
      </w:divBdr>
    </w:div>
    <w:div w:id="1167793608">
      <w:marLeft w:val="0"/>
      <w:marRight w:val="0"/>
      <w:marTop w:val="0"/>
      <w:marBottom w:val="240"/>
      <w:divBdr>
        <w:top w:val="none" w:sz="0" w:space="0" w:color="auto"/>
        <w:left w:val="none" w:sz="0" w:space="0" w:color="auto"/>
        <w:bottom w:val="none" w:sz="0" w:space="0" w:color="auto"/>
        <w:right w:val="none" w:sz="0" w:space="0" w:color="auto"/>
      </w:divBdr>
    </w:div>
    <w:div w:id="1171723696">
      <w:marLeft w:val="0"/>
      <w:marRight w:val="0"/>
      <w:marTop w:val="0"/>
      <w:marBottom w:val="0"/>
      <w:divBdr>
        <w:top w:val="none" w:sz="0" w:space="0" w:color="auto"/>
        <w:left w:val="none" w:sz="0" w:space="0" w:color="auto"/>
        <w:bottom w:val="none" w:sz="0" w:space="0" w:color="auto"/>
        <w:right w:val="none" w:sz="0" w:space="0" w:color="auto"/>
      </w:divBdr>
      <w:divsChild>
        <w:div w:id="1128350750">
          <w:marLeft w:val="0"/>
          <w:marRight w:val="0"/>
          <w:marTop w:val="0"/>
          <w:marBottom w:val="0"/>
          <w:divBdr>
            <w:top w:val="none" w:sz="0" w:space="0" w:color="auto"/>
            <w:left w:val="none" w:sz="0" w:space="0" w:color="auto"/>
            <w:bottom w:val="none" w:sz="0" w:space="0" w:color="auto"/>
            <w:right w:val="none" w:sz="0" w:space="0" w:color="auto"/>
          </w:divBdr>
        </w:div>
      </w:divsChild>
    </w:div>
    <w:div w:id="1172335229">
      <w:marLeft w:val="0"/>
      <w:marRight w:val="0"/>
      <w:marTop w:val="0"/>
      <w:marBottom w:val="240"/>
      <w:divBdr>
        <w:top w:val="none" w:sz="0" w:space="0" w:color="auto"/>
        <w:left w:val="none" w:sz="0" w:space="0" w:color="auto"/>
        <w:bottom w:val="none" w:sz="0" w:space="0" w:color="auto"/>
        <w:right w:val="none" w:sz="0" w:space="0" w:color="auto"/>
      </w:divBdr>
    </w:div>
    <w:div w:id="1178614331">
      <w:marLeft w:val="0"/>
      <w:marRight w:val="0"/>
      <w:marTop w:val="0"/>
      <w:marBottom w:val="0"/>
      <w:divBdr>
        <w:top w:val="none" w:sz="0" w:space="0" w:color="auto"/>
        <w:left w:val="none" w:sz="0" w:space="0" w:color="auto"/>
        <w:bottom w:val="none" w:sz="0" w:space="0" w:color="auto"/>
        <w:right w:val="none" w:sz="0" w:space="0" w:color="auto"/>
      </w:divBdr>
    </w:div>
    <w:div w:id="1180857207">
      <w:marLeft w:val="0"/>
      <w:marRight w:val="0"/>
      <w:marTop w:val="0"/>
      <w:marBottom w:val="240"/>
      <w:divBdr>
        <w:top w:val="none" w:sz="0" w:space="0" w:color="auto"/>
        <w:left w:val="none" w:sz="0" w:space="0" w:color="auto"/>
        <w:bottom w:val="none" w:sz="0" w:space="0" w:color="auto"/>
        <w:right w:val="none" w:sz="0" w:space="0" w:color="auto"/>
      </w:divBdr>
    </w:div>
    <w:div w:id="1188173480">
      <w:marLeft w:val="0"/>
      <w:marRight w:val="0"/>
      <w:marTop w:val="0"/>
      <w:marBottom w:val="240"/>
      <w:divBdr>
        <w:top w:val="none" w:sz="0" w:space="0" w:color="auto"/>
        <w:left w:val="none" w:sz="0" w:space="0" w:color="auto"/>
        <w:bottom w:val="none" w:sz="0" w:space="0" w:color="auto"/>
        <w:right w:val="none" w:sz="0" w:space="0" w:color="auto"/>
      </w:divBdr>
    </w:div>
    <w:div w:id="1191651392">
      <w:marLeft w:val="0"/>
      <w:marRight w:val="0"/>
      <w:marTop w:val="60"/>
      <w:marBottom w:val="0"/>
      <w:divBdr>
        <w:top w:val="none" w:sz="0" w:space="0" w:color="auto"/>
        <w:left w:val="none" w:sz="0" w:space="0" w:color="auto"/>
        <w:bottom w:val="none" w:sz="0" w:space="0" w:color="auto"/>
        <w:right w:val="none" w:sz="0" w:space="0" w:color="auto"/>
      </w:divBdr>
    </w:div>
    <w:div w:id="1202084896">
      <w:marLeft w:val="0"/>
      <w:marRight w:val="0"/>
      <w:marTop w:val="0"/>
      <w:marBottom w:val="0"/>
      <w:divBdr>
        <w:top w:val="none" w:sz="0" w:space="0" w:color="auto"/>
        <w:left w:val="none" w:sz="0" w:space="0" w:color="auto"/>
        <w:bottom w:val="none" w:sz="0" w:space="0" w:color="auto"/>
        <w:right w:val="none" w:sz="0" w:space="0" w:color="auto"/>
      </w:divBdr>
      <w:divsChild>
        <w:div w:id="305595100">
          <w:marLeft w:val="0"/>
          <w:marRight w:val="0"/>
          <w:marTop w:val="0"/>
          <w:marBottom w:val="0"/>
          <w:divBdr>
            <w:top w:val="none" w:sz="0" w:space="0" w:color="auto"/>
            <w:left w:val="none" w:sz="0" w:space="0" w:color="auto"/>
            <w:bottom w:val="none" w:sz="0" w:space="0" w:color="auto"/>
            <w:right w:val="none" w:sz="0" w:space="0" w:color="auto"/>
          </w:divBdr>
        </w:div>
      </w:divsChild>
    </w:div>
    <w:div w:id="1214346918">
      <w:marLeft w:val="0"/>
      <w:marRight w:val="0"/>
      <w:marTop w:val="240"/>
      <w:marBottom w:val="240"/>
      <w:divBdr>
        <w:top w:val="none" w:sz="0" w:space="0" w:color="auto"/>
        <w:left w:val="none" w:sz="0" w:space="0" w:color="auto"/>
        <w:bottom w:val="none" w:sz="0" w:space="0" w:color="auto"/>
        <w:right w:val="none" w:sz="0" w:space="0" w:color="auto"/>
      </w:divBdr>
    </w:div>
    <w:div w:id="1218004718">
      <w:marLeft w:val="0"/>
      <w:marRight w:val="0"/>
      <w:marTop w:val="0"/>
      <w:marBottom w:val="0"/>
      <w:divBdr>
        <w:top w:val="none" w:sz="0" w:space="0" w:color="auto"/>
        <w:left w:val="none" w:sz="0" w:space="0" w:color="auto"/>
        <w:bottom w:val="none" w:sz="0" w:space="0" w:color="auto"/>
        <w:right w:val="none" w:sz="0" w:space="0" w:color="auto"/>
      </w:divBdr>
    </w:div>
    <w:div w:id="1227302220">
      <w:marLeft w:val="0"/>
      <w:marRight w:val="0"/>
      <w:marTop w:val="0"/>
      <w:marBottom w:val="0"/>
      <w:divBdr>
        <w:top w:val="none" w:sz="0" w:space="0" w:color="auto"/>
        <w:left w:val="none" w:sz="0" w:space="0" w:color="auto"/>
        <w:bottom w:val="none" w:sz="0" w:space="0" w:color="auto"/>
        <w:right w:val="none" w:sz="0" w:space="0" w:color="auto"/>
      </w:divBdr>
      <w:divsChild>
        <w:div w:id="1370958963">
          <w:marLeft w:val="0"/>
          <w:marRight w:val="0"/>
          <w:marTop w:val="0"/>
          <w:marBottom w:val="0"/>
          <w:divBdr>
            <w:top w:val="none" w:sz="0" w:space="0" w:color="auto"/>
            <w:left w:val="none" w:sz="0" w:space="0" w:color="auto"/>
            <w:bottom w:val="none" w:sz="0" w:space="0" w:color="auto"/>
            <w:right w:val="none" w:sz="0" w:space="0" w:color="auto"/>
          </w:divBdr>
        </w:div>
      </w:divsChild>
    </w:div>
    <w:div w:id="1229536287">
      <w:marLeft w:val="0"/>
      <w:marRight w:val="0"/>
      <w:marTop w:val="0"/>
      <w:marBottom w:val="240"/>
      <w:divBdr>
        <w:top w:val="none" w:sz="0" w:space="0" w:color="auto"/>
        <w:left w:val="none" w:sz="0" w:space="0" w:color="auto"/>
        <w:bottom w:val="none" w:sz="0" w:space="0" w:color="auto"/>
        <w:right w:val="none" w:sz="0" w:space="0" w:color="auto"/>
      </w:divBdr>
    </w:div>
    <w:div w:id="1230464154">
      <w:marLeft w:val="0"/>
      <w:marRight w:val="0"/>
      <w:marTop w:val="0"/>
      <w:marBottom w:val="240"/>
      <w:divBdr>
        <w:top w:val="none" w:sz="0" w:space="0" w:color="auto"/>
        <w:left w:val="none" w:sz="0" w:space="0" w:color="auto"/>
        <w:bottom w:val="none" w:sz="0" w:space="0" w:color="auto"/>
        <w:right w:val="none" w:sz="0" w:space="0" w:color="auto"/>
      </w:divBdr>
    </w:div>
    <w:div w:id="1235511627">
      <w:marLeft w:val="0"/>
      <w:marRight w:val="0"/>
      <w:marTop w:val="0"/>
      <w:marBottom w:val="0"/>
      <w:divBdr>
        <w:top w:val="none" w:sz="0" w:space="0" w:color="auto"/>
        <w:left w:val="none" w:sz="0" w:space="0" w:color="auto"/>
        <w:bottom w:val="none" w:sz="0" w:space="0" w:color="auto"/>
        <w:right w:val="none" w:sz="0" w:space="0" w:color="auto"/>
      </w:divBdr>
    </w:div>
    <w:div w:id="1236206146">
      <w:marLeft w:val="0"/>
      <w:marRight w:val="0"/>
      <w:marTop w:val="0"/>
      <w:marBottom w:val="120"/>
      <w:divBdr>
        <w:top w:val="none" w:sz="0" w:space="0" w:color="auto"/>
        <w:left w:val="none" w:sz="0" w:space="0" w:color="auto"/>
        <w:bottom w:val="none" w:sz="0" w:space="0" w:color="auto"/>
        <w:right w:val="none" w:sz="0" w:space="0" w:color="auto"/>
      </w:divBdr>
    </w:div>
    <w:div w:id="1236555111">
      <w:marLeft w:val="0"/>
      <w:marRight w:val="0"/>
      <w:marTop w:val="0"/>
      <w:marBottom w:val="0"/>
      <w:divBdr>
        <w:top w:val="none" w:sz="0" w:space="0" w:color="auto"/>
        <w:left w:val="none" w:sz="0" w:space="0" w:color="auto"/>
        <w:bottom w:val="none" w:sz="0" w:space="0" w:color="auto"/>
        <w:right w:val="none" w:sz="0" w:space="0" w:color="auto"/>
      </w:divBdr>
      <w:divsChild>
        <w:div w:id="110243672">
          <w:marLeft w:val="0"/>
          <w:marRight w:val="0"/>
          <w:marTop w:val="0"/>
          <w:marBottom w:val="0"/>
          <w:divBdr>
            <w:top w:val="none" w:sz="0" w:space="0" w:color="auto"/>
            <w:left w:val="none" w:sz="0" w:space="0" w:color="auto"/>
            <w:bottom w:val="none" w:sz="0" w:space="0" w:color="auto"/>
            <w:right w:val="none" w:sz="0" w:space="0" w:color="auto"/>
          </w:divBdr>
        </w:div>
      </w:divsChild>
    </w:div>
    <w:div w:id="1243567925">
      <w:marLeft w:val="0"/>
      <w:marRight w:val="0"/>
      <w:marTop w:val="0"/>
      <w:marBottom w:val="0"/>
      <w:divBdr>
        <w:top w:val="none" w:sz="0" w:space="0" w:color="auto"/>
        <w:left w:val="none" w:sz="0" w:space="0" w:color="auto"/>
        <w:bottom w:val="none" w:sz="0" w:space="0" w:color="auto"/>
        <w:right w:val="none" w:sz="0" w:space="0" w:color="auto"/>
      </w:divBdr>
      <w:divsChild>
        <w:div w:id="2125341036">
          <w:marLeft w:val="0"/>
          <w:marRight w:val="0"/>
          <w:marTop w:val="0"/>
          <w:marBottom w:val="0"/>
          <w:divBdr>
            <w:top w:val="none" w:sz="0" w:space="0" w:color="auto"/>
            <w:left w:val="none" w:sz="0" w:space="0" w:color="auto"/>
            <w:bottom w:val="none" w:sz="0" w:space="0" w:color="auto"/>
            <w:right w:val="none" w:sz="0" w:space="0" w:color="auto"/>
          </w:divBdr>
        </w:div>
      </w:divsChild>
    </w:div>
    <w:div w:id="1246305984">
      <w:marLeft w:val="0"/>
      <w:marRight w:val="0"/>
      <w:marTop w:val="0"/>
      <w:marBottom w:val="240"/>
      <w:divBdr>
        <w:top w:val="none" w:sz="0" w:space="0" w:color="auto"/>
        <w:left w:val="none" w:sz="0" w:space="0" w:color="auto"/>
        <w:bottom w:val="none" w:sz="0" w:space="0" w:color="auto"/>
        <w:right w:val="none" w:sz="0" w:space="0" w:color="auto"/>
      </w:divBdr>
    </w:div>
    <w:div w:id="1250776043">
      <w:marLeft w:val="0"/>
      <w:marRight w:val="0"/>
      <w:marTop w:val="0"/>
      <w:marBottom w:val="240"/>
      <w:divBdr>
        <w:top w:val="none" w:sz="0" w:space="0" w:color="auto"/>
        <w:left w:val="none" w:sz="0" w:space="0" w:color="auto"/>
        <w:bottom w:val="none" w:sz="0" w:space="0" w:color="auto"/>
        <w:right w:val="none" w:sz="0" w:space="0" w:color="auto"/>
      </w:divBdr>
    </w:div>
    <w:div w:id="1253392137">
      <w:marLeft w:val="0"/>
      <w:marRight w:val="0"/>
      <w:marTop w:val="0"/>
      <w:marBottom w:val="0"/>
      <w:divBdr>
        <w:top w:val="none" w:sz="0" w:space="0" w:color="auto"/>
        <w:left w:val="none" w:sz="0" w:space="0" w:color="auto"/>
        <w:bottom w:val="none" w:sz="0" w:space="0" w:color="auto"/>
        <w:right w:val="none" w:sz="0" w:space="0" w:color="auto"/>
      </w:divBdr>
      <w:divsChild>
        <w:div w:id="202594148">
          <w:marLeft w:val="0"/>
          <w:marRight w:val="0"/>
          <w:marTop w:val="0"/>
          <w:marBottom w:val="0"/>
          <w:divBdr>
            <w:top w:val="none" w:sz="0" w:space="0" w:color="auto"/>
            <w:left w:val="none" w:sz="0" w:space="0" w:color="auto"/>
            <w:bottom w:val="none" w:sz="0" w:space="0" w:color="auto"/>
            <w:right w:val="none" w:sz="0" w:space="0" w:color="auto"/>
          </w:divBdr>
        </w:div>
        <w:div w:id="923489118">
          <w:marLeft w:val="0"/>
          <w:marRight w:val="0"/>
          <w:marTop w:val="0"/>
          <w:marBottom w:val="0"/>
          <w:divBdr>
            <w:top w:val="none" w:sz="0" w:space="0" w:color="auto"/>
            <w:left w:val="none" w:sz="0" w:space="0" w:color="auto"/>
            <w:bottom w:val="none" w:sz="0" w:space="0" w:color="auto"/>
            <w:right w:val="none" w:sz="0" w:space="0" w:color="auto"/>
          </w:divBdr>
        </w:div>
        <w:div w:id="1383361238">
          <w:marLeft w:val="0"/>
          <w:marRight w:val="0"/>
          <w:marTop w:val="0"/>
          <w:marBottom w:val="0"/>
          <w:divBdr>
            <w:top w:val="none" w:sz="0" w:space="0" w:color="auto"/>
            <w:left w:val="none" w:sz="0" w:space="0" w:color="auto"/>
            <w:bottom w:val="none" w:sz="0" w:space="0" w:color="auto"/>
            <w:right w:val="none" w:sz="0" w:space="0" w:color="auto"/>
          </w:divBdr>
        </w:div>
        <w:div w:id="1314799657">
          <w:marLeft w:val="0"/>
          <w:marRight w:val="0"/>
          <w:marTop w:val="0"/>
          <w:marBottom w:val="0"/>
          <w:divBdr>
            <w:top w:val="none" w:sz="0" w:space="0" w:color="auto"/>
            <w:left w:val="none" w:sz="0" w:space="0" w:color="auto"/>
            <w:bottom w:val="none" w:sz="0" w:space="0" w:color="auto"/>
            <w:right w:val="none" w:sz="0" w:space="0" w:color="auto"/>
          </w:divBdr>
        </w:div>
      </w:divsChild>
    </w:div>
    <w:div w:id="1256286418">
      <w:marLeft w:val="0"/>
      <w:marRight w:val="0"/>
      <w:marTop w:val="0"/>
      <w:marBottom w:val="240"/>
      <w:divBdr>
        <w:top w:val="none" w:sz="0" w:space="0" w:color="auto"/>
        <w:left w:val="none" w:sz="0" w:space="0" w:color="auto"/>
        <w:bottom w:val="none" w:sz="0" w:space="0" w:color="auto"/>
        <w:right w:val="none" w:sz="0" w:space="0" w:color="auto"/>
      </w:divBdr>
    </w:div>
    <w:div w:id="1261837122">
      <w:marLeft w:val="0"/>
      <w:marRight w:val="0"/>
      <w:marTop w:val="0"/>
      <w:marBottom w:val="240"/>
      <w:divBdr>
        <w:top w:val="none" w:sz="0" w:space="0" w:color="auto"/>
        <w:left w:val="none" w:sz="0" w:space="0" w:color="auto"/>
        <w:bottom w:val="none" w:sz="0" w:space="0" w:color="auto"/>
        <w:right w:val="none" w:sz="0" w:space="0" w:color="auto"/>
      </w:divBdr>
    </w:div>
    <w:div w:id="1263413433">
      <w:marLeft w:val="0"/>
      <w:marRight w:val="0"/>
      <w:marTop w:val="240"/>
      <w:marBottom w:val="240"/>
      <w:divBdr>
        <w:top w:val="none" w:sz="0" w:space="0" w:color="auto"/>
        <w:left w:val="none" w:sz="0" w:space="0" w:color="auto"/>
        <w:bottom w:val="none" w:sz="0" w:space="0" w:color="auto"/>
        <w:right w:val="none" w:sz="0" w:space="0" w:color="auto"/>
      </w:divBdr>
    </w:div>
    <w:div w:id="1266228793">
      <w:marLeft w:val="0"/>
      <w:marRight w:val="0"/>
      <w:marTop w:val="0"/>
      <w:marBottom w:val="240"/>
      <w:divBdr>
        <w:top w:val="none" w:sz="0" w:space="0" w:color="auto"/>
        <w:left w:val="none" w:sz="0" w:space="0" w:color="auto"/>
        <w:bottom w:val="none" w:sz="0" w:space="0" w:color="auto"/>
        <w:right w:val="none" w:sz="0" w:space="0" w:color="auto"/>
      </w:divBdr>
    </w:div>
    <w:div w:id="1267733837">
      <w:marLeft w:val="0"/>
      <w:marRight w:val="0"/>
      <w:marTop w:val="60"/>
      <w:marBottom w:val="240"/>
      <w:divBdr>
        <w:top w:val="none" w:sz="0" w:space="0" w:color="auto"/>
        <w:left w:val="none" w:sz="0" w:space="0" w:color="auto"/>
        <w:bottom w:val="none" w:sz="0" w:space="0" w:color="auto"/>
        <w:right w:val="none" w:sz="0" w:space="0" w:color="auto"/>
      </w:divBdr>
    </w:div>
    <w:div w:id="1284773816">
      <w:marLeft w:val="0"/>
      <w:marRight w:val="0"/>
      <w:marTop w:val="0"/>
      <w:marBottom w:val="240"/>
      <w:divBdr>
        <w:top w:val="none" w:sz="0" w:space="0" w:color="auto"/>
        <w:left w:val="none" w:sz="0" w:space="0" w:color="auto"/>
        <w:bottom w:val="none" w:sz="0" w:space="0" w:color="auto"/>
        <w:right w:val="none" w:sz="0" w:space="0" w:color="auto"/>
      </w:divBdr>
    </w:div>
    <w:div w:id="1289242813">
      <w:marLeft w:val="0"/>
      <w:marRight w:val="0"/>
      <w:marTop w:val="0"/>
      <w:marBottom w:val="240"/>
      <w:divBdr>
        <w:top w:val="none" w:sz="0" w:space="0" w:color="auto"/>
        <w:left w:val="none" w:sz="0" w:space="0" w:color="auto"/>
        <w:bottom w:val="none" w:sz="0" w:space="0" w:color="auto"/>
        <w:right w:val="none" w:sz="0" w:space="0" w:color="auto"/>
      </w:divBdr>
    </w:div>
    <w:div w:id="1293947424">
      <w:marLeft w:val="0"/>
      <w:marRight w:val="0"/>
      <w:marTop w:val="60"/>
      <w:marBottom w:val="0"/>
      <w:divBdr>
        <w:top w:val="none" w:sz="0" w:space="0" w:color="auto"/>
        <w:left w:val="none" w:sz="0" w:space="0" w:color="auto"/>
        <w:bottom w:val="none" w:sz="0" w:space="0" w:color="auto"/>
        <w:right w:val="none" w:sz="0" w:space="0" w:color="auto"/>
      </w:divBdr>
    </w:div>
    <w:div w:id="1297880866">
      <w:marLeft w:val="0"/>
      <w:marRight w:val="0"/>
      <w:marTop w:val="0"/>
      <w:marBottom w:val="240"/>
      <w:divBdr>
        <w:top w:val="none" w:sz="0" w:space="0" w:color="auto"/>
        <w:left w:val="none" w:sz="0" w:space="0" w:color="auto"/>
        <w:bottom w:val="none" w:sz="0" w:space="0" w:color="auto"/>
        <w:right w:val="none" w:sz="0" w:space="0" w:color="auto"/>
      </w:divBdr>
    </w:div>
    <w:div w:id="1300039650">
      <w:marLeft w:val="0"/>
      <w:marRight w:val="0"/>
      <w:marTop w:val="0"/>
      <w:marBottom w:val="0"/>
      <w:divBdr>
        <w:top w:val="none" w:sz="0" w:space="0" w:color="auto"/>
        <w:left w:val="none" w:sz="0" w:space="0" w:color="auto"/>
        <w:bottom w:val="none" w:sz="0" w:space="0" w:color="auto"/>
        <w:right w:val="none" w:sz="0" w:space="0" w:color="auto"/>
      </w:divBdr>
    </w:div>
    <w:div w:id="1301225011">
      <w:marLeft w:val="0"/>
      <w:marRight w:val="0"/>
      <w:marTop w:val="0"/>
      <w:marBottom w:val="240"/>
      <w:divBdr>
        <w:top w:val="none" w:sz="0" w:space="0" w:color="auto"/>
        <w:left w:val="none" w:sz="0" w:space="0" w:color="auto"/>
        <w:bottom w:val="none" w:sz="0" w:space="0" w:color="auto"/>
        <w:right w:val="none" w:sz="0" w:space="0" w:color="auto"/>
      </w:divBdr>
    </w:div>
    <w:div w:id="1301811965">
      <w:marLeft w:val="0"/>
      <w:marRight w:val="0"/>
      <w:marTop w:val="240"/>
      <w:marBottom w:val="240"/>
      <w:divBdr>
        <w:top w:val="none" w:sz="0" w:space="0" w:color="auto"/>
        <w:left w:val="none" w:sz="0" w:space="0" w:color="auto"/>
        <w:bottom w:val="none" w:sz="0" w:space="0" w:color="auto"/>
        <w:right w:val="none" w:sz="0" w:space="0" w:color="auto"/>
      </w:divBdr>
    </w:div>
    <w:div w:id="1303384794">
      <w:marLeft w:val="0"/>
      <w:marRight w:val="0"/>
      <w:marTop w:val="0"/>
      <w:marBottom w:val="120"/>
      <w:divBdr>
        <w:top w:val="none" w:sz="0" w:space="0" w:color="auto"/>
        <w:left w:val="none" w:sz="0" w:space="0" w:color="auto"/>
        <w:bottom w:val="none" w:sz="0" w:space="0" w:color="auto"/>
        <w:right w:val="none" w:sz="0" w:space="0" w:color="auto"/>
      </w:divBdr>
    </w:div>
    <w:div w:id="1303802277">
      <w:marLeft w:val="0"/>
      <w:marRight w:val="0"/>
      <w:marTop w:val="0"/>
      <w:marBottom w:val="0"/>
      <w:divBdr>
        <w:top w:val="none" w:sz="0" w:space="0" w:color="auto"/>
        <w:left w:val="none" w:sz="0" w:space="0" w:color="auto"/>
        <w:bottom w:val="none" w:sz="0" w:space="0" w:color="auto"/>
        <w:right w:val="none" w:sz="0" w:space="0" w:color="auto"/>
      </w:divBdr>
    </w:div>
    <w:div w:id="1320842279">
      <w:marLeft w:val="0"/>
      <w:marRight w:val="0"/>
      <w:marTop w:val="0"/>
      <w:marBottom w:val="240"/>
      <w:divBdr>
        <w:top w:val="none" w:sz="0" w:space="0" w:color="auto"/>
        <w:left w:val="none" w:sz="0" w:space="0" w:color="auto"/>
        <w:bottom w:val="none" w:sz="0" w:space="0" w:color="auto"/>
        <w:right w:val="none" w:sz="0" w:space="0" w:color="auto"/>
      </w:divBdr>
    </w:div>
    <w:div w:id="1322662782">
      <w:marLeft w:val="0"/>
      <w:marRight w:val="0"/>
      <w:marTop w:val="0"/>
      <w:marBottom w:val="240"/>
      <w:divBdr>
        <w:top w:val="none" w:sz="0" w:space="0" w:color="auto"/>
        <w:left w:val="none" w:sz="0" w:space="0" w:color="auto"/>
        <w:bottom w:val="none" w:sz="0" w:space="0" w:color="auto"/>
        <w:right w:val="none" w:sz="0" w:space="0" w:color="auto"/>
      </w:divBdr>
    </w:div>
    <w:div w:id="1323776385">
      <w:marLeft w:val="0"/>
      <w:marRight w:val="0"/>
      <w:marTop w:val="0"/>
      <w:marBottom w:val="0"/>
      <w:divBdr>
        <w:top w:val="none" w:sz="0" w:space="0" w:color="auto"/>
        <w:left w:val="none" w:sz="0" w:space="0" w:color="auto"/>
        <w:bottom w:val="none" w:sz="0" w:space="0" w:color="auto"/>
        <w:right w:val="none" w:sz="0" w:space="0" w:color="auto"/>
      </w:divBdr>
      <w:divsChild>
        <w:div w:id="1933125146">
          <w:marLeft w:val="0"/>
          <w:marRight w:val="0"/>
          <w:marTop w:val="0"/>
          <w:marBottom w:val="0"/>
          <w:divBdr>
            <w:top w:val="none" w:sz="0" w:space="0" w:color="auto"/>
            <w:left w:val="none" w:sz="0" w:space="0" w:color="auto"/>
            <w:bottom w:val="none" w:sz="0" w:space="0" w:color="auto"/>
            <w:right w:val="none" w:sz="0" w:space="0" w:color="auto"/>
          </w:divBdr>
        </w:div>
      </w:divsChild>
    </w:div>
    <w:div w:id="1331061018">
      <w:marLeft w:val="0"/>
      <w:marRight w:val="0"/>
      <w:marTop w:val="240"/>
      <w:marBottom w:val="120"/>
      <w:divBdr>
        <w:top w:val="none" w:sz="0" w:space="0" w:color="auto"/>
        <w:left w:val="none" w:sz="0" w:space="0" w:color="auto"/>
        <w:bottom w:val="none" w:sz="0" w:space="0" w:color="auto"/>
        <w:right w:val="none" w:sz="0" w:space="0" w:color="auto"/>
      </w:divBdr>
    </w:div>
    <w:div w:id="1336610629">
      <w:marLeft w:val="0"/>
      <w:marRight w:val="0"/>
      <w:marTop w:val="0"/>
      <w:marBottom w:val="240"/>
      <w:divBdr>
        <w:top w:val="none" w:sz="0" w:space="0" w:color="auto"/>
        <w:left w:val="none" w:sz="0" w:space="0" w:color="auto"/>
        <w:bottom w:val="none" w:sz="0" w:space="0" w:color="auto"/>
        <w:right w:val="none" w:sz="0" w:space="0" w:color="auto"/>
      </w:divBdr>
    </w:div>
    <w:div w:id="1337074434">
      <w:marLeft w:val="0"/>
      <w:marRight w:val="0"/>
      <w:marTop w:val="0"/>
      <w:marBottom w:val="240"/>
      <w:divBdr>
        <w:top w:val="none" w:sz="0" w:space="0" w:color="auto"/>
        <w:left w:val="none" w:sz="0" w:space="0" w:color="auto"/>
        <w:bottom w:val="none" w:sz="0" w:space="0" w:color="auto"/>
        <w:right w:val="none" w:sz="0" w:space="0" w:color="auto"/>
      </w:divBdr>
    </w:div>
    <w:div w:id="1340234501">
      <w:marLeft w:val="0"/>
      <w:marRight w:val="0"/>
      <w:marTop w:val="0"/>
      <w:marBottom w:val="0"/>
      <w:divBdr>
        <w:top w:val="none" w:sz="0" w:space="0" w:color="auto"/>
        <w:left w:val="none" w:sz="0" w:space="0" w:color="auto"/>
        <w:bottom w:val="none" w:sz="0" w:space="0" w:color="auto"/>
        <w:right w:val="none" w:sz="0" w:space="0" w:color="auto"/>
      </w:divBdr>
      <w:divsChild>
        <w:div w:id="1186823916">
          <w:marLeft w:val="0"/>
          <w:marRight w:val="0"/>
          <w:marTop w:val="0"/>
          <w:marBottom w:val="0"/>
          <w:divBdr>
            <w:top w:val="none" w:sz="0" w:space="0" w:color="auto"/>
            <w:left w:val="none" w:sz="0" w:space="0" w:color="auto"/>
            <w:bottom w:val="none" w:sz="0" w:space="0" w:color="auto"/>
            <w:right w:val="none" w:sz="0" w:space="0" w:color="auto"/>
          </w:divBdr>
        </w:div>
      </w:divsChild>
    </w:div>
    <w:div w:id="1344435281">
      <w:marLeft w:val="0"/>
      <w:marRight w:val="0"/>
      <w:marTop w:val="0"/>
      <w:marBottom w:val="0"/>
      <w:divBdr>
        <w:top w:val="none" w:sz="0" w:space="0" w:color="auto"/>
        <w:left w:val="none" w:sz="0" w:space="0" w:color="auto"/>
        <w:bottom w:val="none" w:sz="0" w:space="0" w:color="auto"/>
        <w:right w:val="none" w:sz="0" w:space="0" w:color="auto"/>
      </w:divBdr>
      <w:divsChild>
        <w:div w:id="1677491004">
          <w:marLeft w:val="0"/>
          <w:marRight w:val="0"/>
          <w:marTop w:val="0"/>
          <w:marBottom w:val="0"/>
          <w:divBdr>
            <w:top w:val="none" w:sz="0" w:space="0" w:color="auto"/>
            <w:left w:val="none" w:sz="0" w:space="0" w:color="auto"/>
            <w:bottom w:val="none" w:sz="0" w:space="0" w:color="auto"/>
            <w:right w:val="none" w:sz="0" w:space="0" w:color="auto"/>
          </w:divBdr>
        </w:div>
      </w:divsChild>
    </w:div>
    <w:div w:id="1345747424">
      <w:marLeft w:val="0"/>
      <w:marRight w:val="0"/>
      <w:marTop w:val="0"/>
      <w:marBottom w:val="240"/>
      <w:divBdr>
        <w:top w:val="none" w:sz="0" w:space="0" w:color="auto"/>
        <w:left w:val="none" w:sz="0" w:space="0" w:color="auto"/>
        <w:bottom w:val="none" w:sz="0" w:space="0" w:color="auto"/>
        <w:right w:val="none" w:sz="0" w:space="0" w:color="auto"/>
      </w:divBdr>
    </w:div>
    <w:div w:id="1348868506">
      <w:marLeft w:val="0"/>
      <w:marRight w:val="0"/>
      <w:marTop w:val="0"/>
      <w:marBottom w:val="0"/>
      <w:divBdr>
        <w:top w:val="none" w:sz="0" w:space="0" w:color="auto"/>
        <w:left w:val="none" w:sz="0" w:space="0" w:color="auto"/>
        <w:bottom w:val="none" w:sz="0" w:space="0" w:color="auto"/>
        <w:right w:val="none" w:sz="0" w:space="0" w:color="auto"/>
      </w:divBdr>
      <w:divsChild>
        <w:div w:id="1631937862">
          <w:marLeft w:val="0"/>
          <w:marRight w:val="0"/>
          <w:marTop w:val="0"/>
          <w:marBottom w:val="0"/>
          <w:divBdr>
            <w:top w:val="none" w:sz="0" w:space="0" w:color="auto"/>
            <w:left w:val="none" w:sz="0" w:space="0" w:color="auto"/>
            <w:bottom w:val="none" w:sz="0" w:space="0" w:color="auto"/>
            <w:right w:val="none" w:sz="0" w:space="0" w:color="auto"/>
          </w:divBdr>
        </w:div>
      </w:divsChild>
    </w:div>
    <w:div w:id="1349521955">
      <w:marLeft w:val="0"/>
      <w:marRight w:val="0"/>
      <w:marTop w:val="0"/>
      <w:marBottom w:val="240"/>
      <w:divBdr>
        <w:top w:val="none" w:sz="0" w:space="0" w:color="auto"/>
        <w:left w:val="none" w:sz="0" w:space="0" w:color="auto"/>
        <w:bottom w:val="none" w:sz="0" w:space="0" w:color="auto"/>
        <w:right w:val="none" w:sz="0" w:space="0" w:color="auto"/>
      </w:divBdr>
    </w:div>
    <w:div w:id="1360276779">
      <w:marLeft w:val="0"/>
      <w:marRight w:val="0"/>
      <w:marTop w:val="0"/>
      <w:marBottom w:val="240"/>
      <w:divBdr>
        <w:top w:val="none" w:sz="0" w:space="0" w:color="auto"/>
        <w:left w:val="none" w:sz="0" w:space="0" w:color="auto"/>
        <w:bottom w:val="none" w:sz="0" w:space="0" w:color="auto"/>
        <w:right w:val="none" w:sz="0" w:space="0" w:color="auto"/>
      </w:divBdr>
    </w:div>
    <w:div w:id="1362240538">
      <w:marLeft w:val="0"/>
      <w:marRight w:val="0"/>
      <w:marTop w:val="0"/>
      <w:marBottom w:val="0"/>
      <w:divBdr>
        <w:top w:val="none" w:sz="0" w:space="0" w:color="auto"/>
        <w:left w:val="none" w:sz="0" w:space="0" w:color="auto"/>
        <w:bottom w:val="none" w:sz="0" w:space="0" w:color="auto"/>
        <w:right w:val="none" w:sz="0" w:space="0" w:color="auto"/>
      </w:divBdr>
      <w:divsChild>
        <w:div w:id="834108740">
          <w:marLeft w:val="0"/>
          <w:marRight w:val="0"/>
          <w:marTop w:val="0"/>
          <w:marBottom w:val="0"/>
          <w:divBdr>
            <w:top w:val="none" w:sz="0" w:space="0" w:color="auto"/>
            <w:left w:val="none" w:sz="0" w:space="0" w:color="auto"/>
            <w:bottom w:val="none" w:sz="0" w:space="0" w:color="auto"/>
            <w:right w:val="none" w:sz="0" w:space="0" w:color="auto"/>
          </w:divBdr>
        </w:div>
      </w:divsChild>
    </w:div>
    <w:div w:id="1375348653">
      <w:marLeft w:val="0"/>
      <w:marRight w:val="0"/>
      <w:marTop w:val="0"/>
      <w:marBottom w:val="240"/>
      <w:divBdr>
        <w:top w:val="none" w:sz="0" w:space="0" w:color="auto"/>
        <w:left w:val="none" w:sz="0" w:space="0" w:color="auto"/>
        <w:bottom w:val="none" w:sz="0" w:space="0" w:color="auto"/>
        <w:right w:val="none" w:sz="0" w:space="0" w:color="auto"/>
      </w:divBdr>
    </w:div>
    <w:div w:id="1379428441">
      <w:marLeft w:val="0"/>
      <w:marRight w:val="0"/>
      <w:marTop w:val="0"/>
      <w:marBottom w:val="0"/>
      <w:divBdr>
        <w:top w:val="none" w:sz="0" w:space="0" w:color="auto"/>
        <w:left w:val="none" w:sz="0" w:space="0" w:color="auto"/>
        <w:bottom w:val="none" w:sz="0" w:space="0" w:color="auto"/>
        <w:right w:val="none" w:sz="0" w:space="0" w:color="auto"/>
      </w:divBdr>
    </w:div>
    <w:div w:id="1382636928">
      <w:marLeft w:val="0"/>
      <w:marRight w:val="0"/>
      <w:marTop w:val="0"/>
      <w:marBottom w:val="0"/>
      <w:divBdr>
        <w:top w:val="none" w:sz="0" w:space="0" w:color="auto"/>
        <w:left w:val="none" w:sz="0" w:space="0" w:color="auto"/>
        <w:bottom w:val="none" w:sz="0" w:space="0" w:color="auto"/>
        <w:right w:val="none" w:sz="0" w:space="0" w:color="auto"/>
      </w:divBdr>
      <w:divsChild>
        <w:div w:id="762653908">
          <w:marLeft w:val="0"/>
          <w:marRight w:val="0"/>
          <w:marTop w:val="0"/>
          <w:marBottom w:val="0"/>
          <w:divBdr>
            <w:top w:val="none" w:sz="0" w:space="0" w:color="auto"/>
            <w:left w:val="none" w:sz="0" w:space="0" w:color="auto"/>
            <w:bottom w:val="none" w:sz="0" w:space="0" w:color="auto"/>
            <w:right w:val="none" w:sz="0" w:space="0" w:color="auto"/>
          </w:divBdr>
        </w:div>
      </w:divsChild>
    </w:div>
    <w:div w:id="1382754125">
      <w:marLeft w:val="0"/>
      <w:marRight w:val="0"/>
      <w:marTop w:val="0"/>
      <w:marBottom w:val="0"/>
      <w:divBdr>
        <w:top w:val="none" w:sz="0" w:space="0" w:color="auto"/>
        <w:left w:val="none" w:sz="0" w:space="0" w:color="auto"/>
        <w:bottom w:val="none" w:sz="0" w:space="0" w:color="auto"/>
        <w:right w:val="none" w:sz="0" w:space="0" w:color="auto"/>
      </w:divBdr>
      <w:divsChild>
        <w:div w:id="1420176072">
          <w:marLeft w:val="0"/>
          <w:marRight w:val="0"/>
          <w:marTop w:val="0"/>
          <w:marBottom w:val="0"/>
          <w:divBdr>
            <w:top w:val="none" w:sz="0" w:space="0" w:color="auto"/>
            <w:left w:val="none" w:sz="0" w:space="0" w:color="auto"/>
            <w:bottom w:val="none" w:sz="0" w:space="0" w:color="auto"/>
            <w:right w:val="none" w:sz="0" w:space="0" w:color="auto"/>
          </w:divBdr>
        </w:div>
      </w:divsChild>
    </w:div>
    <w:div w:id="1385715159">
      <w:marLeft w:val="0"/>
      <w:marRight w:val="0"/>
      <w:marTop w:val="0"/>
      <w:marBottom w:val="0"/>
      <w:divBdr>
        <w:top w:val="none" w:sz="0" w:space="0" w:color="auto"/>
        <w:left w:val="none" w:sz="0" w:space="0" w:color="auto"/>
        <w:bottom w:val="none" w:sz="0" w:space="0" w:color="auto"/>
        <w:right w:val="none" w:sz="0" w:space="0" w:color="auto"/>
      </w:divBdr>
      <w:divsChild>
        <w:div w:id="564949966">
          <w:marLeft w:val="0"/>
          <w:marRight w:val="0"/>
          <w:marTop w:val="0"/>
          <w:marBottom w:val="0"/>
          <w:divBdr>
            <w:top w:val="none" w:sz="0" w:space="0" w:color="auto"/>
            <w:left w:val="none" w:sz="0" w:space="0" w:color="auto"/>
            <w:bottom w:val="none" w:sz="0" w:space="0" w:color="auto"/>
            <w:right w:val="none" w:sz="0" w:space="0" w:color="auto"/>
          </w:divBdr>
        </w:div>
      </w:divsChild>
    </w:div>
    <w:div w:id="1387215452">
      <w:marLeft w:val="0"/>
      <w:marRight w:val="0"/>
      <w:marTop w:val="0"/>
      <w:marBottom w:val="0"/>
      <w:divBdr>
        <w:top w:val="none" w:sz="0" w:space="0" w:color="auto"/>
        <w:left w:val="none" w:sz="0" w:space="0" w:color="auto"/>
        <w:bottom w:val="none" w:sz="0" w:space="0" w:color="auto"/>
        <w:right w:val="none" w:sz="0" w:space="0" w:color="auto"/>
      </w:divBdr>
    </w:div>
    <w:div w:id="1389112500">
      <w:marLeft w:val="0"/>
      <w:marRight w:val="0"/>
      <w:marTop w:val="0"/>
      <w:marBottom w:val="240"/>
      <w:divBdr>
        <w:top w:val="none" w:sz="0" w:space="0" w:color="auto"/>
        <w:left w:val="none" w:sz="0" w:space="0" w:color="auto"/>
        <w:bottom w:val="none" w:sz="0" w:space="0" w:color="auto"/>
        <w:right w:val="none" w:sz="0" w:space="0" w:color="auto"/>
      </w:divBdr>
    </w:div>
    <w:div w:id="1394549355">
      <w:marLeft w:val="0"/>
      <w:marRight w:val="0"/>
      <w:marTop w:val="0"/>
      <w:marBottom w:val="240"/>
      <w:divBdr>
        <w:top w:val="none" w:sz="0" w:space="0" w:color="auto"/>
        <w:left w:val="none" w:sz="0" w:space="0" w:color="auto"/>
        <w:bottom w:val="none" w:sz="0" w:space="0" w:color="auto"/>
        <w:right w:val="none" w:sz="0" w:space="0" w:color="auto"/>
      </w:divBdr>
    </w:div>
    <w:div w:id="1396005238">
      <w:marLeft w:val="0"/>
      <w:marRight w:val="0"/>
      <w:marTop w:val="0"/>
      <w:marBottom w:val="0"/>
      <w:divBdr>
        <w:top w:val="none" w:sz="0" w:space="0" w:color="auto"/>
        <w:left w:val="none" w:sz="0" w:space="0" w:color="auto"/>
        <w:bottom w:val="none" w:sz="0" w:space="0" w:color="auto"/>
        <w:right w:val="none" w:sz="0" w:space="0" w:color="auto"/>
      </w:divBdr>
      <w:divsChild>
        <w:div w:id="216670646">
          <w:marLeft w:val="0"/>
          <w:marRight w:val="0"/>
          <w:marTop w:val="0"/>
          <w:marBottom w:val="0"/>
          <w:divBdr>
            <w:top w:val="none" w:sz="0" w:space="0" w:color="auto"/>
            <w:left w:val="none" w:sz="0" w:space="0" w:color="auto"/>
            <w:bottom w:val="none" w:sz="0" w:space="0" w:color="auto"/>
            <w:right w:val="none" w:sz="0" w:space="0" w:color="auto"/>
          </w:divBdr>
        </w:div>
      </w:divsChild>
    </w:div>
    <w:div w:id="1399202911">
      <w:marLeft w:val="0"/>
      <w:marRight w:val="0"/>
      <w:marTop w:val="0"/>
      <w:marBottom w:val="0"/>
      <w:divBdr>
        <w:top w:val="none" w:sz="0" w:space="0" w:color="auto"/>
        <w:left w:val="none" w:sz="0" w:space="0" w:color="auto"/>
        <w:bottom w:val="none" w:sz="0" w:space="0" w:color="auto"/>
        <w:right w:val="none" w:sz="0" w:space="0" w:color="auto"/>
      </w:divBdr>
    </w:div>
    <w:div w:id="1406489380">
      <w:marLeft w:val="0"/>
      <w:marRight w:val="0"/>
      <w:marTop w:val="0"/>
      <w:marBottom w:val="120"/>
      <w:divBdr>
        <w:top w:val="none" w:sz="0" w:space="0" w:color="auto"/>
        <w:left w:val="none" w:sz="0" w:space="0" w:color="auto"/>
        <w:bottom w:val="none" w:sz="0" w:space="0" w:color="auto"/>
        <w:right w:val="none" w:sz="0" w:space="0" w:color="auto"/>
      </w:divBdr>
    </w:div>
    <w:div w:id="1413774149">
      <w:marLeft w:val="0"/>
      <w:marRight w:val="0"/>
      <w:marTop w:val="240"/>
      <w:marBottom w:val="0"/>
      <w:divBdr>
        <w:top w:val="none" w:sz="0" w:space="0" w:color="auto"/>
        <w:left w:val="none" w:sz="0" w:space="0" w:color="auto"/>
        <w:bottom w:val="none" w:sz="0" w:space="0" w:color="auto"/>
        <w:right w:val="none" w:sz="0" w:space="0" w:color="auto"/>
      </w:divBdr>
    </w:div>
    <w:div w:id="1414820208">
      <w:marLeft w:val="0"/>
      <w:marRight w:val="0"/>
      <w:marTop w:val="0"/>
      <w:marBottom w:val="240"/>
      <w:divBdr>
        <w:top w:val="none" w:sz="0" w:space="0" w:color="auto"/>
        <w:left w:val="none" w:sz="0" w:space="0" w:color="auto"/>
        <w:bottom w:val="none" w:sz="0" w:space="0" w:color="auto"/>
        <w:right w:val="none" w:sz="0" w:space="0" w:color="auto"/>
      </w:divBdr>
    </w:div>
    <w:div w:id="1417899652">
      <w:marLeft w:val="0"/>
      <w:marRight w:val="0"/>
      <w:marTop w:val="240"/>
      <w:marBottom w:val="240"/>
      <w:divBdr>
        <w:top w:val="none" w:sz="0" w:space="0" w:color="auto"/>
        <w:left w:val="none" w:sz="0" w:space="0" w:color="auto"/>
        <w:bottom w:val="none" w:sz="0" w:space="0" w:color="auto"/>
        <w:right w:val="none" w:sz="0" w:space="0" w:color="auto"/>
      </w:divBdr>
    </w:div>
    <w:div w:id="1418672367">
      <w:marLeft w:val="0"/>
      <w:marRight w:val="0"/>
      <w:marTop w:val="0"/>
      <w:marBottom w:val="240"/>
      <w:divBdr>
        <w:top w:val="none" w:sz="0" w:space="0" w:color="auto"/>
        <w:left w:val="none" w:sz="0" w:space="0" w:color="auto"/>
        <w:bottom w:val="none" w:sz="0" w:space="0" w:color="auto"/>
        <w:right w:val="none" w:sz="0" w:space="0" w:color="auto"/>
      </w:divBdr>
    </w:div>
    <w:div w:id="1419447723">
      <w:marLeft w:val="0"/>
      <w:marRight w:val="0"/>
      <w:marTop w:val="0"/>
      <w:marBottom w:val="240"/>
      <w:divBdr>
        <w:top w:val="none" w:sz="0" w:space="0" w:color="auto"/>
        <w:left w:val="none" w:sz="0" w:space="0" w:color="auto"/>
        <w:bottom w:val="none" w:sz="0" w:space="0" w:color="auto"/>
        <w:right w:val="none" w:sz="0" w:space="0" w:color="auto"/>
      </w:divBdr>
    </w:div>
    <w:div w:id="1427457404">
      <w:marLeft w:val="0"/>
      <w:marRight w:val="0"/>
      <w:marTop w:val="240"/>
      <w:marBottom w:val="240"/>
      <w:divBdr>
        <w:top w:val="none" w:sz="0" w:space="0" w:color="auto"/>
        <w:left w:val="none" w:sz="0" w:space="0" w:color="auto"/>
        <w:bottom w:val="none" w:sz="0" w:space="0" w:color="auto"/>
        <w:right w:val="none" w:sz="0" w:space="0" w:color="auto"/>
      </w:divBdr>
    </w:div>
    <w:div w:id="1427920106">
      <w:marLeft w:val="0"/>
      <w:marRight w:val="0"/>
      <w:marTop w:val="0"/>
      <w:marBottom w:val="240"/>
      <w:divBdr>
        <w:top w:val="none" w:sz="0" w:space="0" w:color="auto"/>
        <w:left w:val="none" w:sz="0" w:space="0" w:color="auto"/>
        <w:bottom w:val="none" w:sz="0" w:space="0" w:color="auto"/>
        <w:right w:val="none" w:sz="0" w:space="0" w:color="auto"/>
      </w:divBdr>
    </w:div>
    <w:div w:id="1433933807">
      <w:marLeft w:val="0"/>
      <w:marRight w:val="0"/>
      <w:marTop w:val="0"/>
      <w:marBottom w:val="240"/>
      <w:divBdr>
        <w:top w:val="none" w:sz="0" w:space="0" w:color="auto"/>
        <w:left w:val="none" w:sz="0" w:space="0" w:color="auto"/>
        <w:bottom w:val="none" w:sz="0" w:space="0" w:color="auto"/>
        <w:right w:val="none" w:sz="0" w:space="0" w:color="auto"/>
      </w:divBdr>
    </w:div>
    <w:div w:id="1442803561">
      <w:marLeft w:val="0"/>
      <w:marRight w:val="0"/>
      <w:marTop w:val="0"/>
      <w:marBottom w:val="240"/>
      <w:divBdr>
        <w:top w:val="none" w:sz="0" w:space="0" w:color="auto"/>
        <w:left w:val="none" w:sz="0" w:space="0" w:color="auto"/>
        <w:bottom w:val="none" w:sz="0" w:space="0" w:color="auto"/>
        <w:right w:val="none" w:sz="0" w:space="0" w:color="auto"/>
      </w:divBdr>
    </w:div>
    <w:div w:id="1443038267">
      <w:marLeft w:val="0"/>
      <w:marRight w:val="0"/>
      <w:marTop w:val="0"/>
      <w:marBottom w:val="0"/>
      <w:divBdr>
        <w:top w:val="none" w:sz="0" w:space="0" w:color="auto"/>
        <w:left w:val="none" w:sz="0" w:space="0" w:color="auto"/>
        <w:bottom w:val="none" w:sz="0" w:space="0" w:color="auto"/>
        <w:right w:val="none" w:sz="0" w:space="0" w:color="auto"/>
      </w:divBdr>
    </w:div>
    <w:div w:id="1446077132">
      <w:marLeft w:val="0"/>
      <w:marRight w:val="0"/>
      <w:marTop w:val="0"/>
      <w:marBottom w:val="0"/>
      <w:divBdr>
        <w:top w:val="none" w:sz="0" w:space="0" w:color="auto"/>
        <w:left w:val="none" w:sz="0" w:space="0" w:color="auto"/>
        <w:bottom w:val="none" w:sz="0" w:space="0" w:color="auto"/>
        <w:right w:val="none" w:sz="0" w:space="0" w:color="auto"/>
      </w:divBdr>
      <w:divsChild>
        <w:div w:id="1853643207">
          <w:marLeft w:val="0"/>
          <w:marRight w:val="0"/>
          <w:marTop w:val="0"/>
          <w:marBottom w:val="0"/>
          <w:divBdr>
            <w:top w:val="none" w:sz="0" w:space="0" w:color="auto"/>
            <w:left w:val="none" w:sz="0" w:space="0" w:color="auto"/>
            <w:bottom w:val="none" w:sz="0" w:space="0" w:color="auto"/>
            <w:right w:val="none" w:sz="0" w:space="0" w:color="auto"/>
          </w:divBdr>
        </w:div>
      </w:divsChild>
    </w:div>
    <w:div w:id="1447500107">
      <w:marLeft w:val="0"/>
      <w:marRight w:val="0"/>
      <w:marTop w:val="0"/>
      <w:marBottom w:val="240"/>
      <w:divBdr>
        <w:top w:val="none" w:sz="0" w:space="0" w:color="auto"/>
        <w:left w:val="none" w:sz="0" w:space="0" w:color="auto"/>
        <w:bottom w:val="none" w:sz="0" w:space="0" w:color="auto"/>
        <w:right w:val="none" w:sz="0" w:space="0" w:color="auto"/>
      </w:divBdr>
    </w:div>
    <w:div w:id="1448768527">
      <w:marLeft w:val="0"/>
      <w:marRight w:val="0"/>
      <w:marTop w:val="240"/>
      <w:marBottom w:val="240"/>
      <w:divBdr>
        <w:top w:val="none" w:sz="0" w:space="0" w:color="auto"/>
        <w:left w:val="none" w:sz="0" w:space="0" w:color="auto"/>
        <w:bottom w:val="none" w:sz="0" w:space="0" w:color="auto"/>
        <w:right w:val="none" w:sz="0" w:space="0" w:color="auto"/>
      </w:divBdr>
    </w:div>
    <w:div w:id="1454010916">
      <w:marLeft w:val="0"/>
      <w:marRight w:val="0"/>
      <w:marTop w:val="0"/>
      <w:marBottom w:val="240"/>
      <w:divBdr>
        <w:top w:val="none" w:sz="0" w:space="0" w:color="auto"/>
        <w:left w:val="none" w:sz="0" w:space="0" w:color="auto"/>
        <w:bottom w:val="none" w:sz="0" w:space="0" w:color="auto"/>
        <w:right w:val="none" w:sz="0" w:space="0" w:color="auto"/>
      </w:divBdr>
    </w:div>
    <w:div w:id="1456950176">
      <w:marLeft w:val="0"/>
      <w:marRight w:val="0"/>
      <w:marTop w:val="0"/>
      <w:marBottom w:val="240"/>
      <w:divBdr>
        <w:top w:val="none" w:sz="0" w:space="0" w:color="auto"/>
        <w:left w:val="none" w:sz="0" w:space="0" w:color="auto"/>
        <w:bottom w:val="none" w:sz="0" w:space="0" w:color="auto"/>
        <w:right w:val="none" w:sz="0" w:space="0" w:color="auto"/>
      </w:divBdr>
    </w:div>
    <w:div w:id="1459371351">
      <w:marLeft w:val="0"/>
      <w:marRight w:val="0"/>
      <w:marTop w:val="0"/>
      <w:marBottom w:val="0"/>
      <w:divBdr>
        <w:top w:val="none" w:sz="0" w:space="0" w:color="auto"/>
        <w:left w:val="none" w:sz="0" w:space="0" w:color="auto"/>
        <w:bottom w:val="none" w:sz="0" w:space="0" w:color="auto"/>
        <w:right w:val="none" w:sz="0" w:space="0" w:color="auto"/>
      </w:divBdr>
      <w:divsChild>
        <w:div w:id="786511878">
          <w:marLeft w:val="0"/>
          <w:marRight w:val="0"/>
          <w:marTop w:val="0"/>
          <w:marBottom w:val="0"/>
          <w:divBdr>
            <w:top w:val="none" w:sz="0" w:space="0" w:color="auto"/>
            <w:left w:val="none" w:sz="0" w:space="0" w:color="auto"/>
            <w:bottom w:val="none" w:sz="0" w:space="0" w:color="auto"/>
            <w:right w:val="none" w:sz="0" w:space="0" w:color="auto"/>
          </w:divBdr>
        </w:div>
      </w:divsChild>
    </w:div>
    <w:div w:id="1462306289">
      <w:marLeft w:val="0"/>
      <w:marRight w:val="0"/>
      <w:marTop w:val="0"/>
      <w:marBottom w:val="0"/>
      <w:divBdr>
        <w:top w:val="none" w:sz="0" w:space="0" w:color="auto"/>
        <w:left w:val="none" w:sz="0" w:space="0" w:color="auto"/>
        <w:bottom w:val="none" w:sz="0" w:space="0" w:color="auto"/>
        <w:right w:val="none" w:sz="0" w:space="0" w:color="auto"/>
      </w:divBdr>
    </w:div>
    <w:div w:id="1470518120">
      <w:marLeft w:val="0"/>
      <w:marRight w:val="0"/>
      <w:marTop w:val="0"/>
      <w:marBottom w:val="240"/>
      <w:divBdr>
        <w:top w:val="none" w:sz="0" w:space="0" w:color="auto"/>
        <w:left w:val="none" w:sz="0" w:space="0" w:color="auto"/>
        <w:bottom w:val="none" w:sz="0" w:space="0" w:color="auto"/>
        <w:right w:val="none" w:sz="0" w:space="0" w:color="auto"/>
      </w:divBdr>
    </w:div>
    <w:div w:id="1474756964">
      <w:marLeft w:val="0"/>
      <w:marRight w:val="0"/>
      <w:marTop w:val="0"/>
      <w:marBottom w:val="240"/>
      <w:divBdr>
        <w:top w:val="none" w:sz="0" w:space="0" w:color="auto"/>
        <w:left w:val="none" w:sz="0" w:space="0" w:color="auto"/>
        <w:bottom w:val="none" w:sz="0" w:space="0" w:color="auto"/>
        <w:right w:val="none" w:sz="0" w:space="0" w:color="auto"/>
      </w:divBdr>
    </w:div>
    <w:div w:id="1478524709">
      <w:marLeft w:val="0"/>
      <w:marRight w:val="0"/>
      <w:marTop w:val="0"/>
      <w:marBottom w:val="0"/>
      <w:divBdr>
        <w:top w:val="none" w:sz="0" w:space="0" w:color="auto"/>
        <w:left w:val="none" w:sz="0" w:space="0" w:color="auto"/>
        <w:bottom w:val="none" w:sz="0" w:space="0" w:color="auto"/>
        <w:right w:val="none" w:sz="0" w:space="0" w:color="auto"/>
      </w:divBdr>
      <w:divsChild>
        <w:div w:id="433522407">
          <w:marLeft w:val="0"/>
          <w:marRight w:val="0"/>
          <w:marTop w:val="0"/>
          <w:marBottom w:val="0"/>
          <w:divBdr>
            <w:top w:val="none" w:sz="0" w:space="0" w:color="auto"/>
            <w:left w:val="none" w:sz="0" w:space="0" w:color="auto"/>
            <w:bottom w:val="none" w:sz="0" w:space="0" w:color="auto"/>
            <w:right w:val="none" w:sz="0" w:space="0" w:color="auto"/>
          </w:divBdr>
        </w:div>
      </w:divsChild>
    </w:div>
    <w:div w:id="1483811538">
      <w:marLeft w:val="0"/>
      <w:marRight w:val="0"/>
      <w:marTop w:val="0"/>
      <w:marBottom w:val="240"/>
      <w:divBdr>
        <w:top w:val="none" w:sz="0" w:space="0" w:color="auto"/>
        <w:left w:val="none" w:sz="0" w:space="0" w:color="auto"/>
        <w:bottom w:val="none" w:sz="0" w:space="0" w:color="auto"/>
        <w:right w:val="none" w:sz="0" w:space="0" w:color="auto"/>
      </w:divBdr>
    </w:div>
    <w:div w:id="1485050756">
      <w:marLeft w:val="0"/>
      <w:marRight w:val="0"/>
      <w:marTop w:val="240"/>
      <w:marBottom w:val="240"/>
      <w:divBdr>
        <w:top w:val="none" w:sz="0" w:space="0" w:color="auto"/>
        <w:left w:val="none" w:sz="0" w:space="0" w:color="auto"/>
        <w:bottom w:val="none" w:sz="0" w:space="0" w:color="auto"/>
        <w:right w:val="none" w:sz="0" w:space="0" w:color="auto"/>
      </w:divBdr>
    </w:div>
    <w:div w:id="1488666300">
      <w:marLeft w:val="0"/>
      <w:marRight w:val="0"/>
      <w:marTop w:val="0"/>
      <w:marBottom w:val="0"/>
      <w:divBdr>
        <w:top w:val="none" w:sz="0" w:space="0" w:color="auto"/>
        <w:left w:val="none" w:sz="0" w:space="0" w:color="auto"/>
        <w:bottom w:val="none" w:sz="0" w:space="0" w:color="auto"/>
        <w:right w:val="none" w:sz="0" w:space="0" w:color="auto"/>
      </w:divBdr>
      <w:divsChild>
        <w:div w:id="745223304">
          <w:marLeft w:val="0"/>
          <w:marRight w:val="0"/>
          <w:marTop w:val="0"/>
          <w:marBottom w:val="0"/>
          <w:divBdr>
            <w:top w:val="none" w:sz="0" w:space="0" w:color="auto"/>
            <w:left w:val="none" w:sz="0" w:space="0" w:color="auto"/>
            <w:bottom w:val="none" w:sz="0" w:space="0" w:color="auto"/>
            <w:right w:val="none" w:sz="0" w:space="0" w:color="auto"/>
          </w:divBdr>
        </w:div>
      </w:divsChild>
    </w:div>
    <w:div w:id="1489595305">
      <w:marLeft w:val="0"/>
      <w:marRight w:val="0"/>
      <w:marTop w:val="0"/>
      <w:marBottom w:val="240"/>
      <w:divBdr>
        <w:top w:val="none" w:sz="0" w:space="0" w:color="auto"/>
        <w:left w:val="none" w:sz="0" w:space="0" w:color="auto"/>
        <w:bottom w:val="none" w:sz="0" w:space="0" w:color="auto"/>
        <w:right w:val="none" w:sz="0" w:space="0" w:color="auto"/>
      </w:divBdr>
    </w:div>
    <w:div w:id="1489899350">
      <w:marLeft w:val="0"/>
      <w:marRight w:val="0"/>
      <w:marTop w:val="0"/>
      <w:marBottom w:val="240"/>
      <w:divBdr>
        <w:top w:val="none" w:sz="0" w:space="0" w:color="auto"/>
        <w:left w:val="none" w:sz="0" w:space="0" w:color="auto"/>
        <w:bottom w:val="none" w:sz="0" w:space="0" w:color="auto"/>
        <w:right w:val="none" w:sz="0" w:space="0" w:color="auto"/>
      </w:divBdr>
    </w:div>
    <w:div w:id="1491484430">
      <w:marLeft w:val="0"/>
      <w:marRight w:val="0"/>
      <w:marTop w:val="0"/>
      <w:marBottom w:val="0"/>
      <w:divBdr>
        <w:top w:val="none" w:sz="0" w:space="0" w:color="auto"/>
        <w:left w:val="none" w:sz="0" w:space="0" w:color="auto"/>
        <w:bottom w:val="none" w:sz="0" w:space="0" w:color="auto"/>
        <w:right w:val="none" w:sz="0" w:space="0" w:color="auto"/>
      </w:divBdr>
      <w:divsChild>
        <w:div w:id="836581325">
          <w:marLeft w:val="0"/>
          <w:marRight w:val="0"/>
          <w:marTop w:val="0"/>
          <w:marBottom w:val="0"/>
          <w:divBdr>
            <w:top w:val="none" w:sz="0" w:space="0" w:color="auto"/>
            <w:left w:val="none" w:sz="0" w:space="0" w:color="auto"/>
            <w:bottom w:val="none" w:sz="0" w:space="0" w:color="auto"/>
            <w:right w:val="none" w:sz="0" w:space="0" w:color="auto"/>
          </w:divBdr>
        </w:div>
      </w:divsChild>
    </w:div>
    <w:div w:id="1492523069">
      <w:marLeft w:val="0"/>
      <w:marRight w:val="0"/>
      <w:marTop w:val="0"/>
      <w:marBottom w:val="240"/>
      <w:divBdr>
        <w:top w:val="none" w:sz="0" w:space="0" w:color="auto"/>
        <w:left w:val="none" w:sz="0" w:space="0" w:color="auto"/>
        <w:bottom w:val="none" w:sz="0" w:space="0" w:color="auto"/>
        <w:right w:val="none" w:sz="0" w:space="0" w:color="auto"/>
      </w:divBdr>
    </w:div>
    <w:div w:id="1495801766">
      <w:marLeft w:val="0"/>
      <w:marRight w:val="0"/>
      <w:marTop w:val="240"/>
      <w:marBottom w:val="240"/>
      <w:divBdr>
        <w:top w:val="none" w:sz="0" w:space="0" w:color="auto"/>
        <w:left w:val="none" w:sz="0" w:space="0" w:color="auto"/>
        <w:bottom w:val="none" w:sz="0" w:space="0" w:color="auto"/>
        <w:right w:val="none" w:sz="0" w:space="0" w:color="auto"/>
      </w:divBdr>
    </w:div>
    <w:div w:id="1501962263">
      <w:marLeft w:val="0"/>
      <w:marRight w:val="0"/>
      <w:marTop w:val="0"/>
      <w:marBottom w:val="0"/>
      <w:divBdr>
        <w:top w:val="none" w:sz="0" w:space="0" w:color="auto"/>
        <w:left w:val="none" w:sz="0" w:space="0" w:color="auto"/>
        <w:bottom w:val="none" w:sz="0" w:space="0" w:color="auto"/>
        <w:right w:val="none" w:sz="0" w:space="0" w:color="auto"/>
      </w:divBdr>
      <w:divsChild>
        <w:div w:id="1903523827">
          <w:marLeft w:val="0"/>
          <w:marRight w:val="0"/>
          <w:marTop w:val="0"/>
          <w:marBottom w:val="0"/>
          <w:divBdr>
            <w:top w:val="none" w:sz="0" w:space="0" w:color="auto"/>
            <w:left w:val="none" w:sz="0" w:space="0" w:color="auto"/>
            <w:bottom w:val="none" w:sz="0" w:space="0" w:color="auto"/>
            <w:right w:val="none" w:sz="0" w:space="0" w:color="auto"/>
          </w:divBdr>
        </w:div>
      </w:divsChild>
    </w:div>
    <w:div w:id="1502696308">
      <w:marLeft w:val="0"/>
      <w:marRight w:val="0"/>
      <w:marTop w:val="0"/>
      <w:marBottom w:val="240"/>
      <w:divBdr>
        <w:top w:val="none" w:sz="0" w:space="0" w:color="auto"/>
        <w:left w:val="none" w:sz="0" w:space="0" w:color="auto"/>
        <w:bottom w:val="none" w:sz="0" w:space="0" w:color="auto"/>
        <w:right w:val="none" w:sz="0" w:space="0" w:color="auto"/>
      </w:divBdr>
    </w:div>
    <w:div w:id="1504861634">
      <w:marLeft w:val="0"/>
      <w:marRight w:val="0"/>
      <w:marTop w:val="0"/>
      <w:marBottom w:val="0"/>
      <w:divBdr>
        <w:top w:val="none" w:sz="0" w:space="0" w:color="auto"/>
        <w:left w:val="none" w:sz="0" w:space="0" w:color="auto"/>
        <w:bottom w:val="none" w:sz="0" w:space="0" w:color="auto"/>
        <w:right w:val="none" w:sz="0" w:space="0" w:color="auto"/>
      </w:divBdr>
      <w:divsChild>
        <w:div w:id="1724670161">
          <w:marLeft w:val="0"/>
          <w:marRight w:val="0"/>
          <w:marTop w:val="0"/>
          <w:marBottom w:val="0"/>
          <w:divBdr>
            <w:top w:val="none" w:sz="0" w:space="0" w:color="auto"/>
            <w:left w:val="none" w:sz="0" w:space="0" w:color="auto"/>
            <w:bottom w:val="none" w:sz="0" w:space="0" w:color="auto"/>
            <w:right w:val="none" w:sz="0" w:space="0" w:color="auto"/>
          </w:divBdr>
        </w:div>
      </w:divsChild>
    </w:div>
    <w:div w:id="1509556875">
      <w:marLeft w:val="0"/>
      <w:marRight w:val="0"/>
      <w:marTop w:val="0"/>
      <w:marBottom w:val="0"/>
      <w:divBdr>
        <w:top w:val="none" w:sz="0" w:space="0" w:color="auto"/>
        <w:left w:val="none" w:sz="0" w:space="0" w:color="auto"/>
        <w:bottom w:val="none" w:sz="0" w:space="0" w:color="auto"/>
        <w:right w:val="none" w:sz="0" w:space="0" w:color="auto"/>
      </w:divBdr>
    </w:div>
    <w:div w:id="1510485395">
      <w:marLeft w:val="0"/>
      <w:marRight w:val="0"/>
      <w:marTop w:val="0"/>
      <w:marBottom w:val="0"/>
      <w:divBdr>
        <w:top w:val="none" w:sz="0" w:space="0" w:color="auto"/>
        <w:left w:val="none" w:sz="0" w:space="0" w:color="auto"/>
        <w:bottom w:val="none" w:sz="0" w:space="0" w:color="auto"/>
        <w:right w:val="none" w:sz="0" w:space="0" w:color="auto"/>
      </w:divBdr>
      <w:divsChild>
        <w:div w:id="836917924">
          <w:marLeft w:val="0"/>
          <w:marRight w:val="0"/>
          <w:marTop w:val="0"/>
          <w:marBottom w:val="0"/>
          <w:divBdr>
            <w:top w:val="none" w:sz="0" w:space="0" w:color="auto"/>
            <w:left w:val="none" w:sz="0" w:space="0" w:color="auto"/>
            <w:bottom w:val="none" w:sz="0" w:space="0" w:color="auto"/>
            <w:right w:val="none" w:sz="0" w:space="0" w:color="auto"/>
          </w:divBdr>
        </w:div>
      </w:divsChild>
    </w:div>
    <w:div w:id="1512253240">
      <w:marLeft w:val="0"/>
      <w:marRight w:val="0"/>
      <w:marTop w:val="0"/>
      <w:marBottom w:val="240"/>
      <w:divBdr>
        <w:top w:val="none" w:sz="0" w:space="0" w:color="auto"/>
        <w:left w:val="none" w:sz="0" w:space="0" w:color="auto"/>
        <w:bottom w:val="none" w:sz="0" w:space="0" w:color="auto"/>
        <w:right w:val="none" w:sz="0" w:space="0" w:color="auto"/>
      </w:divBdr>
    </w:div>
    <w:div w:id="1514538609">
      <w:marLeft w:val="0"/>
      <w:marRight w:val="0"/>
      <w:marTop w:val="0"/>
      <w:marBottom w:val="120"/>
      <w:divBdr>
        <w:top w:val="none" w:sz="0" w:space="0" w:color="auto"/>
        <w:left w:val="none" w:sz="0" w:space="0" w:color="auto"/>
        <w:bottom w:val="none" w:sz="0" w:space="0" w:color="auto"/>
        <w:right w:val="none" w:sz="0" w:space="0" w:color="auto"/>
      </w:divBdr>
    </w:div>
    <w:div w:id="1523088554">
      <w:marLeft w:val="0"/>
      <w:marRight w:val="0"/>
      <w:marTop w:val="0"/>
      <w:marBottom w:val="240"/>
      <w:divBdr>
        <w:top w:val="none" w:sz="0" w:space="0" w:color="auto"/>
        <w:left w:val="none" w:sz="0" w:space="0" w:color="auto"/>
        <w:bottom w:val="none" w:sz="0" w:space="0" w:color="auto"/>
        <w:right w:val="none" w:sz="0" w:space="0" w:color="auto"/>
      </w:divBdr>
    </w:div>
    <w:div w:id="1527138693">
      <w:marLeft w:val="0"/>
      <w:marRight w:val="0"/>
      <w:marTop w:val="0"/>
      <w:marBottom w:val="0"/>
      <w:divBdr>
        <w:top w:val="none" w:sz="0" w:space="0" w:color="auto"/>
        <w:left w:val="none" w:sz="0" w:space="0" w:color="auto"/>
        <w:bottom w:val="none" w:sz="0" w:space="0" w:color="auto"/>
        <w:right w:val="none" w:sz="0" w:space="0" w:color="auto"/>
      </w:divBdr>
      <w:divsChild>
        <w:div w:id="21591030">
          <w:marLeft w:val="0"/>
          <w:marRight w:val="0"/>
          <w:marTop w:val="0"/>
          <w:marBottom w:val="0"/>
          <w:divBdr>
            <w:top w:val="none" w:sz="0" w:space="0" w:color="auto"/>
            <w:left w:val="none" w:sz="0" w:space="0" w:color="auto"/>
            <w:bottom w:val="none" w:sz="0" w:space="0" w:color="auto"/>
            <w:right w:val="none" w:sz="0" w:space="0" w:color="auto"/>
          </w:divBdr>
        </w:div>
      </w:divsChild>
    </w:div>
    <w:div w:id="1530219831">
      <w:marLeft w:val="0"/>
      <w:marRight w:val="0"/>
      <w:marTop w:val="0"/>
      <w:marBottom w:val="0"/>
      <w:divBdr>
        <w:top w:val="none" w:sz="0" w:space="0" w:color="auto"/>
        <w:left w:val="none" w:sz="0" w:space="0" w:color="auto"/>
        <w:bottom w:val="none" w:sz="0" w:space="0" w:color="auto"/>
        <w:right w:val="none" w:sz="0" w:space="0" w:color="auto"/>
      </w:divBdr>
    </w:div>
    <w:div w:id="1535771846">
      <w:marLeft w:val="0"/>
      <w:marRight w:val="0"/>
      <w:marTop w:val="0"/>
      <w:marBottom w:val="240"/>
      <w:divBdr>
        <w:top w:val="none" w:sz="0" w:space="0" w:color="auto"/>
        <w:left w:val="none" w:sz="0" w:space="0" w:color="auto"/>
        <w:bottom w:val="none" w:sz="0" w:space="0" w:color="auto"/>
        <w:right w:val="none" w:sz="0" w:space="0" w:color="auto"/>
      </w:divBdr>
    </w:div>
    <w:div w:id="1536650219">
      <w:marLeft w:val="0"/>
      <w:marRight w:val="0"/>
      <w:marTop w:val="0"/>
      <w:marBottom w:val="240"/>
      <w:divBdr>
        <w:top w:val="none" w:sz="0" w:space="0" w:color="auto"/>
        <w:left w:val="none" w:sz="0" w:space="0" w:color="auto"/>
        <w:bottom w:val="none" w:sz="0" w:space="0" w:color="auto"/>
        <w:right w:val="none" w:sz="0" w:space="0" w:color="auto"/>
      </w:divBdr>
    </w:div>
    <w:div w:id="1543399328">
      <w:marLeft w:val="0"/>
      <w:marRight w:val="0"/>
      <w:marTop w:val="0"/>
      <w:marBottom w:val="200"/>
      <w:divBdr>
        <w:top w:val="none" w:sz="0" w:space="0" w:color="auto"/>
        <w:left w:val="none" w:sz="0" w:space="0" w:color="auto"/>
        <w:bottom w:val="none" w:sz="0" w:space="0" w:color="auto"/>
        <w:right w:val="none" w:sz="0" w:space="0" w:color="auto"/>
      </w:divBdr>
    </w:div>
    <w:div w:id="1549025806">
      <w:marLeft w:val="0"/>
      <w:marRight w:val="0"/>
      <w:marTop w:val="0"/>
      <w:marBottom w:val="240"/>
      <w:divBdr>
        <w:top w:val="none" w:sz="0" w:space="0" w:color="auto"/>
        <w:left w:val="none" w:sz="0" w:space="0" w:color="auto"/>
        <w:bottom w:val="none" w:sz="0" w:space="0" w:color="auto"/>
        <w:right w:val="none" w:sz="0" w:space="0" w:color="auto"/>
      </w:divBdr>
    </w:div>
    <w:div w:id="1549877333">
      <w:marLeft w:val="0"/>
      <w:marRight w:val="0"/>
      <w:marTop w:val="0"/>
      <w:marBottom w:val="120"/>
      <w:divBdr>
        <w:top w:val="none" w:sz="0" w:space="0" w:color="auto"/>
        <w:left w:val="none" w:sz="0" w:space="0" w:color="auto"/>
        <w:bottom w:val="none" w:sz="0" w:space="0" w:color="auto"/>
        <w:right w:val="none" w:sz="0" w:space="0" w:color="auto"/>
      </w:divBdr>
    </w:div>
    <w:div w:id="1553811348">
      <w:marLeft w:val="0"/>
      <w:marRight w:val="0"/>
      <w:marTop w:val="0"/>
      <w:marBottom w:val="240"/>
      <w:divBdr>
        <w:top w:val="none" w:sz="0" w:space="0" w:color="auto"/>
        <w:left w:val="none" w:sz="0" w:space="0" w:color="auto"/>
        <w:bottom w:val="none" w:sz="0" w:space="0" w:color="auto"/>
        <w:right w:val="none" w:sz="0" w:space="0" w:color="auto"/>
      </w:divBdr>
    </w:div>
    <w:div w:id="1556506349">
      <w:marLeft w:val="0"/>
      <w:marRight w:val="0"/>
      <w:marTop w:val="240"/>
      <w:marBottom w:val="0"/>
      <w:divBdr>
        <w:top w:val="none" w:sz="0" w:space="0" w:color="auto"/>
        <w:left w:val="none" w:sz="0" w:space="0" w:color="auto"/>
        <w:bottom w:val="none" w:sz="0" w:space="0" w:color="auto"/>
        <w:right w:val="none" w:sz="0" w:space="0" w:color="auto"/>
      </w:divBdr>
    </w:div>
    <w:div w:id="1556694075">
      <w:marLeft w:val="0"/>
      <w:marRight w:val="0"/>
      <w:marTop w:val="0"/>
      <w:marBottom w:val="240"/>
      <w:divBdr>
        <w:top w:val="none" w:sz="0" w:space="0" w:color="auto"/>
        <w:left w:val="none" w:sz="0" w:space="0" w:color="auto"/>
        <w:bottom w:val="none" w:sz="0" w:space="0" w:color="auto"/>
        <w:right w:val="none" w:sz="0" w:space="0" w:color="auto"/>
      </w:divBdr>
    </w:div>
    <w:div w:id="1558786453">
      <w:marLeft w:val="0"/>
      <w:marRight w:val="0"/>
      <w:marTop w:val="0"/>
      <w:marBottom w:val="0"/>
      <w:divBdr>
        <w:top w:val="none" w:sz="0" w:space="0" w:color="auto"/>
        <w:left w:val="none" w:sz="0" w:space="0" w:color="auto"/>
        <w:bottom w:val="none" w:sz="0" w:space="0" w:color="auto"/>
        <w:right w:val="none" w:sz="0" w:space="0" w:color="auto"/>
      </w:divBdr>
    </w:div>
    <w:div w:id="1559054849">
      <w:marLeft w:val="0"/>
      <w:marRight w:val="0"/>
      <w:marTop w:val="0"/>
      <w:marBottom w:val="240"/>
      <w:divBdr>
        <w:top w:val="none" w:sz="0" w:space="0" w:color="auto"/>
        <w:left w:val="none" w:sz="0" w:space="0" w:color="auto"/>
        <w:bottom w:val="none" w:sz="0" w:space="0" w:color="auto"/>
        <w:right w:val="none" w:sz="0" w:space="0" w:color="auto"/>
      </w:divBdr>
    </w:div>
    <w:div w:id="1565605687">
      <w:marLeft w:val="0"/>
      <w:marRight w:val="0"/>
      <w:marTop w:val="0"/>
      <w:marBottom w:val="0"/>
      <w:divBdr>
        <w:top w:val="none" w:sz="0" w:space="0" w:color="auto"/>
        <w:left w:val="none" w:sz="0" w:space="0" w:color="auto"/>
        <w:bottom w:val="none" w:sz="0" w:space="0" w:color="auto"/>
        <w:right w:val="none" w:sz="0" w:space="0" w:color="auto"/>
      </w:divBdr>
      <w:divsChild>
        <w:div w:id="890186998">
          <w:marLeft w:val="0"/>
          <w:marRight w:val="0"/>
          <w:marTop w:val="0"/>
          <w:marBottom w:val="0"/>
          <w:divBdr>
            <w:top w:val="none" w:sz="0" w:space="0" w:color="auto"/>
            <w:left w:val="none" w:sz="0" w:space="0" w:color="auto"/>
            <w:bottom w:val="none" w:sz="0" w:space="0" w:color="auto"/>
            <w:right w:val="none" w:sz="0" w:space="0" w:color="auto"/>
          </w:divBdr>
        </w:div>
      </w:divsChild>
    </w:div>
    <w:div w:id="1569345961">
      <w:marLeft w:val="0"/>
      <w:marRight w:val="0"/>
      <w:marTop w:val="0"/>
      <w:marBottom w:val="0"/>
      <w:divBdr>
        <w:top w:val="none" w:sz="0" w:space="0" w:color="auto"/>
        <w:left w:val="none" w:sz="0" w:space="0" w:color="auto"/>
        <w:bottom w:val="none" w:sz="0" w:space="0" w:color="auto"/>
        <w:right w:val="none" w:sz="0" w:space="0" w:color="auto"/>
      </w:divBdr>
    </w:div>
    <w:div w:id="1574319289">
      <w:marLeft w:val="0"/>
      <w:marRight w:val="0"/>
      <w:marTop w:val="0"/>
      <w:marBottom w:val="0"/>
      <w:divBdr>
        <w:top w:val="none" w:sz="0" w:space="0" w:color="auto"/>
        <w:left w:val="none" w:sz="0" w:space="0" w:color="auto"/>
        <w:bottom w:val="none" w:sz="0" w:space="0" w:color="auto"/>
        <w:right w:val="none" w:sz="0" w:space="0" w:color="auto"/>
      </w:divBdr>
    </w:div>
    <w:div w:id="1576429232">
      <w:marLeft w:val="0"/>
      <w:marRight w:val="0"/>
      <w:marTop w:val="240"/>
      <w:marBottom w:val="240"/>
      <w:divBdr>
        <w:top w:val="none" w:sz="0" w:space="0" w:color="auto"/>
        <w:left w:val="none" w:sz="0" w:space="0" w:color="auto"/>
        <w:bottom w:val="none" w:sz="0" w:space="0" w:color="auto"/>
        <w:right w:val="none" w:sz="0" w:space="0" w:color="auto"/>
      </w:divBdr>
    </w:div>
    <w:div w:id="1576432667">
      <w:marLeft w:val="0"/>
      <w:marRight w:val="0"/>
      <w:marTop w:val="0"/>
      <w:marBottom w:val="240"/>
      <w:divBdr>
        <w:top w:val="none" w:sz="0" w:space="0" w:color="auto"/>
        <w:left w:val="none" w:sz="0" w:space="0" w:color="auto"/>
        <w:bottom w:val="none" w:sz="0" w:space="0" w:color="auto"/>
        <w:right w:val="none" w:sz="0" w:space="0" w:color="auto"/>
      </w:divBdr>
    </w:div>
    <w:div w:id="1577276889">
      <w:marLeft w:val="0"/>
      <w:marRight w:val="0"/>
      <w:marTop w:val="0"/>
      <w:marBottom w:val="240"/>
      <w:divBdr>
        <w:top w:val="none" w:sz="0" w:space="0" w:color="auto"/>
        <w:left w:val="none" w:sz="0" w:space="0" w:color="auto"/>
        <w:bottom w:val="none" w:sz="0" w:space="0" w:color="auto"/>
        <w:right w:val="none" w:sz="0" w:space="0" w:color="auto"/>
      </w:divBdr>
    </w:div>
    <w:div w:id="1589346006">
      <w:marLeft w:val="0"/>
      <w:marRight w:val="0"/>
      <w:marTop w:val="0"/>
      <w:marBottom w:val="0"/>
      <w:divBdr>
        <w:top w:val="none" w:sz="0" w:space="0" w:color="auto"/>
        <w:left w:val="none" w:sz="0" w:space="0" w:color="auto"/>
        <w:bottom w:val="none" w:sz="0" w:space="0" w:color="auto"/>
        <w:right w:val="none" w:sz="0" w:space="0" w:color="auto"/>
      </w:divBdr>
      <w:divsChild>
        <w:div w:id="514923934">
          <w:marLeft w:val="0"/>
          <w:marRight w:val="0"/>
          <w:marTop w:val="0"/>
          <w:marBottom w:val="0"/>
          <w:divBdr>
            <w:top w:val="none" w:sz="0" w:space="0" w:color="auto"/>
            <w:left w:val="none" w:sz="0" w:space="0" w:color="auto"/>
            <w:bottom w:val="none" w:sz="0" w:space="0" w:color="auto"/>
            <w:right w:val="none" w:sz="0" w:space="0" w:color="auto"/>
          </w:divBdr>
        </w:div>
      </w:divsChild>
    </w:div>
    <w:div w:id="1597900666">
      <w:marLeft w:val="0"/>
      <w:marRight w:val="0"/>
      <w:marTop w:val="0"/>
      <w:marBottom w:val="240"/>
      <w:divBdr>
        <w:top w:val="none" w:sz="0" w:space="0" w:color="auto"/>
        <w:left w:val="none" w:sz="0" w:space="0" w:color="auto"/>
        <w:bottom w:val="none" w:sz="0" w:space="0" w:color="auto"/>
        <w:right w:val="none" w:sz="0" w:space="0" w:color="auto"/>
      </w:divBdr>
    </w:div>
    <w:div w:id="1600141963">
      <w:marLeft w:val="0"/>
      <w:marRight w:val="0"/>
      <w:marTop w:val="0"/>
      <w:marBottom w:val="0"/>
      <w:divBdr>
        <w:top w:val="none" w:sz="0" w:space="0" w:color="auto"/>
        <w:left w:val="none" w:sz="0" w:space="0" w:color="auto"/>
        <w:bottom w:val="none" w:sz="0" w:space="0" w:color="auto"/>
        <w:right w:val="none" w:sz="0" w:space="0" w:color="auto"/>
      </w:divBdr>
      <w:divsChild>
        <w:div w:id="1586843779">
          <w:marLeft w:val="0"/>
          <w:marRight w:val="0"/>
          <w:marTop w:val="0"/>
          <w:marBottom w:val="0"/>
          <w:divBdr>
            <w:top w:val="none" w:sz="0" w:space="0" w:color="auto"/>
            <w:left w:val="none" w:sz="0" w:space="0" w:color="auto"/>
            <w:bottom w:val="none" w:sz="0" w:space="0" w:color="auto"/>
            <w:right w:val="none" w:sz="0" w:space="0" w:color="auto"/>
          </w:divBdr>
        </w:div>
      </w:divsChild>
    </w:div>
    <w:div w:id="1601984213">
      <w:marLeft w:val="0"/>
      <w:marRight w:val="0"/>
      <w:marTop w:val="0"/>
      <w:marBottom w:val="240"/>
      <w:divBdr>
        <w:top w:val="none" w:sz="0" w:space="0" w:color="auto"/>
        <w:left w:val="none" w:sz="0" w:space="0" w:color="auto"/>
        <w:bottom w:val="none" w:sz="0" w:space="0" w:color="auto"/>
        <w:right w:val="none" w:sz="0" w:space="0" w:color="auto"/>
      </w:divBdr>
    </w:div>
    <w:div w:id="1605915052">
      <w:marLeft w:val="0"/>
      <w:marRight w:val="0"/>
      <w:marTop w:val="0"/>
      <w:marBottom w:val="240"/>
      <w:divBdr>
        <w:top w:val="none" w:sz="0" w:space="0" w:color="auto"/>
        <w:left w:val="none" w:sz="0" w:space="0" w:color="auto"/>
        <w:bottom w:val="none" w:sz="0" w:space="0" w:color="auto"/>
        <w:right w:val="none" w:sz="0" w:space="0" w:color="auto"/>
      </w:divBdr>
    </w:div>
    <w:div w:id="1607735109">
      <w:marLeft w:val="0"/>
      <w:marRight w:val="0"/>
      <w:marTop w:val="0"/>
      <w:marBottom w:val="120"/>
      <w:divBdr>
        <w:top w:val="none" w:sz="0" w:space="0" w:color="auto"/>
        <w:left w:val="none" w:sz="0" w:space="0" w:color="auto"/>
        <w:bottom w:val="none" w:sz="0" w:space="0" w:color="auto"/>
        <w:right w:val="none" w:sz="0" w:space="0" w:color="auto"/>
      </w:divBdr>
    </w:div>
    <w:div w:id="1615015114">
      <w:marLeft w:val="0"/>
      <w:marRight w:val="0"/>
      <w:marTop w:val="0"/>
      <w:marBottom w:val="0"/>
      <w:divBdr>
        <w:top w:val="none" w:sz="0" w:space="0" w:color="auto"/>
        <w:left w:val="none" w:sz="0" w:space="0" w:color="auto"/>
        <w:bottom w:val="none" w:sz="0" w:space="0" w:color="auto"/>
        <w:right w:val="none" w:sz="0" w:space="0" w:color="auto"/>
      </w:divBdr>
      <w:divsChild>
        <w:div w:id="1794325814">
          <w:marLeft w:val="0"/>
          <w:marRight w:val="0"/>
          <w:marTop w:val="0"/>
          <w:marBottom w:val="0"/>
          <w:divBdr>
            <w:top w:val="none" w:sz="0" w:space="0" w:color="auto"/>
            <w:left w:val="none" w:sz="0" w:space="0" w:color="auto"/>
            <w:bottom w:val="none" w:sz="0" w:space="0" w:color="auto"/>
            <w:right w:val="none" w:sz="0" w:space="0" w:color="auto"/>
          </w:divBdr>
        </w:div>
      </w:divsChild>
    </w:div>
    <w:div w:id="1619019982">
      <w:marLeft w:val="0"/>
      <w:marRight w:val="0"/>
      <w:marTop w:val="240"/>
      <w:marBottom w:val="240"/>
      <w:divBdr>
        <w:top w:val="none" w:sz="0" w:space="0" w:color="auto"/>
        <w:left w:val="none" w:sz="0" w:space="0" w:color="auto"/>
        <w:bottom w:val="none" w:sz="0" w:space="0" w:color="auto"/>
        <w:right w:val="none" w:sz="0" w:space="0" w:color="auto"/>
      </w:divBdr>
    </w:div>
    <w:div w:id="1620264090">
      <w:marLeft w:val="0"/>
      <w:marRight w:val="0"/>
      <w:marTop w:val="0"/>
      <w:marBottom w:val="240"/>
      <w:divBdr>
        <w:top w:val="none" w:sz="0" w:space="0" w:color="auto"/>
        <w:left w:val="none" w:sz="0" w:space="0" w:color="auto"/>
        <w:bottom w:val="none" w:sz="0" w:space="0" w:color="auto"/>
        <w:right w:val="none" w:sz="0" w:space="0" w:color="auto"/>
      </w:divBdr>
    </w:div>
    <w:div w:id="1621840178">
      <w:marLeft w:val="0"/>
      <w:marRight w:val="0"/>
      <w:marTop w:val="40"/>
      <w:marBottom w:val="240"/>
      <w:divBdr>
        <w:top w:val="none" w:sz="0" w:space="0" w:color="auto"/>
        <w:left w:val="none" w:sz="0" w:space="0" w:color="auto"/>
        <w:bottom w:val="none" w:sz="0" w:space="0" w:color="auto"/>
        <w:right w:val="none" w:sz="0" w:space="0" w:color="auto"/>
      </w:divBdr>
    </w:div>
    <w:div w:id="1622954867">
      <w:marLeft w:val="0"/>
      <w:marRight w:val="0"/>
      <w:marTop w:val="0"/>
      <w:marBottom w:val="240"/>
      <w:divBdr>
        <w:top w:val="none" w:sz="0" w:space="0" w:color="auto"/>
        <w:left w:val="none" w:sz="0" w:space="0" w:color="auto"/>
        <w:bottom w:val="none" w:sz="0" w:space="0" w:color="auto"/>
        <w:right w:val="none" w:sz="0" w:space="0" w:color="auto"/>
      </w:divBdr>
    </w:div>
    <w:div w:id="1626428450">
      <w:marLeft w:val="0"/>
      <w:marRight w:val="0"/>
      <w:marTop w:val="0"/>
      <w:marBottom w:val="240"/>
      <w:divBdr>
        <w:top w:val="none" w:sz="0" w:space="0" w:color="auto"/>
        <w:left w:val="none" w:sz="0" w:space="0" w:color="auto"/>
        <w:bottom w:val="none" w:sz="0" w:space="0" w:color="auto"/>
        <w:right w:val="none" w:sz="0" w:space="0" w:color="auto"/>
      </w:divBdr>
    </w:div>
    <w:div w:id="1630430285">
      <w:marLeft w:val="0"/>
      <w:marRight w:val="0"/>
      <w:marTop w:val="120"/>
      <w:marBottom w:val="240"/>
      <w:divBdr>
        <w:top w:val="none" w:sz="0" w:space="0" w:color="auto"/>
        <w:left w:val="none" w:sz="0" w:space="0" w:color="auto"/>
        <w:bottom w:val="none" w:sz="0" w:space="0" w:color="auto"/>
        <w:right w:val="none" w:sz="0" w:space="0" w:color="auto"/>
      </w:divBdr>
    </w:div>
    <w:div w:id="1633319408">
      <w:marLeft w:val="0"/>
      <w:marRight w:val="0"/>
      <w:marTop w:val="0"/>
      <w:marBottom w:val="120"/>
      <w:divBdr>
        <w:top w:val="none" w:sz="0" w:space="0" w:color="auto"/>
        <w:left w:val="none" w:sz="0" w:space="0" w:color="auto"/>
        <w:bottom w:val="none" w:sz="0" w:space="0" w:color="auto"/>
        <w:right w:val="none" w:sz="0" w:space="0" w:color="auto"/>
      </w:divBdr>
    </w:div>
    <w:div w:id="1634216016">
      <w:marLeft w:val="0"/>
      <w:marRight w:val="0"/>
      <w:marTop w:val="0"/>
      <w:marBottom w:val="240"/>
      <w:divBdr>
        <w:top w:val="none" w:sz="0" w:space="0" w:color="auto"/>
        <w:left w:val="none" w:sz="0" w:space="0" w:color="auto"/>
        <w:bottom w:val="none" w:sz="0" w:space="0" w:color="auto"/>
        <w:right w:val="none" w:sz="0" w:space="0" w:color="auto"/>
      </w:divBdr>
    </w:div>
    <w:div w:id="1638611842">
      <w:marLeft w:val="0"/>
      <w:marRight w:val="0"/>
      <w:marTop w:val="240"/>
      <w:marBottom w:val="240"/>
      <w:divBdr>
        <w:top w:val="none" w:sz="0" w:space="0" w:color="auto"/>
        <w:left w:val="none" w:sz="0" w:space="0" w:color="auto"/>
        <w:bottom w:val="none" w:sz="0" w:space="0" w:color="auto"/>
        <w:right w:val="none" w:sz="0" w:space="0" w:color="auto"/>
      </w:divBdr>
    </w:div>
    <w:div w:id="1638953786">
      <w:marLeft w:val="0"/>
      <w:marRight w:val="0"/>
      <w:marTop w:val="20"/>
      <w:marBottom w:val="20"/>
      <w:divBdr>
        <w:top w:val="none" w:sz="0" w:space="0" w:color="auto"/>
        <w:left w:val="none" w:sz="0" w:space="0" w:color="auto"/>
        <w:bottom w:val="none" w:sz="0" w:space="0" w:color="auto"/>
        <w:right w:val="none" w:sz="0" w:space="0" w:color="auto"/>
      </w:divBdr>
    </w:div>
    <w:div w:id="1641570479">
      <w:marLeft w:val="0"/>
      <w:marRight w:val="0"/>
      <w:marTop w:val="0"/>
      <w:marBottom w:val="240"/>
      <w:divBdr>
        <w:top w:val="none" w:sz="0" w:space="0" w:color="auto"/>
        <w:left w:val="none" w:sz="0" w:space="0" w:color="auto"/>
        <w:bottom w:val="none" w:sz="0" w:space="0" w:color="auto"/>
        <w:right w:val="none" w:sz="0" w:space="0" w:color="auto"/>
      </w:divBdr>
    </w:div>
    <w:div w:id="1645037152">
      <w:marLeft w:val="0"/>
      <w:marRight w:val="0"/>
      <w:marTop w:val="0"/>
      <w:marBottom w:val="0"/>
      <w:divBdr>
        <w:top w:val="none" w:sz="0" w:space="0" w:color="auto"/>
        <w:left w:val="none" w:sz="0" w:space="0" w:color="auto"/>
        <w:bottom w:val="none" w:sz="0" w:space="0" w:color="auto"/>
        <w:right w:val="none" w:sz="0" w:space="0" w:color="auto"/>
      </w:divBdr>
    </w:div>
    <w:div w:id="1646859469">
      <w:marLeft w:val="0"/>
      <w:marRight w:val="0"/>
      <w:marTop w:val="0"/>
      <w:marBottom w:val="240"/>
      <w:divBdr>
        <w:top w:val="none" w:sz="0" w:space="0" w:color="auto"/>
        <w:left w:val="none" w:sz="0" w:space="0" w:color="auto"/>
        <w:bottom w:val="none" w:sz="0" w:space="0" w:color="auto"/>
        <w:right w:val="none" w:sz="0" w:space="0" w:color="auto"/>
      </w:divBdr>
    </w:div>
    <w:div w:id="1651322075">
      <w:marLeft w:val="0"/>
      <w:marRight w:val="0"/>
      <w:marTop w:val="240"/>
      <w:marBottom w:val="240"/>
      <w:divBdr>
        <w:top w:val="none" w:sz="0" w:space="0" w:color="auto"/>
        <w:left w:val="none" w:sz="0" w:space="0" w:color="auto"/>
        <w:bottom w:val="none" w:sz="0" w:space="0" w:color="auto"/>
        <w:right w:val="none" w:sz="0" w:space="0" w:color="auto"/>
      </w:divBdr>
    </w:div>
    <w:div w:id="1658799934">
      <w:marLeft w:val="0"/>
      <w:marRight w:val="0"/>
      <w:marTop w:val="0"/>
      <w:marBottom w:val="240"/>
      <w:divBdr>
        <w:top w:val="none" w:sz="0" w:space="0" w:color="auto"/>
        <w:left w:val="none" w:sz="0" w:space="0" w:color="auto"/>
        <w:bottom w:val="none" w:sz="0" w:space="0" w:color="auto"/>
        <w:right w:val="none" w:sz="0" w:space="0" w:color="auto"/>
      </w:divBdr>
    </w:div>
    <w:div w:id="1659267258">
      <w:marLeft w:val="0"/>
      <w:marRight w:val="0"/>
      <w:marTop w:val="0"/>
      <w:marBottom w:val="240"/>
      <w:divBdr>
        <w:top w:val="none" w:sz="0" w:space="0" w:color="auto"/>
        <w:left w:val="none" w:sz="0" w:space="0" w:color="auto"/>
        <w:bottom w:val="none" w:sz="0" w:space="0" w:color="auto"/>
        <w:right w:val="none" w:sz="0" w:space="0" w:color="auto"/>
      </w:divBdr>
    </w:div>
    <w:div w:id="1665351162">
      <w:marLeft w:val="0"/>
      <w:marRight w:val="0"/>
      <w:marTop w:val="60"/>
      <w:marBottom w:val="0"/>
      <w:divBdr>
        <w:top w:val="none" w:sz="0" w:space="0" w:color="auto"/>
        <w:left w:val="none" w:sz="0" w:space="0" w:color="auto"/>
        <w:bottom w:val="none" w:sz="0" w:space="0" w:color="auto"/>
        <w:right w:val="none" w:sz="0" w:space="0" w:color="auto"/>
      </w:divBdr>
    </w:div>
    <w:div w:id="1673801601">
      <w:marLeft w:val="0"/>
      <w:marRight w:val="0"/>
      <w:marTop w:val="0"/>
      <w:marBottom w:val="240"/>
      <w:divBdr>
        <w:top w:val="none" w:sz="0" w:space="0" w:color="auto"/>
        <w:left w:val="none" w:sz="0" w:space="0" w:color="auto"/>
        <w:bottom w:val="none" w:sz="0" w:space="0" w:color="auto"/>
        <w:right w:val="none" w:sz="0" w:space="0" w:color="auto"/>
      </w:divBdr>
    </w:div>
    <w:div w:id="1683817961">
      <w:marLeft w:val="0"/>
      <w:marRight w:val="0"/>
      <w:marTop w:val="240"/>
      <w:marBottom w:val="240"/>
      <w:divBdr>
        <w:top w:val="none" w:sz="0" w:space="0" w:color="auto"/>
        <w:left w:val="none" w:sz="0" w:space="0" w:color="auto"/>
        <w:bottom w:val="none" w:sz="0" w:space="0" w:color="auto"/>
        <w:right w:val="none" w:sz="0" w:space="0" w:color="auto"/>
      </w:divBdr>
    </w:div>
    <w:div w:id="1685590690">
      <w:marLeft w:val="0"/>
      <w:marRight w:val="0"/>
      <w:marTop w:val="0"/>
      <w:marBottom w:val="240"/>
      <w:divBdr>
        <w:top w:val="none" w:sz="0" w:space="0" w:color="auto"/>
        <w:left w:val="none" w:sz="0" w:space="0" w:color="auto"/>
        <w:bottom w:val="none" w:sz="0" w:space="0" w:color="auto"/>
        <w:right w:val="none" w:sz="0" w:space="0" w:color="auto"/>
      </w:divBdr>
    </w:div>
    <w:div w:id="1686520402">
      <w:marLeft w:val="0"/>
      <w:marRight w:val="0"/>
      <w:marTop w:val="60"/>
      <w:marBottom w:val="0"/>
      <w:divBdr>
        <w:top w:val="none" w:sz="0" w:space="0" w:color="auto"/>
        <w:left w:val="none" w:sz="0" w:space="0" w:color="auto"/>
        <w:bottom w:val="none" w:sz="0" w:space="0" w:color="auto"/>
        <w:right w:val="none" w:sz="0" w:space="0" w:color="auto"/>
      </w:divBdr>
    </w:div>
    <w:div w:id="1689018003">
      <w:marLeft w:val="0"/>
      <w:marRight w:val="0"/>
      <w:marTop w:val="0"/>
      <w:marBottom w:val="0"/>
      <w:divBdr>
        <w:top w:val="none" w:sz="0" w:space="0" w:color="auto"/>
        <w:left w:val="none" w:sz="0" w:space="0" w:color="auto"/>
        <w:bottom w:val="none" w:sz="0" w:space="0" w:color="auto"/>
        <w:right w:val="none" w:sz="0" w:space="0" w:color="auto"/>
      </w:divBdr>
    </w:div>
    <w:div w:id="1693844257">
      <w:marLeft w:val="0"/>
      <w:marRight w:val="0"/>
      <w:marTop w:val="0"/>
      <w:marBottom w:val="240"/>
      <w:divBdr>
        <w:top w:val="none" w:sz="0" w:space="0" w:color="auto"/>
        <w:left w:val="none" w:sz="0" w:space="0" w:color="auto"/>
        <w:bottom w:val="none" w:sz="0" w:space="0" w:color="auto"/>
        <w:right w:val="none" w:sz="0" w:space="0" w:color="auto"/>
      </w:divBdr>
    </w:div>
    <w:div w:id="1694262240">
      <w:marLeft w:val="0"/>
      <w:marRight w:val="0"/>
      <w:marTop w:val="0"/>
      <w:marBottom w:val="240"/>
      <w:divBdr>
        <w:top w:val="none" w:sz="0" w:space="0" w:color="auto"/>
        <w:left w:val="none" w:sz="0" w:space="0" w:color="auto"/>
        <w:bottom w:val="none" w:sz="0" w:space="0" w:color="auto"/>
        <w:right w:val="none" w:sz="0" w:space="0" w:color="auto"/>
      </w:divBdr>
    </w:div>
    <w:div w:id="1702707211">
      <w:marLeft w:val="0"/>
      <w:marRight w:val="0"/>
      <w:marTop w:val="0"/>
      <w:marBottom w:val="240"/>
      <w:divBdr>
        <w:top w:val="none" w:sz="0" w:space="0" w:color="auto"/>
        <w:left w:val="none" w:sz="0" w:space="0" w:color="auto"/>
        <w:bottom w:val="none" w:sz="0" w:space="0" w:color="auto"/>
        <w:right w:val="none" w:sz="0" w:space="0" w:color="auto"/>
      </w:divBdr>
    </w:div>
    <w:div w:id="1704397889">
      <w:marLeft w:val="0"/>
      <w:marRight w:val="0"/>
      <w:marTop w:val="0"/>
      <w:marBottom w:val="240"/>
      <w:divBdr>
        <w:top w:val="none" w:sz="0" w:space="0" w:color="auto"/>
        <w:left w:val="none" w:sz="0" w:space="0" w:color="auto"/>
        <w:bottom w:val="none" w:sz="0" w:space="0" w:color="auto"/>
        <w:right w:val="none" w:sz="0" w:space="0" w:color="auto"/>
      </w:divBdr>
    </w:div>
    <w:div w:id="1705398169">
      <w:marLeft w:val="0"/>
      <w:marRight w:val="0"/>
      <w:marTop w:val="0"/>
      <w:marBottom w:val="240"/>
      <w:divBdr>
        <w:top w:val="none" w:sz="0" w:space="0" w:color="auto"/>
        <w:left w:val="none" w:sz="0" w:space="0" w:color="auto"/>
        <w:bottom w:val="none" w:sz="0" w:space="0" w:color="auto"/>
        <w:right w:val="none" w:sz="0" w:space="0" w:color="auto"/>
      </w:divBdr>
    </w:div>
    <w:div w:id="1705666658">
      <w:marLeft w:val="0"/>
      <w:marRight w:val="0"/>
      <w:marTop w:val="0"/>
      <w:marBottom w:val="240"/>
      <w:divBdr>
        <w:top w:val="none" w:sz="0" w:space="0" w:color="auto"/>
        <w:left w:val="none" w:sz="0" w:space="0" w:color="auto"/>
        <w:bottom w:val="none" w:sz="0" w:space="0" w:color="auto"/>
        <w:right w:val="none" w:sz="0" w:space="0" w:color="auto"/>
      </w:divBdr>
    </w:div>
    <w:div w:id="1710372838">
      <w:marLeft w:val="0"/>
      <w:marRight w:val="0"/>
      <w:marTop w:val="0"/>
      <w:marBottom w:val="0"/>
      <w:divBdr>
        <w:top w:val="none" w:sz="0" w:space="0" w:color="auto"/>
        <w:left w:val="none" w:sz="0" w:space="0" w:color="auto"/>
        <w:bottom w:val="none" w:sz="0" w:space="0" w:color="auto"/>
        <w:right w:val="none" w:sz="0" w:space="0" w:color="auto"/>
      </w:divBdr>
      <w:divsChild>
        <w:div w:id="1155990037">
          <w:marLeft w:val="0"/>
          <w:marRight w:val="0"/>
          <w:marTop w:val="0"/>
          <w:marBottom w:val="0"/>
          <w:divBdr>
            <w:top w:val="none" w:sz="0" w:space="0" w:color="auto"/>
            <w:left w:val="none" w:sz="0" w:space="0" w:color="auto"/>
            <w:bottom w:val="none" w:sz="0" w:space="0" w:color="auto"/>
            <w:right w:val="none" w:sz="0" w:space="0" w:color="auto"/>
          </w:divBdr>
        </w:div>
      </w:divsChild>
    </w:div>
    <w:div w:id="1714229471">
      <w:marLeft w:val="0"/>
      <w:marRight w:val="0"/>
      <w:marTop w:val="0"/>
      <w:marBottom w:val="140"/>
      <w:divBdr>
        <w:top w:val="none" w:sz="0" w:space="0" w:color="auto"/>
        <w:left w:val="none" w:sz="0" w:space="0" w:color="auto"/>
        <w:bottom w:val="none" w:sz="0" w:space="0" w:color="auto"/>
        <w:right w:val="none" w:sz="0" w:space="0" w:color="auto"/>
      </w:divBdr>
    </w:div>
    <w:div w:id="1717698829">
      <w:marLeft w:val="0"/>
      <w:marRight w:val="0"/>
      <w:marTop w:val="0"/>
      <w:marBottom w:val="240"/>
      <w:divBdr>
        <w:top w:val="none" w:sz="0" w:space="0" w:color="auto"/>
        <w:left w:val="none" w:sz="0" w:space="0" w:color="auto"/>
        <w:bottom w:val="none" w:sz="0" w:space="0" w:color="auto"/>
        <w:right w:val="none" w:sz="0" w:space="0" w:color="auto"/>
      </w:divBdr>
    </w:div>
    <w:div w:id="1721519279">
      <w:marLeft w:val="0"/>
      <w:marRight w:val="0"/>
      <w:marTop w:val="0"/>
      <w:marBottom w:val="0"/>
      <w:divBdr>
        <w:top w:val="none" w:sz="0" w:space="0" w:color="auto"/>
        <w:left w:val="none" w:sz="0" w:space="0" w:color="auto"/>
        <w:bottom w:val="none" w:sz="0" w:space="0" w:color="auto"/>
        <w:right w:val="none" w:sz="0" w:space="0" w:color="auto"/>
      </w:divBdr>
      <w:divsChild>
        <w:div w:id="304897160">
          <w:marLeft w:val="0"/>
          <w:marRight w:val="0"/>
          <w:marTop w:val="0"/>
          <w:marBottom w:val="0"/>
          <w:divBdr>
            <w:top w:val="none" w:sz="0" w:space="0" w:color="auto"/>
            <w:left w:val="none" w:sz="0" w:space="0" w:color="auto"/>
            <w:bottom w:val="none" w:sz="0" w:space="0" w:color="auto"/>
            <w:right w:val="none" w:sz="0" w:space="0" w:color="auto"/>
          </w:divBdr>
        </w:div>
      </w:divsChild>
    </w:div>
    <w:div w:id="1729378264">
      <w:marLeft w:val="0"/>
      <w:marRight w:val="0"/>
      <w:marTop w:val="0"/>
      <w:marBottom w:val="0"/>
      <w:divBdr>
        <w:top w:val="none" w:sz="0" w:space="0" w:color="auto"/>
        <w:left w:val="none" w:sz="0" w:space="0" w:color="auto"/>
        <w:bottom w:val="none" w:sz="0" w:space="0" w:color="auto"/>
        <w:right w:val="none" w:sz="0" w:space="0" w:color="auto"/>
      </w:divBdr>
    </w:div>
    <w:div w:id="1732264278">
      <w:marLeft w:val="0"/>
      <w:marRight w:val="0"/>
      <w:marTop w:val="0"/>
      <w:marBottom w:val="240"/>
      <w:divBdr>
        <w:top w:val="none" w:sz="0" w:space="0" w:color="auto"/>
        <w:left w:val="none" w:sz="0" w:space="0" w:color="auto"/>
        <w:bottom w:val="none" w:sz="0" w:space="0" w:color="auto"/>
        <w:right w:val="none" w:sz="0" w:space="0" w:color="auto"/>
      </w:divBdr>
    </w:div>
    <w:div w:id="1742869140">
      <w:marLeft w:val="0"/>
      <w:marRight w:val="0"/>
      <w:marTop w:val="0"/>
      <w:marBottom w:val="240"/>
      <w:divBdr>
        <w:top w:val="none" w:sz="0" w:space="0" w:color="auto"/>
        <w:left w:val="none" w:sz="0" w:space="0" w:color="auto"/>
        <w:bottom w:val="none" w:sz="0" w:space="0" w:color="auto"/>
        <w:right w:val="none" w:sz="0" w:space="0" w:color="auto"/>
      </w:divBdr>
    </w:div>
    <w:div w:id="1744523834">
      <w:marLeft w:val="0"/>
      <w:marRight w:val="0"/>
      <w:marTop w:val="0"/>
      <w:marBottom w:val="240"/>
      <w:divBdr>
        <w:top w:val="none" w:sz="0" w:space="0" w:color="auto"/>
        <w:left w:val="none" w:sz="0" w:space="0" w:color="auto"/>
        <w:bottom w:val="none" w:sz="0" w:space="0" w:color="auto"/>
        <w:right w:val="none" w:sz="0" w:space="0" w:color="auto"/>
      </w:divBdr>
    </w:div>
    <w:div w:id="1745640587">
      <w:marLeft w:val="0"/>
      <w:marRight w:val="0"/>
      <w:marTop w:val="0"/>
      <w:marBottom w:val="0"/>
      <w:divBdr>
        <w:top w:val="none" w:sz="0" w:space="0" w:color="auto"/>
        <w:left w:val="none" w:sz="0" w:space="0" w:color="auto"/>
        <w:bottom w:val="none" w:sz="0" w:space="0" w:color="auto"/>
        <w:right w:val="none" w:sz="0" w:space="0" w:color="auto"/>
      </w:divBdr>
      <w:divsChild>
        <w:div w:id="2017609575">
          <w:marLeft w:val="0"/>
          <w:marRight w:val="0"/>
          <w:marTop w:val="0"/>
          <w:marBottom w:val="0"/>
          <w:divBdr>
            <w:top w:val="none" w:sz="0" w:space="0" w:color="auto"/>
            <w:left w:val="none" w:sz="0" w:space="0" w:color="auto"/>
            <w:bottom w:val="none" w:sz="0" w:space="0" w:color="auto"/>
            <w:right w:val="none" w:sz="0" w:space="0" w:color="auto"/>
          </w:divBdr>
        </w:div>
      </w:divsChild>
    </w:div>
    <w:div w:id="1749840825">
      <w:marLeft w:val="0"/>
      <w:marRight w:val="0"/>
      <w:marTop w:val="0"/>
      <w:marBottom w:val="0"/>
      <w:divBdr>
        <w:top w:val="none" w:sz="0" w:space="0" w:color="auto"/>
        <w:left w:val="none" w:sz="0" w:space="0" w:color="auto"/>
        <w:bottom w:val="none" w:sz="0" w:space="0" w:color="auto"/>
        <w:right w:val="none" w:sz="0" w:space="0" w:color="auto"/>
      </w:divBdr>
      <w:divsChild>
        <w:div w:id="1854146396">
          <w:marLeft w:val="0"/>
          <w:marRight w:val="0"/>
          <w:marTop w:val="0"/>
          <w:marBottom w:val="0"/>
          <w:divBdr>
            <w:top w:val="none" w:sz="0" w:space="0" w:color="auto"/>
            <w:left w:val="none" w:sz="0" w:space="0" w:color="auto"/>
            <w:bottom w:val="none" w:sz="0" w:space="0" w:color="auto"/>
            <w:right w:val="none" w:sz="0" w:space="0" w:color="auto"/>
          </w:divBdr>
        </w:div>
      </w:divsChild>
    </w:div>
    <w:div w:id="1753546966">
      <w:marLeft w:val="0"/>
      <w:marRight w:val="0"/>
      <w:marTop w:val="0"/>
      <w:marBottom w:val="0"/>
      <w:divBdr>
        <w:top w:val="none" w:sz="0" w:space="0" w:color="auto"/>
        <w:left w:val="none" w:sz="0" w:space="0" w:color="auto"/>
        <w:bottom w:val="none" w:sz="0" w:space="0" w:color="auto"/>
        <w:right w:val="none" w:sz="0" w:space="0" w:color="auto"/>
      </w:divBdr>
    </w:div>
    <w:div w:id="1756129645">
      <w:marLeft w:val="0"/>
      <w:marRight w:val="0"/>
      <w:marTop w:val="0"/>
      <w:marBottom w:val="0"/>
      <w:divBdr>
        <w:top w:val="none" w:sz="0" w:space="0" w:color="auto"/>
        <w:left w:val="none" w:sz="0" w:space="0" w:color="auto"/>
        <w:bottom w:val="none" w:sz="0" w:space="0" w:color="auto"/>
        <w:right w:val="none" w:sz="0" w:space="0" w:color="auto"/>
      </w:divBdr>
      <w:divsChild>
        <w:div w:id="1104232238">
          <w:marLeft w:val="0"/>
          <w:marRight w:val="0"/>
          <w:marTop w:val="0"/>
          <w:marBottom w:val="0"/>
          <w:divBdr>
            <w:top w:val="none" w:sz="0" w:space="0" w:color="auto"/>
            <w:left w:val="none" w:sz="0" w:space="0" w:color="auto"/>
            <w:bottom w:val="none" w:sz="0" w:space="0" w:color="auto"/>
            <w:right w:val="none" w:sz="0" w:space="0" w:color="auto"/>
          </w:divBdr>
        </w:div>
      </w:divsChild>
    </w:div>
    <w:div w:id="1756704547">
      <w:marLeft w:val="0"/>
      <w:marRight w:val="0"/>
      <w:marTop w:val="0"/>
      <w:marBottom w:val="240"/>
      <w:divBdr>
        <w:top w:val="none" w:sz="0" w:space="0" w:color="auto"/>
        <w:left w:val="none" w:sz="0" w:space="0" w:color="auto"/>
        <w:bottom w:val="none" w:sz="0" w:space="0" w:color="auto"/>
        <w:right w:val="none" w:sz="0" w:space="0" w:color="auto"/>
      </w:divBdr>
    </w:div>
    <w:div w:id="1758554526">
      <w:marLeft w:val="0"/>
      <w:marRight w:val="0"/>
      <w:marTop w:val="0"/>
      <w:marBottom w:val="240"/>
      <w:divBdr>
        <w:top w:val="none" w:sz="0" w:space="0" w:color="auto"/>
        <w:left w:val="none" w:sz="0" w:space="0" w:color="auto"/>
        <w:bottom w:val="none" w:sz="0" w:space="0" w:color="auto"/>
        <w:right w:val="none" w:sz="0" w:space="0" w:color="auto"/>
      </w:divBdr>
    </w:div>
    <w:div w:id="1759322629">
      <w:marLeft w:val="0"/>
      <w:marRight w:val="0"/>
      <w:marTop w:val="0"/>
      <w:marBottom w:val="240"/>
      <w:divBdr>
        <w:top w:val="none" w:sz="0" w:space="0" w:color="auto"/>
        <w:left w:val="none" w:sz="0" w:space="0" w:color="auto"/>
        <w:bottom w:val="none" w:sz="0" w:space="0" w:color="auto"/>
        <w:right w:val="none" w:sz="0" w:space="0" w:color="auto"/>
      </w:divBdr>
    </w:div>
    <w:div w:id="1759325228">
      <w:marLeft w:val="0"/>
      <w:marRight w:val="0"/>
      <w:marTop w:val="0"/>
      <w:marBottom w:val="240"/>
      <w:divBdr>
        <w:top w:val="none" w:sz="0" w:space="0" w:color="auto"/>
        <w:left w:val="none" w:sz="0" w:space="0" w:color="auto"/>
        <w:bottom w:val="none" w:sz="0" w:space="0" w:color="auto"/>
        <w:right w:val="none" w:sz="0" w:space="0" w:color="auto"/>
      </w:divBdr>
    </w:div>
    <w:div w:id="1766681824">
      <w:marLeft w:val="0"/>
      <w:marRight w:val="0"/>
      <w:marTop w:val="0"/>
      <w:marBottom w:val="240"/>
      <w:divBdr>
        <w:top w:val="none" w:sz="0" w:space="0" w:color="auto"/>
        <w:left w:val="none" w:sz="0" w:space="0" w:color="auto"/>
        <w:bottom w:val="none" w:sz="0" w:space="0" w:color="auto"/>
        <w:right w:val="none" w:sz="0" w:space="0" w:color="auto"/>
      </w:divBdr>
    </w:div>
    <w:div w:id="1768235084">
      <w:marLeft w:val="0"/>
      <w:marRight w:val="0"/>
      <w:marTop w:val="0"/>
      <w:marBottom w:val="240"/>
      <w:divBdr>
        <w:top w:val="none" w:sz="0" w:space="0" w:color="auto"/>
        <w:left w:val="none" w:sz="0" w:space="0" w:color="auto"/>
        <w:bottom w:val="none" w:sz="0" w:space="0" w:color="auto"/>
        <w:right w:val="none" w:sz="0" w:space="0" w:color="auto"/>
      </w:divBdr>
    </w:div>
    <w:div w:id="1769621860">
      <w:marLeft w:val="0"/>
      <w:marRight w:val="0"/>
      <w:marTop w:val="0"/>
      <w:marBottom w:val="240"/>
      <w:divBdr>
        <w:top w:val="none" w:sz="0" w:space="0" w:color="auto"/>
        <w:left w:val="none" w:sz="0" w:space="0" w:color="auto"/>
        <w:bottom w:val="none" w:sz="0" w:space="0" w:color="auto"/>
        <w:right w:val="none" w:sz="0" w:space="0" w:color="auto"/>
      </w:divBdr>
    </w:div>
    <w:div w:id="1772359836">
      <w:marLeft w:val="0"/>
      <w:marRight w:val="0"/>
      <w:marTop w:val="0"/>
      <w:marBottom w:val="0"/>
      <w:divBdr>
        <w:top w:val="none" w:sz="0" w:space="0" w:color="auto"/>
        <w:left w:val="none" w:sz="0" w:space="0" w:color="auto"/>
        <w:bottom w:val="none" w:sz="0" w:space="0" w:color="auto"/>
        <w:right w:val="none" w:sz="0" w:space="0" w:color="auto"/>
      </w:divBdr>
    </w:div>
    <w:div w:id="1776049520">
      <w:marLeft w:val="0"/>
      <w:marRight w:val="0"/>
      <w:marTop w:val="0"/>
      <w:marBottom w:val="0"/>
      <w:divBdr>
        <w:top w:val="none" w:sz="0" w:space="0" w:color="auto"/>
        <w:left w:val="none" w:sz="0" w:space="0" w:color="auto"/>
        <w:bottom w:val="none" w:sz="0" w:space="0" w:color="auto"/>
        <w:right w:val="none" w:sz="0" w:space="0" w:color="auto"/>
      </w:divBdr>
      <w:divsChild>
        <w:div w:id="1657762049">
          <w:marLeft w:val="0"/>
          <w:marRight w:val="0"/>
          <w:marTop w:val="0"/>
          <w:marBottom w:val="0"/>
          <w:divBdr>
            <w:top w:val="none" w:sz="0" w:space="0" w:color="auto"/>
            <w:left w:val="none" w:sz="0" w:space="0" w:color="auto"/>
            <w:bottom w:val="none" w:sz="0" w:space="0" w:color="auto"/>
            <w:right w:val="none" w:sz="0" w:space="0" w:color="auto"/>
          </w:divBdr>
        </w:div>
      </w:divsChild>
    </w:div>
    <w:div w:id="1781140529">
      <w:marLeft w:val="0"/>
      <w:marRight w:val="0"/>
      <w:marTop w:val="0"/>
      <w:marBottom w:val="240"/>
      <w:divBdr>
        <w:top w:val="none" w:sz="0" w:space="0" w:color="auto"/>
        <w:left w:val="none" w:sz="0" w:space="0" w:color="auto"/>
        <w:bottom w:val="none" w:sz="0" w:space="0" w:color="auto"/>
        <w:right w:val="none" w:sz="0" w:space="0" w:color="auto"/>
      </w:divBdr>
    </w:div>
    <w:div w:id="1782257162">
      <w:marLeft w:val="0"/>
      <w:marRight w:val="0"/>
      <w:marTop w:val="240"/>
      <w:marBottom w:val="240"/>
      <w:divBdr>
        <w:top w:val="none" w:sz="0" w:space="0" w:color="auto"/>
        <w:left w:val="none" w:sz="0" w:space="0" w:color="auto"/>
        <w:bottom w:val="none" w:sz="0" w:space="0" w:color="auto"/>
        <w:right w:val="none" w:sz="0" w:space="0" w:color="auto"/>
      </w:divBdr>
    </w:div>
    <w:div w:id="1782676957">
      <w:marLeft w:val="0"/>
      <w:marRight w:val="0"/>
      <w:marTop w:val="0"/>
      <w:marBottom w:val="240"/>
      <w:divBdr>
        <w:top w:val="none" w:sz="0" w:space="0" w:color="auto"/>
        <w:left w:val="none" w:sz="0" w:space="0" w:color="auto"/>
        <w:bottom w:val="none" w:sz="0" w:space="0" w:color="auto"/>
        <w:right w:val="none" w:sz="0" w:space="0" w:color="auto"/>
      </w:divBdr>
    </w:div>
    <w:div w:id="1797488336">
      <w:marLeft w:val="0"/>
      <w:marRight w:val="0"/>
      <w:marTop w:val="0"/>
      <w:marBottom w:val="0"/>
      <w:divBdr>
        <w:top w:val="none" w:sz="0" w:space="0" w:color="auto"/>
        <w:left w:val="none" w:sz="0" w:space="0" w:color="auto"/>
        <w:bottom w:val="none" w:sz="0" w:space="0" w:color="auto"/>
        <w:right w:val="none" w:sz="0" w:space="0" w:color="auto"/>
      </w:divBdr>
    </w:div>
    <w:div w:id="1801150665">
      <w:marLeft w:val="0"/>
      <w:marRight w:val="0"/>
      <w:marTop w:val="0"/>
      <w:marBottom w:val="0"/>
      <w:divBdr>
        <w:top w:val="none" w:sz="0" w:space="0" w:color="auto"/>
        <w:left w:val="none" w:sz="0" w:space="0" w:color="auto"/>
        <w:bottom w:val="none" w:sz="0" w:space="0" w:color="auto"/>
        <w:right w:val="none" w:sz="0" w:space="0" w:color="auto"/>
      </w:divBdr>
    </w:div>
    <w:div w:id="1805349877">
      <w:marLeft w:val="0"/>
      <w:marRight w:val="0"/>
      <w:marTop w:val="0"/>
      <w:marBottom w:val="240"/>
      <w:divBdr>
        <w:top w:val="none" w:sz="0" w:space="0" w:color="auto"/>
        <w:left w:val="none" w:sz="0" w:space="0" w:color="auto"/>
        <w:bottom w:val="none" w:sz="0" w:space="0" w:color="auto"/>
        <w:right w:val="none" w:sz="0" w:space="0" w:color="auto"/>
      </w:divBdr>
    </w:div>
    <w:div w:id="1808620249">
      <w:marLeft w:val="0"/>
      <w:marRight w:val="0"/>
      <w:marTop w:val="0"/>
      <w:marBottom w:val="0"/>
      <w:divBdr>
        <w:top w:val="none" w:sz="0" w:space="0" w:color="auto"/>
        <w:left w:val="none" w:sz="0" w:space="0" w:color="auto"/>
        <w:bottom w:val="none" w:sz="0" w:space="0" w:color="auto"/>
        <w:right w:val="none" w:sz="0" w:space="0" w:color="auto"/>
      </w:divBdr>
      <w:divsChild>
        <w:div w:id="328024949">
          <w:marLeft w:val="0"/>
          <w:marRight w:val="0"/>
          <w:marTop w:val="0"/>
          <w:marBottom w:val="0"/>
          <w:divBdr>
            <w:top w:val="none" w:sz="0" w:space="0" w:color="auto"/>
            <w:left w:val="none" w:sz="0" w:space="0" w:color="auto"/>
            <w:bottom w:val="none" w:sz="0" w:space="0" w:color="auto"/>
            <w:right w:val="none" w:sz="0" w:space="0" w:color="auto"/>
          </w:divBdr>
        </w:div>
      </w:divsChild>
    </w:div>
    <w:div w:id="1815946433">
      <w:marLeft w:val="0"/>
      <w:marRight w:val="0"/>
      <w:marTop w:val="0"/>
      <w:marBottom w:val="140"/>
      <w:divBdr>
        <w:top w:val="none" w:sz="0" w:space="0" w:color="auto"/>
        <w:left w:val="none" w:sz="0" w:space="0" w:color="auto"/>
        <w:bottom w:val="none" w:sz="0" w:space="0" w:color="auto"/>
        <w:right w:val="none" w:sz="0" w:space="0" w:color="auto"/>
      </w:divBdr>
    </w:div>
    <w:div w:id="1817716822">
      <w:marLeft w:val="0"/>
      <w:marRight w:val="0"/>
      <w:marTop w:val="0"/>
      <w:marBottom w:val="240"/>
      <w:divBdr>
        <w:top w:val="none" w:sz="0" w:space="0" w:color="auto"/>
        <w:left w:val="none" w:sz="0" w:space="0" w:color="auto"/>
        <w:bottom w:val="none" w:sz="0" w:space="0" w:color="auto"/>
        <w:right w:val="none" w:sz="0" w:space="0" w:color="auto"/>
      </w:divBdr>
    </w:div>
    <w:div w:id="1820924686">
      <w:marLeft w:val="0"/>
      <w:marRight w:val="0"/>
      <w:marTop w:val="0"/>
      <w:marBottom w:val="240"/>
      <w:divBdr>
        <w:top w:val="none" w:sz="0" w:space="0" w:color="auto"/>
        <w:left w:val="none" w:sz="0" w:space="0" w:color="auto"/>
        <w:bottom w:val="none" w:sz="0" w:space="0" w:color="auto"/>
        <w:right w:val="none" w:sz="0" w:space="0" w:color="auto"/>
      </w:divBdr>
    </w:div>
    <w:div w:id="1833910457">
      <w:marLeft w:val="0"/>
      <w:marRight w:val="0"/>
      <w:marTop w:val="0"/>
      <w:marBottom w:val="240"/>
      <w:divBdr>
        <w:top w:val="none" w:sz="0" w:space="0" w:color="auto"/>
        <w:left w:val="none" w:sz="0" w:space="0" w:color="auto"/>
        <w:bottom w:val="none" w:sz="0" w:space="0" w:color="auto"/>
        <w:right w:val="none" w:sz="0" w:space="0" w:color="auto"/>
      </w:divBdr>
    </w:div>
    <w:div w:id="1834176619">
      <w:marLeft w:val="0"/>
      <w:marRight w:val="0"/>
      <w:marTop w:val="0"/>
      <w:marBottom w:val="0"/>
      <w:divBdr>
        <w:top w:val="none" w:sz="0" w:space="0" w:color="auto"/>
        <w:left w:val="none" w:sz="0" w:space="0" w:color="auto"/>
        <w:bottom w:val="none" w:sz="0" w:space="0" w:color="auto"/>
        <w:right w:val="none" w:sz="0" w:space="0" w:color="auto"/>
      </w:divBdr>
    </w:div>
    <w:div w:id="1837112866">
      <w:marLeft w:val="0"/>
      <w:marRight w:val="0"/>
      <w:marTop w:val="0"/>
      <w:marBottom w:val="240"/>
      <w:divBdr>
        <w:top w:val="none" w:sz="0" w:space="0" w:color="auto"/>
        <w:left w:val="none" w:sz="0" w:space="0" w:color="auto"/>
        <w:bottom w:val="none" w:sz="0" w:space="0" w:color="auto"/>
        <w:right w:val="none" w:sz="0" w:space="0" w:color="auto"/>
      </w:divBdr>
    </w:div>
    <w:div w:id="1839223697">
      <w:marLeft w:val="0"/>
      <w:marRight w:val="0"/>
      <w:marTop w:val="0"/>
      <w:marBottom w:val="240"/>
      <w:divBdr>
        <w:top w:val="none" w:sz="0" w:space="0" w:color="auto"/>
        <w:left w:val="none" w:sz="0" w:space="0" w:color="auto"/>
        <w:bottom w:val="none" w:sz="0" w:space="0" w:color="auto"/>
        <w:right w:val="none" w:sz="0" w:space="0" w:color="auto"/>
      </w:divBdr>
    </w:div>
    <w:div w:id="1840076780">
      <w:marLeft w:val="0"/>
      <w:marRight w:val="0"/>
      <w:marTop w:val="0"/>
      <w:marBottom w:val="240"/>
      <w:divBdr>
        <w:top w:val="none" w:sz="0" w:space="0" w:color="auto"/>
        <w:left w:val="none" w:sz="0" w:space="0" w:color="auto"/>
        <w:bottom w:val="none" w:sz="0" w:space="0" w:color="auto"/>
        <w:right w:val="none" w:sz="0" w:space="0" w:color="auto"/>
      </w:divBdr>
    </w:div>
    <w:div w:id="1842892004">
      <w:marLeft w:val="0"/>
      <w:marRight w:val="0"/>
      <w:marTop w:val="0"/>
      <w:marBottom w:val="240"/>
      <w:divBdr>
        <w:top w:val="none" w:sz="0" w:space="0" w:color="auto"/>
        <w:left w:val="none" w:sz="0" w:space="0" w:color="auto"/>
        <w:bottom w:val="none" w:sz="0" w:space="0" w:color="auto"/>
        <w:right w:val="none" w:sz="0" w:space="0" w:color="auto"/>
      </w:divBdr>
    </w:div>
    <w:div w:id="1846287918">
      <w:marLeft w:val="0"/>
      <w:marRight w:val="0"/>
      <w:marTop w:val="0"/>
      <w:marBottom w:val="240"/>
      <w:divBdr>
        <w:top w:val="none" w:sz="0" w:space="0" w:color="auto"/>
        <w:left w:val="none" w:sz="0" w:space="0" w:color="auto"/>
        <w:bottom w:val="none" w:sz="0" w:space="0" w:color="auto"/>
        <w:right w:val="none" w:sz="0" w:space="0" w:color="auto"/>
      </w:divBdr>
    </w:div>
    <w:div w:id="1847675170">
      <w:marLeft w:val="0"/>
      <w:marRight w:val="0"/>
      <w:marTop w:val="240"/>
      <w:marBottom w:val="240"/>
      <w:divBdr>
        <w:top w:val="none" w:sz="0" w:space="0" w:color="auto"/>
        <w:left w:val="none" w:sz="0" w:space="0" w:color="auto"/>
        <w:bottom w:val="none" w:sz="0" w:space="0" w:color="auto"/>
        <w:right w:val="none" w:sz="0" w:space="0" w:color="auto"/>
      </w:divBdr>
    </w:div>
    <w:div w:id="1848670082">
      <w:marLeft w:val="0"/>
      <w:marRight w:val="0"/>
      <w:marTop w:val="0"/>
      <w:marBottom w:val="240"/>
      <w:divBdr>
        <w:top w:val="none" w:sz="0" w:space="0" w:color="auto"/>
        <w:left w:val="none" w:sz="0" w:space="0" w:color="auto"/>
        <w:bottom w:val="none" w:sz="0" w:space="0" w:color="auto"/>
        <w:right w:val="none" w:sz="0" w:space="0" w:color="auto"/>
      </w:divBdr>
    </w:div>
    <w:div w:id="1849519730">
      <w:marLeft w:val="0"/>
      <w:marRight w:val="0"/>
      <w:marTop w:val="0"/>
      <w:marBottom w:val="240"/>
      <w:divBdr>
        <w:top w:val="none" w:sz="0" w:space="0" w:color="auto"/>
        <w:left w:val="none" w:sz="0" w:space="0" w:color="auto"/>
        <w:bottom w:val="none" w:sz="0" w:space="0" w:color="auto"/>
        <w:right w:val="none" w:sz="0" w:space="0" w:color="auto"/>
      </w:divBdr>
    </w:div>
    <w:div w:id="1849713607">
      <w:marLeft w:val="0"/>
      <w:marRight w:val="0"/>
      <w:marTop w:val="0"/>
      <w:marBottom w:val="240"/>
      <w:divBdr>
        <w:top w:val="none" w:sz="0" w:space="0" w:color="auto"/>
        <w:left w:val="none" w:sz="0" w:space="0" w:color="auto"/>
        <w:bottom w:val="none" w:sz="0" w:space="0" w:color="auto"/>
        <w:right w:val="none" w:sz="0" w:space="0" w:color="auto"/>
      </w:divBdr>
    </w:div>
    <w:div w:id="1849713719">
      <w:marLeft w:val="0"/>
      <w:marRight w:val="0"/>
      <w:marTop w:val="0"/>
      <w:marBottom w:val="0"/>
      <w:divBdr>
        <w:top w:val="none" w:sz="0" w:space="0" w:color="auto"/>
        <w:left w:val="none" w:sz="0" w:space="0" w:color="auto"/>
        <w:bottom w:val="none" w:sz="0" w:space="0" w:color="auto"/>
        <w:right w:val="none" w:sz="0" w:space="0" w:color="auto"/>
      </w:divBdr>
    </w:div>
    <w:div w:id="1851871220">
      <w:marLeft w:val="0"/>
      <w:marRight w:val="0"/>
      <w:marTop w:val="0"/>
      <w:marBottom w:val="240"/>
      <w:divBdr>
        <w:top w:val="none" w:sz="0" w:space="0" w:color="auto"/>
        <w:left w:val="none" w:sz="0" w:space="0" w:color="auto"/>
        <w:bottom w:val="none" w:sz="0" w:space="0" w:color="auto"/>
        <w:right w:val="none" w:sz="0" w:space="0" w:color="auto"/>
      </w:divBdr>
    </w:div>
    <w:div w:id="1852451569">
      <w:marLeft w:val="0"/>
      <w:marRight w:val="0"/>
      <w:marTop w:val="0"/>
      <w:marBottom w:val="0"/>
      <w:divBdr>
        <w:top w:val="none" w:sz="0" w:space="0" w:color="auto"/>
        <w:left w:val="none" w:sz="0" w:space="0" w:color="auto"/>
        <w:bottom w:val="none" w:sz="0" w:space="0" w:color="auto"/>
        <w:right w:val="none" w:sz="0" w:space="0" w:color="auto"/>
      </w:divBdr>
      <w:divsChild>
        <w:div w:id="1034572365">
          <w:marLeft w:val="0"/>
          <w:marRight w:val="0"/>
          <w:marTop w:val="0"/>
          <w:marBottom w:val="0"/>
          <w:divBdr>
            <w:top w:val="none" w:sz="0" w:space="0" w:color="auto"/>
            <w:left w:val="none" w:sz="0" w:space="0" w:color="auto"/>
            <w:bottom w:val="none" w:sz="0" w:space="0" w:color="auto"/>
            <w:right w:val="none" w:sz="0" w:space="0" w:color="auto"/>
          </w:divBdr>
        </w:div>
      </w:divsChild>
    </w:div>
    <w:div w:id="1855456872">
      <w:marLeft w:val="0"/>
      <w:marRight w:val="0"/>
      <w:marTop w:val="0"/>
      <w:marBottom w:val="240"/>
      <w:divBdr>
        <w:top w:val="none" w:sz="0" w:space="0" w:color="auto"/>
        <w:left w:val="none" w:sz="0" w:space="0" w:color="auto"/>
        <w:bottom w:val="none" w:sz="0" w:space="0" w:color="auto"/>
        <w:right w:val="none" w:sz="0" w:space="0" w:color="auto"/>
      </w:divBdr>
    </w:div>
    <w:div w:id="1859149301">
      <w:marLeft w:val="0"/>
      <w:marRight w:val="0"/>
      <w:marTop w:val="0"/>
      <w:marBottom w:val="240"/>
      <w:divBdr>
        <w:top w:val="none" w:sz="0" w:space="0" w:color="auto"/>
        <w:left w:val="none" w:sz="0" w:space="0" w:color="auto"/>
        <w:bottom w:val="none" w:sz="0" w:space="0" w:color="auto"/>
        <w:right w:val="none" w:sz="0" w:space="0" w:color="auto"/>
      </w:divBdr>
    </w:div>
    <w:div w:id="1866168220">
      <w:marLeft w:val="0"/>
      <w:marRight w:val="0"/>
      <w:marTop w:val="0"/>
      <w:marBottom w:val="0"/>
      <w:divBdr>
        <w:top w:val="none" w:sz="0" w:space="0" w:color="auto"/>
        <w:left w:val="none" w:sz="0" w:space="0" w:color="auto"/>
        <w:bottom w:val="none" w:sz="0" w:space="0" w:color="auto"/>
        <w:right w:val="none" w:sz="0" w:space="0" w:color="auto"/>
      </w:divBdr>
    </w:div>
    <w:div w:id="1866169322">
      <w:marLeft w:val="0"/>
      <w:marRight w:val="0"/>
      <w:marTop w:val="0"/>
      <w:marBottom w:val="240"/>
      <w:divBdr>
        <w:top w:val="none" w:sz="0" w:space="0" w:color="auto"/>
        <w:left w:val="none" w:sz="0" w:space="0" w:color="auto"/>
        <w:bottom w:val="none" w:sz="0" w:space="0" w:color="auto"/>
        <w:right w:val="none" w:sz="0" w:space="0" w:color="auto"/>
      </w:divBdr>
    </w:div>
    <w:div w:id="1866865897">
      <w:marLeft w:val="0"/>
      <w:marRight w:val="0"/>
      <w:marTop w:val="0"/>
      <w:marBottom w:val="240"/>
      <w:divBdr>
        <w:top w:val="none" w:sz="0" w:space="0" w:color="auto"/>
        <w:left w:val="none" w:sz="0" w:space="0" w:color="auto"/>
        <w:bottom w:val="none" w:sz="0" w:space="0" w:color="auto"/>
        <w:right w:val="none" w:sz="0" w:space="0" w:color="auto"/>
      </w:divBdr>
    </w:div>
    <w:div w:id="1870755762">
      <w:marLeft w:val="0"/>
      <w:marRight w:val="0"/>
      <w:marTop w:val="0"/>
      <w:marBottom w:val="240"/>
      <w:divBdr>
        <w:top w:val="none" w:sz="0" w:space="0" w:color="auto"/>
        <w:left w:val="none" w:sz="0" w:space="0" w:color="auto"/>
        <w:bottom w:val="none" w:sz="0" w:space="0" w:color="auto"/>
        <w:right w:val="none" w:sz="0" w:space="0" w:color="auto"/>
      </w:divBdr>
    </w:div>
    <w:div w:id="1872109721">
      <w:marLeft w:val="0"/>
      <w:marRight w:val="0"/>
      <w:marTop w:val="240"/>
      <w:marBottom w:val="0"/>
      <w:divBdr>
        <w:top w:val="none" w:sz="0" w:space="0" w:color="auto"/>
        <w:left w:val="none" w:sz="0" w:space="0" w:color="auto"/>
        <w:bottom w:val="none" w:sz="0" w:space="0" w:color="auto"/>
        <w:right w:val="none" w:sz="0" w:space="0" w:color="auto"/>
      </w:divBdr>
    </w:div>
    <w:div w:id="1875997234">
      <w:marLeft w:val="0"/>
      <w:marRight w:val="0"/>
      <w:marTop w:val="240"/>
      <w:marBottom w:val="240"/>
      <w:divBdr>
        <w:top w:val="none" w:sz="0" w:space="0" w:color="auto"/>
        <w:left w:val="none" w:sz="0" w:space="0" w:color="auto"/>
        <w:bottom w:val="none" w:sz="0" w:space="0" w:color="auto"/>
        <w:right w:val="none" w:sz="0" w:space="0" w:color="auto"/>
      </w:divBdr>
    </w:div>
    <w:div w:id="1877111906">
      <w:marLeft w:val="0"/>
      <w:marRight w:val="0"/>
      <w:marTop w:val="240"/>
      <w:marBottom w:val="240"/>
      <w:divBdr>
        <w:top w:val="none" w:sz="0" w:space="0" w:color="auto"/>
        <w:left w:val="none" w:sz="0" w:space="0" w:color="auto"/>
        <w:bottom w:val="none" w:sz="0" w:space="0" w:color="auto"/>
        <w:right w:val="none" w:sz="0" w:space="0" w:color="auto"/>
      </w:divBdr>
    </w:div>
    <w:div w:id="1883050458">
      <w:marLeft w:val="0"/>
      <w:marRight w:val="0"/>
      <w:marTop w:val="0"/>
      <w:marBottom w:val="240"/>
      <w:divBdr>
        <w:top w:val="none" w:sz="0" w:space="0" w:color="auto"/>
        <w:left w:val="none" w:sz="0" w:space="0" w:color="auto"/>
        <w:bottom w:val="none" w:sz="0" w:space="0" w:color="auto"/>
        <w:right w:val="none" w:sz="0" w:space="0" w:color="auto"/>
      </w:divBdr>
    </w:div>
    <w:div w:id="1888685625">
      <w:marLeft w:val="0"/>
      <w:marRight w:val="0"/>
      <w:marTop w:val="240"/>
      <w:marBottom w:val="240"/>
      <w:divBdr>
        <w:top w:val="none" w:sz="0" w:space="0" w:color="auto"/>
        <w:left w:val="none" w:sz="0" w:space="0" w:color="auto"/>
        <w:bottom w:val="none" w:sz="0" w:space="0" w:color="auto"/>
        <w:right w:val="none" w:sz="0" w:space="0" w:color="auto"/>
      </w:divBdr>
    </w:div>
    <w:div w:id="1895968118">
      <w:marLeft w:val="0"/>
      <w:marRight w:val="0"/>
      <w:marTop w:val="0"/>
      <w:marBottom w:val="240"/>
      <w:divBdr>
        <w:top w:val="none" w:sz="0" w:space="0" w:color="auto"/>
        <w:left w:val="none" w:sz="0" w:space="0" w:color="auto"/>
        <w:bottom w:val="none" w:sz="0" w:space="0" w:color="auto"/>
        <w:right w:val="none" w:sz="0" w:space="0" w:color="auto"/>
      </w:divBdr>
    </w:div>
    <w:div w:id="1902934903">
      <w:marLeft w:val="0"/>
      <w:marRight w:val="0"/>
      <w:marTop w:val="0"/>
      <w:marBottom w:val="240"/>
      <w:divBdr>
        <w:top w:val="none" w:sz="0" w:space="0" w:color="auto"/>
        <w:left w:val="none" w:sz="0" w:space="0" w:color="auto"/>
        <w:bottom w:val="none" w:sz="0" w:space="0" w:color="auto"/>
        <w:right w:val="none" w:sz="0" w:space="0" w:color="auto"/>
      </w:divBdr>
    </w:div>
    <w:div w:id="1904100860">
      <w:marLeft w:val="0"/>
      <w:marRight w:val="0"/>
      <w:marTop w:val="240"/>
      <w:marBottom w:val="240"/>
      <w:divBdr>
        <w:top w:val="none" w:sz="0" w:space="0" w:color="auto"/>
        <w:left w:val="none" w:sz="0" w:space="0" w:color="auto"/>
        <w:bottom w:val="none" w:sz="0" w:space="0" w:color="auto"/>
        <w:right w:val="none" w:sz="0" w:space="0" w:color="auto"/>
      </w:divBdr>
    </w:div>
    <w:div w:id="1904559255">
      <w:marLeft w:val="0"/>
      <w:marRight w:val="0"/>
      <w:marTop w:val="0"/>
      <w:marBottom w:val="240"/>
      <w:divBdr>
        <w:top w:val="none" w:sz="0" w:space="0" w:color="auto"/>
        <w:left w:val="none" w:sz="0" w:space="0" w:color="auto"/>
        <w:bottom w:val="none" w:sz="0" w:space="0" w:color="auto"/>
        <w:right w:val="none" w:sz="0" w:space="0" w:color="auto"/>
      </w:divBdr>
    </w:div>
    <w:div w:id="1912886874">
      <w:marLeft w:val="0"/>
      <w:marRight w:val="0"/>
      <w:marTop w:val="240"/>
      <w:marBottom w:val="240"/>
      <w:divBdr>
        <w:top w:val="none" w:sz="0" w:space="0" w:color="auto"/>
        <w:left w:val="none" w:sz="0" w:space="0" w:color="auto"/>
        <w:bottom w:val="none" w:sz="0" w:space="0" w:color="auto"/>
        <w:right w:val="none" w:sz="0" w:space="0" w:color="auto"/>
      </w:divBdr>
    </w:div>
    <w:div w:id="1913543712">
      <w:marLeft w:val="0"/>
      <w:marRight w:val="0"/>
      <w:marTop w:val="0"/>
      <w:marBottom w:val="240"/>
      <w:divBdr>
        <w:top w:val="none" w:sz="0" w:space="0" w:color="auto"/>
        <w:left w:val="none" w:sz="0" w:space="0" w:color="auto"/>
        <w:bottom w:val="none" w:sz="0" w:space="0" w:color="auto"/>
        <w:right w:val="none" w:sz="0" w:space="0" w:color="auto"/>
      </w:divBdr>
    </w:div>
    <w:div w:id="1914776686">
      <w:marLeft w:val="0"/>
      <w:marRight w:val="0"/>
      <w:marTop w:val="0"/>
      <w:marBottom w:val="240"/>
      <w:divBdr>
        <w:top w:val="none" w:sz="0" w:space="0" w:color="auto"/>
        <w:left w:val="none" w:sz="0" w:space="0" w:color="auto"/>
        <w:bottom w:val="none" w:sz="0" w:space="0" w:color="auto"/>
        <w:right w:val="none" w:sz="0" w:space="0" w:color="auto"/>
      </w:divBdr>
    </w:div>
    <w:div w:id="1915387373">
      <w:marLeft w:val="0"/>
      <w:marRight w:val="0"/>
      <w:marTop w:val="0"/>
      <w:marBottom w:val="240"/>
      <w:divBdr>
        <w:top w:val="none" w:sz="0" w:space="0" w:color="auto"/>
        <w:left w:val="none" w:sz="0" w:space="0" w:color="auto"/>
        <w:bottom w:val="none" w:sz="0" w:space="0" w:color="auto"/>
        <w:right w:val="none" w:sz="0" w:space="0" w:color="auto"/>
      </w:divBdr>
    </w:div>
    <w:div w:id="1935742251">
      <w:marLeft w:val="0"/>
      <w:marRight w:val="0"/>
      <w:marTop w:val="0"/>
      <w:marBottom w:val="240"/>
      <w:divBdr>
        <w:top w:val="none" w:sz="0" w:space="0" w:color="auto"/>
        <w:left w:val="none" w:sz="0" w:space="0" w:color="auto"/>
        <w:bottom w:val="none" w:sz="0" w:space="0" w:color="auto"/>
        <w:right w:val="none" w:sz="0" w:space="0" w:color="auto"/>
      </w:divBdr>
    </w:div>
    <w:div w:id="1938631667">
      <w:marLeft w:val="0"/>
      <w:marRight w:val="0"/>
      <w:marTop w:val="0"/>
      <w:marBottom w:val="240"/>
      <w:divBdr>
        <w:top w:val="none" w:sz="0" w:space="0" w:color="auto"/>
        <w:left w:val="none" w:sz="0" w:space="0" w:color="auto"/>
        <w:bottom w:val="none" w:sz="0" w:space="0" w:color="auto"/>
        <w:right w:val="none" w:sz="0" w:space="0" w:color="auto"/>
      </w:divBdr>
    </w:div>
    <w:div w:id="1942562188">
      <w:marLeft w:val="0"/>
      <w:marRight w:val="0"/>
      <w:marTop w:val="0"/>
      <w:marBottom w:val="240"/>
      <w:divBdr>
        <w:top w:val="none" w:sz="0" w:space="0" w:color="auto"/>
        <w:left w:val="none" w:sz="0" w:space="0" w:color="auto"/>
        <w:bottom w:val="none" w:sz="0" w:space="0" w:color="auto"/>
        <w:right w:val="none" w:sz="0" w:space="0" w:color="auto"/>
      </w:divBdr>
    </w:div>
    <w:div w:id="1956983749">
      <w:marLeft w:val="0"/>
      <w:marRight w:val="0"/>
      <w:marTop w:val="0"/>
      <w:marBottom w:val="0"/>
      <w:divBdr>
        <w:top w:val="none" w:sz="0" w:space="0" w:color="auto"/>
        <w:left w:val="none" w:sz="0" w:space="0" w:color="auto"/>
        <w:bottom w:val="none" w:sz="0" w:space="0" w:color="auto"/>
        <w:right w:val="none" w:sz="0" w:space="0" w:color="auto"/>
      </w:divBdr>
    </w:div>
    <w:div w:id="1966034807">
      <w:marLeft w:val="0"/>
      <w:marRight w:val="0"/>
      <w:marTop w:val="0"/>
      <w:marBottom w:val="0"/>
      <w:divBdr>
        <w:top w:val="none" w:sz="0" w:space="0" w:color="auto"/>
        <w:left w:val="none" w:sz="0" w:space="0" w:color="auto"/>
        <w:bottom w:val="none" w:sz="0" w:space="0" w:color="auto"/>
        <w:right w:val="none" w:sz="0" w:space="0" w:color="auto"/>
      </w:divBdr>
    </w:div>
    <w:div w:id="1968122493">
      <w:marLeft w:val="0"/>
      <w:marRight w:val="0"/>
      <w:marTop w:val="0"/>
      <w:marBottom w:val="240"/>
      <w:divBdr>
        <w:top w:val="none" w:sz="0" w:space="0" w:color="auto"/>
        <w:left w:val="none" w:sz="0" w:space="0" w:color="auto"/>
        <w:bottom w:val="none" w:sz="0" w:space="0" w:color="auto"/>
        <w:right w:val="none" w:sz="0" w:space="0" w:color="auto"/>
      </w:divBdr>
    </w:div>
    <w:div w:id="1971594576">
      <w:marLeft w:val="0"/>
      <w:marRight w:val="0"/>
      <w:marTop w:val="0"/>
      <w:marBottom w:val="240"/>
      <w:divBdr>
        <w:top w:val="none" w:sz="0" w:space="0" w:color="auto"/>
        <w:left w:val="none" w:sz="0" w:space="0" w:color="auto"/>
        <w:bottom w:val="none" w:sz="0" w:space="0" w:color="auto"/>
        <w:right w:val="none" w:sz="0" w:space="0" w:color="auto"/>
      </w:divBdr>
    </w:div>
    <w:div w:id="1976524606">
      <w:marLeft w:val="0"/>
      <w:marRight w:val="0"/>
      <w:marTop w:val="240"/>
      <w:marBottom w:val="240"/>
      <w:divBdr>
        <w:top w:val="none" w:sz="0" w:space="0" w:color="auto"/>
        <w:left w:val="none" w:sz="0" w:space="0" w:color="auto"/>
        <w:bottom w:val="none" w:sz="0" w:space="0" w:color="auto"/>
        <w:right w:val="none" w:sz="0" w:space="0" w:color="auto"/>
      </w:divBdr>
    </w:div>
    <w:div w:id="1977299529">
      <w:marLeft w:val="0"/>
      <w:marRight w:val="0"/>
      <w:marTop w:val="0"/>
      <w:marBottom w:val="0"/>
      <w:divBdr>
        <w:top w:val="none" w:sz="0" w:space="0" w:color="auto"/>
        <w:left w:val="none" w:sz="0" w:space="0" w:color="auto"/>
        <w:bottom w:val="none" w:sz="0" w:space="0" w:color="auto"/>
        <w:right w:val="none" w:sz="0" w:space="0" w:color="auto"/>
      </w:divBdr>
    </w:div>
    <w:div w:id="1988513527">
      <w:marLeft w:val="0"/>
      <w:marRight w:val="0"/>
      <w:marTop w:val="0"/>
      <w:marBottom w:val="240"/>
      <w:divBdr>
        <w:top w:val="none" w:sz="0" w:space="0" w:color="auto"/>
        <w:left w:val="none" w:sz="0" w:space="0" w:color="auto"/>
        <w:bottom w:val="none" w:sz="0" w:space="0" w:color="auto"/>
        <w:right w:val="none" w:sz="0" w:space="0" w:color="auto"/>
      </w:divBdr>
    </w:div>
    <w:div w:id="1993214128">
      <w:marLeft w:val="0"/>
      <w:marRight w:val="0"/>
      <w:marTop w:val="0"/>
      <w:marBottom w:val="240"/>
      <w:divBdr>
        <w:top w:val="none" w:sz="0" w:space="0" w:color="auto"/>
        <w:left w:val="none" w:sz="0" w:space="0" w:color="auto"/>
        <w:bottom w:val="none" w:sz="0" w:space="0" w:color="auto"/>
        <w:right w:val="none" w:sz="0" w:space="0" w:color="auto"/>
      </w:divBdr>
    </w:div>
    <w:div w:id="1993289821">
      <w:marLeft w:val="0"/>
      <w:marRight w:val="0"/>
      <w:marTop w:val="0"/>
      <w:marBottom w:val="0"/>
      <w:divBdr>
        <w:top w:val="none" w:sz="0" w:space="0" w:color="auto"/>
        <w:left w:val="none" w:sz="0" w:space="0" w:color="auto"/>
        <w:bottom w:val="none" w:sz="0" w:space="0" w:color="auto"/>
        <w:right w:val="none" w:sz="0" w:space="0" w:color="auto"/>
      </w:divBdr>
      <w:divsChild>
        <w:div w:id="1648583086">
          <w:marLeft w:val="0"/>
          <w:marRight w:val="0"/>
          <w:marTop w:val="0"/>
          <w:marBottom w:val="0"/>
          <w:divBdr>
            <w:top w:val="none" w:sz="0" w:space="0" w:color="auto"/>
            <w:left w:val="none" w:sz="0" w:space="0" w:color="auto"/>
            <w:bottom w:val="none" w:sz="0" w:space="0" w:color="auto"/>
            <w:right w:val="none" w:sz="0" w:space="0" w:color="auto"/>
          </w:divBdr>
        </w:div>
      </w:divsChild>
    </w:div>
    <w:div w:id="1995450800">
      <w:marLeft w:val="0"/>
      <w:marRight w:val="0"/>
      <w:marTop w:val="0"/>
      <w:marBottom w:val="240"/>
      <w:divBdr>
        <w:top w:val="none" w:sz="0" w:space="0" w:color="auto"/>
        <w:left w:val="none" w:sz="0" w:space="0" w:color="auto"/>
        <w:bottom w:val="none" w:sz="0" w:space="0" w:color="auto"/>
        <w:right w:val="none" w:sz="0" w:space="0" w:color="auto"/>
      </w:divBdr>
    </w:div>
    <w:div w:id="1995982582">
      <w:marLeft w:val="0"/>
      <w:marRight w:val="0"/>
      <w:marTop w:val="0"/>
      <w:marBottom w:val="240"/>
      <w:divBdr>
        <w:top w:val="none" w:sz="0" w:space="0" w:color="auto"/>
        <w:left w:val="none" w:sz="0" w:space="0" w:color="auto"/>
        <w:bottom w:val="none" w:sz="0" w:space="0" w:color="auto"/>
        <w:right w:val="none" w:sz="0" w:space="0" w:color="auto"/>
      </w:divBdr>
    </w:div>
    <w:div w:id="2001881752">
      <w:marLeft w:val="0"/>
      <w:marRight w:val="0"/>
      <w:marTop w:val="0"/>
      <w:marBottom w:val="240"/>
      <w:divBdr>
        <w:top w:val="none" w:sz="0" w:space="0" w:color="auto"/>
        <w:left w:val="none" w:sz="0" w:space="0" w:color="auto"/>
        <w:bottom w:val="none" w:sz="0" w:space="0" w:color="auto"/>
        <w:right w:val="none" w:sz="0" w:space="0" w:color="auto"/>
      </w:divBdr>
    </w:div>
    <w:div w:id="2022121526">
      <w:marLeft w:val="0"/>
      <w:marRight w:val="0"/>
      <w:marTop w:val="0"/>
      <w:marBottom w:val="240"/>
      <w:divBdr>
        <w:top w:val="none" w:sz="0" w:space="0" w:color="auto"/>
        <w:left w:val="none" w:sz="0" w:space="0" w:color="auto"/>
        <w:bottom w:val="none" w:sz="0" w:space="0" w:color="auto"/>
        <w:right w:val="none" w:sz="0" w:space="0" w:color="auto"/>
      </w:divBdr>
    </w:div>
    <w:div w:id="2030064999">
      <w:marLeft w:val="0"/>
      <w:marRight w:val="0"/>
      <w:marTop w:val="0"/>
      <w:marBottom w:val="0"/>
      <w:divBdr>
        <w:top w:val="none" w:sz="0" w:space="0" w:color="auto"/>
        <w:left w:val="none" w:sz="0" w:space="0" w:color="auto"/>
        <w:bottom w:val="none" w:sz="0" w:space="0" w:color="auto"/>
        <w:right w:val="none" w:sz="0" w:space="0" w:color="auto"/>
      </w:divBdr>
      <w:divsChild>
        <w:div w:id="2022855729">
          <w:marLeft w:val="0"/>
          <w:marRight w:val="0"/>
          <w:marTop w:val="0"/>
          <w:marBottom w:val="0"/>
          <w:divBdr>
            <w:top w:val="none" w:sz="0" w:space="0" w:color="auto"/>
            <w:left w:val="none" w:sz="0" w:space="0" w:color="auto"/>
            <w:bottom w:val="none" w:sz="0" w:space="0" w:color="auto"/>
            <w:right w:val="none" w:sz="0" w:space="0" w:color="auto"/>
          </w:divBdr>
        </w:div>
      </w:divsChild>
    </w:div>
    <w:div w:id="2031686865">
      <w:marLeft w:val="0"/>
      <w:marRight w:val="0"/>
      <w:marTop w:val="0"/>
      <w:marBottom w:val="0"/>
      <w:divBdr>
        <w:top w:val="none" w:sz="0" w:space="0" w:color="auto"/>
        <w:left w:val="none" w:sz="0" w:space="0" w:color="auto"/>
        <w:bottom w:val="none" w:sz="0" w:space="0" w:color="auto"/>
        <w:right w:val="none" w:sz="0" w:space="0" w:color="auto"/>
      </w:divBdr>
      <w:divsChild>
        <w:div w:id="614139871">
          <w:marLeft w:val="0"/>
          <w:marRight w:val="0"/>
          <w:marTop w:val="0"/>
          <w:marBottom w:val="0"/>
          <w:divBdr>
            <w:top w:val="none" w:sz="0" w:space="0" w:color="auto"/>
            <w:left w:val="none" w:sz="0" w:space="0" w:color="auto"/>
            <w:bottom w:val="none" w:sz="0" w:space="0" w:color="auto"/>
            <w:right w:val="none" w:sz="0" w:space="0" w:color="auto"/>
          </w:divBdr>
        </w:div>
      </w:divsChild>
    </w:div>
    <w:div w:id="2034264149">
      <w:marLeft w:val="0"/>
      <w:marRight w:val="0"/>
      <w:marTop w:val="0"/>
      <w:marBottom w:val="0"/>
      <w:divBdr>
        <w:top w:val="none" w:sz="0" w:space="0" w:color="auto"/>
        <w:left w:val="none" w:sz="0" w:space="0" w:color="auto"/>
        <w:bottom w:val="none" w:sz="0" w:space="0" w:color="auto"/>
        <w:right w:val="none" w:sz="0" w:space="0" w:color="auto"/>
      </w:divBdr>
    </w:div>
    <w:div w:id="2035425060">
      <w:marLeft w:val="0"/>
      <w:marRight w:val="0"/>
      <w:marTop w:val="240"/>
      <w:marBottom w:val="240"/>
      <w:divBdr>
        <w:top w:val="none" w:sz="0" w:space="0" w:color="auto"/>
        <w:left w:val="none" w:sz="0" w:space="0" w:color="auto"/>
        <w:bottom w:val="none" w:sz="0" w:space="0" w:color="auto"/>
        <w:right w:val="none" w:sz="0" w:space="0" w:color="auto"/>
      </w:divBdr>
    </w:div>
    <w:div w:id="2035646113">
      <w:marLeft w:val="0"/>
      <w:marRight w:val="0"/>
      <w:marTop w:val="0"/>
      <w:marBottom w:val="240"/>
      <w:divBdr>
        <w:top w:val="none" w:sz="0" w:space="0" w:color="auto"/>
        <w:left w:val="none" w:sz="0" w:space="0" w:color="auto"/>
        <w:bottom w:val="none" w:sz="0" w:space="0" w:color="auto"/>
        <w:right w:val="none" w:sz="0" w:space="0" w:color="auto"/>
      </w:divBdr>
    </w:div>
    <w:div w:id="2035884799">
      <w:marLeft w:val="0"/>
      <w:marRight w:val="0"/>
      <w:marTop w:val="0"/>
      <w:marBottom w:val="0"/>
      <w:divBdr>
        <w:top w:val="none" w:sz="0" w:space="0" w:color="auto"/>
        <w:left w:val="none" w:sz="0" w:space="0" w:color="auto"/>
        <w:bottom w:val="none" w:sz="0" w:space="0" w:color="auto"/>
        <w:right w:val="none" w:sz="0" w:space="0" w:color="auto"/>
      </w:divBdr>
    </w:div>
    <w:div w:id="2038846725">
      <w:marLeft w:val="0"/>
      <w:marRight w:val="0"/>
      <w:marTop w:val="0"/>
      <w:marBottom w:val="0"/>
      <w:divBdr>
        <w:top w:val="none" w:sz="0" w:space="0" w:color="auto"/>
        <w:left w:val="none" w:sz="0" w:space="0" w:color="auto"/>
        <w:bottom w:val="none" w:sz="0" w:space="0" w:color="auto"/>
        <w:right w:val="none" w:sz="0" w:space="0" w:color="auto"/>
      </w:divBdr>
      <w:divsChild>
        <w:div w:id="120614069">
          <w:marLeft w:val="0"/>
          <w:marRight w:val="0"/>
          <w:marTop w:val="0"/>
          <w:marBottom w:val="0"/>
          <w:divBdr>
            <w:top w:val="none" w:sz="0" w:space="0" w:color="auto"/>
            <w:left w:val="none" w:sz="0" w:space="0" w:color="auto"/>
            <w:bottom w:val="none" w:sz="0" w:space="0" w:color="auto"/>
            <w:right w:val="none" w:sz="0" w:space="0" w:color="auto"/>
          </w:divBdr>
        </w:div>
      </w:divsChild>
    </w:div>
    <w:div w:id="2039694866">
      <w:marLeft w:val="0"/>
      <w:marRight w:val="0"/>
      <w:marTop w:val="0"/>
      <w:marBottom w:val="0"/>
      <w:divBdr>
        <w:top w:val="none" w:sz="0" w:space="0" w:color="auto"/>
        <w:left w:val="none" w:sz="0" w:space="0" w:color="auto"/>
        <w:bottom w:val="none" w:sz="0" w:space="0" w:color="auto"/>
        <w:right w:val="none" w:sz="0" w:space="0" w:color="auto"/>
      </w:divBdr>
    </w:div>
    <w:div w:id="2047363663">
      <w:marLeft w:val="0"/>
      <w:marRight w:val="0"/>
      <w:marTop w:val="0"/>
      <w:marBottom w:val="0"/>
      <w:divBdr>
        <w:top w:val="none" w:sz="0" w:space="0" w:color="auto"/>
        <w:left w:val="none" w:sz="0" w:space="0" w:color="auto"/>
        <w:bottom w:val="none" w:sz="0" w:space="0" w:color="auto"/>
        <w:right w:val="none" w:sz="0" w:space="0" w:color="auto"/>
      </w:divBdr>
    </w:div>
    <w:div w:id="2062823856">
      <w:marLeft w:val="0"/>
      <w:marRight w:val="0"/>
      <w:marTop w:val="0"/>
      <w:marBottom w:val="0"/>
      <w:divBdr>
        <w:top w:val="none" w:sz="0" w:space="0" w:color="auto"/>
        <w:left w:val="none" w:sz="0" w:space="0" w:color="auto"/>
        <w:bottom w:val="none" w:sz="0" w:space="0" w:color="auto"/>
        <w:right w:val="none" w:sz="0" w:space="0" w:color="auto"/>
      </w:divBdr>
    </w:div>
    <w:div w:id="2063021426">
      <w:marLeft w:val="0"/>
      <w:marRight w:val="0"/>
      <w:marTop w:val="0"/>
      <w:marBottom w:val="200"/>
      <w:divBdr>
        <w:top w:val="none" w:sz="0" w:space="0" w:color="auto"/>
        <w:left w:val="none" w:sz="0" w:space="0" w:color="auto"/>
        <w:bottom w:val="none" w:sz="0" w:space="0" w:color="auto"/>
        <w:right w:val="none" w:sz="0" w:space="0" w:color="auto"/>
      </w:divBdr>
    </w:div>
    <w:div w:id="2063476985">
      <w:marLeft w:val="0"/>
      <w:marRight w:val="0"/>
      <w:marTop w:val="240"/>
      <w:marBottom w:val="240"/>
      <w:divBdr>
        <w:top w:val="none" w:sz="0" w:space="0" w:color="auto"/>
        <w:left w:val="none" w:sz="0" w:space="0" w:color="auto"/>
        <w:bottom w:val="none" w:sz="0" w:space="0" w:color="auto"/>
        <w:right w:val="none" w:sz="0" w:space="0" w:color="auto"/>
      </w:divBdr>
    </w:div>
    <w:div w:id="2064720035">
      <w:marLeft w:val="0"/>
      <w:marRight w:val="0"/>
      <w:marTop w:val="0"/>
      <w:marBottom w:val="0"/>
      <w:divBdr>
        <w:top w:val="none" w:sz="0" w:space="0" w:color="auto"/>
        <w:left w:val="none" w:sz="0" w:space="0" w:color="auto"/>
        <w:bottom w:val="none" w:sz="0" w:space="0" w:color="auto"/>
        <w:right w:val="none" w:sz="0" w:space="0" w:color="auto"/>
      </w:divBdr>
    </w:div>
    <w:div w:id="2070033615">
      <w:marLeft w:val="0"/>
      <w:marRight w:val="0"/>
      <w:marTop w:val="0"/>
      <w:marBottom w:val="240"/>
      <w:divBdr>
        <w:top w:val="none" w:sz="0" w:space="0" w:color="auto"/>
        <w:left w:val="none" w:sz="0" w:space="0" w:color="auto"/>
        <w:bottom w:val="none" w:sz="0" w:space="0" w:color="auto"/>
        <w:right w:val="none" w:sz="0" w:space="0" w:color="auto"/>
      </w:divBdr>
    </w:div>
    <w:div w:id="2081755185">
      <w:marLeft w:val="0"/>
      <w:marRight w:val="0"/>
      <w:marTop w:val="0"/>
      <w:marBottom w:val="0"/>
      <w:divBdr>
        <w:top w:val="none" w:sz="0" w:space="0" w:color="auto"/>
        <w:left w:val="none" w:sz="0" w:space="0" w:color="auto"/>
        <w:bottom w:val="none" w:sz="0" w:space="0" w:color="auto"/>
        <w:right w:val="none" w:sz="0" w:space="0" w:color="auto"/>
      </w:divBdr>
      <w:divsChild>
        <w:div w:id="894510349">
          <w:marLeft w:val="0"/>
          <w:marRight w:val="0"/>
          <w:marTop w:val="0"/>
          <w:marBottom w:val="0"/>
          <w:divBdr>
            <w:top w:val="none" w:sz="0" w:space="0" w:color="auto"/>
            <w:left w:val="none" w:sz="0" w:space="0" w:color="auto"/>
            <w:bottom w:val="none" w:sz="0" w:space="0" w:color="auto"/>
            <w:right w:val="none" w:sz="0" w:space="0" w:color="auto"/>
          </w:divBdr>
        </w:div>
      </w:divsChild>
    </w:div>
    <w:div w:id="2084641689">
      <w:marLeft w:val="0"/>
      <w:marRight w:val="0"/>
      <w:marTop w:val="240"/>
      <w:marBottom w:val="240"/>
      <w:divBdr>
        <w:top w:val="none" w:sz="0" w:space="0" w:color="auto"/>
        <w:left w:val="none" w:sz="0" w:space="0" w:color="auto"/>
        <w:bottom w:val="none" w:sz="0" w:space="0" w:color="auto"/>
        <w:right w:val="none" w:sz="0" w:space="0" w:color="auto"/>
      </w:divBdr>
    </w:div>
    <w:div w:id="2085636726">
      <w:marLeft w:val="0"/>
      <w:marRight w:val="0"/>
      <w:marTop w:val="0"/>
      <w:marBottom w:val="0"/>
      <w:divBdr>
        <w:top w:val="none" w:sz="0" w:space="0" w:color="auto"/>
        <w:left w:val="none" w:sz="0" w:space="0" w:color="auto"/>
        <w:bottom w:val="none" w:sz="0" w:space="0" w:color="auto"/>
        <w:right w:val="none" w:sz="0" w:space="0" w:color="auto"/>
      </w:divBdr>
      <w:divsChild>
        <w:div w:id="651833657">
          <w:marLeft w:val="0"/>
          <w:marRight w:val="0"/>
          <w:marTop w:val="0"/>
          <w:marBottom w:val="0"/>
          <w:divBdr>
            <w:top w:val="none" w:sz="0" w:space="0" w:color="auto"/>
            <w:left w:val="none" w:sz="0" w:space="0" w:color="auto"/>
            <w:bottom w:val="none" w:sz="0" w:space="0" w:color="auto"/>
            <w:right w:val="none" w:sz="0" w:space="0" w:color="auto"/>
          </w:divBdr>
        </w:div>
      </w:divsChild>
    </w:div>
    <w:div w:id="2093351635">
      <w:marLeft w:val="0"/>
      <w:marRight w:val="0"/>
      <w:marTop w:val="0"/>
      <w:marBottom w:val="0"/>
      <w:divBdr>
        <w:top w:val="none" w:sz="0" w:space="0" w:color="auto"/>
        <w:left w:val="none" w:sz="0" w:space="0" w:color="auto"/>
        <w:bottom w:val="none" w:sz="0" w:space="0" w:color="auto"/>
        <w:right w:val="none" w:sz="0" w:space="0" w:color="auto"/>
      </w:divBdr>
    </w:div>
    <w:div w:id="2103792653">
      <w:marLeft w:val="0"/>
      <w:marRight w:val="0"/>
      <w:marTop w:val="240"/>
      <w:marBottom w:val="240"/>
      <w:divBdr>
        <w:top w:val="none" w:sz="0" w:space="0" w:color="auto"/>
        <w:left w:val="none" w:sz="0" w:space="0" w:color="auto"/>
        <w:bottom w:val="none" w:sz="0" w:space="0" w:color="auto"/>
        <w:right w:val="none" w:sz="0" w:space="0" w:color="auto"/>
      </w:divBdr>
    </w:div>
    <w:div w:id="2106026647">
      <w:marLeft w:val="0"/>
      <w:marRight w:val="0"/>
      <w:marTop w:val="0"/>
      <w:marBottom w:val="240"/>
      <w:divBdr>
        <w:top w:val="none" w:sz="0" w:space="0" w:color="auto"/>
        <w:left w:val="none" w:sz="0" w:space="0" w:color="auto"/>
        <w:bottom w:val="none" w:sz="0" w:space="0" w:color="auto"/>
        <w:right w:val="none" w:sz="0" w:space="0" w:color="auto"/>
      </w:divBdr>
    </w:div>
    <w:div w:id="2106266943">
      <w:marLeft w:val="0"/>
      <w:marRight w:val="0"/>
      <w:marTop w:val="240"/>
      <w:marBottom w:val="240"/>
      <w:divBdr>
        <w:top w:val="none" w:sz="0" w:space="0" w:color="auto"/>
        <w:left w:val="none" w:sz="0" w:space="0" w:color="auto"/>
        <w:bottom w:val="none" w:sz="0" w:space="0" w:color="auto"/>
        <w:right w:val="none" w:sz="0" w:space="0" w:color="auto"/>
      </w:divBdr>
    </w:div>
    <w:div w:id="2113210126">
      <w:marLeft w:val="0"/>
      <w:marRight w:val="0"/>
      <w:marTop w:val="0"/>
      <w:marBottom w:val="0"/>
      <w:divBdr>
        <w:top w:val="none" w:sz="0" w:space="0" w:color="auto"/>
        <w:left w:val="none" w:sz="0" w:space="0" w:color="auto"/>
        <w:bottom w:val="none" w:sz="0" w:space="0" w:color="auto"/>
        <w:right w:val="none" w:sz="0" w:space="0" w:color="auto"/>
      </w:divBdr>
    </w:div>
    <w:div w:id="2118913312">
      <w:marLeft w:val="0"/>
      <w:marRight w:val="0"/>
      <w:marTop w:val="0"/>
      <w:marBottom w:val="0"/>
      <w:divBdr>
        <w:top w:val="none" w:sz="0" w:space="0" w:color="auto"/>
        <w:left w:val="none" w:sz="0" w:space="0" w:color="auto"/>
        <w:bottom w:val="none" w:sz="0" w:space="0" w:color="auto"/>
        <w:right w:val="none" w:sz="0" w:space="0" w:color="auto"/>
      </w:divBdr>
    </w:div>
    <w:div w:id="2121489217">
      <w:marLeft w:val="0"/>
      <w:marRight w:val="0"/>
      <w:marTop w:val="0"/>
      <w:marBottom w:val="240"/>
      <w:divBdr>
        <w:top w:val="none" w:sz="0" w:space="0" w:color="auto"/>
        <w:left w:val="none" w:sz="0" w:space="0" w:color="auto"/>
        <w:bottom w:val="none" w:sz="0" w:space="0" w:color="auto"/>
        <w:right w:val="none" w:sz="0" w:space="0" w:color="auto"/>
      </w:divBdr>
    </w:div>
    <w:div w:id="2128233546">
      <w:marLeft w:val="0"/>
      <w:marRight w:val="0"/>
      <w:marTop w:val="0"/>
      <w:marBottom w:val="0"/>
      <w:divBdr>
        <w:top w:val="none" w:sz="0" w:space="0" w:color="auto"/>
        <w:left w:val="none" w:sz="0" w:space="0" w:color="auto"/>
        <w:bottom w:val="none" w:sz="0" w:space="0" w:color="auto"/>
        <w:right w:val="none" w:sz="0" w:space="0" w:color="auto"/>
      </w:divBdr>
    </w:div>
    <w:div w:id="2134590771">
      <w:marLeft w:val="0"/>
      <w:marRight w:val="0"/>
      <w:marTop w:val="0"/>
      <w:marBottom w:val="0"/>
      <w:divBdr>
        <w:top w:val="none" w:sz="0" w:space="0" w:color="auto"/>
        <w:left w:val="none" w:sz="0" w:space="0" w:color="auto"/>
        <w:bottom w:val="none" w:sz="0" w:space="0" w:color="auto"/>
        <w:right w:val="none" w:sz="0" w:space="0" w:color="auto"/>
      </w:divBdr>
    </w:div>
    <w:div w:id="2134708340">
      <w:marLeft w:val="0"/>
      <w:marRight w:val="0"/>
      <w:marTop w:val="0"/>
      <w:marBottom w:val="240"/>
      <w:divBdr>
        <w:top w:val="none" w:sz="0" w:space="0" w:color="auto"/>
        <w:left w:val="none" w:sz="0" w:space="0" w:color="auto"/>
        <w:bottom w:val="none" w:sz="0" w:space="0" w:color="auto"/>
        <w:right w:val="none" w:sz="0" w:space="0" w:color="auto"/>
      </w:divBdr>
    </w:div>
    <w:div w:id="2141803671">
      <w:marLeft w:val="0"/>
      <w:marRight w:val="0"/>
      <w:marTop w:val="0"/>
      <w:marBottom w:val="240"/>
      <w:divBdr>
        <w:top w:val="none" w:sz="0" w:space="0" w:color="auto"/>
        <w:left w:val="none" w:sz="0" w:space="0" w:color="auto"/>
        <w:bottom w:val="none" w:sz="0" w:space="0" w:color="auto"/>
        <w:right w:val="none" w:sz="0" w:space="0" w:color="auto"/>
      </w:divBdr>
      <w:divsChild>
        <w:div w:id="929386742">
          <w:marLeft w:val="0"/>
          <w:marRight w:val="0"/>
          <w:marTop w:val="0"/>
          <w:marBottom w:val="0"/>
          <w:divBdr>
            <w:top w:val="none" w:sz="0" w:space="0" w:color="auto"/>
            <w:left w:val="none" w:sz="0" w:space="0" w:color="auto"/>
            <w:bottom w:val="none" w:sz="0" w:space="0" w:color="auto"/>
            <w:right w:val="none" w:sz="0" w:space="0" w:color="auto"/>
          </w:divBdr>
        </w:div>
        <w:div w:id="30570879">
          <w:marLeft w:val="0"/>
          <w:marRight w:val="0"/>
          <w:marTop w:val="0"/>
          <w:marBottom w:val="0"/>
          <w:divBdr>
            <w:top w:val="none" w:sz="0" w:space="0" w:color="auto"/>
            <w:left w:val="none" w:sz="0" w:space="0" w:color="auto"/>
            <w:bottom w:val="none" w:sz="0" w:space="0" w:color="auto"/>
            <w:right w:val="none" w:sz="0" w:space="0" w:color="auto"/>
          </w:divBdr>
        </w:div>
      </w:divsChild>
    </w:div>
    <w:div w:id="2141875854">
      <w:marLeft w:val="0"/>
      <w:marRight w:val="0"/>
      <w:marTop w:val="0"/>
      <w:marBottom w:val="240"/>
      <w:divBdr>
        <w:top w:val="none" w:sz="0" w:space="0" w:color="auto"/>
        <w:left w:val="none" w:sz="0" w:space="0" w:color="auto"/>
        <w:bottom w:val="none" w:sz="0" w:space="0" w:color="auto"/>
        <w:right w:val="none" w:sz="0" w:space="0" w:color="auto"/>
      </w:divBdr>
    </w:div>
    <w:div w:id="2145393587">
      <w:marLeft w:val="0"/>
      <w:marRight w:val="0"/>
      <w:marTop w:val="0"/>
      <w:marBottom w:val="240"/>
      <w:divBdr>
        <w:top w:val="none" w:sz="0" w:space="0" w:color="auto"/>
        <w:left w:val="none" w:sz="0" w:space="0" w:color="auto"/>
        <w:bottom w:val="none" w:sz="0" w:space="0" w:color="auto"/>
        <w:right w:val="none" w:sz="0" w:space="0" w:color="auto"/>
      </w:divBdr>
    </w:div>
    <w:div w:id="2146389639">
      <w:marLeft w:val="0"/>
      <w:marRight w:val="0"/>
      <w:marTop w:val="0"/>
      <w:marBottom w:val="24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2022q1ex312.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a2022q1ex311.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893847/000141588917001027/ex4-06232017_100639.htm" TargetMode="External"/><Relationship Id="rId11" Type="http://schemas.openxmlformats.org/officeDocument/2006/relationships/hyperlink" Target="a2022q1ex322.htm" TargetMode="External"/><Relationship Id="rId5" Type="http://schemas.openxmlformats.org/officeDocument/2006/relationships/hyperlink" Target="https://www.sec.gov/Archives/edgar/data/893847/000155837021000457/hwbk-20210127xex3d1.htm" TargetMode="External"/><Relationship Id="rId10" Type="http://schemas.openxmlformats.org/officeDocument/2006/relationships/hyperlink" Target="a2022q1ex321.htm" TargetMode="External"/><Relationship Id="rId4" Type="http://schemas.openxmlformats.org/officeDocument/2006/relationships/hyperlink" Target="http://www.sec.gov/Archives/edgar/data/893847/000129993307004833/exhibit1.htm" TargetMode="External"/><Relationship Id="rId9" Type="http://schemas.openxmlformats.org/officeDocument/2006/relationships/hyperlink" Target="a2022q1ex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33132</Words>
  <Characters>188854</Characters>
  <Application>Microsoft Office Word</Application>
  <DocSecurity>0</DocSecurity>
  <Lines>1573</Lines>
  <Paragraphs>443</Paragraphs>
  <ScaleCrop>false</ScaleCrop>
  <Company/>
  <LinksUpToDate>false</LinksUpToDate>
  <CharactersWithSpaces>221543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hwbk-20220331</dc:title>
  <dc:subject/>
  <dc:creator>Chongjian.Yue</dc:creator>
  <cp:keywords/>
  <dc:description/>
  <cp:lastModifiedBy>Yue Chongjian</cp:lastModifiedBy>
  <cp:revision>1</cp:revision>
  <dcterms:created xsi:type="dcterms:W3CDTF">2024-01-04T15:45:00Z</dcterms:created>
  <dcterms:modified xsi:type="dcterms:W3CDTF">2024-01-04T15:45:00Z</dcterms:modified>
</cp:coreProperties>
</file>