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00014">
      <w:pPr>
        <w:divId w:val="1113401995"/>
        <w:rPr>
          <w:rFonts w:eastAsia="Times New Roman"/>
          <w:vanish/>
        </w:rPr>
      </w:pPr>
      <w:r>
        <w:rPr>
          <w:rFonts w:eastAsia="Times New Roman"/>
          <w:vanish/>
        </w:rPr>
        <w:t>--12-31Q220220000893847FALSEhttp://fasb.org/us-gaap/2022#PropertyPlantAndEquipmentNet00008938472022-01-012022-06-3000008938472022-08-11xbrli:shares00008938472022-06-30iso4217:USD00008938472021-12-31iso4217:USDxbrli:shares00008938472022-04-01</w:t>
      </w:r>
      <w:r>
        <w:rPr>
          <w:rFonts w:eastAsia="Times New Roman"/>
          <w:vanish/>
        </w:rPr>
        <w:t>2022-06-3000008938472021-04-012021-06-3000008938472021-01-012021-06-300000893847us-gaap:ServiceMember2022-04-012022-06-300000893847us-gaap:ServiceMember2021-04-012021-06-300000893847us-gaap:ServiceMember2022-01-012022-06-300000893847us-gaap:ServiceMember20</w:t>
      </w:r>
      <w:r>
        <w:rPr>
          <w:rFonts w:eastAsia="Times New Roman"/>
          <w:vanish/>
        </w:rPr>
        <w:t>21-01-012021-06-300000893847us-gaap:BankingMember2022-04-012022-06-300000893847us-gaap:BankingMember2021-04-012021-06-300000893847us-gaap:BankingMember2022-01-012022-06-300000893847us-gaap:BankingMember2021-01-012021-06-300000893847us-gaap:FiduciaryAndTrus</w:t>
      </w:r>
      <w:r>
        <w:rPr>
          <w:rFonts w:eastAsia="Times New Roman"/>
          <w:vanish/>
        </w:rPr>
        <w:t>tMember2022-04-012022-06-300000893847us-gaap:FiduciaryAndTrustMember2021-04-012021-06-300000893847us-gaap:FiduciaryAndTrustMember2022-01-012022-06-300000893847us-gaap:FiduciaryAndTrustMember2021-01-012021-06-300000893847us-gaap:BankServicingMember2022-04-0</w:t>
      </w:r>
      <w:r>
        <w:rPr>
          <w:rFonts w:eastAsia="Times New Roman"/>
          <w:vanish/>
        </w:rPr>
        <w:t>12022-06-300000893847us-gaap:BankServicingMember2021-04-012021-06-300000893847us-gaap:BankServicingMember2022-01-012022-06-300000893847us-gaap:BankServicingMember2021-01-012021-06-300000893847us-gaap:CommonStockMember2022-03-310000893847us-gaap:AdditionalP</w:t>
      </w:r>
      <w:r>
        <w:rPr>
          <w:rFonts w:eastAsia="Times New Roman"/>
          <w:vanish/>
        </w:rPr>
        <w:t>aidInCapitalMember2022-03-310000893847us-gaap:RetainedEarningsMember2022-03-310000893847us-gaap:AccumulatedOtherComprehensiveIncomeMember2022-03-310000893847us-gaap:TreasuryStockMember2022-03-3100008938472022-03-310000893847us-gaap:RetainedEarningsMember20</w:t>
      </w:r>
      <w:r>
        <w:rPr>
          <w:rFonts w:eastAsia="Times New Roman"/>
          <w:vanish/>
        </w:rPr>
        <w:t>22-04-012022-06-300000893847us-gaap:AccumulatedOtherComprehensiveIncomeMember2022-04-012022-06-300000893847us-gaap:TreasuryStockMember2022-04-012022-06-300000893847us-gaap:AdditionalPaidInCapitalMember2022-04-012022-06-300000893847us-gaap:CommonStockMember</w:t>
      </w:r>
      <w:r>
        <w:rPr>
          <w:rFonts w:eastAsia="Times New Roman"/>
          <w:vanish/>
        </w:rPr>
        <w:t>2022-06-300000893847us-gaap:AdditionalPaidInCapitalMember2022-06-300000893847us-gaap:RetainedEarningsMember2022-06-300000893847us-gaap:AccumulatedOtherComprehensiveIncomeMember2022-06-300000893847us-gaap:TreasuryStockMember2022-06-300000893847us-gaap:Commo</w:t>
      </w:r>
      <w:r>
        <w:rPr>
          <w:rFonts w:eastAsia="Times New Roman"/>
          <w:vanish/>
        </w:rPr>
        <w:t>nStockMember2021-03-310000893847us-gaap:AdditionalPaidInCapitalMember2021-03-310000893847us-gaap:RetainedEarningsMember2021-03-310000893847us-gaap:AccumulatedOtherComprehensiveIncomeMember2021-03-310000893847us-gaap:TreasuryStockMember2021-03-3100008938472</w:t>
      </w:r>
      <w:r>
        <w:rPr>
          <w:rFonts w:eastAsia="Times New Roman"/>
          <w:vanish/>
        </w:rPr>
        <w:t>021-03-310000893847us-gaap:RetainedEarningsMember2021-04-012021-06-300000893847us-gaap:AccumulatedOtherComprehensiveIncomeMember2021-04-012021-06-300000893847us-gaap:AdditionalPaidInCapitalMember2021-04-012021-06-300000893847us-gaap:CommonStockMember2021-0</w:t>
      </w:r>
      <w:r>
        <w:rPr>
          <w:rFonts w:eastAsia="Times New Roman"/>
          <w:vanish/>
        </w:rPr>
        <w:t>6-300000893847us-gaap:AdditionalPaidInCapitalMember2021-06-300000893847us-gaap:RetainedEarningsMember2021-06-300000893847us-gaap:AccumulatedOtherComprehensiveIncomeMember2021-06-300000893847us-gaap:TreasuryStockMember2021-06-3000008938472021-06-30000089384</w:t>
      </w:r>
      <w:r>
        <w:rPr>
          <w:rFonts w:eastAsia="Times New Roman"/>
          <w:vanish/>
        </w:rPr>
        <w:t>7us-gaap:CommonStockMember2021-12-310000893847us-gaap:AdditionalPaidInCapitalMember2021-12-310000893847us-gaap:RetainedEarningsMember2021-12-310000893847us-gaap:AccumulatedOtherComprehensiveIncomeMember2021-12-310000893847us-gaap:TreasuryStockMember2021-12</w:t>
      </w:r>
      <w:r>
        <w:rPr>
          <w:rFonts w:eastAsia="Times New Roman"/>
          <w:vanish/>
        </w:rPr>
        <w:t>-310000893847us-gaap:RetainedEarningsMember2022-01-012022-06-300000893847us-gaap:AccumulatedOtherComprehensiveIncomeMember2022-01-012022-06-300000893847us-gaap:TreasuryStockMember2022-01-012022-06-300000893847us-gaap:AdditionalPaidInCapitalMember2022-01-01</w:t>
      </w:r>
      <w:r>
        <w:rPr>
          <w:rFonts w:eastAsia="Times New Roman"/>
          <w:vanish/>
        </w:rPr>
        <w:t>2022-06-300000893847us-gaap:CommonStockMember2020-12-310000893847us-gaap:AdditionalPaidInCapitalMember2020-12-310000893847us-gaap:RetainedEarningsMember2020-12-310000893847us-gaap:AccumulatedOtherComprehensiveIncomeMember2020-12-310000893847us-gaap:Treasur</w:t>
      </w:r>
      <w:r>
        <w:rPr>
          <w:rFonts w:eastAsia="Times New Roman"/>
          <w:vanish/>
        </w:rPr>
        <w:t>yStockMember2020-12-3100008938472020-12-310000893847us-gaap:RetainedEarningsMember2021-01-012021-06-300000893847us-gaap:AccumulatedOtherComprehensiveIncomeMember2021-01-012021-06-300000893847us-gaap:TreasuryStockMember2021-01-012021-06-300000893847us-gaap:</w:t>
      </w:r>
      <w:r>
        <w:rPr>
          <w:rFonts w:eastAsia="Times New Roman"/>
          <w:vanish/>
        </w:rPr>
        <w:t>AdditionalPaidInCapitalMember2021-01-012021-06-300000893847us-gaap:SubsequentEventMember2022-07-012022-07-01xbrli:pure0000893847hwbk:CommercialFinancialAndAgriculturalPortfolioSegmentMember2022-06-300000893847hwbk:CommercialFinancialAndAgriculturalPortfoli</w:t>
      </w:r>
      <w:r>
        <w:rPr>
          <w:rFonts w:eastAsia="Times New Roman"/>
          <w:vanish/>
        </w:rPr>
        <w:t>oSegmentMember2021-12-310000893847hwbk:ResidentialRealEstatePortfolioSegmentMemberus-gaap:ConstructionLoansMember2022-06-300000893847hwbk:ResidentialRealEstatePortfolioSegmentMemberus-gaap:ConstructionLoansMember2021-12-310000893847us-gaap:CommercialRealEs</w:t>
      </w:r>
      <w:r>
        <w:rPr>
          <w:rFonts w:eastAsia="Times New Roman"/>
          <w:vanish/>
        </w:rPr>
        <w:t>tatePortfolioSegmentMemberus-gaap:ConstructionLoansMember2022-06-300000893847us-gaap:CommercialRealEstatePortfolioSegmentMemberus-gaap:ConstructionLoansMember2021-12-310000893847us-gaap:MortgagesMemberhwbk:ResidentialRealEstatePortfolioSegmentMember2022-06</w:t>
      </w:r>
      <w:r>
        <w:rPr>
          <w:rFonts w:eastAsia="Times New Roman"/>
          <w:vanish/>
        </w:rPr>
        <w:t>-300000893847us-gaap:MortgagesMemberhwbk:ResidentialRealEstatePortfolioSegmentMember2021-12-310000893847us-gaap:MortgagesMemberus-gaap:CommercialRealEstatePortfolioSegmentMember2022-06-300000893847us-gaap:MortgagesMemberus-gaap:CommercialRealEstatePortfoli</w:t>
      </w:r>
      <w:r>
        <w:rPr>
          <w:rFonts w:eastAsia="Times New Roman"/>
          <w:vanish/>
        </w:rPr>
        <w:t>oSegmentMember2021-12-310000893847hwbk:InstallmentAndOtherConsumerPortfolioSegmentMember2022-06-300000893847hwbk:InstallmentAndOtherConsumerPortfolioSegmentMember2021-12-310000893847hwbk:ResidentialRealEstatePortfolioSegmentMember2021-12-310000893847us-gaa</w:t>
      </w:r>
      <w:r>
        <w:rPr>
          <w:rFonts w:eastAsia="Times New Roman"/>
          <w:vanish/>
        </w:rPr>
        <w:t>p:FederalHomeLoanBankAdvancesMemberus-gaap:AssetPledgedAsCollateralWithoutRightMember2022-06-300000893847hwbk:CommercialFinancialAndAgriculturalPortfolioSegmentMember2022-03-310000893847hwbk:ResidentialRealEstatePortfolioSegmentMemberus-gaap:ConstructionLo</w:t>
      </w:r>
      <w:r>
        <w:rPr>
          <w:rFonts w:eastAsia="Times New Roman"/>
          <w:vanish/>
        </w:rPr>
        <w:t>ansMember2022-03-310000893847us-gaap:CommercialRealEstatePortfolioSegmentMemberus-gaap:ConstructionLoansMember2022-03-310000893847us-gaap:MortgagesMemberhwbk:ResidentialRealEstatePortfolioSegmentMember2022-03-310000893847us-gaap:MortgagesMemberus-gaap:Comm</w:t>
      </w:r>
      <w:r>
        <w:rPr>
          <w:rFonts w:eastAsia="Times New Roman"/>
          <w:vanish/>
        </w:rPr>
        <w:t>ercialRealEstatePortfolioSegmentMember2022-03-310000893847hwbk:InstallmentAndOtherConsumerPortfolioSegmentMember2022-03-310000893847us-gaap:UnallocatedFinancingReceivablesMember2022-03-310000893847hwbk:CommercialFinancialAndAgriculturalPortfolioSegmentMemb</w:t>
      </w:r>
      <w:r>
        <w:rPr>
          <w:rFonts w:eastAsia="Times New Roman"/>
          <w:vanish/>
        </w:rPr>
        <w:t>er2022-04-012022-06-300000893847hwbk:ResidentialRealEstatePortfolioSegmentMemberus-gaap:ConstructionLoansMember2022-04-012022-06-300000893847us-gaap:CommercialRealEstatePortfolioSegmentMemberus-gaap:ConstructionLoansMember2022-04-012022-06-300000893847us-g</w:t>
      </w:r>
      <w:r>
        <w:rPr>
          <w:rFonts w:eastAsia="Times New Roman"/>
          <w:vanish/>
        </w:rPr>
        <w:t>aap:MortgagesMemberhwbk:ResidentialRealEstatePortfolioSegmentMember2022-04-012022-06-300000893847us-gaap:MortgagesMemberus-gaap:CommercialRealEstatePortfolioSegmentMember2022-04-012022-06-300000893847hwbk:InstallmentAndOtherConsumerPortfolioSegmentMember20</w:t>
      </w:r>
      <w:r>
        <w:rPr>
          <w:rFonts w:eastAsia="Times New Roman"/>
          <w:vanish/>
        </w:rPr>
        <w:t>22-04-012022-06-300000893847us-gaap:UnallocatedFinancingReceivablesMember2022-04-012022-06-300000893847us-gaap:UnallocatedFinancingReceivablesMember2022-06-300000893847hwbk:CommercialFinancialAndAgriculturalPortfolioSegmentMember2021-03-310000893847hwbk:Re</w:t>
      </w:r>
      <w:r>
        <w:rPr>
          <w:rFonts w:eastAsia="Times New Roman"/>
          <w:vanish/>
        </w:rPr>
        <w:t>sidentialRealEstatePortfolioSegmentMemberus-gaap:ConstructionLoansMember2021-03-310000893847us-gaap:CommercialRealEstatePortfolioSegmentMemberus-gaap:ConstructionLoansMember2021-03-310000893847us-gaap:MortgagesMemberhwbk:ResidentialRealEstatePortfolioSegme</w:t>
      </w:r>
      <w:r>
        <w:rPr>
          <w:rFonts w:eastAsia="Times New Roman"/>
          <w:vanish/>
        </w:rPr>
        <w:t>ntMember2021-03-310000893847us-gaap:MortgagesMemberus-gaap:CommercialRealEstatePortfolioSegmentMember2021-03-310000893847hwbk:InstallmentAndOtherConsumerPortfolioSegmentMember2021-03-310000893847us-gaap:UnallocatedFinancingReceivablesMember2021-03-31000089</w:t>
      </w:r>
      <w:r>
        <w:rPr>
          <w:rFonts w:eastAsia="Times New Roman"/>
          <w:vanish/>
        </w:rPr>
        <w:t>3847hwbk:CommercialFinancialAndAgriculturalPortfolioSegmentMember2021-04-012021-06-300000893847hwbk:ResidentialRealEstatePortfolioSegmentMemberus-gaap:ConstructionLoansMember2021-04-012021-06-300000893847us-gaap:CommercialRealEstatePortfolioSegmentMemberus</w:t>
      </w:r>
      <w:r>
        <w:rPr>
          <w:rFonts w:eastAsia="Times New Roman"/>
          <w:vanish/>
        </w:rPr>
        <w:t>-gaap:ConstructionLoansMember2021-04-012021-06-300000893847us-gaap:MortgagesMemberhwbk:ResidentialRealEstatePortfolioSegmentMember2021-04-012021-06-300000893847us-gaap:MortgagesMemberus-gaap:CommercialRealEstatePortfolioSegmentMember2021-04-012021-06-30000</w:t>
      </w:r>
      <w:r>
        <w:rPr>
          <w:rFonts w:eastAsia="Times New Roman"/>
          <w:vanish/>
        </w:rPr>
        <w:t>0893847hwbk:InstallmentAndOtherConsumerPortfolioSegmentMember2021-04-012021-06-300000893847us-gaap:UnallocatedFinancingReceivablesMember2021-04-012021-06-300000893847hwbk:CommercialFinancialAndAgriculturalPortfolioSegmentMember2021-06-300000893847hwbk:Resi</w:t>
      </w:r>
      <w:r>
        <w:rPr>
          <w:rFonts w:eastAsia="Times New Roman"/>
          <w:vanish/>
        </w:rPr>
        <w:t>dentialRealEstatePortfolioSegmentMemberus-gaap:ConstructionLoansMember2021-06-300000893847us-gaap:CommercialRealEstatePortfolioSegmentMemberus-gaap:ConstructionLoansMember2021-06-300000893847us-gaap:MortgagesMemberhwbk:ResidentialRealEstatePortfolioSegment</w:t>
      </w:r>
      <w:r>
        <w:rPr>
          <w:rFonts w:eastAsia="Times New Roman"/>
          <w:vanish/>
        </w:rPr>
        <w:t>Member2021-06-300000893847us-gaap:MortgagesMemberus-gaap:CommercialRealEstatePortfolioSegmentMember2021-06-300000893847hwbk:InstallmentAndOtherConsumerPortfolioSegmentMember2021-06-300000893847us-gaap:UnallocatedFinancingReceivablesMember2021-06-3000008938</w:t>
      </w:r>
      <w:r>
        <w:rPr>
          <w:rFonts w:eastAsia="Times New Roman"/>
          <w:vanish/>
        </w:rPr>
        <w:t>47us-gaap:UnallocatedFinancingReceivablesMember2021-12-310000893847hwbk:CommercialFinancialAndAgriculturalPortfolioSegmentMember2022-01-012022-06-300000893847hwbk:ResidentialRealEstatePortfolioSegmentMemberus-gaap:ConstructionLoansMember2022-01-012022-06-3</w:t>
      </w:r>
      <w:r>
        <w:rPr>
          <w:rFonts w:eastAsia="Times New Roman"/>
          <w:vanish/>
        </w:rPr>
        <w:t>00000893847us-gaap:CommercialRealEstatePortfolioSegmentMemberus-gaap:ConstructionLoansMember2022-01-012022-06-300000893847us-gaap:MortgagesMemberhwbk:ResidentialRealEstatePortfolioSegmentMember2022-01-012022-06-300000893847us-gaap:MortgagesMemberus-gaap:Co</w:t>
      </w:r>
      <w:r>
        <w:rPr>
          <w:rFonts w:eastAsia="Times New Roman"/>
          <w:vanish/>
        </w:rPr>
        <w:t>mmercialRealEstatePortfolioSegmentMember2022-01-012022-06-300000893847hwbk:InstallmentAndOtherConsumerPortfolioSegmentMember2022-01-012022-06-300000893847us-gaap:UnallocatedFinancingReceivablesMember2022-01-012022-06-300000893847hwbk:CommercialFinancialAnd</w:t>
      </w:r>
      <w:r>
        <w:rPr>
          <w:rFonts w:eastAsia="Times New Roman"/>
          <w:vanish/>
        </w:rPr>
        <w:t>AgriculturalPortfolioSegmentMember2020-12-310000893847hwbk:ResidentialRealEstatePortfolioSegmentMemberus-gaap:ConstructionLoansMember2020-12-310000893847us-gaap:CommercialRealEstatePortfolioSegmentMemberus-gaap:ConstructionLoansMember2020-12-310000893847us</w:t>
      </w:r>
      <w:r>
        <w:rPr>
          <w:rFonts w:eastAsia="Times New Roman"/>
          <w:vanish/>
        </w:rPr>
        <w:t>-gaap:MortgagesMemberhwbk:ResidentialRealEstatePortfolioSegmentMember2020-12-310000893847us-gaap:MortgagesMemberus-gaap:CommercialRealEstatePortfolioSegmentMember2020-12-310000893847hwbk:InstallmentAndOtherConsumerPortfolioSegmentMember2020-12-310000893847</w:t>
      </w:r>
      <w:r>
        <w:rPr>
          <w:rFonts w:eastAsia="Times New Roman"/>
          <w:vanish/>
        </w:rPr>
        <w:t>us-gaap:UnallocatedFinancingReceivablesMember2020-12-310000893847hwbk:CommercialFinancialAndAgriculturalPortfolioSegmentMember2021-01-012021-06-300000893847hwbk:ResidentialRealEstatePortfolioSegmentMemberus-gaap:ConstructionLoansMember2021-01-012021-06-300</w:t>
      </w:r>
      <w:r>
        <w:rPr>
          <w:rFonts w:eastAsia="Times New Roman"/>
          <w:vanish/>
        </w:rPr>
        <w:t>000893847us-gaap:CommercialRealEstatePortfolioSegmentMemberus-gaap:ConstructionLoansMember2021-01-012021-06-300000893847us-gaap:MortgagesMemberhwbk:ResidentialRealEstatePortfolioSegmentMember2021-01-012021-06-300000893847us-gaap:MortgagesMemberus-gaap:Comm</w:t>
      </w:r>
      <w:r>
        <w:rPr>
          <w:rFonts w:eastAsia="Times New Roman"/>
          <w:vanish/>
        </w:rPr>
        <w:t>ercialRealEstatePortfolioSegmentMember2021-01-012021-06-300000893847hwbk:InstallmentAndOtherConsumerPortfolioSegmentMember2021-01-012021-06-300000893847us-gaap:UnallocatedFinancingReceivablesMember2021-01-012021-06-3000008938472020-01-012020-12-31000089384</w:t>
      </w:r>
      <w:r>
        <w:rPr>
          <w:rFonts w:eastAsia="Times New Roman"/>
          <w:vanish/>
        </w:rPr>
        <w:t>72021-01-012021-12-310000893847us-gaap:CommercialRealEstatePortfolioSegmentMember2022-06-300000893847us-gaap:CommercialRealEstatePortfolioSegmentMember2021-12-310000893847us-gaap:FinancialAssetNotPastDueMemberhwbk:CommercialFinancialAndAgriculturalPortfoli</w:t>
      </w:r>
      <w:r>
        <w:rPr>
          <w:rFonts w:eastAsia="Times New Roman"/>
          <w:vanish/>
        </w:rPr>
        <w:t>oSegmentMember2022-06-300000893847us-gaap:FinancialAssetPastDueMemberhwbk:CommercialFinancialAndAgriculturalPortfolioSegmentMember2022-06-300000893847us-gaap:FinancialAssetNotPastDueMemberhwbk:ResidentialRealEstatePortfolioSegmentMemberus-gaap:Construction</w:t>
      </w:r>
      <w:r>
        <w:rPr>
          <w:rFonts w:eastAsia="Times New Roman"/>
          <w:vanish/>
        </w:rPr>
        <w:t>LoansMember2022-06-300000893847hwbk:ResidentialRealEstatePortfolioSegmentMemberus-gaap:FinancialAssetPastDueMemberus-gaap:ConstructionLoansMember2022-06-300000893847us-gaap:FinancialAssetNotPastDueMemberus-gaap:CommercialRealEstatePortfolioSegmentMemberus-</w:t>
      </w:r>
      <w:r>
        <w:rPr>
          <w:rFonts w:eastAsia="Times New Roman"/>
          <w:vanish/>
        </w:rPr>
        <w:t>gaap:ConstructionLoansMember2022-06-300000893847us-gaap:FinancialAssetPastDueMemberus-gaap:CommercialRealEstatePortfolioSegmentMemberus-gaap:ConstructionLoansMember2022-06-300000893847us-gaap:FinancialAssetNotPastDueMemberus-gaap:MortgagesMemberhwbk:Reside</w:t>
      </w:r>
      <w:r>
        <w:rPr>
          <w:rFonts w:eastAsia="Times New Roman"/>
          <w:vanish/>
        </w:rPr>
        <w:t>ntialRealEstatePortfolioSegmentMember2022-06-300000893847us-gaap:MortgagesMemberhwbk:ResidentialRealEstatePortfolioSegmentMemberus-gaap:FinancialAssetPastDueMember2022-06-300000893847us-gaap:FinancialAssetNotPastDueMemberus-gaap:MortgagesMemberus-gaap:Comm</w:t>
      </w:r>
      <w:r>
        <w:rPr>
          <w:rFonts w:eastAsia="Times New Roman"/>
          <w:vanish/>
        </w:rPr>
        <w:t>ercialRealEstatePortfolioSegmentMember2022-06-300000893847us-gaap:MortgagesMemberus-gaap:FinancialAssetPastDueMemberus-gaap:CommercialRealEstatePortfolioSegmentMember2022-06-300000893847us-gaap:FinancialAssetNotPastDueMemberhwbk:InstallmentAndOtherConsumer</w:t>
      </w:r>
      <w:r>
        <w:rPr>
          <w:rFonts w:eastAsia="Times New Roman"/>
          <w:vanish/>
        </w:rPr>
        <w:t>PortfolioSegmentMember2022-06-300000893847hwbk:InstallmentAndOtherConsumerPortfolioSegmentMemberus-gaap:FinancialAssetPastDueMember2022-06-300000893847us-gaap:FinancialAssetNotPastDueMember2022-06-300000893847us-gaap:FinancialAssetPastDueMember2022-06-3000</w:t>
      </w:r>
      <w:r>
        <w:rPr>
          <w:rFonts w:eastAsia="Times New Roman"/>
          <w:vanish/>
        </w:rPr>
        <w:t>00893847us-gaap:FinancialAssetNotPastDueMemberhwbk:CommercialFinancialAndAgriculturalPortfolioSegmentMember2021-12-310000893847us-gaap:FinancialAssetPastDueMemberhwbk:CommercialFinancialAndAgriculturalPortfolioSegmentMember2021-12-310000893847us-gaap:Finan</w:t>
      </w:r>
      <w:r>
        <w:rPr>
          <w:rFonts w:eastAsia="Times New Roman"/>
          <w:vanish/>
        </w:rPr>
        <w:t>cialAssetNotPastDueMemberhwbk:ResidentialRealEstatePortfolioSegmentMemberus-gaap:ConstructionLoansMember2021-12-310000893847hwbk:ResidentialRealEstatePortfolioSegmentMemberus-gaap:FinancialAssetPastDueMemberus-gaap:ConstructionLoansMember2021-12-3100008938</w:t>
      </w:r>
      <w:r>
        <w:rPr>
          <w:rFonts w:eastAsia="Times New Roman"/>
          <w:vanish/>
        </w:rPr>
        <w:t>47us-gaap:FinancialAssetNotPastDueMemberus-gaap:CommercialRealEstatePortfolioSegmentMemberus-gaap:ConstructionLoansMember2021-12-310000893847us-gaap:FinancialAssetPastDueMemberus-gaap:CommercialRealEstatePortfolioSegmentMemberus-gaap:ConstructionLoansMembe</w:t>
      </w:r>
      <w:r>
        <w:rPr>
          <w:rFonts w:eastAsia="Times New Roman"/>
          <w:vanish/>
        </w:rPr>
        <w:t>r2021-12-310000893847us-gaap:FinancialAssetNotPastDueMemberus-gaap:MortgagesMemberhwbk:ResidentialRealEstatePortfolioSegmentMember2021-12-310000893847us-gaap:MortgagesMemberhwbk:ResidentialRealEstatePortfolioSegmentMemberus-gaap:FinancialAssetPastDueMember</w:t>
      </w:r>
      <w:r>
        <w:rPr>
          <w:rFonts w:eastAsia="Times New Roman"/>
          <w:vanish/>
        </w:rPr>
        <w:t>2021-12-310000893847us-gaap:FinancialAssetNotPastDueMemberus-gaap:MortgagesMemberus-gaap:CommercialRealEstatePortfolioSegmentMember2021-12-310000893847us-gaap:MortgagesMemberus-gaap:FinancialAssetPastDueMemberus-gaap:CommercialRealEstatePortfolioSegmentMem</w:t>
      </w:r>
      <w:r>
        <w:rPr>
          <w:rFonts w:eastAsia="Times New Roman"/>
          <w:vanish/>
        </w:rPr>
        <w:t>ber2021-12-310000893847us-gaap:FinancialAssetNotPastDueMemberhwbk:InstallmentAndOtherConsumerPortfolioSegmentMember2021-12-310000893847hwbk:InstallmentAndOtherConsumerPortfolioSegmentMemberus-gaap:FinancialAssetPastDueMember2021-12-310000893847us-gaap:Fina</w:t>
      </w:r>
      <w:r>
        <w:rPr>
          <w:rFonts w:eastAsia="Times New Roman"/>
          <w:vanish/>
        </w:rPr>
        <w:t>ncialAssetNotPastDueMember2021-12-310000893847us-gaap:FinancialAssetPastDueMember2021-12-310000893847us-gaap:SpecialMentionMemberhwbk:CommercialFinancialAndAgriculturalPortfolioSegmentMember2022-06-300000893847hwbk:ResidentialRealEstatePortfolioSegmentMemb</w:t>
      </w:r>
      <w:r>
        <w:rPr>
          <w:rFonts w:eastAsia="Times New Roman"/>
          <w:vanish/>
        </w:rPr>
        <w:t>erus-gaap:SpecialMentionMemberus-gaap:ConstructionLoansMember2022-06-300000893847us-gaap:CommercialRealEstatePortfolioSegmentMemberus-gaap:SpecialMentionMemberus-gaap:ConstructionLoansMember2022-06-300000893847us-gaap:MortgagesMemberhwbk:ResidentialRealEst</w:t>
      </w:r>
      <w:r>
        <w:rPr>
          <w:rFonts w:eastAsia="Times New Roman"/>
          <w:vanish/>
        </w:rPr>
        <w:t>atePortfolioSegmentMemberus-gaap:SpecialMentionMember2022-06-300000893847us-gaap:MortgagesMemberus-gaap:CommercialRealEstatePortfolioSegmentMemberus-gaap:SpecialMentionMember2022-06-300000893847hwbk:InstallmentAndOtherConsumerPortfolioSegmentMemberus-gaap:</w:t>
      </w:r>
      <w:r>
        <w:rPr>
          <w:rFonts w:eastAsia="Times New Roman"/>
          <w:vanish/>
        </w:rPr>
        <w:t>SpecialMentionMember2022-06-300000893847us-gaap:SpecialMentionMember2022-06-300000893847us-gaap:SubstandardMemberhwbk:CommercialFinancialAndAgriculturalPortfolioSegmentMember2022-06-300000893847us-gaap:SubstandardMemberhwbk:ResidentialRealEstatePortfolioSe</w:t>
      </w:r>
      <w:r>
        <w:rPr>
          <w:rFonts w:eastAsia="Times New Roman"/>
          <w:vanish/>
        </w:rPr>
        <w:t>gmentMemberus-gaap:ConstructionLoansMember2022-06-300000893847us-gaap:SubstandardMemberus-gaap:CommercialRealEstatePortfolioSegmentMemberus-gaap:ConstructionLoansMember2022-06-300000893847us-gaap:SubstandardMemberus-gaap:MortgagesMemberhwbk:ResidentialReal</w:t>
      </w:r>
      <w:r>
        <w:rPr>
          <w:rFonts w:eastAsia="Times New Roman"/>
          <w:vanish/>
        </w:rPr>
        <w:t>EstatePortfolioSegmentMember2022-06-300000893847us-gaap:SubstandardMemberus-gaap:MortgagesMemberus-gaap:CommercialRealEstatePortfolioSegmentMember2022-06-300000893847us-gaap:SubstandardMemberhwbk:InstallmentAndOtherConsumerPortfolioSegmentMember2022-06-300</w:t>
      </w:r>
      <w:r>
        <w:rPr>
          <w:rFonts w:eastAsia="Times New Roman"/>
          <w:vanish/>
        </w:rPr>
        <w:t>000893847us-gaap:SubstandardMember2022-06-300000893847us-gaap:PerformingFinancingReceivableMemberhwbk:CommercialFinancialAndAgriculturalPortfolioSegmentMember2022-06-300000893847hwbk:ResidentialRealEstatePortfolioSegmentMemberus-gaap:PerformingFinancingRec</w:t>
      </w:r>
      <w:r>
        <w:rPr>
          <w:rFonts w:eastAsia="Times New Roman"/>
          <w:vanish/>
        </w:rPr>
        <w:t>eivableMemberus-gaap:ConstructionLoansMember2022-06-300000893847us-gaap:CommercialRealEstatePortfolioSegmentMemberus-gaap:PerformingFinancingReceivableMemberus-gaap:ConstructionLoansMember2022-06-300000893847us-gaap:MortgagesMemberhwbk:ResidentialRealEstat</w:t>
      </w:r>
      <w:r>
        <w:rPr>
          <w:rFonts w:eastAsia="Times New Roman"/>
          <w:vanish/>
        </w:rPr>
        <w:t>ePortfolioSegmentMemberus-gaap:PerformingFinancingReceivableMember2022-06-300000893847us-gaap:MortgagesMemberus-gaap:CommercialRealEstatePortfolioSegmentMemberus-gaap:PerformingFinancingReceivableMember2022-06-300000893847hwbk:InstallmentAndOtherConsumerPo</w:t>
      </w:r>
      <w:r>
        <w:rPr>
          <w:rFonts w:eastAsia="Times New Roman"/>
          <w:vanish/>
        </w:rPr>
        <w:t>rtfolioSegmentMemberus-gaap:PerformingFinancingReceivableMember2022-06-300000893847us-gaap:PerformingFinancingReceivableMember2022-06-300000893847hwbk:CommercialFinancialAndAgriculturalPortfolioSegmentMemberhwbk:NonaccrualFinancingReceivableMember2022-06-3</w:t>
      </w:r>
      <w:r>
        <w:rPr>
          <w:rFonts w:eastAsia="Times New Roman"/>
          <w:vanish/>
        </w:rPr>
        <w:t>00000893847hwbk:ResidentialRealEstatePortfolioSegmentMemberhwbk:NonaccrualFinancingReceivableMemberus-gaap:ConstructionLoansMember2022-06-300000893847us-gaap:CommercialRealEstatePortfolioSegmentMemberhwbk:NonaccrualFinancingReceivableMemberus-gaap:Construc</w:t>
      </w:r>
      <w:r>
        <w:rPr>
          <w:rFonts w:eastAsia="Times New Roman"/>
          <w:vanish/>
        </w:rPr>
        <w:t>tionLoansMember2022-06-300000893847us-gaap:MortgagesMemberhwbk:ResidentialRealEstatePortfolioSegmentMemberhwbk:NonaccrualFinancingReceivableMember2022-06-300000893847us-gaap:MortgagesMemberus-gaap:CommercialRealEstatePortfolioSegmentMemberhwbk:NonaccrualFi</w:t>
      </w:r>
      <w:r>
        <w:rPr>
          <w:rFonts w:eastAsia="Times New Roman"/>
          <w:vanish/>
        </w:rPr>
        <w:t>nancingReceivableMember2022-06-300000893847hwbk:InstallmentAndOtherConsumerPortfolioSegmentMemberhwbk:NonaccrualFinancingReceivableMember2022-06-300000893847hwbk:NonaccrualFinancingReceivableMember2022-06-300000893847hwbk:LoansInRiskCategoriesMemberhwbk:Co</w:t>
      </w:r>
      <w:r>
        <w:rPr>
          <w:rFonts w:eastAsia="Times New Roman"/>
          <w:vanish/>
        </w:rPr>
        <w:t>mmercialFinancialAndAgriculturalPortfolioSegmentMember2022-06-300000893847hwbk:LoansInRiskCategoriesMemberhwbk:ResidentialRealEstatePortfolioSegmentMemberus-gaap:ConstructionLoansMember2022-06-300000893847hwbk:LoansInRiskCategoriesMemberus-gaap:CommercialR</w:t>
      </w:r>
      <w:r>
        <w:rPr>
          <w:rFonts w:eastAsia="Times New Roman"/>
          <w:vanish/>
        </w:rPr>
        <w:t>ealEstatePortfolioSegmentMemberus-gaap:ConstructionLoansMember2022-06-300000893847hwbk:LoansInRiskCategoriesMemberus-gaap:MortgagesMemberhwbk:ResidentialRealEstatePortfolioSegmentMember2022-06-300000893847hwbk:LoansInRiskCategoriesMemberus-gaap:MortgagesMe</w:t>
      </w:r>
      <w:r>
        <w:rPr>
          <w:rFonts w:eastAsia="Times New Roman"/>
          <w:vanish/>
        </w:rPr>
        <w:t>mberus-gaap:CommercialRealEstatePortfolioSegmentMember2022-06-300000893847hwbk:LoansInRiskCategoriesMemberhwbk:InstallmentAndOtherConsumerPortfolioSegmentMember2022-06-300000893847hwbk:LoansInRiskCategoriesMember2022-06-300000893847us-gaap:SpecialMentionMe</w:t>
      </w:r>
      <w:r>
        <w:rPr>
          <w:rFonts w:eastAsia="Times New Roman"/>
          <w:vanish/>
        </w:rPr>
        <w:t>mberhwbk:CommercialFinancialAndAgriculturalPortfolioSegmentMember2021-12-310000893847hwbk:ResidentialRealEstatePortfolioSegmentMemberus-gaap:SpecialMentionMemberus-gaap:ConstructionLoansMember2021-12-310000893847us-gaap:CommercialRealEstatePortfolioSegment</w:t>
      </w:r>
      <w:r>
        <w:rPr>
          <w:rFonts w:eastAsia="Times New Roman"/>
          <w:vanish/>
        </w:rPr>
        <w:t>Memberus-gaap:SpecialMentionMemberus-gaap:ConstructionLoansMember2021-12-310000893847us-gaap:MortgagesMemberhwbk:ResidentialRealEstatePortfolioSegmentMemberus-gaap:SpecialMentionMember2021-12-310000893847us-gaap:MortgagesMemberus-gaap:CommercialRealEstateP</w:t>
      </w:r>
      <w:r>
        <w:rPr>
          <w:rFonts w:eastAsia="Times New Roman"/>
          <w:vanish/>
        </w:rPr>
        <w:t>ortfolioSegmentMemberus-gaap:SpecialMentionMember2021-12-310000893847hwbk:InstallmentAndOtherConsumerPortfolioSegmentMemberus-gaap:SpecialMentionMember2021-12-310000893847us-gaap:SpecialMentionMember2021-12-310000893847us-gaap:SubstandardMemberhwbk:Commerc</w:t>
      </w:r>
      <w:r>
        <w:rPr>
          <w:rFonts w:eastAsia="Times New Roman"/>
          <w:vanish/>
        </w:rPr>
        <w:t>ialFinancialAndAgriculturalPortfolioSegmentMember2021-12-310000893847us-gaap:SubstandardMemberhwbk:ResidentialRealEstatePortfolioSegmentMemberus-gaap:ConstructionLoansMember2021-12-310000893847us-gaap:SubstandardMemberus-gaap:CommercialRealEstatePortfolioS</w:t>
      </w:r>
      <w:r>
        <w:rPr>
          <w:rFonts w:eastAsia="Times New Roman"/>
          <w:vanish/>
        </w:rPr>
        <w:t>egmentMemberus-gaap:ConstructionLoansMember2021-12-310000893847us-gaap:SubstandardMemberus-gaap:MortgagesMemberhwbk:ResidentialRealEstatePortfolioSegmentMember2021-12-310000893847us-gaap:SubstandardMemberus-gaap:MortgagesMemberus-gaap:CommercialRealEstateP</w:t>
      </w:r>
      <w:r>
        <w:rPr>
          <w:rFonts w:eastAsia="Times New Roman"/>
          <w:vanish/>
        </w:rPr>
        <w:t>ortfolioSegmentMember2021-12-310000893847us-gaap:SubstandardMemberhwbk:InstallmentAndOtherConsumerPortfolioSegmentMember2021-12-310000893847us-gaap:SubstandardMember2021-12-310000893847us-gaap:PerformingFinancingReceivableMemberhwbk:CommercialFinancialAndA</w:t>
      </w:r>
      <w:r>
        <w:rPr>
          <w:rFonts w:eastAsia="Times New Roman"/>
          <w:vanish/>
        </w:rPr>
        <w:t>griculturalPortfolioSegmentMember2021-12-310000893847hwbk:ResidentialRealEstatePortfolioSegmentMemberus-gaap:PerformingFinancingReceivableMemberus-gaap:ConstructionLoansMember2021-12-310000893847us-gaap:CommercialRealEstatePortfolioSegmentMemberus-gaap:Per</w:t>
      </w:r>
      <w:r>
        <w:rPr>
          <w:rFonts w:eastAsia="Times New Roman"/>
          <w:vanish/>
        </w:rPr>
        <w:t>formingFinancingReceivableMemberus-gaap:ConstructionLoansMember2021-12-310000893847us-gaap:MortgagesMemberhwbk:ResidentialRealEstatePortfolioSegmentMemberus-gaap:PerformingFinancingReceivableMember2021-12-310000893847us-gaap:MortgagesMemberus-gaap:Commerci</w:t>
      </w:r>
      <w:r>
        <w:rPr>
          <w:rFonts w:eastAsia="Times New Roman"/>
          <w:vanish/>
        </w:rPr>
        <w:t>alRealEstatePortfolioSegmentMemberus-gaap:PerformingFinancingReceivableMember2021-12-310000893847hwbk:InstallmentAndOtherConsumerPortfolioSegmentMemberus-gaap:PerformingFinancingReceivableMember2021-12-310000893847us-gaap:PerformingFinancingReceivableMembe</w:t>
      </w:r>
      <w:r>
        <w:rPr>
          <w:rFonts w:eastAsia="Times New Roman"/>
          <w:vanish/>
        </w:rPr>
        <w:t>r2021-12-310000893847hwbk:CommercialFinancialAndAgriculturalPortfolioSegmentMemberhwbk:NonaccrualFinancingReceivableMember2021-12-310000893847hwbk:ResidentialRealEstatePortfolioSegmentMemberhwbk:NonaccrualFinancingReceivableMemberus-gaap:ConstructionLoansM</w:t>
      </w:r>
      <w:r>
        <w:rPr>
          <w:rFonts w:eastAsia="Times New Roman"/>
          <w:vanish/>
        </w:rPr>
        <w:t>ember2021-12-310000893847us-gaap:CommercialRealEstatePortfolioSegmentMemberhwbk:NonaccrualFinancingReceivableMemberus-gaap:ConstructionLoansMember2021-12-310000893847us-gaap:MortgagesMemberhwbk:ResidentialRealEstatePortfolioSegmentMemberhwbk:NonaccrualFina</w:t>
      </w:r>
      <w:r>
        <w:rPr>
          <w:rFonts w:eastAsia="Times New Roman"/>
          <w:vanish/>
        </w:rPr>
        <w:t>ncingReceivableMember2021-12-310000893847us-gaap:MortgagesMemberus-gaap:CommercialRealEstatePortfolioSegmentMemberhwbk:NonaccrualFinancingReceivableMember2021-12-310000893847hwbk:InstallmentAndOtherConsumerPortfolioSegmentMemberhwbk:NonaccrualFinancingRece</w:t>
      </w:r>
      <w:r>
        <w:rPr>
          <w:rFonts w:eastAsia="Times New Roman"/>
          <w:vanish/>
        </w:rPr>
        <w:t>ivableMember2021-12-310000893847hwbk:NonaccrualFinancingReceivableMember2021-12-310000893847hwbk:LoansInRiskCategoriesMemberhwbk:CommercialFinancialAndAgriculturalPortfolioSegmentMember2021-12-310000893847hwbk:LoansInRiskCategoriesMemberhwbk:ResidentialRea</w:t>
      </w:r>
      <w:r>
        <w:rPr>
          <w:rFonts w:eastAsia="Times New Roman"/>
          <w:vanish/>
        </w:rPr>
        <w:t>lEstatePortfolioSegmentMemberus-gaap:ConstructionLoansMember2021-12-310000893847hwbk:LoansInRiskCategoriesMemberus-gaap:CommercialRealEstatePortfolioSegmentMemberus-gaap:ConstructionLoansMember2021-12-310000893847hwbk:LoansInRiskCategoriesMemberus-gaap:Mor</w:t>
      </w:r>
      <w:r>
        <w:rPr>
          <w:rFonts w:eastAsia="Times New Roman"/>
          <w:vanish/>
        </w:rPr>
        <w:t>tgagesMemberhwbk:ResidentialRealEstatePortfolioSegmentMember2021-12-310000893847hwbk:LoansInRiskCategoriesMemberus-gaap:MortgagesMemberus-gaap:CommercialRealEstatePortfolioSegmentMember2021-12-310000893847hwbk:LoansInRiskCategoriesMemberhwbk:InstallmentAnd</w:t>
      </w:r>
      <w:r>
        <w:rPr>
          <w:rFonts w:eastAsia="Times New Roman"/>
          <w:vanish/>
        </w:rPr>
        <w:t>OtherConsumerPortfolioSegmentMember2021-12-310000893847hwbk:LoansInRiskCategoriesMember2021-12-310000893847us-gaap:NonperformingFinancingReceivableMember2022-06-300000893847us-gaap:NonperformingFinancingReceivableMember2021-12-31hwbk:loan0000893847us-gaap:</w:t>
      </w:r>
      <w:r>
        <w:rPr>
          <w:rFonts w:eastAsia="Times New Roman"/>
          <w:vanish/>
        </w:rPr>
        <w:t>CommercialPortfolioSegmentMember2022-06-300000893847us-gaap:CommercialPortfolioSegmentMember2021-12-310000893847us-gaap:USTreasurySecuritiesMember2022-06-300000893847us-gaap:USGovernmentAgenciesDebtSecuritiesMember2022-06-300000893847us-gaap:USGovernmentSp</w:t>
      </w:r>
      <w:r>
        <w:rPr>
          <w:rFonts w:eastAsia="Times New Roman"/>
          <w:vanish/>
        </w:rPr>
        <w:t>onsoredEnterprisesDebtSecuritiesMember2022-06-300000893847us-gaap:USStatesAndPoliticalSubdivisionsMember2022-06-300000893847us-gaap:MortgageBackedSecuritiesMember2022-06-300000893847us-gaap:OtherDebtSecuritiesMember2022-06-300000893847hwbk:BankIssuedTrustP</w:t>
      </w:r>
      <w:r>
        <w:rPr>
          <w:rFonts w:eastAsia="Times New Roman"/>
          <w:vanish/>
        </w:rPr>
        <w:t>referredSecuritiesMember2022-06-300000893847us-gaap:USTreasurySecuritiesMember2021-12-310000893847us-gaap:USGovernmentAgenciesDebtSecuritiesMember2021-12-310000893847us-gaap:USGovernmentSponsoredEnterprisesDebtSecuritiesMember2021-12-310000893847us-gaap:US</w:t>
      </w:r>
      <w:r>
        <w:rPr>
          <w:rFonts w:eastAsia="Times New Roman"/>
          <w:vanish/>
        </w:rPr>
        <w:t>StatesAndPoliticalSubdivisionsMember2021-12-310000893847us-gaap:MortgageBackedSecuritiesMember2021-12-310000893847us-gaap:OtherDebtSecuritiesMember2021-12-310000893847hwbk:BankIssuedTrustPreferredSecuritiesMember2021-12-310000893847hwbk:USGovernmentAndFede</w:t>
      </w:r>
      <w:r>
        <w:rPr>
          <w:rFonts w:eastAsia="Times New Roman"/>
          <w:vanish/>
        </w:rPr>
        <w:t>ralAgencyObligationsMember2022-06-30hwbk:security0000893847us-gaap:ServicingContractsMember2022-06-300000893847us-gaap:ServicingContractsMember2021-12-310000893847us-gaap:ServicingContractsMember2021-06-300000893847us-gaap:ServicingContractsMember2022-04-0</w:t>
      </w:r>
      <w:r>
        <w:rPr>
          <w:rFonts w:eastAsia="Times New Roman"/>
          <w:vanish/>
        </w:rPr>
        <w:t>12022-06-300000893847us-gaap:ServicingContractsMember2022-01-012022-06-300000893847us-gaap:ServicingContractsMember2021-04-012021-06-300000893847us-gaap:ServicingContractsMember2021-01-012021-06-300000893847us-gaap:ServicingContractsMember2022-03-310000893</w:t>
      </w:r>
      <w:r>
        <w:rPr>
          <w:rFonts w:eastAsia="Times New Roman"/>
          <w:vanish/>
        </w:rPr>
        <w:t>847us-gaap:ServicingContractsMember2021-03-310000893847us-gaap:ServicingContractsMember2020-12-310000893847us-gaap:FederalFundsPurchasedMember2022-06-300000893847us-gaap:FederalFundsPurchasedMember2021-12-310000893847us-gaap:SecuritiesSoldUnderAgreementsTo</w:t>
      </w:r>
      <w:r>
        <w:rPr>
          <w:rFonts w:eastAsia="Times New Roman"/>
          <w:vanish/>
        </w:rPr>
        <w:t>RepurchaseMember2022-06-300000893847us-gaap:SecuritiesSoldUnderAgreementsToRepurchaseMember2021-12-310000893847us-gaap:USGovernmentSponsoredEnterprisesDebtSecuritiesMemberus-gaap:MaturityOvernightMember2022-06-300000893847us-gaap:Maturity30To90DaysMemberus</w:t>
      </w:r>
      <w:r>
        <w:rPr>
          <w:rFonts w:eastAsia="Times New Roman"/>
          <w:vanish/>
        </w:rPr>
        <w:t>-gaap:USGovernmentSponsoredEnterprisesDebtSecuritiesMember2022-06-300000893847us-gaap:USGovernmentSponsoredEnterprisesDebtSecuritiesMemberus-gaap:MaturityOver90DaysMember2022-06-300000893847us-gaap:MaturityOvernightMember2022-06-300000893847us-gaap:Maturit</w:t>
      </w:r>
      <w:r>
        <w:rPr>
          <w:rFonts w:eastAsia="Times New Roman"/>
          <w:vanish/>
        </w:rPr>
        <w:t>y30To90DaysMember2022-06-300000893847us-gaap:MaturityOver90DaysMember2022-06-300000893847us-gaap:USGovernmentSponsoredEnterprisesDebtSecuritiesMemberus-gaap:MaturityOvernightMember2021-12-310000893847us-gaap:Maturity30To90DaysMemberus-gaap:USGovernmentSpon</w:t>
      </w:r>
      <w:r>
        <w:rPr>
          <w:rFonts w:eastAsia="Times New Roman"/>
          <w:vanish/>
        </w:rPr>
        <w:t>soredEnterprisesDebtSecuritiesMember2021-12-310000893847us-gaap:USGovernmentSponsoredEnterprisesDebtSecuritiesMemberus-gaap:MaturityOver90DaysMember2021-12-310000893847us-gaap:MortgageBackedSecuritiesMemberus-gaap:MaturityOvernightMember2021-12-31000089384</w:t>
      </w:r>
      <w:r>
        <w:rPr>
          <w:rFonts w:eastAsia="Times New Roman"/>
          <w:vanish/>
        </w:rPr>
        <w:t>7us-gaap:Maturity30To90DaysMemberus-gaap:MortgageBackedSecuritiesMember2021-12-310000893847us-gaap:MortgageBackedSecuritiesMemberus-gaap:MaturityOver90DaysMember2021-12-310000893847us-gaap:MaturityOvernightMember2021-12-310000893847us-gaap:Maturity30To90Da</w:t>
      </w:r>
      <w:r>
        <w:rPr>
          <w:rFonts w:eastAsia="Times New Roman"/>
          <w:vanish/>
        </w:rPr>
        <w:t>ysMember2021-12-310000893847us-gaap:MaturityOver90DaysMember2021-12-310000893847srt:MinimumMember2022-06-300000893847srt:MaximumMember2022-06-300000893847us-gaap:AccumulatedNetUnrealizedInvestmentGainLossMember2021-12-310000893847us-gaap:AccumulatedDefined</w:t>
      </w:r>
      <w:r>
        <w:rPr>
          <w:rFonts w:eastAsia="Times New Roman"/>
          <w:vanish/>
        </w:rPr>
        <w:t>BenefitPlansAdjustmentMember2021-12-310000893847us-gaap:AccumulatedNetUnrealizedInvestmentGainLossMember2022-01-012022-06-300000893847us-gaap:AccumulatedDefinedBenefitPlansAdjustmentMember2022-01-012022-06-300000893847us-gaap:AccumulatedNetUnrealizedInvest</w:t>
      </w:r>
      <w:r>
        <w:rPr>
          <w:rFonts w:eastAsia="Times New Roman"/>
          <w:vanish/>
        </w:rPr>
        <w:t>mentGainLossMember2022-06-300000893847us-gaap:AccumulatedDefinedBenefitPlansAdjustmentMember2022-06-300000893847us-gaap:AccumulatedNetUnrealizedInvestmentGainLossMember2020-12-310000893847us-gaap:AccumulatedDefinedBenefitPlansAdjustmentMember2020-12-310000</w:t>
      </w:r>
      <w:r>
        <w:rPr>
          <w:rFonts w:eastAsia="Times New Roman"/>
          <w:vanish/>
        </w:rPr>
        <w:t>893847us-gaap:AccumulatedNetUnrealizedInvestmentGainLossMember2021-01-012021-06-300000893847us-gaap:AccumulatedDefinedBenefitPlansAdjustmentMember2021-01-012021-06-300000893847us-gaap:AccumulatedNetUnrealizedInvestmentGainLossMember2021-06-300000893847us-g</w:t>
      </w:r>
      <w:r>
        <w:rPr>
          <w:rFonts w:eastAsia="Times New Roman"/>
          <w:vanish/>
        </w:rPr>
        <w:t>aap:AccumulatedDefinedBenefitPlansAdjustmentMember2021-06-300000893847hwbk:SupplementalExecutiveRetirementPlanMember2022-06-300000893847hwbk:SupplementalExecutiveRetirementPlanMember2022-04-012022-06-300000893847hwbk:SupplementalExecutiveRetirementPlanMemb</w:t>
      </w:r>
      <w:r>
        <w:rPr>
          <w:rFonts w:eastAsia="Times New Roman"/>
          <w:vanish/>
        </w:rPr>
        <w:t>er2022-01-012022-06-300000893847hwbk:SupplementalExecutiveRetirementPlanMember2021-04-012021-06-300000893847hwbk:SupplementalExecutiveRetirementPlanMember2021-01-012021-06-3000008938472022-04-012022-04-0100008938472022-01-012022-03-310000893847us-gaap:Fair</w:t>
      </w:r>
      <w:r>
        <w:rPr>
          <w:rFonts w:eastAsia="Times New Roman"/>
          <w:vanish/>
        </w:rPr>
        <w:t>ValueMeasurementsRecurringMemberus-gaap:USTreasurySecuritiesMember2022-06-300000893847us-gaap:FairValueInputsLevel1Memberus-gaap:FairValueMeasurementsRecurringMemberus-gaap:USTreasurySecuritiesMember2022-06-300000893847us-gaap:FairValueInputsLevel2Memberus</w:t>
      </w:r>
      <w:r>
        <w:rPr>
          <w:rFonts w:eastAsia="Times New Roman"/>
          <w:vanish/>
        </w:rPr>
        <w:t>-gaap:FairValueMeasurementsRecurringMemberus-gaap:USTreasurySecuritiesMember2022-06-300000893847us-gaap:FairValueMeasurementsRecurringMemberus-gaap:FairValueInputsLevel3Memberus-gaap:USTreasurySecuritiesMember2022-06-300000893847us-gaap:FairValueMeasuremen</w:t>
      </w:r>
      <w:r>
        <w:rPr>
          <w:rFonts w:eastAsia="Times New Roman"/>
          <w:vanish/>
        </w:rPr>
        <w:t>tsRecurringMemberhwbk:USGovernmentAndFederalAgencyObligationsMember2022-06-300000893847us-gaap:FairValueInputsLevel1Memberus-gaap:FairValueMeasurementsRecurringMemberhwbk:USGovernmentAndFederalAgencyObligationsMember2022-06-300000893847us-gaap:FairValueInp</w:t>
      </w:r>
      <w:r>
        <w:rPr>
          <w:rFonts w:eastAsia="Times New Roman"/>
          <w:vanish/>
        </w:rPr>
        <w:t>utsLevel2Memberus-gaap:FairValueMeasurementsRecurringMemberhwbk:USGovernmentAndFederalAgencyObligationsMember2022-06-300000893847us-gaap:FairValueMeasurementsRecurringMemberus-gaap:FairValueInputsLevel3Memberhwbk:USGovernmentAndFederalAgencyObligationsMemb</w:t>
      </w:r>
      <w:r>
        <w:rPr>
          <w:rFonts w:eastAsia="Times New Roman"/>
          <w:vanish/>
        </w:rPr>
        <w:t>er2022-06-300000893847us-gaap:USGovernmentSponsoredEnterprisesDebtSecuritiesMemberus-gaap:FairValueMeasurementsRecurringMember2022-06-300000893847us-gaap:FairValueInputsLevel1Memberus-gaap:USGovernmentSponsoredEnterprisesDebtSecuritiesMemberus-gaap:FairVal</w:t>
      </w:r>
      <w:r>
        <w:rPr>
          <w:rFonts w:eastAsia="Times New Roman"/>
          <w:vanish/>
        </w:rPr>
        <w:t>ueMeasurementsRecurringMember2022-06-300000893847us-gaap:FairValueInputsLevel2Memberus-gaap:USGovernmentSponsoredEnterprisesDebtSecuritiesMemberus-gaap:FairValueMeasurementsRecurringMember2022-06-300000893847us-gaap:USGovernmentSponsoredEnterprisesDebtSecu</w:t>
      </w:r>
      <w:r>
        <w:rPr>
          <w:rFonts w:eastAsia="Times New Roman"/>
          <w:vanish/>
        </w:rPr>
        <w:t>ritiesMemberus-gaap:FairValueMeasurementsRecurringMemberus-gaap:FairValueInputsLevel3Member2022-06-300000893847us-gaap:USStatesAndPoliticalSubdivisionsMemberus-gaap:FairValueMeasurementsRecurringMember2022-06-300000893847us-gaap:FairValueInputsLevel1Member</w:t>
      </w:r>
      <w:r>
        <w:rPr>
          <w:rFonts w:eastAsia="Times New Roman"/>
          <w:vanish/>
        </w:rPr>
        <w:t>us-gaap:USStatesAndPoliticalSubdivisionsMemberus-gaap:FairValueMeasurementsRecurringMember2022-06-300000893847us-gaap:USStatesAndPoliticalSubdivisionsMemberus-gaap:FairValueInputsLevel2Memberus-gaap:FairValueMeasurementsRecurringMember2022-06-300000893847u</w:t>
      </w:r>
      <w:r>
        <w:rPr>
          <w:rFonts w:eastAsia="Times New Roman"/>
          <w:vanish/>
        </w:rPr>
        <w:t>s-gaap:USStatesAndPoliticalSubdivisionsMemberus-gaap:FairValueMeasurementsRecurringMemberus-gaap:FairValueInputsLevel3Member2022-06-300000893847us-gaap:MortgageBackedSecuritiesMemberus-gaap:FairValueMeasurementsRecurringMember2022-06-300000893847us-gaap:Mo</w:t>
      </w:r>
      <w:r>
        <w:rPr>
          <w:rFonts w:eastAsia="Times New Roman"/>
          <w:vanish/>
        </w:rPr>
        <w:t>rtgageBackedSecuritiesMemberus-gaap:FairValueInputsLevel1Memberus-gaap:FairValueMeasurementsRecurringMember2022-06-300000893847us-gaap:MortgageBackedSecuritiesMemberus-gaap:FairValueInputsLevel2Memberus-gaap:FairValueMeasurementsRecurringMember2022-06-3000</w:t>
      </w:r>
      <w:r>
        <w:rPr>
          <w:rFonts w:eastAsia="Times New Roman"/>
          <w:vanish/>
        </w:rPr>
        <w:t>00893847us-gaap:MortgageBackedSecuritiesMemberus-gaap:FairValueMeasurementsRecurringMemberus-gaap:FairValueInputsLevel3Member2022-06-300000893847us-gaap:OtherDebtSecuritiesMemberus-gaap:FairValueMeasurementsRecurringMember2022-06-300000893847us-gaap:OtherD</w:t>
      </w:r>
      <w:r>
        <w:rPr>
          <w:rFonts w:eastAsia="Times New Roman"/>
          <w:vanish/>
        </w:rPr>
        <w:t>ebtSecuritiesMemberus-gaap:FairValueInputsLevel1Memberus-gaap:FairValueMeasurementsRecurringMember2022-06-300000893847us-gaap:OtherDebtSecuritiesMemberus-gaap:FairValueInputsLevel2Memberus-gaap:FairValueMeasurementsRecurringMember2022-06-300000893847us-gaa</w:t>
      </w:r>
      <w:r>
        <w:rPr>
          <w:rFonts w:eastAsia="Times New Roman"/>
          <w:vanish/>
        </w:rPr>
        <w:t>p:OtherDebtSecuritiesMemberus-gaap:FairValueMeasurementsRecurringMemberus-gaap:FairValueInputsLevel3Member2022-06-300000893847hwbk:BankIssuedTrustPreferredSecuritiesMemberus-gaap:FairValueMeasurementsRecurringMember2022-06-300000893847hwbk:BankIssuedTrustP</w:t>
      </w:r>
      <w:r>
        <w:rPr>
          <w:rFonts w:eastAsia="Times New Roman"/>
          <w:vanish/>
        </w:rPr>
        <w:t>referredSecuritiesMemberus-gaap:FairValueInputsLevel1Memberus-gaap:FairValueMeasurementsRecurringMember2022-06-300000893847hwbk:BankIssuedTrustPreferredSecuritiesMemberus-gaap:FairValueInputsLevel2Memberus-gaap:FairValueMeasurementsRecurringMember2022-06-3</w:t>
      </w:r>
      <w:r>
        <w:rPr>
          <w:rFonts w:eastAsia="Times New Roman"/>
          <w:vanish/>
        </w:rPr>
        <w:t>00000893847hwbk:BankIssuedTrustPreferredSecuritiesMemberus-gaap:FairValueMeasurementsRecurringMemberus-gaap:FairValueInputsLevel3Member2022-06-300000893847us-gaap:FairValueMeasurementsRecurringMemberus-gaap:EquitySecuritiesMember2022-06-300000893847us-gaap</w:t>
      </w:r>
      <w:r>
        <w:rPr>
          <w:rFonts w:eastAsia="Times New Roman"/>
          <w:vanish/>
        </w:rPr>
        <w:t>:FairValueInputsLevel1Memberus-gaap:FairValueMeasurementsRecurringMemberus-gaap:EquitySecuritiesMember2022-06-300000893847us-gaap:FairValueInputsLevel2Memberus-gaap:FairValueMeasurementsRecurringMemberus-gaap:EquitySecuritiesMember2022-06-300000893847us-ga</w:t>
      </w:r>
      <w:r>
        <w:rPr>
          <w:rFonts w:eastAsia="Times New Roman"/>
          <w:vanish/>
        </w:rPr>
        <w:t>ap:FairValueMeasurementsRecurringMemberus-gaap:FairValueInputsLevel3Memberus-gaap:EquitySecuritiesMember2022-06-300000893847us-gaap:FairValueMeasurementsRecurringMemberus-gaap:InterestRateLockCommitmentsMember2022-06-300000893847us-gaap:FairValueInputsLeve</w:t>
      </w:r>
      <w:r>
        <w:rPr>
          <w:rFonts w:eastAsia="Times New Roman"/>
          <w:vanish/>
        </w:rPr>
        <w:t>l1Memberus-gaap:FairValueMeasurementsRecurringMemberus-gaap:InterestRateLockCommitmentsMember2022-06-300000893847us-gaap:FairValueInputsLevel2Memberus-gaap:FairValueMeasurementsRecurringMemberus-gaap:InterestRateLockCommitmentsMember2022-06-300000893847us-</w:t>
      </w:r>
      <w:r>
        <w:rPr>
          <w:rFonts w:eastAsia="Times New Roman"/>
          <w:vanish/>
        </w:rPr>
        <w:t>gaap:FairValueMeasurementsRecurringMemberus-gaap:InterestRateLockCommitmentsMemberus-gaap:FairValueInputsLevel3Member2022-06-300000893847us-gaap:FairValueMeasurementsRecurringMemberhwbk:ForwardSaleCommitmentsMember2022-06-300000893847us-gaap:FairValueInput</w:t>
      </w:r>
      <w:r>
        <w:rPr>
          <w:rFonts w:eastAsia="Times New Roman"/>
          <w:vanish/>
        </w:rPr>
        <w:t>sLevel1Memberus-gaap:FairValueMeasurementsRecurringMemberhwbk:ForwardSaleCommitmentsMember2022-06-300000893847us-gaap:FairValueInputsLevel2Memberus-gaap:FairValueMeasurementsRecurringMemberhwbk:ForwardSaleCommitmentsMember2022-06-300000893847us-gaap:FairVa</w:t>
      </w:r>
      <w:r>
        <w:rPr>
          <w:rFonts w:eastAsia="Times New Roman"/>
          <w:vanish/>
        </w:rPr>
        <w:t>lueMeasurementsRecurringMemberus-gaap:FairValueInputsLevel3Memberhwbk:ForwardSaleCommitmentsMember2022-06-300000893847us-gaap:FairValueMeasurementsRecurringMember2022-06-300000893847us-gaap:FairValueInputsLevel1Memberus-gaap:FairValueMeasurementsRecurringM</w:t>
      </w:r>
      <w:r>
        <w:rPr>
          <w:rFonts w:eastAsia="Times New Roman"/>
          <w:vanish/>
        </w:rPr>
        <w:t>ember2022-06-300000893847us-gaap:FairValueInputsLevel2Memberus-gaap:FairValueMeasurementsRecurringMember2022-06-300000893847us-gaap:FairValueMeasurementsRecurringMemberus-gaap:FairValueInputsLevel3Member2022-06-300000893847us-gaap:FairValueMeasurementsRecu</w:t>
      </w:r>
      <w:r>
        <w:rPr>
          <w:rFonts w:eastAsia="Times New Roman"/>
          <w:vanish/>
        </w:rPr>
        <w:t>rringMemberus-gaap:USTreasurySecuritiesMember2021-12-310000893847us-gaap:FairValueInputsLevel1Memberus-gaap:FairValueMeasurementsRecurringMemberus-gaap:USTreasurySecuritiesMember2021-12-310000893847us-gaap:FairValueInputsLevel2Memberus-gaap:FairValueMeasur</w:t>
      </w:r>
      <w:r>
        <w:rPr>
          <w:rFonts w:eastAsia="Times New Roman"/>
          <w:vanish/>
        </w:rPr>
        <w:t>ementsRecurringMemberus-gaap:USTreasurySecuritiesMember2021-12-310000893847us-gaap:FairValueMeasurementsRecurringMemberus-gaap:FairValueInputsLevel3Memberus-gaap:USTreasurySecuritiesMember2021-12-310000893847us-gaap:FairValueMeasurementsRecurringMemberhwbk</w:t>
      </w:r>
      <w:r>
        <w:rPr>
          <w:rFonts w:eastAsia="Times New Roman"/>
          <w:vanish/>
        </w:rPr>
        <w:t>:USGovernmentAndFederalAgencyObligationsMember2021-12-310000893847us-gaap:FairValueInputsLevel1Memberus-gaap:FairValueMeasurementsRecurringMemberhwbk:USGovernmentAndFederalAgencyObligationsMember2021-12-310000893847us-gaap:FairValueInputsLevel2Memberus-gaa</w:t>
      </w:r>
      <w:r>
        <w:rPr>
          <w:rFonts w:eastAsia="Times New Roman"/>
          <w:vanish/>
        </w:rPr>
        <w:t>p:FairValueMeasurementsRecurringMemberhwbk:USGovernmentAndFederalAgencyObligationsMember2021-12-310000893847us-gaap:FairValueMeasurementsRecurringMemberus-gaap:FairValueInputsLevel3Memberhwbk:USGovernmentAndFederalAgencyObligationsMember2021-12-31000089384</w:t>
      </w:r>
      <w:r>
        <w:rPr>
          <w:rFonts w:eastAsia="Times New Roman"/>
          <w:vanish/>
        </w:rPr>
        <w:t>7us-gaap:USGovernmentSponsoredEnterprisesDebtSecuritiesMemberus-gaap:FairValueMeasurementsRecurringMember2021-12-310000893847us-gaap:FairValueInputsLevel1Memberus-gaap:USGovernmentSponsoredEnterprisesDebtSecuritiesMemberus-gaap:FairValueMeasurementsRecurri</w:t>
      </w:r>
      <w:r>
        <w:rPr>
          <w:rFonts w:eastAsia="Times New Roman"/>
          <w:vanish/>
        </w:rPr>
        <w:t>ngMember2021-12-310000893847us-gaap:FairValueInputsLevel2Memberus-gaap:USGovernmentSponsoredEnterprisesDebtSecuritiesMemberus-gaap:FairValueMeasurementsRecurringMember2021-12-310000893847us-gaap:USGovernmentSponsoredEnterprisesDebtSecuritiesMemberus-gaap:F</w:t>
      </w:r>
      <w:r>
        <w:rPr>
          <w:rFonts w:eastAsia="Times New Roman"/>
          <w:vanish/>
        </w:rPr>
        <w:t>airValueMeasurementsRecurringMemberus-gaap:FairValueInputsLevel3Member2021-12-310000893847us-gaap:USStatesAndPoliticalSubdivisionsMemberus-gaap:FairValueMeasurementsRecurringMember2021-12-310000893847us-gaap:FairValueInputsLevel1Memberus-gaap:USStatesAndPo</w:t>
      </w:r>
      <w:r>
        <w:rPr>
          <w:rFonts w:eastAsia="Times New Roman"/>
          <w:vanish/>
        </w:rPr>
        <w:t>liticalSubdivisionsMemberus-gaap:FairValueMeasurementsRecurringMember2021-12-310000893847us-gaap:USStatesAndPoliticalSubdivisionsMemberus-gaap:FairValueInputsLevel2Memberus-gaap:FairValueMeasurementsRecurringMember2021-12-310000893847us-gaap:USStatesAndPol</w:t>
      </w:r>
      <w:r>
        <w:rPr>
          <w:rFonts w:eastAsia="Times New Roman"/>
          <w:vanish/>
        </w:rPr>
        <w:t>iticalSubdivisionsMemberus-gaap:FairValueMeasurementsRecurringMemberus-gaap:FairValueInputsLevel3Member2021-12-310000893847us-gaap:MortgageBackedSecuritiesMemberus-gaap:FairValueMeasurementsRecurringMember2021-12-310000893847us-gaap:MortgageBackedSecuritie</w:t>
      </w:r>
      <w:r>
        <w:rPr>
          <w:rFonts w:eastAsia="Times New Roman"/>
          <w:vanish/>
        </w:rPr>
        <w:t>sMemberus-gaap:FairValueInputsLevel1Memberus-gaap:FairValueMeasurementsRecurringMember2021-12-310000893847us-gaap:MortgageBackedSecuritiesMemberus-gaap:FairValueInputsLevel2Memberus-gaap:FairValueMeasurementsRecurringMember2021-12-310000893847us-gaap:Mortg</w:t>
      </w:r>
      <w:r>
        <w:rPr>
          <w:rFonts w:eastAsia="Times New Roman"/>
          <w:vanish/>
        </w:rPr>
        <w:t>ageBackedSecuritiesMemberus-gaap:FairValueMeasurementsRecurringMemberus-gaap:FairValueInputsLevel3Member2021-12-310000893847us-gaap:OtherDebtSecuritiesMemberus-gaap:FairValueMeasurementsRecurringMember2021-12-310000893847us-gaap:OtherDebtSecuritiesMemberus</w:t>
      </w:r>
      <w:r>
        <w:rPr>
          <w:rFonts w:eastAsia="Times New Roman"/>
          <w:vanish/>
        </w:rPr>
        <w:t>-gaap:FairValueInputsLevel1Memberus-gaap:FairValueMeasurementsRecurringMember2021-12-310000893847us-gaap:OtherDebtSecuritiesMemberus-gaap:FairValueInputsLevel2Memberus-gaap:FairValueMeasurementsRecurringMember2021-12-310000893847us-gaap:OtherDebtSecurities</w:t>
      </w:r>
      <w:r>
        <w:rPr>
          <w:rFonts w:eastAsia="Times New Roman"/>
          <w:vanish/>
        </w:rPr>
        <w:t>Memberus-gaap:FairValueMeasurementsRecurringMemberus-gaap:FairValueInputsLevel3Member2021-12-310000893847hwbk:BankIssuedTrustPreferredSecuritiesMemberus-gaap:FairValueMeasurementsRecurringMember2021-12-310000893847hwbk:BankIssuedTrustPreferredSecuritiesMem</w:t>
      </w:r>
      <w:r>
        <w:rPr>
          <w:rFonts w:eastAsia="Times New Roman"/>
          <w:vanish/>
        </w:rPr>
        <w:t>berus-gaap:FairValueInputsLevel1Memberus-gaap:FairValueMeasurementsRecurringMember2021-12-310000893847hwbk:BankIssuedTrustPreferredSecuritiesMemberus-gaap:FairValueInputsLevel2Memberus-gaap:FairValueMeasurementsRecurringMember2021-12-310000893847hwbk:BankI</w:t>
      </w:r>
      <w:r>
        <w:rPr>
          <w:rFonts w:eastAsia="Times New Roman"/>
          <w:vanish/>
        </w:rPr>
        <w:t>ssuedTrustPreferredSecuritiesMemberus-gaap:FairValueMeasurementsRecurringMemberus-gaap:FairValueInputsLevel3Member2021-12-310000893847us-gaap:FairValueMeasurementsRecurringMemberus-gaap:EquitySecuritiesMember2021-12-310000893847us-gaap:FairValueInputsLevel</w:t>
      </w:r>
      <w:r>
        <w:rPr>
          <w:rFonts w:eastAsia="Times New Roman"/>
          <w:vanish/>
        </w:rPr>
        <w:t>1Memberus-gaap:FairValueMeasurementsRecurringMemberus-gaap:EquitySecuritiesMember2021-12-310000893847us-gaap:FairValueInputsLevel2Memberus-gaap:FairValueMeasurementsRecurringMemberus-gaap:EquitySecuritiesMember2021-12-310000893847us-gaap:FairValueMeasureme</w:t>
      </w:r>
      <w:r>
        <w:rPr>
          <w:rFonts w:eastAsia="Times New Roman"/>
          <w:vanish/>
        </w:rPr>
        <w:t>ntsRecurringMemberus-gaap:FairValueInputsLevel3Memberus-gaap:EquitySecuritiesMember2021-12-310000893847us-gaap:FairValueMeasurementsRecurringMemberus-gaap:InterestRateLockCommitmentsMember2021-12-310000893847us-gaap:FairValueInputsLevel1Memberus-gaap:FairV</w:t>
      </w:r>
      <w:r>
        <w:rPr>
          <w:rFonts w:eastAsia="Times New Roman"/>
          <w:vanish/>
        </w:rPr>
        <w:t>alueMeasurementsRecurringMemberus-gaap:InterestRateLockCommitmentsMember2021-12-310000893847us-gaap:FairValueInputsLevel2Memberus-gaap:FairValueMeasurementsRecurringMemberus-gaap:InterestRateLockCommitmentsMember2021-12-310000893847us-gaap:FairValueMeasure</w:t>
      </w:r>
      <w:r>
        <w:rPr>
          <w:rFonts w:eastAsia="Times New Roman"/>
          <w:vanish/>
        </w:rPr>
        <w:t>mentsRecurringMemberus-gaap:InterestRateLockCommitmentsMemberus-gaap:FairValueInputsLevel3Member2021-12-310000893847us-gaap:FairValueMeasurementsRecurringMemberhwbk:ForwardSaleCommitmentsMember2021-12-310000893847us-gaap:FairValueInputsLevel1Memberus-gaap:</w:t>
      </w:r>
      <w:r>
        <w:rPr>
          <w:rFonts w:eastAsia="Times New Roman"/>
          <w:vanish/>
        </w:rPr>
        <w:t>FairValueMeasurementsRecurringMemberhwbk:ForwardSaleCommitmentsMember2021-12-310000893847us-gaap:FairValueInputsLevel2Memberus-gaap:FairValueMeasurementsRecurringMemberhwbk:ForwardSaleCommitmentsMember2021-12-310000893847us-gaap:FairValueMeasurementsRecurr</w:t>
      </w:r>
      <w:r>
        <w:rPr>
          <w:rFonts w:eastAsia="Times New Roman"/>
          <w:vanish/>
        </w:rPr>
        <w:t>ingMemberus-gaap:FairValueInputsLevel3Memberhwbk:ForwardSaleCommitmentsMember2021-12-310000893847us-gaap:FairValueMeasurementsRecurringMember2021-12-310000893847us-gaap:FairValueInputsLevel1Memberus-gaap:FairValueMeasurementsRecurringMember2021-12-31000089</w:t>
      </w:r>
      <w:r>
        <w:rPr>
          <w:rFonts w:eastAsia="Times New Roman"/>
          <w:vanish/>
        </w:rPr>
        <w:t>3847us-gaap:FairValueInputsLevel2Memberus-gaap:FairValueMeasurementsRecurringMember2021-12-310000893847us-gaap:FairValueMeasurementsRecurringMemberus-gaap:FairValueInputsLevel3Member2021-12-310000893847us-gaap:FairValueMeasurementsRecurringMemberus-gaap:Se</w:t>
      </w:r>
      <w:r>
        <w:rPr>
          <w:rFonts w:eastAsia="Times New Roman"/>
          <w:vanish/>
        </w:rPr>
        <w:t>rvicingContractsMemberus-gaap:FairValueInputsLevel3Member2021-12-310000893847us-gaap:FairValueMeasurementsRecurringMemberus-gaap:ServicingContractsMemberus-gaap:FairValueInputsLevel3Member2020-12-310000893847us-gaap:FairValueMeasurementsRecurringMemberus-g</w:t>
      </w:r>
      <w:r>
        <w:rPr>
          <w:rFonts w:eastAsia="Times New Roman"/>
          <w:vanish/>
        </w:rPr>
        <w:t>aap:InterestRateLockCommitmentsMemberus-gaap:FairValueInputsLevel3Member2020-12-310000893847us-gaap:FairValueMeasurementsRecurringMemberus-gaap:ServicingContractsMemberus-gaap:FairValueInputsLevel3Member2022-01-012022-06-300000893847us-gaap:FairValueMeasur</w:t>
      </w:r>
      <w:r>
        <w:rPr>
          <w:rFonts w:eastAsia="Times New Roman"/>
          <w:vanish/>
        </w:rPr>
        <w:t>ementsRecurringMemberus-gaap:ServicingContractsMemberus-gaap:FairValueInputsLevel3Member2021-01-012021-06-300000893847us-gaap:FairValueMeasurementsRecurringMemberus-gaap:InterestRateLockCommitmentsMemberus-gaap:FairValueInputsLevel3Member2022-01-012022-06-</w:t>
      </w:r>
      <w:r>
        <w:rPr>
          <w:rFonts w:eastAsia="Times New Roman"/>
          <w:vanish/>
        </w:rPr>
        <w:t>300000893847us-gaap:FairValueMeasurementsRecurringMemberus-gaap:InterestRateLockCommitmentsMemberus-gaap:FairValueInputsLevel3Member2021-01-012021-06-300000893847us-gaap:FairValueMeasurementsRecurringMemberus-gaap:ServicingContractsMemberus-gaap:FairValueI</w:t>
      </w:r>
      <w:r>
        <w:rPr>
          <w:rFonts w:eastAsia="Times New Roman"/>
          <w:vanish/>
        </w:rPr>
        <w:t>nputsLevel3Member2022-06-300000893847us-gaap:FairValueMeasurementsRecurringMemberus-gaap:ServicingContractsMemberus-gaap:FairValueInputsLevel3Member2021-06-300000893847us-gaap:FairValueMeasurementsRecurringMemberus-gaap:InterestRateLockCommitmentsMemberus-</w:t>
      </w:r>
      <w:r>
        <w:rPr>
          <w:rFonts w:eastAsia="Times New Roman"/>
          <w:vanish/>
        </w:rPr>
        <w:t>gaap:FairValueInputsLevel3Member2021-06-300000893847hwbk:CollateralDependentImpairedLoansMember2022-06-300000893847hwbk:CollateralDependentImpairedLoansMember2021-06-300000893847hwbk:CollateralDependentImpairedLoansMember2021-06-300000893847us-gaap:Mortgag</w:t>
      </w:r>
      <w:r>
        <w:rPr>
          <w:rFonts w:eastAsia="Times New Roman"/>
          <w:vanish/>
        </w:rPr>
        <w:t>esMemberus-gaap:FairValueMeasurementsNonrecurringMemberus-gaap:CommercialRealEstatePortfolioSegmentMemberus-gaap:EstimateOfFairValueFairValueDisclosureMember2022-06-300000893847us-gaap:MortgagesMemberus-gaap:FairValueInputsLevel1Memberus-gaap:FairValueMeas</w:t>
      </w:r>
      <w:r>
        <w:rPr>
          <w:rFonts w:eastAsia="Times New Roman"/>
          <w:vanish/>
        </w:rPr>
        <w:t>urementsNonrecurringMemberus-gaap:CommercialRealEstatePortfolioSegmentMemberus-gaap:EstimateOfFairValueFairValueDisclosureMember2022-06-300000893847us-gaap:MortgagesMemberus-gaap:FairValueMeasurementsNonrecurringMemberus-gaap:FairValueInputsLevel2Memberus-</w:t>
      </w:r>
      <w:r>
        <w:rPr>
          <w:rFonts w:eastAsia="Times New Roman"/>
          <w:vanish/>
        </w:rPr>
        <w:t>gaap:CommercialRealEstatePortfolioSegmentMemberus-gaap:EstimateOfFairValueFairValueDisclosureMember2022-06-300000893847us-gaap:MortgagesMemberus-gaap:FairValueMeasurementsNonrecurringMemberus-gaap:CommercialRealEstatePortfolioSegmentMemberus-gaap:FairValue</w:t>
      </w:r>
      <w:r>
        <w:rPr>
          <w:rFonts w:eastAsia="Times New Roman"/>
          <w:vanish/>
        </w:rPr>
        <w:t>InputsLevel3Memberus-gaap:EstimateOfFairValueFairValueDisclosureMember2022-06-300000893847us-gaap:MortgagesMemberus-gaap:FairValueMeasurementsNonrecurringMemberus-gaap:CommercialRealEstatePortfolioSegmentMemberus-gaap:ChangeDuringPeriodFairValueDisclosureM</w:t>
      </w:r>
      <w:r>
        <w:rPr>
          <w:rFonts w:eastAsia="Times New Roman"/>
          <w:vanish/>
        </w:rPr>
        <w:t>ember2022-04-012022-06-300000893847us-gaap:MortgagesMemberus-gaap:FairValueMeasurementsNonrecurringMemberus-gaap:CommercialRealEstatePortfolioSegmentMemberus-gaap:ChangeDuringPeriodFairValueDisclosureMember2022-01-012022-06-300000893847us-gaap:FairValueMea</w:t>
      </w:r>
      <w:r>
        <w:rPr>
          <w:rFonts w:eastAsia="Times New Roman"/>
          <w:vanish/>
        </w:rPr>
        <w:t>surementsNonrecurringMemberus-gaap:EstimateOfFairValueFairValueDisclosureMember2022-06-300000893847us-gaap:FairValueInputsLevel1Memberus-gaap:FairValueMeasurementsNonrecurringMemberus-gaap:EstimateOfFairValueFairValueDisclosureMember2022-06-300000893847us-</w:t>
      </w:r>
      <w:r>
        <w:rPr>
          <w:rFonts w:eastAsia="Times New Roman"/>
          <w:vanish/>
        </w:rPr>
        <w:t>gaap:FairValueInputsLevel2Memberus-gaap:FairValueMeasurementsNonrecurringMemberus-gaap:EstimateOfFairValueFairValueDisclosureMember2022-06-300000893847us-gaap:FairValueMeasurementsNonrecurringMemberus-gaap:FairValueInputsLevel3Memberus-gaap:EstimateOfFairV</w:t>
      </w:r>
      <w:r>
        <w:rPr>
          <w:rFonts w:eastAsia="Times New Roman"/>
          <w:vanish/>
        </w:rPr>
        <w:t>alueFairValueDisclosureMember2022-06-300000893847us-gaap:FairValueMeasurementsNonrecurringMemberus-gaap:ChangeDuringPeriodFairValueDisclosureMember2022-04-012022-06-300000893847us-gaap:FairValueMeasurementsNonrecurringMemberus-gaap:ChangeDuringPeriodFairVa</w:t>
      </w:r>
      <w:r>
        <w:rPr>
          <w:rFonts w:eastAsia="Times New Roman"/>
          <w:vanish/>
        </w:rPr>
        <w:t>lueDisclosureMember2022-01-012022-06-300000893847us-gaap:FairValueMeasurementsNonrecurringMemberus-gaap:EstimateOfFairValueFairValueDisclosureMemberhwbk:CommercialFinancialAndAgriculturalPortfolioSegmentMember2021-06-300000893847us-gaap:FairValueInputsLeve</w:t>
      </w:r>
      <w:r>
        <w:rPr>
          <w:rFonts w:eastAsia="Times New Roman"/>
          <w:vanish/>
        </w:rPr>
        <w:t>l1Memberus-gaap:FairValueMeasurementsNonrecurringMemberus-gaap:EstimateOfFairValueFairValueDisclosureMemberhwbk:CommercialFinancialAndAgriculturalPortfolioSegmentMember2021-06-300000893847us-gaap:FairValueInputsLevel2Memberus-gaap:FairValueMeasurementsNonr</w:t>
      </w:r>
      <w:r>
        <w:rPr>
          <w:rFonts w:eastAsia="Times New Roman"/>
          <w:vanish/>
        </w:rPr>
        <w:t>ecurringMemberus-gaap:EstimateOfFairValueFairValueDisclosureMemberhwbk:CommercialFinancialAndAgriculturalPortfolioSegmentMember2021-06-300000893847us-gaap:FairValueMeasurementsNonrecurringMemberus-gaap:FairValueInputsLevel3Memberus-gaap:EstimateOfFairValue</w:t>
      </w:r>
      <w:r>
        <w:rPr>
          <w:rFonts w:eastAsia="Times New Roman"/>
          <w:vanish/>
        </w:rPr>
        <w:t>FairValueDisclosureMemberhwbk:CommercialFinancialAndAgriculturalPortfolioSegmentMember2021-06-300000893847us-gaap:FairValueMeasurementsNonrecurringMemberus-gaap:ChangeDuringPeriodFairValueDisclosureMemberhwbk:CommercialFinancialAndAgriculturalPortfolioSegm</w:t>
      </w:r>
      <w:r>
        <w:rPr>
          <w:rFonts w:eastAsia="Times New Roman"/>
          <w:vanish/>
        </w:rPr>
        <w:t>entMember2021-04-012021-06-300000893847us-gaap:FairValueMeasurementsNonrecurringMemberus-gaap:ChangeDuringPeriodFairValueDisclosureMemberhwbk:CommercialFinancialAndAgriculturalPortfolioSegmentMember2021-01-012021-06-300000893847us-gaap:MortgagesMemberus-ga</w:t>
      </w:r>
      <w:r>
        <w:rPr>
          <w:rFonts w:eastAsia="Times New Roman"/>
          <w:vanish/>
        </w:rPr>
        <w:t>ap:FairValueMeasurementsNonrecurringMemberhwbk:ResidentialRealEstatePortfolioSegmentMemberus-gaap:EstimateOfFairValueFairValueDisclosureMember2021-06-300000893847us-gaap:MortgagesMemberus-gaap:FairValueInputsLevel1Memberus-gaap:FairValueMeasurementsNonrecu</w:t>
      </w:r>
      <w:r>
        <w:rPr>
          <w:rFonts w:eastAsia="Times New Roman"/>
          <w:vanish/>
        </w:rPr>
        <w:t>rringMemberhwbk:ResidentialRealEstatePortfolioSegmentMemberus-gaap:EstimateOfFairValueFairValueDisclosureMember2021-06-300000893847us-gaap:MortgagesMemberus-gaap:FairValueMeasurementsNonrecurringMemberhwbk:ResidentialRealEstatePortfolioSegmentMemberus-gaap</w:t>
      </w:r>
      <w:r>
        <w:rPr>
          <w:rFonts w:eastAsia="Times New Roman"/>
          <w:vanish/>
        </w:rPr>
        <w:t>:FairValueInputsLevel2Memberus-gaap:EstimateOfFairValueFairValueDisclosureMember2021-06-300000893847us-gaap:MortgagesMemberus-gaap:FairValueMeasurementsNonrecurringMemberhwbk:ResidentialRealEstatePortfolioSegmentMemberus-gaap:FairValueInputsLevel3Memberus-</w:t>
      </w:r>
      <w:r>
        <w:rPr>
          <w:rFonts w:eastAsia="Times New Roman"/>
          <w:vanish/>
        </w:rPr>
        <w:t>gaap:EstimateOfFairValueFairValueDisclosureMember2021-06-300000893847us-gaap:MortgagesMemberus-gaap:FairValueMeasurementsNonrecurringMemberhwbk:ResidentialRealEstatePortfolioSegmentMemberus-gaap:ChangeDuringPeriodFairValueDisclosureMember2021-04-012021-06-</w:t>
      </w:r>
      <w:r>
        <w:rPr>
          <w:rFonts w:eastAsia="Times New Roman"/>
          <w:vanish/>
        </w:rPr>
        <w:t>300000893847us-gaap:MortgagesMemberus-gaap:FairValueMeasurementsNonrecurringMemberhwbk:ResidentialRealEstatePortfolioSegmentMemberus-gaap:ChangeDuringPeriodFairValueDisclosureMember2021-01-012021-06-300000893847us-gaap:MortgagesMemberus-gaap:FairValueMeasu</w:t>
      </w:r>
      <w:r>
        <w:rPr>
          <w:rFonts w:eastAsia="Times New Roman"/>
          <w:vanish/>
        </w:rPr>
        <w:t>rementsNonrecurringMemberus-gaap:CommercialRealEstatePortfolioSegmentMemberus-gaap:EstimateOfFairValueFairValueDisclosureMember2021-06-300000893847us-gaap:MortgagesMemberus-gaap:FairValueInputsLevel1Memberus-gaap:FairValueMeasurementsNonrecurringMemberus-g</w:t>
      </w:r>
      <w:r>
        <w:rPr>
          <w:rFonts w:eastAsia="Times New Roman"/>
          <w:vanish/>
        </w:rPr>
        <w:t>aap:CommercialRealEstatePortfolioSegmentMemberus-gaap:EstimateOfFairValueFairValueDisclosureMember2021-06-300000893847us-gaap:MortgagesMemberus-gaap:FairValueMeasurementsNonrecurringMemberus-gaap:FairValueInputsLevel2Memberus-gaap:CommercialRealEstatePortf</w:t>
      </w:r>
      <w:r>
        <w:rPr>
          <w:rFonts w:eastAsia="Times New Roman"/>
          <w:vanish/>
        </w:rPr>
        <w:t>olioSegmentMemberus-gaap:EstimateOfFairValueFairValueDisclosureMember2021-06-300000893847us-gaap:MortgagesMemberus-gaap:FairValueMeasurementsNonrecurringMemberus-gaap:CommercialRealEstatePortfolioSegmentMemberus-gaap:FairValueInputsLevel3Memberus-gaap:Esti</w:t>
      </w:r>
      <w:r>
        <w:rPr>
          <w:rFonts w:eastAsia="Times New Roman"/>
          <w:vanish/>
        </w:rPr>
        <w:t>mateOfFairValueFairValueDisclosureMember2021-06-300000893847us-gaap:MortgagesMemberus-gaap:FairValueMeasurementsNonrecurringMemberus-gaap:CommercialRealEstatePortfolioSegmentMemberus-gaap:ChangeDuringPeriodFairValueDisclosureMember2021-04-012021-06-3000008</w:t>
      </w:r>
      <w:r>
        <w:rPr>
          <w:rFonts w:eastAsia="Times New Roman"/>
          <w:vanish/>
        </w:rPr>
        <w:t>93847us-gaap:MortgagesMemberus-gaap:FairValueMeasurementsNonrecurringMemberus-gaap:CommercialRealEstatePortfolioSegmentMemberus-gaap:ChangeDuringPeriodFairValueDisclosureMember2021-01-012021-06-300000893847hwbk:InstallmentAndOtherConsumerPortfolioSegmentMe</w:t>
      </w:r>
      <w:r>
        <w:rPr>
          <w:rFonts w:eastAsia="Times New Roman"/>
          <w:vanish/>
        </w:rPr>
        <w:t>mberus-gaap:FairValueMeasurementsNonrecurringMemberus-gaap:EstimateOfFairValueFairValueDisclosureMember2021-06-300000893847us-gaap:FairValueInputsLevel1Memberhwbk:InstallmentAndOtherConsumerPortfolioSegmentMemberus-gaap:FairValueMeasurementsNonrecurringMem</w:t>
      </w:r>
      <w:r>
        <w:rPr>
          <w:rFonts w:eastAsia="Times New Roman"/>
          <w:vanish/>
        </w:rPr>
        <w:t>berus-gaap:EstimateOfFairValueFairValueDisclosureMember2021-06-300000893847hwbk:InstallmentAndOtherConsumerPortfolioSegmentMemberus-gaap:FairValueInputsLevel2Memberus-gaap:FairValueMeasurementsNonrecurringMemberus-gaap:EstimateOfFairValueFairValueDisclosur</w:t>
      </w:r>
      <w:r>
        <w:rPr>
          <w:rFonts w:eastAsia="Times New Roman"/>
          <w:vanish/>
        </w:rPr>
        <w:t>eMember2021-06-300000893847hwbk:InstallmentAndOtherConsumerPortfolioSegmentMemberus-gaap:FairValueMeasurementsNonrecurringMemberus-gaap:FairValueInputsLevel3Memberus-gaap:EstimateOfFairValueFairValueDisclosureMember2021-06-300000893847hwbk:InstallmentAndOt</w:t>
      </w:r>
      <w:r>
        <w:rPr>
          <w:rFonts w:eastAsia="Times New Roman"/>
          <w:vanish/>
        </w:rPr>
        <w:t>herConsumerPortfolioSegmentMemberus-gaap:ChangeDuringPeriodFairValueDisclosureMember2021-04-012021-06-300000893847hwbk:InstallmentAndOtherConsumerPortfolioSegmentMemberus-gaap:ChangeDuringPeriodFairValueDisclosureMember2021-01-012021-06-300000893847us-gaap</w:t>
      </w:r>
      <w:r>
        <w:rPr>
          <w:rFonts w:eastAsia="Times New Roman"/>
          <w:vanish/>
        </w:rPr>
        <w:t>:FairValueMeasurementsNonrecurringMemberus-gaap:EstimateOfFairValueFairValueDisclosureMember2021-06-300000893847us-gaap:FairValueInputsLevel1Memberus-gaap:FairValueMeasurementsNonrecurringMemberus-gaap:EstimateOfFairValueFairValueDisclosureMember2021-06-30</w:t>
      </w:r>
      <w:r>
        <w:rPr>
          <w:rFonts w:eastAsia="Times New Roman"/>
          <w:vanish/>
        </w:rPr>
        <w:t>0000893847us-gaap:FairValueInputsLevel2Memberus-gaap:FairValueMeasurementsNonrecurringMemberus-gaap:EstimateOfFairValueFairValueDisclosureMember2021-06-300000893847us-gaap:FairValueMeasurementsNonrecurringMemberus-gaap:FairValueInputsLevel3Memberus-gaap:Es</w:t>
      </w:r>
      <w:r>
        <w:rPr>
          <w:rFonts w:eastAsia="Times New Roman"/>
          <w:vanish/>
        </w:rPr>
        <w:t>timateOfFairValueFairValueDisclosureMember2021-06-300000893847us-gaap:FairValueMeasurementsNonrecurringMemberus-gaap:ChangeDuringPeriodFairValueDisclosureMember2021-04-012021-06-300000893847us-gaap:FairValueMeasurementsNonrecurringMemberus-gaap:ChangeDurin</w:t>
      </w:r>
      <w:r>
        <w:rPr>
          <w:rFonts w:eastAsia="Times New Roman"/>
          <w:vanish/>
        </w:rPr>
        <w:t>gPeriodFairValueDisclosureMember2021-01-012021-06-300000893847us-gaap:CarryingReportedAmountFairValueDisclosureMember2022-06-300000893847us-gaap:EstimateOfFairValueFairValueDisclosureMember2022-06-300000893847us-gaap:FairValueInputsLevel1Member2022-06-3000</w:t>
      </w:r>
      <w:r>
        <w:rPr>
          <w:rFonts w:eastAsia="Times New Roman"/>
          <w:vanish/>
        </w:rPr>
        <w:t>00893847us-gaap:FairValueInputsLevel2Member2022-06-300000893847us-gaap:FairValueInputsLevel3Member2022-06-300000893847us-gaap:CarryingReportedAmountFairValueDisclosureMember2021-12-310000893847us-gaap:EstimateOfFairValueFairValueDisclosureMember2021-12-310</w:t>
      </w:r>
      <w:r>
        <w:rPr>
          <w:rFonts w:eastAsia="Times New Roman"/>
          <w:vanish/>
        </w:rPr>
        <w:t>000893847us-gaap:FairValueInputsLevel1Member2021-12-310000893847us-gaap:FairValueInputsLevel2Member2021-12-310000893847us-gaap:FairValueInputsLevel3Member2021-12-310000893847us-gaap:CommitmentsToExtendCreditMember2022-06-300000893847us-gaap:CommitmentsToEx</w:t>
      </w:r>
      <w:r>
        <w:rPr>
          <w:rFonts w:eastAsia="Times New Roman"/>
          <w:vanish/>
        </w:rPr>
        <w:t>tendCreditMember2021-12-310000893847us-gaap:InterestRateLockCommitmentsMember2022-06-300000893847us-gaap:InterestRateLockCommitmentsMember2021-12-310000893847hwbk:ForwardSaleCommitmentsMember2022-06-300000893847hwbk:ForwardSaleCommitmentsMember2021-12-3100</w:t>
      </w:r>
      <w:r>
        <w:rPr>
          <w:rFonts w:eastAsia="Times New Roman"/>
          <w:vanish/>
        </w:rPr>
        <w:t>00893847us-gaap:StandbyLettersOfCreditMember2022-06-300000893847us-gaap:StandbyLettersOfCreditMember2021-12-310000893847srt:MinimumMember2022-01-012022-06-300000893847srt:MaximumMember2022-01-012022-06-30</w:t>
      </w:r>
    </w:p>
    <w:p w:rsidR="00000000" w:rsidRDefault="00100014">
      <w:pPr>
        <w:jc w:val="center"/>
        <w:divId w:val="935481556"/>
        <w:rPr>
          <w:rFonts w:eastAsia="Times New Roman"/>
        </w:rPr>
      </w:pPr>
    </w:p>
    <w:tbl>
      <w:tblPr>
        <w:tblW w:w="4901" w:type="pct"/>
        <w:jc w:val="center"/>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trPr>
          <w:divId w:val="1137409338"/>
          <w:jc w:val="center"/>
        </w:trPr>
        <w:tc>
          <w:tcPr>
            <w:tcW w:w="50" w:type="pct"/>
            <w:vAlign w:val="center"/>
            <w:hideMark/>
          </w:tcPr>
          <w:p w:rsidR="00000000" w:rsidRDefault="00100014">
            <w:pPr>
              <w:jc w:val="cente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137409338"/>
          <w:trHeight w:val="80"/>
          <w:jc w:val="center"/>
        </w:trPr>
        <w:tc>
          <w:tcPr>
            <w:tcW w:w="0" w:type="auto"/>
            <w:gridSpan w:val="3"/>
            <w:tcBorders>
              <w:top w:val="single" w:sz="24" w:space="0" w:color="000000"/>
              <w:bottom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jc w:val="center"/>
        <w:rPr>
          <w:rFonts w:eastAsia="Times New Roman"/>
        </w:rPr>
      </w:pPr>
    </w:p>
    <w:p w:rsidR="00000000" w:rsidRDefault="00100014">
      <w:pPr>
        <w:jc w:val="center"/>
        <w:rPr>
          <w:rFonts w:eastAsia="Times New Roman"/>
        </w:rPr>
      </w:pPr>
      <w:r>
        <w:rPr>
          <w:rFonts w:eastAsia="Times New Roman"/>
          <w:b/>
          <w:bCs/>
          <w:color w:val="000000"/>
          <w:sz w:val="20"/>
          <w:szCs w:val="20"/>
        </w:rPr>
        <w:t>UNITED STATES</w:t>
      </w:r>
    </w:p>
    <w:p w:rsidR="00000000" w:rsidRDefault="00100014">
      <w:pPr>
        <w:jc w:val="center"/>
        <w:rPr>
          <w:rFonts w:eastAsia="Times New Roman"/>
        </w:rPr>
      </w:pPr>
      <w:r>
        <w:rPr>
          <w:rFonts w:eastAsia="Times New Roman"/>
          <w:b/>
          <w:bCs/>
          <w:color w:val="000000"/>
          <w:sz w:val="20"/>
          <w:szCs w:val="20"/>
        </w:rPr>
        <w:t>SECURITIES AND EXCHANGE COMMISSION</w:t>
      </w:r>
    </w:p>
    <w:p w:rsidR="00000000" w:rsidRDefault="00100014">
      <w:pPr>
        <w:jc w:val="center"/>
        <w:divId w:val="1432241205"/>
        <w:rPr>
          <w:rFonts w:eastAsia="Times New Roman"/>
        </w:rPr>
      </w:pPr>
      <w:r>
        <w:rPr>
          <w:rFonts w:eastAsia="Times New Roman"/>
          <w:b/>
          <w:bCs/>
          <w:color w:val="000000"/>
          <w:sz w:val="20"/>
          <w:szCs w:val="20"/>
        </w:rPr>
        <w:t>Washington, D.C. 20549</w:t>
      </w:r>
    </w:p>
    <w:p w:rsidR="00000000" w:rsidRDefault="00100014">
      <w:pPr>
        <w:jc w:val="center"/>
        <w:divId w:val="1334450277"/>
        <w:rPr>
          <w:rFonts w:eastAsia="Times New Roman"/>
        </w:rPr>
      </w:pPr>
      <w:r>
        <w:rPr>
          <w:rFonts w:eastAsia="Times New Roman"/>
          <w:b/>
          <w:bCs/>
          <w:color w:val="000000"/>
        </w:rPr>
        <w:t>FORM 10-Q</w:t>
      </w:r>
    </w:p>
    <w:p w:rsidR="00000000" w:rsidRDefault="00100014">
      <w:pPr>
        <w:divId w:val="1709523254"/>
        <w:rPr>
          <w:rFonts w:eastAsia="Times New Roman"/>
        </w:rPr>
      </w:pPr>
      <w:r>
        <w:rPr>
          <w:rFonts w:eastAsia="Times New Roman"/>
          <w:i/>
          <w:iCs/>
          <w:color w:val="000000"/>
          <w:sz w:val="18"/>
          <w:szCs w:val="18"/>
        </w:rPr>
        <w:t>(Mark One)</w:t>
      </w:r>
    </w:p>
    <w:p w:rsidR="00000000" w:rsidRDefault="00100014">
      <w:pPr>
        <w:divId w:val="1164541843"/>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100014">
      <w:pPr>
        <w:divId w:val="1261530178"/>
        <w:rPr>
          <w:rFonts w:eastAsia="Times New Roman"/>
        </w:rPr>
      </w:pPr>
      <w:r>
        <w:rPr>
          <w:rFonts w:eastAsia="Times New Roman"/>
          <w:color w:val="000000"/>
          <w:sz w:val="20"/>
          <w:szCs w:val="20"/>
        </w:rPr>
        <w:t>For the quarterly period ended June 30, 2022</w:t>
      </w:r>
    </w:p>
    <w:p w:rsidR="00000000" w:rsidRDefault="00100014">
      <w:pPr>
        <w:jc w:val="center"/>
        <w:rPr>
          <w:rFonts w:eastAsia="Times New Roman"/>
        </w:rPr>
      </w:pPr>
      <w:r>
        <w:rPr>
          <w:rFonts w:eastAsia="Times New Roman"/>
          <w:color w:val="000000"/>
          <w:sz w:val="20"/>
          <w:szCs w:val="20"/>
        </w:rPr>
        <w:t>OR</w:t>
      </w:r>
    </w:p>
    <w:p w:rsidR="00000000" w:rsidRDefault="00100014">
      <w:pPr>
        <w:divId w:val="1230339831"/>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w:t>
      </w:r>
      <w:r>
        <w:rPr>
          <w:rFonts w:eastAsia="Times New Roman"/>
          <w:b/>
          <w:bCs/>
          <w:color w:val="000000"/>
          <w:sz w:val="20"/>
          <w:szCs w:val="20"/>
        </w:rPr>
        <w:t xml:space="preserve"> 13 or 15(d) of the Securities Exchange Act of 1934</w:t>
      </w:r>
    </w:p>
    <w:p w:rsidR="00000000" w:rsidRDefault="00100014">
      <w:pPr>
        <w:divId w:val="1763065536"/>
        <w:rPr>
          <w:rFonts w:eastAsia="Times New Roman"/>
        </w:rPr>
      </w:pPr>
      <w:r>
        <w:rPr>
          <w:rFonts w:eastAsia="Times New Roman"/>
          <w:color w:val="000000"/>
          <w:sz w:val="20"/>
          <w:szCs w:val="20"/>
        </w:rPr>
        <w:t>For the transition period from ______________ to ______________</w:t>
      </w:r>
    </w:p>
    <w:p w:rsidR="00000000" w:rsidRDefault="00100014">
      <w:pPr>
        <w:jc w:val="center"/>
        <w:divId w:val="1988632055"/>
        <w:rPr>
          <w:rFonts w:eastAsia="Times New Roman"/>
        </w:rPr>
      </w:pPr>
      <w:r>
        <w:rPr>
          <w:rFonts w:eastAsia="Times New Roman"/>
          <w:color w:val="000000"/>
          <w:sz w:val="18"/>
          <w:szCs w:val="18"/>
        </w:rPr>
        <w:t>Commission file number: 0-23636</w:t>
      </w:r>
    </w:p>
    <w:p w:rsidR="00000000" w:rsidRDefault="00100014">
      <w:pPr>
        <w:jc w:val="center"/>
        <w:rPr>
          <w:rFonts w:eastAsia="Times New Roman"/>
        </w:rPr>
      </w:pPr>
      <w:r>
        <w:rPr>
          <w:rFonts w:eastAsia="Times New Roman"/>
          <w:b/>
          <w:bCs/>
          <w:color w:val="000000"/>
          <w:sz w:val="28"/>
          <w:szCs w:val="28"/>
        </w:rPr>
        <w:t>HAWTHORN BANCSHARES, INC.</w:t>
      </w:r>
    </w:p>
    <w:p w:rsidR="00000000" w:rsidRDefault="00100014">
      <w:pPr>
        <w:jc w:val="center"/>
        <w:rPr>
          <w:rFonts w:eastAsia="Times New Roman"/>
        </w:rPr>
      </w:pPr>
      <w:r>
        <w:rPr>
          <w:rFonts w:eastAsia="Times New Roman"/>
          <w:i/>
          <w:iCs/>
          <w:color w:val="000000"/>
          <w:sz w:val="18"/>
          <w:szCs w:val="18"/>
        </w:rPr>
        <w:t>(Exact name of registrant as specified in its charter)</w:t>
      </w:r>
    </w:p>
    <w:p w:rsidR="00000000" w:rsidRDefault="00100014">
      <w:pPr>
        <w:jc w:val="center"/>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3895"/>
        <w:gridCol w:w="37"/>
        <w:gridCol w:w="69"/>
        <w:gridCol w:w="4187"/>
        <w:gridCol w:w="37"/>
      </w:tblGrid>
      <w:tr w:rsidR="00000000">
        <w:trPr>
          <w:divId w:val="1473790157"/>
        </w:trPr>
        <w:tc>
          <w:tcPr>
            <w:tcW w:w="50" w:type="pct"/>
            <w:vAlign w:val="center"/>
            <w:hideMark/>
          </w:tcPr>
          <w:p w:rsidR="00000000" w:rsidRDefault="00100014">
            <w:pPr>
              <w:jc w:val="center"/>
              <w:rPr>
                <w:rFonts w:eastAsia="Times New Roman"/>
              </w:rPr>
            </w:pPr>
          </w:p>
        </w:tc>
        <w:tc>
          <w:tcPr>
            <w:tcW w:w="235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253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473790157"/>
        </w:trPr>
        <w:tc>
          <w:tcPr>
            <w:tcW w:w="0" w:type="auto"/>
            <w:gridSpan w:val="3"/>
            <w:tcMar>
              <w:top w:w="30" w:type="dxa"/>
              <w:left w:w="20" w:type="dxa"/>
              <w:bottom w:w="30" w:type="dxa"/>
              <w:right w:w="20" w:type="dxa"/>
            </w:tcMar>
            <w:hideMark/>
          </w:tcPr>
          <w:p w:rsidR="00000000" w:rsidRDefault="00100014">
            <w:pPr>
              <w:spacing w:after="100"/>
              <w:jc w:val="center"/>
              <w:rPr>
                <w:rFonts w:eastAsia="Times New Roman"/>
              </w:rPr>
            </w:pPr>
            <w:r>
              <w:rPr>
                <w:rFonts w:eastAsia="Times New Roman"/>
                <w:b/>
                <w:bCs/>
                <w:color w:val="000000"/>
                <w:sz w:val="20"/>
                <w:szCs w:val="20"/>
              </w:rPr>
              <w:t>Missouri</w:t>
            </w:r>
          </w:p>
        </w:tc>
        <w:tc>
          <w:tcPr>
            <w:tcW w:w="0" w:type="auto"/>
            <w:gridSpan w:val="3"/>
            <w:tcMar>
              <w:top w:w="30" w:type="dxa"/>
              <w:left w:w="20" w:type="dxa"/>
              <w:bottom w:w="30" w:type="dxa"/>
              <w:right w:w="20" w:type="dxa"/>
            </w:tcMar>
            <w:hideMark/>
          </w:tcPr>
          <w:p w:rsidR="00000000" w:rsidRDefault="00100014">
            <w:pPr>
              <w:spacing w:after="100"/>
              <w:jc w:val="center"/>
              <w:rPr>
                <w:rFonts w:eastAsia="Times New Roman"/>
              </w:rPr>
            </w:pPr>
            <w:r>
              <w:rPr>
                <w:rFonts w:eastAsia="Times New Roman"/>
                <w:b/>
                <w:bCs/>
                <w:color w:val="000000"/>
                <w:sz w:val="20"/>
                <w:szCs w:val="20"/>
              </w:rPr>
              <w:t>43-1626350</w:t>
            </w:r>
          </w:p>
        </w:tc>
      </w:tr>
      <w:tr w:rsidR="00000000">
        <w:trPr>
          <w:divId w:val="1473790157"/>
        </w:trPr>
        <w:tc>
          <w:tcPr>
            <w:tcW w:w="0" w:type="auto"/>
            <w:gridSpan w:val="3"/>
            <w:tcMar>
              <w:top w:w="30" w:type="dxa"/>
              <w:left w:w="92" w:type="dxa"/>
              <w:bottom w:w="30" w:type="dxa"/>
              <w:right w:w="92" w:type="dxa"/>
            </w:tcMar>
            <w:hideMark/>
          </w:tcPr>
          <w:p w:rsidR="00000000" w:rsidRDefault="00100014">
            <w:pPr>
              <w:spacing w:after="100"/>
              <w:ind w:hanging="144"/>
              <w:jc w:val="center"/>
              <w:rPr>
                <w:rFonts w:eastAsia="Times New Roman"/>
              </w:rPr>
            </w:pPr>
            <w:r>
              <w:rPr>
                <w:rFonts w:eastAsia="Times New Roman"/>
                <w:i/>
                <w:iCs/>
                <w:color w:val="000000"/>
                <w:sz w:val="18"/>
                <w:szCs w:val="18"/>
              </w:rPr>
              <w:t>(State or other jurisdiction of</w:t>
            </w:r>
          </w:p>
        </w:tc>
        <w:tc>
          <w:tcPr>
            <w:tcW w:w="0" w:type="auto"/>
            <w:gridSpan w:val="3"/>
            <w:tcMar>
              <w:top w:w="30" w:type="dxa"/>
              <w:left w:w="20" w:type="dxa"/>
              <w:bottom w:w="30" w:type="dxa"/>
              <w:right w:w="20" w:type="dxa"/>
            </w:tcMar>
            <w:hideMark/>
          </w:tcPr>
          <w:p w:rsidR="00000000" w:rsidRDefault="00100014">
            <w:pPr>
              <w:spacing w:after="100"/>
              <w:jc w:val="center"/>
              <w:rPr>
                <w:rFonts w:eastAsia="Times New Roman"/>
              </w:rPr>
            </w:pPr>
            <w:r>
              <w:rPr>
                <w:rFonts w:eastAsia="Times New Roman"/>
                <w:i/>
                <w:iCs/>
                <w:color w:val="000000"/>
                <w:sz w:val="18"/>
                <w:szCs w:val="18"/>
              </w:rPr>
              <w:t>(I.R.S. Employer Identification No.</w:t>
            </w:r>
            <w:r>
              <w:rPr>
                <w:rFonts w:eastAsia="Times New Roman"/>
                <w:color w:val="000000"/>
                <w:sz w:val="18"/>
                <w:szCs w:val="18"/>
              </w:rPr>
              <w:t>)</w:t>
            </w:r>
          </w:p>
        </w:tc>
      </w:tr>
      <w:tr w:rsidR="00000000">
        <w:trPr>
          <w:divId w:val="1473790157"/>
        </w:trPr>
        <w:tc>
          <w:tcPr>
            <w:tcW w:w="0" w:type="auto"/>
            <w:gridSpan w:val="3"/>
            <w:tcMar>
              <w:top w:w="30" w:type="dxa"/>
              <w:left w:w="92" w:type="dxa"/>
              <w:bottom w:w="30" w:type="dxa"/>
              <w:right w:w="92" w:type="dxa"/>
            </w:tcMar>
            <w:hideMark/>
          </w:tcPr>
          <w:p w:rsidR="00000000" w:rsidRDefault="00100014">
            <w:pPr>
              <w:spacing w:after="100"/>
              <w:ind w:hanging="144"/>
              <w:jc w:val="center"/>
              <w:rPr>
                <w:rFonts w:eastAsia="Times New Roman"/>
              </w:rPr>
            </w:pPr>
            <w:r>
              <w:rPr>
                <w:rFonts w:eastAsia="Times New Roman"/>
                <w:i/>
                <w:iCs/>
                <w:color w:val="000000"/>
                <w:sz w:val="18"/>
                <w:szCs w:val="18"/>
              </w:rPr>
              <w:t>incorporation or organization)</w:t>
            </w:r>
          </w:p>
        </w:tc>
        <w:tc>
          <w:tcPr>
            <w:tcW w:w="0" w:type="auto"/>
            <w:gridSpan w:val="3"/>
            <w:tcMar>
              <w:top w:w="30" w:type="dxa"/>
              <w:left w:w="20" w:type="dxa"/>
              <w:bottom w:w="30" w:type="dxa"/>
              <w:right w:w="20" w:type="dxa"/>
            </w:tcMar>
            <w:hideMark/>
          </w:tcPr>
          <w:p w:rsidR="00000000" w:rsidRDefault="00100014">
            <w:pPr>
              <w:spacing w:after="100"/>
              <w:jc w:val="center"/>
              <w:rPr>
                <w:rFonts w:eastAsia="Times New Roman"/>
              </w:rPr>
            </w:pPr>
            <w:r>
              <w:rPr>
                <w:rFonts w:eastAsia="Times New Roman"/>
                <w:color w:val="000000"/>
                <w:sz w:val="18"/>
                <w:szCs w:val="18"/>
              </w:rPr>
              <w:t> </w:t>
            </w:r>
          </w:p>
        </w:tc>
      </w:tr>
    </w:tbl>
    <w:p w:rsidR="00000000" w:rsidRDefault="00100014">
      <w:pPr>
        <w:divId w:val="169299277"/>
        <w:rPr>
          <w:rFonts w:eastAsia="Times New Roman"/>
        </w:rPr>
      </w:pPr>
    </w:p>
    <w:p w:rsidR="00000000" w:rsidRDefault="00100014">
      <w:pPr>
        <w:jc w:val="center"/>
        <w:rPr>
          <w:rFonts w:eastAsia="Times New Roman"/>
        </w:rPr>
      </w:pPr>
      <w:r>
        <w:rPr>
          <w:rFonts w:eastAsia="Times New Roman"/>
          <w:b/>
          <w:bCs/>
          <w:color w:val="000000"/>
          <w:sz w:val="20"/>
          <w:szCs w:val="20"/>
        </w:rPr>
        <w:t>132 East High Street, Box 688, Jefferson City, Missouri 65102</w:t>
      </w:r>
    </w:p>
    <w:p w:rsidR="00000000" w:rsidRDefault="00100014">
      <w:pPr>
        <w:jc w:val="center"/>
        <w:divId w:val="694573504"/>
        <w:rPr>
          <w:rFonts w:eastAsia="Times New Roman"/>
        </w:rPr>
      </w:pPr>
      <w:r>
        <w:rPr>
          <w:rFonts w:eastAsia="Times New Roman"/>
          <w:i/>
          <w:iCs/>
          <w:color w:val="000000"/>
          <w:sz w:val="18"/>
          <w:szCs w:val="18"/>
        </w:rPr>
        <w:t>(Address of principal executive offices)</w:t>
      </w:r>
      <w:r>
        <w:rPr>
          <w:rFonts w:eastAsia="Times New Roman"/>
          <w:color w:val="000000"/>
          <w:sz w:val="18"/>
          <w:szCs w:val="18"/>
        </w:rPr>
        <w:t xml:space="preserve"> </w:t>
      </w:r>
      <w:r>
        <w:rPr>
          <w:rFonts w:eastAsia="Times New Roman"/>
          <w:i/>
          <w:iCs/>
          <w:color w:val="000000"/>
          <w:sz w:val="18"/>
          <w:szCs w:val="18"/>
        </w:rPr>
        <w:t>(Zip Code)</w:t>
      </w:r>
    </w:p>
    <w:p w:rsidR="00000000" w:rsidRDefault="00100014">
      <w:pPr>
        <w:jc w:val="center"/>
        <w:rPr>
          <w:rFonts w:eastAsia="Times New Roman"/>
        </w:rPr>
      </w:pPr>
      <w:r>
        <w:rPr>
          <w:rFonts w:eastAsia="Times New Roman"/>
          <w:b/>
          <w:bCs/>
          <w:color w:val="000000"/>
          <w:sz w:val="20"/>
          <w:szCs w:val="20"/>
        </w:rPr>
        <w:t>(573) 761-6100</w:t>
      </w:r>
    </w:p>
    <w:p w:rsidR="00000000" w:rsidRDefault="00100014">
      <w:pPr>
        <w:jc w:val="center"/>
        <w:divId w:val="1073547051"/>
        <w:rPr>
          <w:rFonts w:eastAsia="Times New Roman"/>
        </w:rPr>
      </w:pPr>
      <w:r>
        <w:rPr>
          <w:rFonts w:eastAsia="Times New Roman"/>
          <w:i/>
          <w:iCs/>
          <w:color w:val="000000"/>
          <w:sz w:val="18"/>
          <w:szCs w:val="18"/>
        </w:rPr>
        <w:t>(Registrant’s telephone number, including area code)</w:t>
      </w:r>
    </w:p>
    <w:p w:rsidR="00000000" w:rsidRDefault="00100014">
      <w:pPr>
        <w:jc w:val="center"/>
        <w:rPr>
          <w:rFonts w:eastAsia="Times New Roman"/>
        </w:rPr>
      </w:pPr>
      <w:r>
        <w:rPr>
          <w:rFonts w:eastAsia="Times New Roman"/>
          <w:b/>
          <w:bCs/>
          <w:color w:val="000000"/>
          <w:sz w:val="20"/>
          <w:szCs w:val="20"/>
        </w:rPr>
        <w:t>N/A</w:t>
      </w:r>
    </w:p>
    <w:p w:rsidR="00000000" w:rsidRDefault="00100014">
      <w:pPr>
        <w:jc w:val="center"/>
        <w:divId w:val="1941640004"/>
        <w:rPr>
          <w:rFonts w:eastAsia="Times New Roman"/>
        </w:rPr>
      </w:pPr>
      <w:r>
        <w:rPr>
          <w:rFonts w:eastAsia="Times New Roman"/>
          <w:i/>
          <w:iCs/>
          <w:color w:val="000000"/>
          <w:sz w:val="18"/>
          <w:szCs w:val="18"/>
        </w:rPr>
        <w:t>(Former name, former address and former fiscal year, if changed since last report.)</w:t>
      </w:r>
    </w:p>
    <w:p w:rsidR="00000000" w:rsidRDefault="00100014">
      <w:pPr>
        <w:jc w:val="center"/>
        <w:divId w:val="560947285"/>
        <w:rPr>
          <w:rFonts w:eastAsia="Times New Roman"/>
        </w:rPr>
      </w:pPr>
      <w:r>
        <w:rPr>
          <w:rFonts w:eastAsia="Times New Roman"/>
          <w:b/>
          <w:bCs/>
          <w:color w:val="000000"/>
          <w:sz w:val="18"/>
          <w:szCs w:val="18"/>
        </w:rPr>
        <w:t xml:space="preserve">Securities registered pursuant to Section 12(b) </w:t>
      </w:r>
      <w:r>
        <w:rPr>
          <w:rFonts w:eastAsia="Times New Roman"/>
          <w:b/>
          <w:bCs/>
          <w:color w:val="000000"/>
          <w:sz w:val="18"/>
          <w:szCs w:val="18"/>
        </w:rPr>
        <w:t>of the Act:</w:t>
      </w:r>
    </w:p>
    <w:tbl>
      <w:tblPr>
        <w:tblW w:w="4954" w:type="pct"/>
        <w:tblCellMar>
          <w:top w:w="15" w:type="dxa"/>
          <w:left w:w="15" w:type="dxa"/>
          <w:bottom w:w="15" w:type="dxa"/>
          <w:right w:w="15" w:type="dxa"/>
        </w:tblCellMar>
        <w:tblLook w:val="04A0" w:firstRow="1" w:lastRow="0" w:firstColumn="1" w:lastColumn="0" w:noHBand="0" w:noVBand="1"/>
      </w:tblPr>
      <w:tblGrid>
        <w:gridCol w:w="68"/>
        <w:gridCol w:w="2601"/>
        <w:gridCol w:w="37"/>
        <w:gridCol w:w="68"/>
        <w:gridCol w:w="1858"/>
        <w:gridCol w:w="36"/>
        <w:gridCol w:w="68"/>
        <w:gridCol w:w="3458"/>
        <w:gridCol w:w="36"/>
      </w:tblGrid>
      <w:tr w:rsidR="00000000">
        <w:trPr>
          <w:divId w:val="28189258"/>
        </w:trPr>
        <w:tc>
          <w:tcPr>
            <w:tcW w:w="50" w:type="pct"/>
            <w:vAlign w:val="center"/>
            <w:hideMark/>
          </w:tcPr>
          <w:p w:rsidR="00000000" w:rsidRDefault="00100014">
            <w:pPr>
              <w:jc w:val="center"/>
              <w:rPr>
                <w:rFonts w:eastAsia="Times New Roman"/>
              </w:rPr>
            </w:pPr>
          </w:p>
        </w:tc>
        <w:tc>
          <w:tcPr>
            <w:tcW w:w="158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1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21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8189258"/>
        </w:trPr>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b/>
                <w:bCs/>
                <w:color w:val="000000"/>
                <w:sz w:val="18"/>
                <w:szCs w:val="18"/>
                <w:u w:val="single"/>
              </w:rPr>
              <w:t>Title of each class</w:t>
            </w:r>
          </w:p>
        </w:tc>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b/>
                <w:bCs/>
                <w:color w:val="000000"/>
                <w:sz w:val="18"/>
                <w:szCs w:val="18"/>
                <w:u w:val="single"/>
              </w:rPr>
              <w:t>Trading Symbol(s)</w:t>
            </w:r>
          </w:p>
        </w:tc>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b/>
                <w:bCs/>
                <w:color w:val="000000"/>
                <w:sz w:val="18"/>
                <w:szCs w:val="18"/>
                <w:u w:val="single"/>
              </w:rPr>
              <w:t>Name of each exchange on which registered</w:t>
            </w:r>
          </w:p>
        </w:tc>
      </w:tr>
      <w:tr w:rsidR="00000000">
        <w:trPr>
          <w:divId w:val="28189258"/>
        </w:trPr>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color w:val="000000"/>
                <w:sz w:val="18"/>
                <w:szCs w:val="18"/>
              </w:rPr>
              <w:t>Common Stock, $1.00 par value</w:t>
            </w:r>
          </w:p>
        </w:tc>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color w:val="000000"/>
                <w:sz w:val="18"/>
                <w:szCs w:val="18"/>
              </w:rPr>
              <w:t>HWBK</w:t>
            </w:r>
          </w:p>
        </w:tc>
        <w:tc>
          <w:tcPr>
            <w:tcW w:w="0" w:type="auto"/>
            <w:gridSpan w:val="3"/>
            <w:tcMar>
              <w:top w:w="30" w:type="dxa"/>
              <w:left w:w="48" w:type="dxa"/>
              <w:bottom w:w="30" w:type="dxa"/>
              <w:right w:w="48" w:type="dxa"/>
            </w:tcMar>
            <w:hideMark/>
          </w:tcPr>
          <w:p w:rsidR="00000000" w:rsidRDefault="00100014">
            <w:pPr>
              <w:spacing w:after="100"/>
              <w:jc w:val="center"/>
              <w:rPr>
                <w:rFonts w:eastAsia="Times New Roman"/>
              </w:rPr>
            </w:pPr>
            <w:r>
              <w:rPr>
                <w:rFonts w:eastAsia="Times New Roman"/>
                <w:color w:val="000000"/>
                <w:sz w:val="18"/>
                <w:szCs w:val="18"/>
              </w:rPr>
              <w:t>The Nasdaq Stock Market LLC</w:t>
            </w:r>
          </w:p>
        </w:tc>
      </w:tr>
    </w:tbl>
    <w:p w:rsidR="00000000" w:rsidRDefault="00100014">
      <w:pPr>
        <w:divId w:val="234558435"/>
        <w:rPr>
          <w:rFonts w:eastAsia="Times New Roman"/>
        </w:rPr>
      </w:pPr>
    </w:p>
    <w:p w:rsidR="00000000" w:rsidRDefault="00100014">
      <w:pPr>
        <w:divId w:val="91365970"/>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 xml:space="preserve">uch reports), and (2) has been subject to such filing requirements for the past 90 days.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100014">
      <w:pPr>
        <w:divId w:val="1171604870"/>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eastAsia="Times New Roman"/>
          <w:color w:val="000000"/>
          <w:sz w:val="18"/>
          <w:szCs w:val="18"/>
        </w:rPr>
        <w:t xml:space="preserve">at the registrant was required to submit such files).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100014">
      <w:pPr>
        <w:jc w:val="both"/>
        <w:rPr>
          <w:rFonts w:eastAsia="Times New Roman"/>
        </w:rPr>
      </w:pPr>
      <w:r>
        <w:rPr>
          <w:rFonts w:eastAsia="Times New Roman"/>
          <w:color w:val="000000"/>
          <w:sz w:val="18"/>
          <w:szCs w:val="18"/>
        </w:rPr>
        <w:t xml:space="preserve">Indicate by check mark whether the registrant is a large accelerated filer, an accelerated filer, a non-accelerated filer, a smaller reporting company, or an emerging growth company. See the </w:t>
      </w:r>
      <w:r>
        <w:rPr>
          <w:rFonts w:eastAsia="Times New Roman"/>
          <w:color w:val="000000"/>
          <w:sz w:val="18"/>
          <w:szCs w:val="18"/>
        </w:rPr>
        <w:t>definitions of “large accelerated filer,” “accelerated filer,” “smaller reporting company” and “emerging growth company” in Rule 12b-2 of the Exchange Act.</w:t>
      </w:r>
    </w:p>
    <w:tbl>
      <w:tblPr>
        <w:tblW w:w="4924" w:type="pct"/>
        <w:tblCellMar>
          <w:top w:w="15" w:type="dxa"/>
          <w:left w:w="15" w:type="dxa"/>
          <w:bottom w:w="15" w:type="dxa"/>
          <w:right w:w="15" w:type="dxa"/>
        </w:tblCellMar>
        <w:tblLook w:val="04A0" w:firstRow="1" w:lastRow="0" w:firstColumn="1" w:lastColumn="0" w:noHBand="0" w:noVBand="1"/>
      </w:tblPr>
      <w:tblGrid>
        <w:gridCol w:w="59"/>
        <w:gridCol w:w="2240"/>
        <w:gridCol w:w="36"/>
        <w:gridCol w:w="37"/>
        <w:gridCol w:w="199"/>
        <w:gridCol w:w="36"/>
        <w:gridCol w:w="60"/>
        <w:gridCol w:w="2782"/>
        <w:gridCol w:w="36"/>
        <w:gridCol w:w="60"/>
        <w:gridCol w:w="215"/>
        <w:gridCol w:w="36"/>
        <w:gridCol w:w="60"/>
        <w:gridCol w:w="2015"/>
        <w:gridCol w:w="36"/>
        <w:gridCol w:w="37"/>
        <w:gridCol w:w="200"/>
        <w:gridCol w:w="36"/>
      </w:tblGrid>
      <w:tr w:rsidR="00000000">
        <w:trPr>
          <w:divId w:val="409541062"/>
        </w:trPr>
        <w:tc>
          <w:tcPr>
            <w:tcW w:w="50" w:type="pct"/>
            <w:vAlign w:val="center"/>
            <w:hideMark/>
          </w:tcPr>
          <w:p w:rsidR="00000000" w:rsidRDefault="00100014">
            <w:pPr>
              <w:jc w:val="both"/>
              <w:rPr>
                <w:rFonts w:eastAsia="Times New Roman"/>
              </w:rPr>
            </w:pPr>
          </w:p>
        </w:tc>
        <w:tc>
          <w:tcPr>
            <w:tcW w:w="138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13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71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2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13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409541062"/>
        </w:trPr>
        <w:tc>
          <w:tcPr>
            <w:tcW w:w="0" w:type="auto"/>
            <w:gridSpan w:val="3"/>
            <w:tcMar>
              <w:top w:w="30" w:type="dxa"/>
              <w:left w:w="20" w:type="dxa"/>
              <w:bottom w:w="30" w:type="dxa"/>
              <w:right w:w="20" w:type="dxa"/>
            </w:tcMar>
            <w:hideMark/>
          </w:tcPr>
          <w:p w:rsidR="00000000" w:rsidRDefault="00100014">
            <w:pPr>
              <w:spacing w:after="100"/>
              <w:ind w:hanging="144"/>
              <w:divId w:val="1010332795"/>
              <w:rPr>
                <w:rFonts w:eastAsia="Times New Roman"/>
              </w:rPr>
            </w:pPr>
            <w:r>
              <w:rPr>
                <w:rFonts w:eastAsia="Times New Roman"/>
                <w:color w:val="000000"/>
                <w:sz w:val="18"/>
                <w:szCs w:val="18"/>
              </w:rPr>
              <w:t xml:space="preserve">Large accelerated filer </w:t>
            </w: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ind w:hanging="144"/>
              <w:rPr>
                <w:rFonts w:eastAsia="Times New Roman"/>
              </w:rPr>
            </w:pP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18"/>
                <w:szCs w:val="18"/>
              </w:rPr>
              <w:t xml:space="preserve">Accelerated filer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100014">
            <w:pPr>
              <w:spacing w:after="100"/>
              <w:divId w:val="711922246"/>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ascii="Segoe UI Symbol" w:eastAsia="Times New Roman" w:hAnsi="Segoe UI Symbol" w:cs="Segoe UI Symbol"/>
                <w:color w:val="000000"/>
                <w:sz w:val="20"/>
                <w:szCs w:val="20"/>
              </w:rPr>
              <w:t>☒</w:t>
            </w:r>
          </w:p>
        </w:tc>
      </w:tr>
      <w:tr w:rsidR="00000000">
        <w:trPr>
          <w:divId w:val="409541062"/>
          <w:trHeight w:val="30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409541062"/>
        </w:trPr>
        <w:tc>
          <w:tcPr>
            <w:tcW w:w="0" w:type="auto"/>
            <w:gridSpan w:val="3"/>
            <w:tcMar>
              <w:top w:w="30" w:type="dxa"/>
              <w:left w:w="20" w:type="dxa"/>
              <w:bottom w:w="30" w:type="dxa"/>
              <w:right w:w="20" w:type="dxa"/>
            </w:tcMar>
            <w:hideMark/>
          </w:tcPr>
          <w:p w:rsidR="00000000" w:rsidRDefault="00100014">
            <w:pPr>
              <w:spacing w:after="100"/>
              <w:ind w:hanging="144"/>
              <w:divId w:val="323434086"/>
              <w:rPr>
                <w:rFonts w:eastAsia="Times New Roman"/>
              </w:rPr>
            </w:pPr>
            <w:r>
              <w:rPr>
                <w:rFonts w:eastAsia="Times New Roman"/>
                <w:color w:val="000000"/>
                <w:sz w:val="18"/>
                <w:szCs w:val="18"/>
              </w:rPr>
              <w:t xml:space="preserve">Smaller reporting company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100014">
            <w:pPr>
              <w:spacing w:after="100"/>
              <w:divId w:val="1903952838"/>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divId w:val="1332487642"/>
        <w:rPr>
          <w:rFonts w:eastAsia="Times New Roman"/>
        </w:rPr>
      </w:pPr>
    </w:p>
    <w:p w:rsidR="00000000" w:rsidRDefault="00100014">
      <w:pPr>
        <w:divId w:val="838469056"/>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100014">
      <w:pPr>
        <w:divId w:val="823475016"/>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 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rsidR="00000000" w:rsidRDefault="00100014">
      <w:pPr>
        <w:divId w:val="1183860450"/>
        <w:rPr>
          <w:rFonts w:eastAsia="Times New Roman"/>
        </w:rPr>
      </w:pPr>
      <w:r>
        <w:rPr>
          <w:rFonts w:eastAsia="Times New Roman"/>
          <w:color w:val="000000"/>
          <w:sz w:val="18"/>
          <w:szCs w:val="18"/>
        </w:rPr>
        <w:t>As of August 11, 2022, the registrant had 6,768,581 shares of common stock, par value $1.00 per share, outstanding.</w:t>
      </w:r>
    </w:p>
    <w:tbl>
      <w:tblPr>
        <w:tblW w:w="4901" w:type="pct"/>
        <w:tblCellMar>
          <w:top w:w="15" w:type="dxa"/>
          <w:left w:w="15" w:type="dxa"/>
          <w:bottom w:w="15" w:type="dxa"/>
          <w:right w:w="15" w:type="dxa"/>
        </w:tblCellMar>
        <w:tblLook w:val="04A0" w:firstRow="1" w:lastRow="0" w:firstColumn="1" w:lastColumn="0" w:noHBand="0" w:noVBand="1"/>
      </w:tblPr>
      <w:tblGrid>
        <w:gridCol w:w="67"/>
        <w:gridCol w:w="8039"/>
        <w:gridCol w:w="36"/>
      </w:tblGrid>
      <w:tr w:rsidR="00000000">
        <w:trPr>
          <w:divId w:val="525752300"/>
        </w:trPr>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525752300"/>
          <w:trHeight w:val="80"/>
        </w:trPr>
        <w:tc>
          <w:tcPr>
            <w:tcW w:w="0" w:type="auto"/>
            <w:gridSpan w:val="3"/>
            <w:tcBorders>
              <w:top w:val="single" w:sz="6" w:space="0" w:color="000000"/>
              <w:bottom w:val="single" w:sz="24"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jc w:val="center"/>
        <w:divId w:val="695271495"/>
        <w:rPr>
          <w:rFonts w:eastAsia="Times New Roman"/>
        </w:rPr>
      </w:pPr>
    </w:p>
    <w:p w:rsidR="00000000" w:rsidRDefault="00100014">
      <w:pPr>
        <w:rPr>
          <w:rFonts w:eastAsia="Times New Roman"/>
        </w:rPr>
      </w:pPr>
      <w:r>
        <w:rPr>
          <w:rFonts w:eastAsia="Times New Roman"/>
        </w:rPr>
        <w:pict>
          <v:rect id="_x0000_i1025" style="width:0;height:1.5pt" o:hralign="center" o:hrstd="t" o:hr="t" fillcolor="#a0a0a0" stroked="f"/>
        </w:pict>
      </w:r>
    </w:p>
    <w:p w:rsidR="00000000" w:rsidRDefault="00100014">
      <w:pPr>
        <w:jc w:val="center"/>
        <w:divId w:val="1884978574"/>
        <w:rPr>
          <w:rFonts w:eastAsia="Times New Roman"/>
        </w:rPr>
      </w:pPr>
    </w:p>
    <w:p w:rsidR="00000000" w:rsidRDefault="00100014">
      <w:pPr>
        <w:jc w:val="center"/>
        <w:rPr>
          <w:rFonts w:eastAsia="Times New Roman"/>
        </w:rPr>
      </w:pPr>
      <w:r>
        <w:rPr>
          <w:rFonts w:eastAsia="Times New Roman"/>
          <w:b/>
          <w:bCs/>
          <w:color w:val="000000"/>
          <w:sz w:val="20"/>
          <w:szCs w:val="20"/>
        </w:rPr>
        <w:t>PART I – FINANCIAL INFORMATION</w:t>
      </w:r>
    </w:p>
    <w:p w:rsidR="00000000" w:rsidRDefault="00100014">
      <w:pPr>
        <w:divId w:val="1581215224"/>
        <w:rPr>
          <w:rFonts w:eastAsia="Times New Roman"/>
        </w:rPr>
      </w:pPr>
    </w:p>
    <w:p w:rsidR="00000000" w:rsidRDefault="00100014">
      <w:pPr>
        <w:divId w:val="2075347613"/>
        <w:rPr>
          <w:rFonts w:eastAsia="Times New Roman"/>
        </w:rPr>
      </w:pPr>
      <w:r>
        <w:rPr>
          <w:rFonts w:eastAsia="Times New Roman"/>
          <w:b/>
          <w:bCs/>
          <w:color w:val="000000"/>
          <w:sz w:val="20"/>
          <w:szCs w:val="20"/>
        </w:rPr>
        <w:t>Item 1. Financial Statements</w:t>
      </w:r>
    </w:p>
    <w:p w:rsidR="00000000" w:rsidRDefault="00100014">
      <w:pPr>
        <w:divId w:val="267545339"/>
        <w:rPr>
          <w:rFonts w:eastAsia="Times New Roman"/>
        </w:rPr>
      </w:pPr>
    </w:p>
    <w:p w:rsidR="00000000" w:rsidRDefault="00100014">
      <w:pPr>
        <w:divId w:val="1212232653"/>
        <w:rPr>
          <w:rFonts w:eastAsia="Times New Roman"/>
        </w:rPr>
      </w:pPr>
      <w:r>
        <w:rPr>
          <w:rFonts w:eastAsia="Times New Roman"/>
          <w:b/>
          <w:bCs/>
          <w:color w:val="000000"/>
          <w:sz w:val="20"/>
          <w:szCs w:val="20"/>
        </w:rPr>
        <w:t>HAWTHORN BANCSHARES, INC. AND SUBSIDIARIES</w:t>
      </w:r>
    </w:p>
    <w:p w:rsidR="00000000" w:rsidRDefault="00100014">
      <w:pPr>
        <w:divId w:val="1174608410"/>
        <w:rPr>
          <w:rFonts w:eastAsia="Times New Roman"/>
        </w:rPr>
      </w:pPr>
      <w:r>
        <w:rPr>
          <w:rFonts w:eastAsia="Times New Roman"/>
          <w:b/>
          <w:bCs/>
          <w:color w:val="000000"/>
          <w:sz w:val="20"/>
          <w:szCs w:val="20"/>
        </w:rPr>
        <w:t xml:space="preserve">Consolidated Balance Sheets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745"/>
        <w:gridCol w:w="39"/>
        <w:gridCol w:w="120"/>
        <w:gridCol w:w="1035"/>
        <w:gridCol w:w="36"/>
        <w:gridCol w:w="36"/>
        <w:gridCol w:w="36"/>
        <w:gridCol w:w="36"/>
        <w:gridCol w:w="120"/>
        <w:gridCol w:w="1027"/>
        <w:gridCol w:w="36"/>
      </w:tblGrid>
      <w:tr w:rsidR="00000000">
        <w:trPr>
          <w:divId w:val="1594972372"/>
        </w:trPr>
        <w:tc>
          <w:tcPr>
            <w:tcW w:w="50" w:type="pct"/>
            <w:vAlign w:val="center"/>
            <w:hideMark/>
          </w:tcPr>
          <w:p w:rsidR="00000000" w:rsidRDefault="00100014">
            <w:pPr>
              <w:rPr>
                <w:rFonts w:eastAsia="Times New Roman"/>
              </w:rPr>
            </w:pPr>
          </w:p>
        </w:tc>
        <w:tc>
          <w:tcPr>
            <w:tcW w:w="34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 thousands, except per share data)</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594972372"/>
        </w:trPr>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i/>
                <w:iCs/>
                <w:color w:val="000000"/>
                <w:sz w:val="16"/>
                <w:szCs w:val="16"/>
              </w:rPr>
              <w:t>(Unaudited)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Cash and due from banks</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20,018 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17,287 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sold</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7,122</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interest-bearing deposits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8,159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135,500</w:t>
            </w:r>
          </w:p>
        </w:tc>
      </w:tr>
      <w:tr w:rsidR="00000000">
        <w:trPr>
          <w:divId w:val="15949723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Cash and cash equivalents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28,222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159,909</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Certificates of deposit in other banks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4,201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5,193</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Available-for-sale debt securities, at fair value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267,274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310,870</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investments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5,109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5,408</w:t>
            </w:r>
          </w:p>
        </w:tc>
      </w:tr>
      <w:tr w:rsidR="00000000">
        <w:trPr>
          <w:divId w:val="15949723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investment securities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272,383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316,278</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Loans held for investment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1,427,828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1,302,133</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Allowance for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(15,353)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(16,903)</w:t>
            </w:r>
          </w:p>
        </w:tc>
      </w:tr>
      <w:tr w:rsidR="00000000">
        <w:trPr>
          <w:divId w:val="159497237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Net loans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1,412,475</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1,285,230</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Loans held for sale, at lower of cost or fair value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2,249</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Premises and equipment - net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33,096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32,719</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 servicing rights, at fair value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2,659</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real estate owned - net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9,155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10,525</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Accrued interest receivable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6,446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6,621</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Cash surrender value - life insurance</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2,538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2,509</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lastRenderedPageBreak/>
              <w:t>Other assets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17,014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7,658</w:t>
            </w:r>
          </w:p>
        </w:tc>
      </w:tr>
      <w:tr w:rsidR="00000000">
        <w:trPr>
          <w:divId w:val="159497237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assets</w:t>
            </w: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1,789,976 </w:t>
            </w:r>
          </w:p>
        </w:tc>
        <w:tc>
          <w:tcPr>
            <w:tcW w:w="0" w:type="auto"/>
            <w:tcBorders>
              <w:top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94972372"/>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Deposits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Non-interest bearing demand</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471,762 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453,066 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Savings, interest checking and money market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796,054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818,358</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Time deposits $250,000 and over</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99,884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69,075</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time deposits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163,108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176,321</w:t>
            </w:r>
          </w:p>
        </w:tc>
      </w:tr>
      <w:tr w:rsidR="00000000">
        <w:trPr>
          <w:divId w:val="15949723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deposits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1,530,808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1,516,820</w:t>
            </w:r>
          </w:p>
        </w:tc>
      </w:tr>
      <w:tr w:rsidR="00000000">
        <w:trPr>
          <w:divId w:val="159497237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2"/>
            <w:tcBorders>
              <w:top w:val="single" w:sz="6" w:space="0" w:color="000000"/>
            </w:tcBorders>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6,935 </w:t>
            </w:r>
          </w:p>
        </w:tc>
        <w:tc>
          <w:tcPr>
            <w:tcW w:w="0" w:type="auto"/>
            <w:tcBorders>
              <w:top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23,829 </w:t>
            </w:r>
          </w:p>
        </w:tc>
        <w:tc>
          <w:tcPr>
            <w:tcW w:w="0" w:type="auto"/>
            <w:tcBorders>
              <w:top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Home Loan Bank advances and other borrowings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68,000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77,418</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Subordinated notes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49,486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49,486</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1,837</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Accrued interest payable</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359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282</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liabilities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8,643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12,922</w:t>
            </w:r>
          </w:p>
        </w:tc>
      </w:tr>
      <w:tr w:rsidR="00000000">
        <w:trPr>
          <w:divId w:val="159497237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liabilities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1,665,918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1,682,594</w:t>
            </w:r>
          </w:p>
        </w:tc>
      </w:tr>
      <w:tr w:rsidR="00000000">
        <w:trPr>
          <w:divId w:val="15949723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Stockholders’ equity:</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divId w:val="1496995201"/>
              <w:rPr>
                <w:rFonts w:eastAsia="Times New Roman"/>
              </w:rPr>
            </w:pPr>
            <w:r>
              <w:rPr>
                <w:rFonts w:eastAsia="Times New Roman"/>
                <w:color w:val="000000"/>
                <w:sz w:val="20"/>
                <w:szCs w:val="20"/>
              </w:rPr>
              <w:t xml:space="preserve">Common stock, $1.00 </w:t>
            </w:r>
            <w:r>
              <w:rPr>
                <w:rFonts w:eastAsia="Times New Roman"/>
                <w:color w:val="000000"/>
                <w:sz w:val="20"/>
                <w:szCs w:val="20"/>
              </w:rPr>
              <w:t>par value, authorized 15,000,000 shares; issued 7,023,821 shares, respectively</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7,024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7,024</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Surplus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71,302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64,437</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Retained earnings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84,437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82,300</w:t>
            </w:r>
          </w:p>
        </w:tc>
      </w:tr>
      <w:tr w:rsidR="00000000">
        <w:trPr>
          <w:divId w:val="15949723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Accumulated other comprehensive (loss) income, net of tax</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(27,715)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3,293</w:t>
            </w:r>
          </w:p>
        </w:tc>
      </w:tr>
      <w:tr w:rsidR="00000000">
        <w:trPr>
          <w:divId w:val="1594972372"/>
        </w:trPr>
        <w:tc>
          <w:tcPr>
            <w:tcW w:w="0" w:type="auto"/>
            <w:gridSpan w:val="3"/>
            <w:tcMar>
              <w:top w:w="30" w:type="dxa"/>
              <w:left w:w="20" w:type="dxa"/>
              <w:bottom w:w="30" w:type="dxa"/>
              <w:right w:w="20" w:type="dxa"/>
            </w:tcMar>
            <w:vAlign w:val="bottom"/>
            <w:hideMark/>
          </w:tcPr>
          <w:p w:rsidR="00000000" w:rsidRDefault="00100014">
            <w:pPr>
              <w:spacing w:after="100"/>
              <w:divId w:val="1579363501"/>
              <w:rPr>
                <w:rFonts w:eastAsia="Times New Roman"/>
              </w:rPr>
            </w:pPr>
            <w:r>
              <w:rPr>
                <w:rFonts w:eastAsia="Times New Roman"/>
                <w:color w:val="000000"/>
                <w:sz w:val="20"/>
                <w:szCs w:val="20"/>
              </w:rPr>
              <w:t>Treasury stock; 515,570, and 406,846 shares, at cost, respectively</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(10,990)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(8,098)</w:t>
            </w:r>
          </w:p>
        </w:tc>
      </w:tr>
      <w:tr w:rsidR="00000000">
        <w:trPr>
          <w:divId w:val="15949723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stockholders’ equity</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124,058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148,956</w:t>
            </w:r>
          </w:p>
        </w:tc>
      </w:tr>
      <w:tr w:rsidR="00000000">
        <w:trPr>
          <w:divId w:val="1594972372"/>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1,789,976 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1,831,550 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rsidR="00000000" w:rsidRDefault="00100014">
      <w:pPr>
        <w:jc w:val="center"/>
        <w:divId w:val="1332680401"/>
        <w:rPr>
          <w:rFonts w:eastAsia="Times New Roman"/>
        </w:rPr>
      </w:pPr>
      <w:r>
        <w:rPr>
          <w:rFonts w:eastAsia="Times New Roman"/>
          <w:color w:val="000000"/>
          <w:sz w:val="20"/>
          <w:szCs w:val="20"/>
        </w:rPr>
        <w:t>2</w:t>
      </w:r>
    </w:p>
    <w:p w:rsidR="00000000" w:rsidRDefault="00100014">
      <w:pPr>
        <w:rPr>
          <w:rFonts w:eastAsia="Times New Roman"/>
        </w:rPr>
      </w:pPr>
      <w:r>
        <w:rPr>
          <w:rFonts w:eastAsia="Times New Roman"/>
        </w:rPr>
        <w:pict>
          <v:rect id="_x0000_i1026" style="width:0;height:1.5pt" o:hralign="center" o:hrstd="t" o:hr="t" fillcolor="#a0a0a0" stroked="f"/>
        </w:pict>
      </w:r>
    </w:p>
    <w:p w:rsidR="00000000" w:rsidRDefault="00100014">
      <w:pPr>
        <w:divId w:val="2116945333"/>
        <w:rPr>
          <w:rFonts w:eastAsia="Times New Roman"/>
        </w:rPr>
      </w:pPr>
    </w:p>
    <w:p w:rsidR="00000000" w:rsidRDefault="00100014">
      <w:pPr>
        <w:divId w:val="205602755"/>
        <w:rPr>
          <w:rFonts w:eastAsia="Times New Roman"/>
        </w:rPr>
      </w:pPr>
      <w:r>
        <w:rPr>
          <w:rFonts w:eastAsia="Times New Roman"/>
          <w:b/>
          <w:bCs/>
          <w:color w:val="000000"/>
          <w:sz w:val="20"/>
          <w:szCs w:val="20"/>
        </w:rPr>
        <w:t>HAWTHORN BANCSHARES, INC. AND SUBSIDIARIES</w:t>
      </w:r>
    </w:p>
    <w:p w:rsidR="00000000" w:rsidRDefault="00100014">
      <w:pPr>
        <w:divId w:val="691229105"/>
        <w:rPr>
          <w:rFonts w:eastAsia="Times New Roman"/>
        </w:rPr>
      </w:pPr>
      <w:r>
        <w:rPr>
          <w:rFonts w:eastAsia="Times New Roman"/>
          <w:b/>
          <w:bCs/>
          <w:color w:val="000000"/>
          <w:sz w:val="20"/>
          <w:szCs w:val="20"/>
        </w:rPr>
        <w:t xml:space="preserve">Consolidated Statements of Income </w:t>
      </w:r>
      <w:r>
        <w:rPr>
          <w:rFonts w:eastAsia="Times New Roman"/>
          <w:i/>
          <w:iCs/>
          <w:color w:val="000000"/>
          <w:sz w:val="20"/>
          <w:szCs w:val="20"/>
        </w:rPr>
        <w:t>(unaudited)</w:t>
      </w:r>
    </w:p>
    <w:tbl>
      <w:tblPr>
        <w:tblW w:w="4969" w:type="pct"/>
        <w:tblCellMar>
          <w:top w:w="15" w:type="dxa"/>
          <w:left w:w="15" w:type="dxa"/>
          <w:bottom w:w="15" w:type="dxa"/>
          <w:right w:w="15" w:type="dxa"/>
        </w:tblCellMar>
        <w:tblLook w:val="04A0" w:firstRow="1" w:lastRow="0" w:firstColumn="1" w:lastColumn="0" w:noHBand="0" w:noVBand="1"/>
      </w:tblPr>
      <w:tblGrid>
        <w:gridCol w:w="38"/>
        <w:gridCol w:w="3552"/>
        <w:gridCol w:w="37"/>
        <w:gridCol w:w="100"/>
        <w:gridCol w:w="940"/>
        <w:gridCol w:w="36"/>
        <w:gridCol w:w="36"/>
        <w:gridCol w:w="36"/>
        <w:gridCol w:w="36"/>
        <w:gridCol w:w="100"/>
        <w:gridCol w:w="940"/>
        <w:gridCol w:w="36"/>
        <w:gridCol w:w="36"/>
        <w:gridCol w:w="36"/>
        <w:gridCol w:w="36"/>
        <w:gridCol w:w="100"/>
        <w:gridCol w:w="940"/>
        <w:gridCol w:w="36"/>
        <w:gridCol w:w="36"/>
        <w:gridCol w:w="36"/>
        <w:gridCol w:w="36"/>
        <w:gridCol w:w="100"/>
        <w:gridCol w:w="940"/>
        <w:gridCol w:w="36"/>
      </w:tblGrid>
      <w:tr w:rsidR="00000000">
        <w:trPr>
          <w:divId w:val="658966133"/>
        </w:trPr>
        <w:tc>
          <w:tcPr>
            <w:tcW w:w="50" w:type="pct"/>
            <w:vAlign w:val="center"/>
            <w:hideMark/>
          </w:tcPr>
          <w:p w:rsidR="00000000" w:rsidRDefault="00100014">
            <w:pPr>
              <w:rPr>
                <w:rFonts w:eastAsia="Times New Roman"/>
              </w:rPr>
            </w:pPr>
          </w:p>
        </w:tc>
        <w:tc>
          <w:tcPr>
            <w:tcW w:w="220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658966133"/>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65896613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6"/>
                <w:szCs w:val="16"/>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INTEREST INCOME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and fees on loans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14,588 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13,885 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28,503 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28,864 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and fees on loans held for sale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54</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on investment securities:</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58966133"/>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lastRenderedPageBreak/>
              <w:t>Taxable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791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711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1,579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1,378</w:t>
            </w:r>
          </w:p>
        </w:tc>
      </w:tr>
      <w:tr w:rsidR="00000000">
        <w:trPr>
          <w:divId w:val="65896613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Nontaxable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624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375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621</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interest-bearing deposits and certificates of deposit in other banks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185</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Dividends on other investments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165</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16,142</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15,169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31,578</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31,272</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INTEREST EXPENSE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on deposits:</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58966133"/>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Savings, interest checking and money market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578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893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584</w:t>
            </w:r>
          </w:p>
        </w:tc>
      </w:tr>
      <w:tr w:rsidR="00000000">
        <w:trPr>
          <w:divId w:val="658966133"/>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 accounts $250,000 and over</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356</w:t>
            </w:r>
          </w:p>
        </w:tc>
      </w:tr>
      <w:tr w:rsidR="00000000">
        <w:trPr>
          <w:divId w:val="658966133"/>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471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820</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expense on deposits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902</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780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1,607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1,760</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on federal funds purchased and securities sold under agreements to repurchase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52</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on Federal Home Loan Bank advances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385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501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781</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on subordinated notes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745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617</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expense on borrowings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679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718</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1,265</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1,450</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expense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1,581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1,498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2,872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3,210</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14,561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13,671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28,706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28,062</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Provision for (release of)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400</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income after provision for (release of) loan losses</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13,361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13,271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30,006</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27,662</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NON-INTEREST INCOME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Service charges and other fees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835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1,504</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 card income and fees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1,063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1,022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2,024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1,882</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Trust department income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636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602</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servicing fees, net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478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424</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Gain on sale of mortgage loans, net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806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1,695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4,511</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913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310</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non-interest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3,648</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4,661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7,374</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9,233</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Investment securities (losses) gains,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NON-INTEREST EXPENSE</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Salaries and employee benefits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6,616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6,955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13,502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14,101</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Occupancy expense, net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719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1,550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1,490</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Furniture and equipment expense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771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753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1,497</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Processing, network, and bank card expense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1,224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2,284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2,232</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Legal, examination, and professional fees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375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789</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Advertising and promotion</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597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552</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Postage, printing, and supplies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390</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 expense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403</w:t>
            </w:r>
          </w:p>
        </w:tc>
      </w:tr>
      <w:tr w:rsidR="00000000">
        <w:trPr>
          <w:divId w:val="65896613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lastRenderedPageBreak/>
              <w:t>Other</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2,774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2,168</w:t>
            </w:r>
          </w:p>
        </w:tc>
      </w:tr>
      <w:tr w:rsidR="00000000">
        <w:trPr>
          <w:divId w:val="65896613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non-interest expense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11,540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11,841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23,767</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23,622</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Income before income taxes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5,460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6,091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13,600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13,288</w:t>
            </w:r>
          </w:p>
        </w:tc>
      </w:tr>
      <w:tr w:rsidR="00000000">
        <w:trPr>
          <w:divId w:val="65896613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Income tax expense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971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1,199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2,557</w:t>
            </w:r>
          </w:p>
        </w:tc>
      </w:tr>
      <w:tr w:rsidR="00000000">
        <w:trPr>
          <w:divId w:val="65896613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4,489 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4,892 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11,098 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10,731 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58966133"/>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Basic earnings per share</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0.66 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0.71 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58966133"/>
        </w:trPr>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Diluted earnings per share</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0.66 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0.71 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58966133"/>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658966133"/>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divId w:val="658966133"/>
        <w:rPr>
          <w:rFonts w:eastAsia="Times New Roman"/>
        </w:rPr>
      </w:pPr>
      <w:r>
        <w:rPr>
          <w:rFonts w:eastAsia="Times New Roman"/>
          <w:color w:val="000000"/>
          <w:sz w:val="18"/>
          <w:szCs w:val="18"/>
        </w:rPr>
        <w:t>See</w:t>
      </w:r>
      <w:r>
        <w:rPr>
          <w:rFonts w:eastAsia="Times New Roman"/>
          <w:color w:val="000000"/>
          <w:sz w:val="20"/>
          <w:szCs w:val="20"/>
        </w:rPr>
        <w:t xml:space="preserve"> </w:t>
      </w:r>
      <w:r>
        <w:rPr>
          <w:rFonts w:eastAsia="Times New Roman"/>
          <w:color w:val="000000"/>
          <w:sz w:val="18"/>
          <w:szCs w:val="18"/>
        </w:rPr>
        <w:t xml:space="preserve">accompanying notes to the consolidated financial statements </w:t>
      </w:r>
      <w:r>
        <w:rPr>
          <w:rFonts w:eastAsia="Times New Roman"/>
          <w:i/>
          <w:iCs/>
          <w:color w:val="000000"/>
          <w:sz w:val="18"/>
          <w:szCs w:val="18"/>
        </w:rPr>
        <w:t>(unaudited)</w:t>
      </w:r>
      <w:r>
        <w:rPr>
          <w:rFonts w:eastAsia="Times New Roman"/>
          <w:color w:val="000000"/>
          <w:sz w:val="18"/>
          <w:szCs w:val="18"/>
        </w:rPr>
        <w:t>.</w:t>
      </w:r>
    </w:p>
    <w:p w:rsidR="00000000" w:rsidRDefault="00100014">
      <w:pPr>
        <w:jc w:val="center"/>
        <w:divId w:val="792940539"/>
        <w:rPr>
          <w:rFonts w:eastAsia="Times New Roman"/>
        </w:rPr>
      </w:pPr>
      <w:r>
        <w:rPr>
          <w:rFonts w:eastAsia="Times New Roman"/>
          <w:color w:val="000000"/>
          <w:sz w:val="20"/>
          <w:szCs w:val="20"/>
        </w:rPr>
        <w:t>3</w:t>
      </w:r>
    </w:p>
    <w:p w:rsidR="00000000" w:rsidRDefault="00100014">
      <w:pPr>
        <w:rPr>
          <w:rFonts w:eastAsia="Times New Roman"/>
        </w:rPr>
      </w:pPr>
      <w:r>
        <w:rPr>
          <w:rFonts w:eastAsia="Times New Roman"/>
        </w:rPr>
        <w:pict>
          <v:rect id="_x0000_i1027" style="width:0;height:1.5pt" o:hralign="center" o:hrstd="t" o:hr="t" fillcolor="#a0a0a0" stroked="f"/>
        </w:pict>
      </w:r>
    </w:p>
    <w:p w:rsidR="00000000" w:rsidRDefault="00100014">
      <w:pPr>
        <w:divId w:val="297808479"/>
        <w:rPr>
          <w:rFonts w:eastAsia="Times New Roman"/>
        </w:rPr>
      </w:pPr>
    </w:p>
    <w:p w:rsidR="00000000" w:rsidRDefault="00100014">
      <w:pPr>
        <w:divId w:val="1462381932"/>
        <w:rPr>
          <w:rFonts w:eastAsia="Times New Roman"/>
        </w:rPr>
      </w:pPr>
      <w:r>
        <w:rPr>
          <w:rFonts w:eastAsia="Times New Roman"/>
          <w:b/>
          <w:bCs/>
          <w:color w:val="000000"/>
          <w:sz w:val="20"/>
          <w:szCs w:val="20"/>
        </w:rPr>
        <w:t>HAWTHORN BANCSHARES, INC. AND SUBSIDIARIES</w:t>
      </w:r>
    </w:p>
    <w:p w:rsidR="00000000" w:rsidRDefault="00100014">
      <w:pPr>
        <w:divId w:val="385682583"/>
        <w:rPr>
          <w:rFonts w:eastAsia="Times New Roman"/>
        </w:rPr>
      </w:pPr>
      <w:r>
        <w:rPr>
          <w:rFonts w:eastAsia="Times New Roman"/>
          <w:b/>
          <w:bCs/>
          <w:color w:val="000000"/>
          <w:sz w:val="20"/>
          <w:szCs w:val="20"/>
        </w:rPr>
        <w:t xml:space="preserve">Consolidated Statements of Comprehensive (Loss) Income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02"/>
        <w:gridCol w:w="37"/>
        <w:gridCol w:w="100"/>
        <w:gridCol w:w="940"/>
        <w:gridCol w:w="36"/>
        <w:gridCol w:w="36"/>
        <w:gridCol w:w="36"/>
        <w:gridCol w:w="36"/>
        <w:gridCol w:w="100"/>
        <w:gridCol w:w="940"/>
        <w:gridCol w:w="36"/>
        <w:gridCol w:w="36"/>
        <w:gridCol w:w="36"/>
        <w:gridCol w:w="36"/>
        <w:gridCol w:w="100"/>
        <w:gridCol w:w="940"/>
        <w:gridCol w:w="36"/>
        <w:gridCol w:w="36"/>
        <w:gridCol w:w="36"/>
        <w:gridCol w:w="36"/>
        <w:gridCol w:w="100"/>
        <w:gridCol w:w="940"/>
        <w:gridCol w:w="36"/>
      </w:tblGrid>
      <w:tr w:rsidR="00000000">
        <w:trPr>
          <w:divId w:val="139274442"/>
        </w:trPr>
        <w:tc>
          <w:tcPr>
            <w:tcW w:w="50" w:type="pct"/>
            <w:vAlign w:val="center"/>
            <w:hideMark/>
          </w:tcPr>
          <w:p w:rsidR="00000000" w:rsidRDefault="00100014">
            <w:pPr>
              <w:rPr>
                <w:rFonts w:eastAsia="Times New Roman"/>
              </w:rPr>
            </w:pPr>
          </w:p>
        </w:tc>
        <w:tc>
          <w:tcPr>
            <w:tcW w:w="221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9274442"/>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3927444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3927444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4,489 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4,892 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11,098 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10,731 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927444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Other comprehensive (loss) income, net of tax</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13927444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Investment securities available-for-sale:</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9274442"/>
        </w:trPr>
        <w:tc>
          <w:tcPr>
            <w:tcW w:w="0" w:type="auto"/>
            <w:gridSpan w:val="3"/>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Change in unrealized (losses) gains on investment securities available-for-sale, net of tax</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(11,426)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1,748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(1,030)</w:t>
            </w:r>
          </w:p>
        </w:tc>
      </w:tr>
      <w:tr w:rsidR="00000000">
        <w:trPr>
          <w:divId w:val="139274442"/>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Adjustment for gains on sale of investment securities, net of tax</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r>
      <w:tr w:rsidR="00000000">
        <w:trPr>
          <w:divId w:val="13927444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Defined benefit pension plans: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139274442"/>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39274442"/>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Amortization of prior service cost included in net periodic pension cost, net of tax</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145</w:t>
            </w:r>
          </w:p>
        </w:tc>
      </w:tr>
      <w:tr w:rsidR="00000000">
        <w:trPr>
          <w:divId w:val="13927444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other comprehensive (loss) income</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(11,426)</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1,858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(887)</w:t>
            </w:r>
          </w:p>
        </w:tc>
      </w:tr>
      <w:tr w:rsidR="00000000">
        <w:trPr>
          <w:divId w:val="13927444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comprehensive (loss) income</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(6,937)</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6,750 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(19,910)</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9,844 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9274442"/>
          <w:trHeight w:val="300"/>
        </w:trPr>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divId w:val="1567300671"/>
        <w:rPr>
          <w:rFonts w:eastAsia="Times New Roman"/>
        </w:rPr>
      </w:pPr>
    </w:p>
    <w:p w:rsidR="00000000" w:rsidRDefault="00100014">
      <w:pPr>
        <w:jc w:val="both"/>
        <w:divId w:val="884097482"/>
        <w:rPr>
          <w:rFonts w:eastAsia="Times New Roman"/>
        </w:rPr>
      </w:pPr>
      <w:r>
        <w:rPr>
          <w:rFonts w:eastAsia="Times New Roman"/>
          <w:color w:val="000000"/>
          <w:sz w:val="16"/>
          <w:szCs w:val="16"/>
        </w:rPr>
        <w:t>See accompanying notes to the consolidated financial statements</w:t>
      </w:r>
      <w:r>
        <w:rPr>
          <w:rFonts w:eastAsia="Times New Roman"/>
          <w:color w:val="000000"/>
          <w:sz w:val="20"/>
          <w:szCs w:val="20"/>
        </w:rPr>
        <w:t xml:space="preserve"> </w:t>
      </w:r>
      <w:r>
        <w:rPr>
          <w:rFonts w:eastAsia="Times New Roman"/>
          <w:i/>
          <w:iCs/>
          <w:color w:val="000000"/>
          <w:sz w:val="16"/>
          <w:szCs w:val="16"/>
        </w:rPr>
        <w:t>(unaudited)</w:t>
      </w:r>
      <w:r>
        <w:rPr>
          <w:rFonts w:eastAsia="Times New Roman"/>
          <w:color w:val="000000"/>
          <w:sz w:val="16"/>
          <w:szCs w:val="16"/>
        </w:rPr>
        <w:t>.</w:t>
      </w:r>
    </w:p>
    <w:p w:rsidR="00000000" w:rsidRDefault="00100014">
      <w:pPr>
        <w:jc w:val="center"/>
        <w:divId w:val="2518794"/>
        <w:rPr>
          <w:rFonts w:eastAsia="Times New Roman"/>
        </w:rPr>
      </w:pPr>
      <w:r>
        <w:rPr>
          <w:rFonts w:eastAsia="Times New Roman"/>
          <w:color w:val="000000"/>
          <w:sz w:val="20"/>
          <w:szCs w:val="20"/>
        </w:rPr>
        <w:t>4</w:t>
      </w:r>
    </w:p>
    <w:p w:rsidR="00000000" w:rsidRDefault="00100014">
      <w:pPr>
        <w:rPr>
          <w:rFonts w:eastAsia="Times New Roman"/>
        </w:rPr>
      </w:pPr>
      <w:r>
        <w:rPr>
          <w:rFonts w:eastAsia="Times New Roman"/>
        </w:rPr>
        <w:pict>
          <v:rect id="_x0000_i1028" style="width:0;height:1.5pt" o:hralign="center" o:hrstd="t" o:hr="t" fillcolor="#a0a0a0" stroked="f"/>
        </w:pict>
      </w:r>
    </w:p>
    <w:p w:rsidR="00000000" w:rsidRDefault="00100014">
      <w:pPr>
        <w:divId w:val="1575818590"/>
        <w:rPr>
          <w:rFonts w:eastAsia="Times New Roman"/>
        </w:rPr>
      </w:pPr>
    </w:p>
    <w:p w:rsidR="00000000" w:rsidRDefault="00100014">
      <w:pPr>
        <w:divId w:val="1895851253"/>
        <w:rPr>
          <w:rFonts w:eastAsia="Times New Roman"/>
        </w:rPr>
      </w:pPr>
      <w:r>
        <w:rPr>
          <w:rFonts w:eastAsia="Times New Roman"/>
          <w:b/>
          <w:bCs/>
          <w:color w:val="000000"/>
          <w:sz w:val="20"/>
          <w:szCs w:val="20"/>
        </w:rPr>
        <w:t>HAWTHORN BANCSHARES, INC. AND SUBSIDIARIES</w:t>
      </w:r>
    </w:p>
    <w:p w:rsidR="00000000" w:rsidRDefault="00100014">
      <w:pPr>
        <w:divId w:val="718670040"/>
        <w:rPr>
          <w:rFonts w:eastAsia="Times New Roman"/>
        </w:rPr>
      </w:pPr>
      <w:r>
        <w:rPr>
          <w:rFonts w:eastAsia="Times New Roman"/>
          <w:b/>
          <w:bCs/>
          <w:color w:val="000000"/>
          <w:sz w:val="20"/>
          <w:szCs w:val="20"/>
        </w:rPr>
        <w:t xml:space="preserve">Consolidated Statements of Stockholders’ Equity </w:t>
      </w:r>
      <w:r>
        <w:rPr>
          <w:rFonts w:eastAsia="Times New Roman"/>
          <w:i/>
          <w:i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196"/>
        <w:gridCol w:w="37"/>
        <w:gridCol w:w="101"/>
        <w:gridCol w:w="512"/>
        <w:gridCol w:w="36"/>
        <w:gridCol w:w="36"/>
        <w:gridCol w:w="36"/>
        <w:gridCol w:w="36"/>
        <w:gridCol w:w="100"/>
        <w:gridCol w:w="480"/>
        <w:gridCol w:w="36"/>
        <w:gridCol w:w="36"/>
        <w:gridCol w:w="36"/>
        <w:gridCol w:w="36"/>
        <w:gridCol w:w="100"/>
        <w:gridCol w:w="480"/>
        <w:gridCol w:w="36"/>
        <w:gridCol w:w="36"/>
        <w:gridCol w:w="36"/>
        <w:gridCol w:w="36"/>
        <w:gridCol w:w="101"/>
        <w:gridCol w:w="885"/>
        <w:gridCol w:w="36"/>
        <w:gridCol w:w="36"/>
        <w:gridCol w:w="36"/>
        <w:gridCol w:w="36"/>
        <w:gridCol w:w="100"/>
        <w:gridCol w:w="547"/>
        <w:gridCol w:w="36"/>
        <w:gridCol w:w="36"/>
        <w:gridCol w:w="36"/>
        <w:gridCol w:w="36"/>
        <w:gridCol w:w="101"/>
        <w:gridCol w:w="772"/>
        <w:gridCol w:w="36"/>
      </w:tblGrid>
      <w:tr w:rsidR="00000000">
        <w:trPr>
          <w:divId w:val="1176193682"/>
        </w:trPr>
        <w:tc>
          <w:tcPr>
            <w:tcW w:w="50" w:type="pct"/>
            <w:vAlign w:val="center"/>
            <w:hideMark/>
          </w:tcPr>
          <w:p w:rsidR="00000000" w:rsidRDefault="00100014">
            <w:pPr>
              <w:rPr>
                <w:rFonts w:eastAsia="Times New Roman"/>
              </w:rPr>
            </w:pPr>
          </w:p>
        </w:tc>
        <w:tc>
          <w:tcPr>
            <w:tcW w:w="20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 2022 and 2021</w:t>
            </w:r>
          </w:p>
        </w:tc>
      </w:tr>
      <w:tr w:rsidR="00000000">
        <w:trPr>
          <w:divId w:val="117619368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4"/>
                <w:szCs w:val="14"/>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Surplus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 Stockholders' Equity</w:t>
            </w:r>
          </w:p>
        </w:tc>
      </w:tr>
      <w:tr w:rsidR="00000000">
        <w:trPr>
          <w:divId w:val="117619368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200125743"/>
              <w:rPr>
                <w:rFonts w:eastAsia="Times New Roman"/>
              </w:rPr>
            </w:pPr>
            <w:r>
              <w:rPr>
                <w:rFonts w:eastAsia="Times New Roman"/>
                <w:b/>
                <w:bCs/>
                <w:color w:val="000000"/>
                <w:sz w:val="16"/>
                <w:szCs w:val="16"/>
              </w:rPr>
              <w:t>Balance, March 31,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87,919 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(16,289)</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(8,704)</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134,387 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7619368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4,489</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4,489</w:t>
            </w:r>
          </w:p>
        </w:tc>
      </w:tr>
      <w:tr w:rsidR="00000000">
        <w:trPr>
          <w:divId w:val="117619368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(11,426)</w:t>
            </w:r>
          </w:p>
        </w:tc>
      </w:tr>
      <w:tr w:rsidR="00000000">
        <w:trPr>
          <w:divId w:val="117619368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(2,286)</w:t>
            </w:r>
          </w:p>
        </w:tc>
      </w:tr>
      <w:tr w:rsidR="00000000">
        <w:trPr>
          <w:divId w:val="117619368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lastRenderedPageBreak/>
              <w:t>Stock dividend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17619368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2120031252"/>
              <w:rPr>
                <w:rFonts w:eastAsia="Times New Roman"/>
              </w:rPr>
            </w:pPr>
            <w:r>
              <w:rPr>
                <w:rFonts w:eastAsia="Times New Roman"/>
                <w:color w:val="000000"/>
                <w:sz w:val="16"/>
                <w:szCs w:val="16"/>
              </w:rPr>
              <w:t>Cash dividends declared, common stock ($0.17 per share)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(1,106)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(1,106)</w:t>
            </w:r>
          </w:p>
        </w:tc>
      </w:tr>
      <w:tr w:rsidR="00000000">
        <w:trPr>
          <w:divId w:val="117619368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278172679"/>
              <w:rPr>
                <w:rFonts w:eastAsia="Times New Roman"/>
              </w:rPr>
            </w:pPr>
            <w:r>
              <w:rPr>
                <w:rFonts w:eastAsia="Times New Roman"/>
                <w:b/>
                <w:bCs/>
                <w:color w:val="000000"/>
                <w:sz w:val="16"/>
                <w:szCs w:val="16"/>
              </w:rPr>
              <w:t>Balance, June 30,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71,302 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84,437 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(27,715)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(10,990)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124,058 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76193682"/>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245526116"/>
              <w:rPr>
                <w:rFonts w:eastAsia="Times New Roman"/>
              </w:rPr>
            </w:pPr>
            <w:r>
              <w:rPr>
                <w:rFonts w:eastAsia="Times New Roman"/>
                <w:b/>
                <w:bCs/>
                <w:color w:val="000000"/>
                <w:sz w:val="16"/>
                <w:szCs w:val="16"/>
              </w:rPr>
              <w:t>Balance, March 31, 2021</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6,769 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59,307 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73,947 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(1,217)</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(8,098)</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130,708 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76193682"/>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4,892</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4,892</w:t>
            </w:r>
          </w:p>
        </w:tc>
      </w:tr>
      <w:tr w:rsidR="00000000">
        <w:trPr>
          <w:divId w:val="117619368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1,858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1,858</w:t>
            </w:r>
          </w:p>
        </w:tc>
      </w:tr>
      <w:tr w:rsidR="00000000">
        <w:trPr>
          <w:divId w:val="1176193682"/>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Stock dividend</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5,385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(5,385)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17619368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1836409755"/>
              <w:rPr>
                <w:rFonts w:eastAsia="Times New Roman"/>
              </w:rPr>
            </w:pPr>
            <w:r>
              <w:rPr>
                <w:rFonts w:eastAsia="Times New Roman"/>
                <w:color w:val="000000"/>
                <w:sz w:val="16"/>
                <w:szCs w:val="16"/>
              </w:rPr>
              <w:t>Cash dividends declared, common stock ($0.15 per share)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(955)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(955)</w:t>
            </w:r>
          </w:p>
        </w:tc>
      </w:tr>
      <w:tr w:rsidR="00000000">
        <w:trPr>
          <w:divId w:val="1176193682"/>
        </w:trPr>
        <w:tc>
          <w:tcPr>
            <w:tcW w:w="0" w:type="auto"/>
            <w:gridSpan w:val="3"/>
            <w:tcBorders>
              <w:top w:val="single" w:sz="6"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divId w:val="1632202691"/>
              <w:rPr>
                <w:rFonts w:eastAsia="Times New Roman"/>
              </w:rPr>
            </w:pPr>
            <w:r>
              <w:rPr>
                <w:rFonts w:eastAsia="Times New Roman"/>
                <w:b/>
                <w:bCs/>
                <w:color w:val="000000"/>
                <w:sz w:val="16"/>
                <w:szCs w:val="16"/>
              </w:rPr>
              <w:t>Balance, June 30, 2021</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6,769 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64,692 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72,499 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(8,098)</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136,503 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76193682"/>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76193682"/>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38"/>
        <w:gridCol w:w="3196"/>
        <w:gridCol w:w="37"/>
        <w:gridCol w:w="101"/>
        <w:gridCol w:w="512"/>
        <w:gridCol w:w="36"/>
        <w:gridCol w:w="36"/>
        <w:gridCol w:w="36"/>
        <w:gridCol w:w="36"/>
        <w:gridCol w:w="100"/>
        <w:gridCol w:w="480"/>
        <w:gridCol w:w="36"/>
        <w:gridCol w:w="36"/>
        <w:gridCol w:w="36"/>
        <w:gridCol w:w="36"/>
        <w:gridCol w:w="100"/>
        <w:gridCol w:w="480"/>
        <w:gridCol w:w="36"/>
        <w:gridCol w:w="36"/>
        <w:gridCol w:w="36"/>
        <w:gridCol w:w="36"/>
        <w:gridCol w:w="101"/>
        <w:gridCol w:w="885"/>
        <w:gridCol w:w="36"/>
        <w:gridCol w:w="36"/>
        <w:gridCol w:w="36"/>
        <w:gridCol w:w="36"/>
        <w:gridCol w:w="100"/>
        <w:gridCol w:w="547"/>
        <w:gridCol w:w="36"/>
        <w:gridCol w:w="36"/>
        <w:gridCol w:w="36"/>
        <w:gridCol w:w="36"/>
        <w:gridCol w:w="101"/>
        <w:gridCol w:w="772"/>
        <w:gridCol w:w="36"/>
      </w:tblGrid>
      <w:tr w:rsidR="00000000">
        <w:tc>
          <w:tcPr>
            <w:tcW w:w="50" w:type="pct"/>
            <w:vAlign w:val="center"/>
            <w:hideMark/>
          </w:tcPr>
          <w:p w:rsidR="00000000" w:rsidRDefault="00100014">
            <w:pPr>
              <w:rPr>
                <w:rFonts w:eastAsia="Times New Roman"/>
              </w:rPr>
            </w:pPr>
          </w:p>
        </w:tc>
        <w:tc>
          <w:tcPr>
            <w:tcW w:w="20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 2022 and 2021</w:t>
            </w: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4"/>
                <w:szCs w:val="14"/>
              </w:rPr>
              <w:t>(In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Surplus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 Stockholders' Equity</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340545443"/>
              <w:rPr>
                <w:rFonts w:eastAsia="Times New Roman"/>
              </w:rPr>
            </w:pPr>
            <w:r>
              <w:rPr>
                <w:rFonts w:eastAsia="Times New Roman"/>
                <w:b/>
                <w:bCs/>
                <w:color w:val="000000"/>
                <w:sz w:val="16"/>
                <w:szCs w:val="16"/>
              </w:rPr>
              <w:t>Balance, December 31, 2021</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82,300 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3,293 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(8,098)</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148,956 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11,098</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11,098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r>
              <w:rPr>
                <w:rFonts w:eastAsia="Times New Roman"/>
                <w:color w:val="000000"/>
                <w:sz w:val="16"/>
                <w:szCs w:val="16"/>
              </w:rPr>
              <w:t>2,892)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(2,892)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Stock dividend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409423800"/>
              <w:rPr>
                <w:rFonts w:eastAsia="Times New Roman"/>
              </w:rPr>
            </w:pPr>
            <w:r>
              <w:rPr>
                <w:rFonts w:eastAsia="Times New Roman"/>
                <w:color w:val="000000"/>
                <w:sz w:val="16"/>
                <w:szCs w:val="16"/>
              </w:rPr>
              <w:t>Cash dividends declared, common stock ($0.32 per share)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(2,096)</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709799262"/>
              <w:rPr>
                <w:rFonts w:eastAsia="Times New Roman"/>
              </w:rPr>
            </w:pPr>
            <w:r>
              <w:rPr>
                <w:rFonts w:eastAsia="Times New Roman"/>
                <w:b/>
                <w:bCs/>
                <w:color w:val="000000"/>
                <w:sz w:val="16"/>
                <w:szCs w:val="16"/>
              </w:rPr>
              <w:t>Balance, June 30, 2022</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7,024 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71,302 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84,437 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(27,715)</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(10,990)</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124,058 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5793768"/>
              <w:rPr>
                <w:rFonts w:eastAsia="Times New Roman"/>
              </w:rPr>
            </w:pPr>
            <w:r>
              <w:rPr>
                <w:rFonts w:eastAsia="Times New Roman"/>
                <w:b/>
                <w:bCs/>
                <w:color w:val="000000"/>
                <w:sz w:val="16"/>
                <w:szCs w:val="16"/>
              </w:rPr>
              <w:t>Balance, December 31, 2020</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6,769 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59,307 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68,935 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(5,950)</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130,589 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w:t>
            </w: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10,731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10,731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(887)</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(2,148)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(2,148)</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Stock dividend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5,385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(5,385)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1315063017"/>
              <w:rPr>
                <w:rFonts w:eastAsia="Times New Roman"/>
              </w:rPr>
            </w:pPr>
            <w:r>
              <w:rPr>
                <w:rFonts w:eastAsia="Times New Roman"/>
                <w:color w:val="000000"/>
                <w:sz w:val="16"/>
                <w:szCs w:val="16"/>
              </w:rPr>
              <w:t>Cash dividends declared, common stock ($0.28 per share)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(1,782)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(1,782)</w:t>
            </w:r>
          </w:p>
        </w:tc>
      </w:tr>
      <w:tr w:rsidR="00000000">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1003777751"/>
              <w:rPr>
                <w:rFonts w:eastAsia="Times New Roman"/>
              </w:rPr>
            </w:pPr>
            <w:r>
              <w:rPr>
                <w:rFonts w:eastAsia="Times New Roman"/>
                <w:b/>
                <w:bCs/>
                <w:color w:val="000000"/>
                <w:sz w:val="16"/>
                <w:szCs w:val="16"/>
              </w:rPr>
              <w:t>Balance, June 30, 2021</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6,769 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64,692 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72,499 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641 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(8,098)</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136,503 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divId w:val="142040972"/>
        <w:rPr>
          <w:rFonts w:eastAsia="Times New Roman"/>
        </w:rPr>
      </w:pPr>
    </w:p>
    <w:p w:rsidR="00000000" w:rsidRDefault="00100014">
      <w:pPr>
        <w:jc w:val="both"/>
        <w:divId w:val="812527713"/>
        <w:rPr>
          <w:rFonts w:eastAsia="Times New Roman"/>
        </w:rPr>
      </w:pPr>
      <w:r>
        <w:rPr>
          <w:rFonts w:eastAsia="Times New Roman"/>
          <w:color w:val="000000"/>
          <w:sz w:val="20"/>
          <w:szCs w:val="20"/>
        </w:rPr>
        <w:t xml:space="preserve">See accompanying notes to the consolidated financial statements </w:t>
      </w:r>
      <w:r>
        <w:rPr>
          <w:rFonts w:eastAsia="Times New Roman"/>
          <w:i/>
          <w:iCs/>
          <w:color w:val="000000"/>
          <w:sz w:val="20"/>
          <w:szCs w:val="20"/>
        </w:rPr>
        <w:t>(unaudited)</w:t>
      </w:r>
      <w:r>
        <w:rPr>
          <w:rFonts w:eastAsia="Times New Roman"/>
          <w:color w:val="000000"/>
          <w:sz w:val="20"/>
          <w:szCs w:val="20"/>
        </w:rPr>
        <w:t>.</w:t>
      </w:r>
    </w:p>
    <w:p w:rsidR="00000000" w:rsidRDefault="00100014">
      <w:pPr>
        <w:jc w:val="center"/>
        <w:divId w:val="40447497"/>
        <w:rPr>
          <w:rFonts w:eastAsia="Times New Roman"/>
        </w:rPr>
      </w:pPr>
      <w:r>
        <w:rPr>
          <w:rFonts w:eastAsia="Times New Roman"/>
          <w:color w:val="000000"/>
          <w:sz w:val="20"/>
          <w:szCs w:val="20"/>
        </w:rPr>
        <w:t>5</w:t>
      </w:r>
    </w:p>
    <w:p w:rsidR="00000000" w:rsidRDefault="00100014">
      <w:pPr>
        <w:rPr>
          <w:rFonts w:eastAsia="Times New Roman"/>
        </w:rPr>
      </w:pPr>
      <w:r>
        <w:rPr>
          <w:rFonts w:eastAsia="Times New Roman"/>
        </w:rPr>
        <w:pict>
          <v:rect id="_x0000_i1029" style="width:0;height:1.5pt" o:hralign="center" o:hrstd="t" o:hr="t" fillcolor="#a0a0a0" stroked="f"/>
        </w:pict>
      </w:r>
    </w:p>
    <w:p w:rsidR="00000000" w:rsidRDefault="00100014">
      <w:pPr>
        <w:divId w:val="142357007"/>
        <w:rPr>
          <w:rFonts w:eastAsia="Times New Roman"/>
        </w:rPr>
      </w:pPr>
    </w:p>
    <w:p w:rsidR="00000000" w:rsidRDefault="00100014">
      <w:pPr>
        <w:divId w:val="9181164"/>
        <w:rPr>
          <w:rFonts w:eastAsia="Times New Roman"/>
        </w:rPr>
      </w:pPr>
      <w:r>
        <w:rPr>
          <w:rFonts w:eastAsia="Times New Roman"/>
          <w:b/>
          <w:bCs/>
          <w:color w:val="000000"/>
          <w:sz w:val="18"/>
          <w:szCs w:val="18"/>
        </w:rPr>
        <w:t>HAWTHORN BANCSHARES, INC. AND SUBSIDIARIES</w:t>
      </w:r>
    </w:p>
    <w:p w:rsidR="00000000" w:rsidRDefault="00100014">
      <w:pPr>
        <w:divId w:val="1237285623"/>
        <w:rPr>
          <w:rFonts w:eastAsia="Times New Roman"/>
        </w:rPr>
      </w:pPr>
      <w:r>
        <w:rPr>
          <w:rFonts w:eastAsia="Times New Roman"/>
          <w:b/>
          <w:bCs/>
          <w:color w:val="000000"/>
          <w:sz w:val="18"/>
          <w:szCs w:val="18"/>
        </w:rPr>
        <w:t xml:space="preserve">Consolidated Statements of Cash Flows </w:t>
      </w: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29"/>
        <w:gridCol w:w="38"/>
        <w:gridCol w:w="101"/>
        <w:gridCol w:w="958"/>
        <w:gridCol w:w="37"/>
        <w:gridCol w:w="36"/>
        <w:gridCol w:w="36"/>
        <w:gridCol w:w="36"/>
        <w:gridCol w:w="101"/>
        <w:gridCol w:w="958"/>
        <w:gridCol w:w="37"/>
      </w:tblGrid>
      <w:tr w:rsidR="00000000">
        <w:trPr>
          <w:divId w:val="1221865109"/>
        </w:trPr>
        <w:tc>
          <w:tcPr>
            <w:tcW w:w="50" w:type="pct"/>
            <w:vAlign w:val="center"/>
            <w:hideMark/>
          </w:tcPr>
          <w:p w:rsidR="00000000" w:rsidRDefault="00100014">
            <w:pPr>
              <w:rPr>
                <w:rFonts w:eastAsia="Times New Roman"/>
              </w:rPr>
            </w:pPr>
          </w:p>
        </w:tc>
        <w:tc>
          <w:tcPr>
            <w:tcW w:w="3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22186510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22186510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Cash flows from operating activities: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11,098 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10,731 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(Release of) provision for loan losses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400</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Depreciation expense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1,083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1,155</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amortization of investment securities, premiums, and discounts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878</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Change in fair value of mortgage servicing rights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(38)</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Investment securities losses (gains), net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(Gain) losses on sales and dispositions of premises and equipment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Gain on sales and dispositions of other real estate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w:t>
            </w:r>
          </w:p>
        </w:tc>
      </w:tr>
      <w:tr w:rsidR="00000000">
        <w:trPr>
          <w:divId w:val="1221865109"/>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(Release of) provision for other real estate owned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84</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Decrease (increase) in accrued interest receivable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(209)</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Increase in cash surrender value - life insurance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(Increase) decrease in other assets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387</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Decrease in 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(154)</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Increase (decrease) in accrued interest payable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(461)</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Decrease in other liabilities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(4,358)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(2,034)</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Origination of mortgage loans held for sale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(52,610)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(121,386)</w:t>
            </w:r>
          </w:p>
        </w:tc>
      </w:tr>
      <w:tr w:rsidR="00000000">
        <w:trPr>
          <w:divId w:val="122186510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the sale of mortgage loans held for sale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54,748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128,217</w:t>
            </w:r>
          </w:p>
        </w:tc>
      </w:tr>
      <w:tr w:rsidR="00000000">
        <w:trPr>
          <w:divId w:val="122186510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Gain on sale of mortgage loans, net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(1,695)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(4,511)</w:t>
            </w:r>
          </w:p>
        </w:tc>
      </w:tr>
      <w:tr w:rsidR="00000000">
        <w:trPr>
          <w:divId w:val="1221865109"/>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cash provided by operating activities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6,504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12,994</w:t>
            </w:r>
          </w:p>
        </w:tc>
      </w:tr>
      <w:tr w:rsidR="00000000">
        <w:trPr>
          <w:divId w:val="122186510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certificates of deposit in other banks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(245)</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maturities of certificates of deposit in other banks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988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2,467</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increase in loans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(125,843)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(6,735)</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available-for-sale debt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(17,174)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(114,520)</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maturities of available-for-sale debt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18,478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20,491</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calls of available-for-sale debt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2,280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13,852</w:t>
            </w:r>
          </w:p>
        </w:tc>
      </w:tr>
      <w:tr w:rsidR="00000000">
        <w:trPr>
          <w:divId w:val="1221865109"/>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Purchases of FHLB stock</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(3,833)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(327)</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sales of FHLB stock</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4,119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684</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Purchases of premises and equipment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(1,653)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(247)</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sales of premises and equipment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w:t>
            </w:r>
          </w:p>
        </w:tc>
      </w:tr>
      <w:tr w:rsidR="00000000">
        <w:trPr>
          <w:divId w:val="1221865109"/>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Proceeds from sales of other real estate and repossessed assets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324</w:t>
            </w:r>
          </w:p>
        </w:tc>
      </w:tr>
      <w:tr w:rsidR="00000000">
        <w:trPr>
          <w:divId w:val="122186510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cash used in investing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(120,992)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(84,244)</w:t>
            </w:r>
          </w:p>
        </w:tc>
      </w:tr>
      <w:tr w:rsidR="00000000">
        <w:trPr>
          <w:divId w:val="122186510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increase in demand deposits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18,696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50,796</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decrease in interest-bearing transaction accounts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(22,304)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(19,573)</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increase (decrease) in time deposits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17,596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(33,828)</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decrease in 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(16,894)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(13,136)</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Repayment of FHLB advances and other borrowings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(95,477)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(13,120)</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FHLB advances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86,059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Purchase of treasury stock</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(2,892)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(2,148)</w:t>
            </w:r>
          </w:p>
        </w:tc>
      </w:tr>
      <w:tr w:rsidR="00000000">
        <w:trPr>
          <w:divId w:val="122186510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dividends paid - common stock</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(1,983)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(1,670)</w:t>
            </w:r>
          </w:p>
        </w:tc>
      </w:tr>
      <w:tr w:rsidR="00000000">
        <w:trPr>
          <w:divId w:val="122186510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cash used in financing activities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(17,199)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(32,679)</w:t>
            </w:r>
          </w:p>
        </w:tc>
      </w:tr>
      <w:tr w:rsidR="00000000">
        <w:trPr>
          <w:divId w:val="122186510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decrease in cash and cash equivalents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(131,687)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(103,929)</w:t>
            </w:r>
          </w:p>
        </w:tc>
      </w:tr>
      <w:tr w:rsidR="00000000">
        <w:trPr>
          <w:divId w:val="122186510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and cash equivalents, beginning of period</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159,909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180,363</w:t>
            </w:r>
          </w:p>
        </w:tc>
      </w:tr>
      <w:tr w:rsidR="00000000">
        <w:trPr>
          <w:divId w:val="1221865109"/>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Cash and cash equivalents,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76,434 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2186510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2186510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jc w:val="both"/>
        <w:divId w:val="300889901"/>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rsidR="00000000" w:rsidRDefault="00100014">
      <w:pPr>
        <w:jc w:val="both"/>
        <w:divId w:val="1402100694"/>
        <w:rPr>
          <w:rFonts w:eastAsia="Times New Roman"/>
        </w:rPr>
      </w:pPr>
    </w:p>
    <w:p w:rsidR="00000000" w:rsidRDefault="00100014">
      <w:pPr>
        <w:jc w:val="both"/>
        <w:divId w:val="1306086979"/>
        <w:rPr>
          <w:rFonts w:eastAsia="Times New Roman"/>
        </w:rPr>
      </w:pPr>
    </w:p>
    <w:p w:rsidR="00000000" w:rsidRDefault="00100014">
      <w:pPr>
        <w:jc w:val="center"/>
        <w:divId w:val="2012760481"/>
        <w:rPr>
          <w:rFonts w:eastAsia="Times New Roman"/>
        </w:rPr>
      </w:pPr>
      <w:r>
        <w:rPr>
          <w:rFonts w:eastAsia="Times New Roman"/>
          <w:color w:val="000000"/>
          <w:sz w:val="20"/>
          <w:szCs w:val="20"/>
        </w:rPr>
        <w:t>6</w:t>
      </w:r>
    </w:p>
    <w:p w:rsidR="00000000" w:rsidRDefault="00100014">
      <w:pPr>
        <w:rPr>
          <w:rFonts w:eastAsia="Times New Roman"/>
        </w:rPr>
      </w:pPr>
      <w:r>
        <w:rPr>
          <w:rFonts w:eastAsia="Times New Roman"/>
        </w:rPr>
        <w:pict>
          <v:rect id="_x0000_i1030" style="width:0;height:1.5pt" o:hralign="center" o:hrstd="t" o:hr="t" fillcolor="#a0a0a0" stroked="f"/>
        </w:pict>
      </w:r>
    </w:p>
    <w:p w:rsidR="00000000" w:rsidRDefault="00100014">
      <w:pPr>
        <w:divId w:val="1543207021"/>
        <w:rPr>
          <w:rFonts w:eastAsia="Times New Roman"/>
        </w:rPr>
      </w:pPr>
    </w:p>
    <w:p w:rsidR="00000000" w:rsidRDefault="00100014">
      <w:pPr>
        <w:jc w:val="both"/>
        <w:divId w:val="2134521374"/>
        <w:rPr>
          <w:rFonts w:eastAsia="Times New Roman"/>
        </w:rPr>
      </w:pPr>
    </w:p>
    <w:p w:rsidR="00000000" w:rsidRDefault="00100014">
      <w:pPr>
        <w:divId w:val="687216226"/>
        <w:rPr>
          <w:rFonts w:eastAsia="Times New Roman"/>
        </w:rPr>
      </w:pPr>
      <w:r>
        <w:rPr>
          <w:rFonts w:eastAsia="Times New Roman"/>
          <w:b/>
          <w:bCs/>
          <w:color w:val="000000"/>
          <w:sz w:val="18"/>
          <w:szCs w:val="18"/>
        </w:rPr>
        <w:t>HAWTHORN BANCSHARES, INC. AND SUBSIDIARIES</w:t>
      </w:r>
    </w:p>
    <w:p w:rsidR="00000000" w:rsidRDefault="00100014">
      <w:pPr>
        <w:divId w:val="1230917744"/>
        <w:rPr>
          <w:rFonts w:eastAsia="Times New Roman"/>
        </w:rPr>
      </w:pPr>
      <w:r>
        <w:rPr>
          <w:rFonts w:eastAsia="Times New Roman"/>
          <w:b/>
          <w:bCs/>
          <w:color w:val="000000"/>
          <w:sz w:val="18"/>
          <w:szCs w:val="18"/>
        </w:rPr>
        <w:t>Consolidated Statements of Cash Flows</w:t>
      </w:r>
      <w:r>
        <w:rPr>
          <w:rFonts w:eastAsia="Times New Roman"/>
          <w:i/>
          <w:iCs/>
          <w:color w:val="000000"/>
          <w:sz w:val="18"/>
          <w:szCs w:val="18"/>
        </w:rPr>
        <w:t xml:space="preserve"> (unaudited)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5931"/>
        <w:gridCol w:w="37"/>
        <w:gridCol w:w="100"/>
        <w:gridCol w:w="959"/>
        <w:gridCol w:w="36"/>
        <w:gridCol w:w="36"/>
        <w:gridCol w:w="36"/>
        <w:gridCol w:w="36"/>
        <w:gridCol w:w="100"/>
        <w:gridCol w:w="960"/>
        <w:gridCol w:w="36"/>
      </w:tblGrid>
      <w:tr w:rsidR="00000000">
        <w:trPr>
          <w:divId w:val="1543443519"/>
        </w:trPr>
        <w:tc>
          <w:tcPr>
            <w:tcW w:w="50" w:type="pct"/>
            <w:vAlign w:val="center"/>
            <w:hideMark/>
          </w:tcPr>
          <w:p w:rsidR="00000000" w:rsidRDefault="00100014">
            <w:pPr>
              <w:rPr>
                <w:rFonts w:eastAsia="Times New Roman"/>
              </w:rPr>
            </w:pPr>
          </w:p>
        </w:tc>
        <w:tc>
          <w:tcPr>
            <w:tcW w:w="3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54344351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54344351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543443519"/>
        </w:trPr>
        <w:tc>
          <w:tcPr>
            <w:tcW w:w="0" w:type="auto"/>
            <w:gridSpan w:val="3"/>
            <w:vAlign w:val="center"/>
            <w:hideMark/>
          </w:tcPr>
          <w:p w:rsidR="00000000" w:rsidRDefault="00100014">
            <w:pPr>
              <w:spacing w:after="100"/>
              <w:jc w:val="center"/>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54344351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Supplemental disclosures of cash flow information: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4344351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paid during the period for:</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43443519"/>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2,795 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3,671 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43443519"/>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Income taxes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3,261 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4,485 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4344351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54344351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real estate and repossessed assets acquired in settlement of loans net of (charge-offs)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54344351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jc w:val="both"/>
        <w:divId w:val="1326544539"/>
        <w:rPr>
          <w:rFonts w:eastAsia="Times New Roman"/>
        </w:rPr>
      </w:pPr>
      <w:r>
        <w:rPr>
          <w:rFonts w:eastAsia="Times New Roman"/>
          <w:color w:val="000000"/>
          <w:sz w:val="16"/>
          <w:szCs w:val="16"/>
        </w:rPr>
        <w:t xml:space="preserve">See accompanying notes to the consolidated financial statements </w:t>
      </w:r>
      <w:r>
        <w:rPr>
          <w:rFonts w:eastAsia="Times New Roman"/>
          <w:i/>
          <w:iCs/>
          <w:color w:val="000000"/>
          <w:sz w:val="16"/>
          <w:szCs w:val="16"/>
        </w:rPr>
        <w:t>(unaudited).</w:t>
      </w:r>
    </w:p>
    <w:p w:rsidR="00000000" w:rsidRDefault="00100014">
      <w:pPr>
        <w:jc w:val="center"/>
        <w:divId w:val="1092045955"/>
        <w:rPr>
          <w:rFonts w:eastAsia="Times New Roman"/>
        </w:rPr>
      </w:pPr>
      <w:r>
        <w:rPr>
          <w:rFonts w:eastAsia="Times New Roman"/>
          <w:color w:val="000000"/>
          <w:sz w:val="20"/>
          <w:szCs w:val="20"/>
        </w:rPr>
        <w:t>7</w:t>
      </w:r>
    </w:p>
    <w:p w:rsidR="00000000" w:rsidRDefault="00100014">
      <w:pPr>
        <w:rPr>
          <w:rFonts w:eastAsia="Times New Roman"/>
        </w:rPr>
      </w:pPr>
      <w:r>
        <w:rPr>
          <w:rFonts w:eastAsia="Times New Roman"/>
        </w:rPr>
        <w:pict>
          <v:rect id="_x0000_i1031" style="width:0;height:1.5pt" o:hralign="center" o:hrstd="t" o:hr="t" fillcolor="#a0a0a0" stroked="f"/>
        </w:pict>
      </w:r>
    </w:p>
    <w:p w:rsidR="00000000" w:rsidRDefault="00100014">
      <w:pPr>
        <w:jc w:val="center"/>
        <w:divId w:val="697698625"/>
        <w:rPr>
          <w:rFonts w:eastAsia="Times New Roman"/>
        </w:rPr>
      </w:pPr>
      <w:r>
        <w:rPr>
          <w:rFonts w:eastAsia="Times New Roman"/>
          <w:b/>
          <w:bCs/>
          <w:color w:val="000000"/>
          <w:sz w:val="20"/>
          <w:szCs w:val="20"/>
        </w:rPr>
        <w:t>HAWTHORN BANCSHARES, INC.</w:t>
      </w:r>
    </w:p>
    <w:p w:rsidR="00000000" w:rsidRDefault="00100014">
      <w:pPr>
        <w:jc w:val="center"/>
        <w:divId w:val="697698625"/>
        <w:rPr>
          <w:rFonts w:eastAsia="Times New Roman"/>
        </w:rPr>
      </w:pPr>
      <w:r>
        <w:rPr>
          <w:rFonts w:eastAsia="Times New Roman"/>
          <w:b/>
          <w:bCs/>
          <w:color w:val="000000"/>
          <w:sz w:val="20"/>
          <w:szCs w:val="20"/>
        </w:rPr>
        <w:t>AND SUBSIDIARIES</w:t>
      </w:r>
    </w:p>
    <w:p w:rsidR="00000000" w:rsidRDefault="00100014">
      <w:pPr>
        <w:jc w:val="center"/>
        <w:divId w:val="697698625"/>
        <w:rPr>
          <w:rFonts w:eastAsia="Times New Roman"/>
        </w:rPr>
      </w:pPr>
      <w:r>
        <w:rPr>
          <w:rFonts w:eastAsia="Times New Roman"/>
          <w:color w:val="000000"/>
          <w:sz w:val="18"/>
          <w:szCs w:val="18"/>
        </w:rPr>
        <w:t>Notes to the Consolidated Financial Statements</w:t>
      </w:r>
    </w:p>
    <w:p w:rsidR="00000000" w:rsidRDefault="00100014">
      <w:pPr>
        <w:jc w:val="center"/>
        <w:divId w:val="697698625"/>
        <w:rPr>
          <w:rFonts w:eastAsia="Times New Roman"/>
        </w:rPr>
      </w:pPr>
      <w:r>
        <w:rPr>
          <w:rFonts w:eastAsia="Times New Roman"/>
          <w:i/>
          <w:iCs/>
          <w:color w:val="000000"/>
          <w:sz w:val="18"/>
          <w:szCs w:val="18"/>
        </w:rPr>
        <w:t>(Unaudited)</w:t>
      </w:r>
    </w:p>
    <w:p w:rsidR="00000000" w:rsidRDefault="00100014">
      <w:pPr>
        <w:jc w:val="center"/>
        <w:rPr>
          <w:rFonts w:eastAsia="Times New Roman"/>
        </w:rPr>
      </w:pPr>
    </w:p>
    <w:p w:rsidR="00000000" w:rsidRDefault="00100014">
      <w:pPr>
        <w:divId w:val="241764372"/>
        <w:rPr>
          <w:rFonts w:eastAsia="Times New Roman"/>
        </w:rPr>
      </w:pPr>
      <w:r>
        <w:rPr>
          <w:rFonts w:eastAsia="Times New Roman"/>
          <w:b/>
          <w:bCs/>
          <w:color w:val="000000"/>
          <w:sz w:val="20"/>
          <w:szCs w:val="20"/>
        </w:rPr>
        <w:t>(1) Summary of Significant Accounting Policies</w:t>
      </w:r>
    </w:p>
    <w:p w:rsidR="00000000" w:rsidRDefault="00100014">
      <w:pPr>
        <w:jc w:val="both"/>
        <w:divId w:val="1890338197"/>
        <w:rPr>
          <w:rFonts w:eastAsia="Times New Roman"/>
        </w:rPr>
      </w:pPr>
      <w:r>
        <w:rPr>
          <w:rFonts w:eastAsia="Times New Roman"/>
          <w:color w:val="000000"/>
          <w:sz w:val="20"/>
          <w:szCs w:val="20"/>
        </w:rPr>
        <w:t>Hawthorn Bancshares, Inc. (the Company) through its subsidiary, Hawth</w:t>
      </w:r>
      <w:r>
        <w:rPr>
          <w:rFonts w:eastAsia="Times New Roman"/>
          <w:color w:val="000000"/>
          <w:sz w:val="20"/>
          <w:szCs w:val="20"/>
        </w:rPr>
        <w:t xml:space="preserve">orn Bank (the Bank), provides a broad range of banking services to individual and corporate customers located within the Missouri communities in and surrounding Jefferson City, Columbia, Clinton, Warsaw, Springfield, St. Louis, and the greater Kansas City </w:t>
      </w:r>
      <w:r>
        <w:rPr>
          <w:rFonts w:eastAsia="Times New Roman"/>
          <w:color w:val="000000"/>
          <w:sz w:val="20"/>
          <w:szCs w:val="20"/>
        </w:rPr>
        <w:t>metropolitan area. The Company is subject to competition from other financial and nonfinancial institutions providing financial products. Additionally, the Company and its subsidiaries are subject to the regulations of certain regulatory agencies and under</w:t>
      </w:r>
      <w:r>
        <w:rPr>
          <w:rFonts w:eastAsia="Times New Roman"/>
          <w:color w:val="000000"/>
          <w:sz w:val="20"/>
          <w:szCs w:val="20"/>
        </w:rPr>
        <w:t>go periodic examinations by those regulatory agencies.</w:t>
      </w:r>
    </w:p>
    <w:p w:rsidR="00000000" w:rsidRDefault="00100014">
      <w:pPr>
        <w:jc w:val="both"/>
        <w:divId w:val="303584904"/>
        <w:rPr>
          <w:rFonts w:eastAsia="Times New Roman"/>
        </w:rPr>
      </w:pPr>
      <w:r>
        <w:rPr>
          <w:rFonts w:eastAsia="Times New Roman"/>
          <w:color w:val="000000"/>
          <w:sz w:val="20"/>
          <w:szCs w:val="20"/>
        </w:rPr>
        <w:t>The accompanying unaudited consolidated financial statements of the Company have been prepared in conformity with U.S. generally accepted accounting principles (U.S. GAAP) for interim financial informa</w:t>
      </w:r>
      <w:r>
        <w:rPr>
          <w:rFonts w:eastAsia="Times New Roman"/>
          <w:color w:val="000000"/>
          <w:sz w:val="20"/>
          <w:szCs w:val="20"/>
        </w:rPr>
        <w:t>tion and with the instructions to Form 10-Q, and Rule 10-01 of Regulation S-X. Accordingly, the unaudited consolidated financial statements do not include all of the information and disclosures required by U.S. GAAP for complete financial statements and sh</w:t>
      </w:r>
      <w:r>
        <w:rPr>
          <w:rFonts w:eastAsia="Times New Roman"/>
          <w:color w:val="000000"/>
          <w:sz w:val="20"/>
          <w:szCs w:val="20"/>
        </w:rPr>
        <w:t>ould be read in conjunction with the consolidated financial statements and related notes included in the Company’s Annual Report on Form 10-K for the year ended December 31, 2021.</w:t>
      </w:r>
    </w:p>
    <w:p w:rsidR="00000000" w:rsidRDefault="00100014">
      <w:pPr>
        <w:jc w:val="both"/>
        <w:divId w:val="1356728436"/>
        <w:rPr>
          <w:rFonts w:eastAsia="Times New Roman"/>
        </w:rPr>
      </w:pPr>
      <w:r>
        <w:rPr>
          <w:rFonts w:eastAsia="Times New Roman"/>
          <w:color w:val="000000"/>
          <w:sz w:val="20"/>
          <w:szCs w:val="20"/>
        </w:rPr>
        <w:t>The preparation of the consolidated financial statements includes all adjust</w:t>
      </w:r>
      <w:r>
        <w:rPr>
          <w:rFonts w:eastAsia="Times New Roman"/>
          <w:color w:val="000000"/>
          <w:sz w:val="20"/>
          <w:szCs w:val="20"/>
        </w:rPr>
        <w:t>ments that, in the opinion of management, are necessary in order to make those statements not misleading. Management is required to make estimates and assumptions, including the determination of the allowance for loan losses, real estate acquired in connec</w:t>
      </w:r>
      <w:r>
        <w:rPr>
          <w:rFonts w:eastAsia="Times New Roman"/>
          <w:color w:val="000000"/>
          <w:sz w:val="20"/>
          <w:szCs w:val="20"/>
        </w:rPr>
        <w:t>tion with foreclosure or in satisfaction of loans, and fair values of investment securities available-for-sale that affect the reported amounts of assets and liabilities and disclosure of contingent assets and liabilities at the date of the consolidated fi</w:t>
      </w:r>
      <w:r>
        <w:rPr>
          <w:rFonts w:eastAsia="Times New Roman"/>
          <w:color w:val="000000"/>
          <w:sz w:val="20"/>
          <w:szCs w:val="20"/>
        </w:rPr>
        <w:t>nancial statements and the reported amounts of revenues and expenses during the reporting period. These estimates and assumptions are subject to many risks and uncertainties, including changes in interest rates and other general economic, business and poli</w:t>
      </w:r>
      <w:r>
        <w:rPr>
          <w:rFonts w:eastAsia="Times New Roman"/>
          <w:color w:val="000000"/>
          <w:sz w:val="20"/>
          <w:szCs w:val="20"/>
        </w:rPr>
        <w:t>tical conditions, including the effects of the novel coronavirus (COVID-19) pandemic or any resurgence thereof, including its potential effects on the economic environment, the Company's customers and operations, as well as any changes to federal, state an</w:t>
      </w:r>
      <w:r>
        <w:rPr>
          <w:rFonts w:eastAsia="Times New Roman"/>
          <w:color w:val="000000"/>
          <w:sz w:val="20"/>
          <w:szCs w:val="20"/>
        </w:rPr>
        <w:t>d local government laws, regulations and orders in connection with the pandemic. Actual results could differ from those estimates. The Company’s management has evaluated and did not identify any subsequent events or transactions requiring recognition or di</w:t>
      </w:r>
      <w:r>
        <w:rPr>
          <w:rFonts w:eastAsia="Times New Roman"/>
          <w:color w:val="000000"/>
          <w:sz w:val="20"/>
          <w:szCs w:val="20"/>
        </w:rPr>
        <w:t>sclosure in the consolidated financial statements.</w:t>
      </w:r>
    </w:p>
    <w:p w:rsidR="00000000" w:rsidRDefault="00100014">
      <w:pPr>
        <w:jc w:val="both"/>
        <w:divId w:val="1513645349"/>
        <w:rPr>
          <w:rFonts w:eastAsia="Times New Roman"/>
        </w:rPr>
      </w:pPr>
      <w:r>
        <w:rPr>
          <w:rFonts w:eastAsia="Times New Roman"/>
          <w:b/>
          <w:bCs/>
          <w:i/>
          <w:iCs/>
          <w:color w:val="000000"/>
          <w:sz w:val="20"/>
          <w:szCs w:val="20"/>
        </w:rPr>
        <w:t>Stock Dividend</w:t>
      </w:r>
      <w:r>
        <w:rPr>
          <w:rFonts w:eastAsia="Times New Roman"/>
          <w:color w:val="000000"/>
          <w:sz w:val="20"/>
          <w:szCs w:val="20"/>
        </w:rPr>
        <w:t xml:space="preserve"> On July 1, 2022, the Company paid a special stock dividend of four percent to shareholders of record at the close of business on June 15, 2022. For all periods presented, share information, </w:t>
      </w:r>
      <w:r>
        <w:rPr>
          <w:rFonts w:eastAsia="Times New Roman"/>
          <w:color w:val="000000"/>
          <w:sz w:val="20"/>
          <w:szCs w:val="20"/>
        </w:rPr>
        <w:t>including basic and diluted earnings per share, has been adjusted retroactively to reflect this change.</w:t>
      </w:r>
    </w:p>
    <w:p w:rsidR="00000000" w:rsidRDefault="00100014">
      <w:pPr>
        <w:divId w:val="1857422714"/>
        <w:rPr>
          <w:rFonts w:eastAsia="Times New Roman"/>
        </w:rPr>
      </w:pPr>
      <w:r>
        <w:rPr>
          <w:rFonts w:eastAsia="Times New Roman"/>
          <w:b/>
          <w:bCs/>
          <w:color w:val="000000"/>
          <w:sz w:val="20"/>
          <w:szCs w:val="20"/>
        </w:rPr>
        <w:t>(2) Loans and Allowance for Loan Losses</w:t>
      </w:r>
    </w:p>
    <w:p w:rsidR="00000000" w:rsidRDefault="00100014">
      <w:pPr>
        <w:divId w:val="854929632"/>
        <w:rPr>
          <w:rFonts w:eastAsia="Times New Roman"/>
        </w:rPr>
      </w:pPr>
      <w:r>
        <w:rPr>
          <w:rFonts w:eastAsia="Times New Roman"/>
          <w:i/>
          <w:iCs/>
          <w:color w:val="000000"/>
          <w:sz w:val="20"/>
          <w:szCs w:val="20"/>
        </w:rPr>
        <w:t>Loans</w:t>
      </w:r>
    </w:p>
    <w:p w:rsidR="00000000" w:rsidRDefault="00100014">
      <w:pPr>
        <w:jc w:val="both"/>
        <w:divId w:val="185217315"/>
        <w:rPr>
          <w:rFonts w:eastAsia="Times New Roman"/>
        </w:rPr>
      </w:pPr>
      <w:r>
        <w:rPr>
          <w:rFonts w:eastAsia="Times New Roman"/>
          <w:color w:val="000000"/>
          <w:sz w:val="20"/>
          <w:szCs w:val="20"/>
        </w:rPr>
        <w:t>Major classifications within the Company’s held for investment loan portfolio at June 30, 2022 and Decembe</w:t>
      </w:r>
      <w:r>
        <w:rPr>
          <w:rFonts w:eastAsia="Times New Roman"/>
          <w:color w:val="000000"/>
          <w:sz w:val="20"/>
          <w:szCs w:val="20"/>
        </w:rPr>
        <w:t>r 31, 2021 is as follows:</w:t>
      </w:r>
    </w:p>
    <w:tbl>
      <w:tblPr>
        <w:tblW w:w="4939" w:type="pct"/>
        <w:tblCellMar>
          <w:top w:w="15" w:type="dxa"/>
          <w:left w:w="15" w:type="dxa"/>
          <w:bottom w:w="15" w:type="dxa"/>
          <w:right w:w="15" w:type="dxa"/>
        </w:tblCellMar>
        <w:tblLook w:val="04A0" w:firstRow="1" w:lastRow="0" w:firstColumn="1" w:lastColumn="0" w:noHBand="0" w:noVBand="1"/>
      </w:tblPr>
      <w:tblGrid>
        <w:gridCol w:w="38"/>
        <w:gridCol w:w="5850"/>
        <w:gridCol w:w="36"/>
        <w:gridCol w:w="120"/>
        <w:gridCol w:w="850"/>
        <w:gridCol w:w="36"/>
        <w:gridCol w:w="36"/>
        <w:gridCol w:w="36"/>
        <w:gridCol w:w="36"/>
        <w:gridCol w:w="120"/>
        <w:gridCol w:w="1011"/>
        <w:gridCol w:w="36"/>
      </w:tblGrid>
      <w:tr w:rsidR="00000000">
        <w:trPr>
          <w:divId w:val="413669293"/>
        </w:trPr>
        <w:tc>
          <w:tcPr>
            <w:tcW w:w="50" w:type="pct"/>
            <w:vAlign w:val="center"/>
            <w:hideMark/>
          </w:tcPr>
          <w:p w:rsidR="00000000" w:rsidRDefault="00100014">
            <w:pPr>
              <w:jc w:val="both"/>
              <w:rPr>
                <w:rFonts w:eastAsia="Times New Roman"/>
              </w:rPr>
            </w:pPr>
          </w:p>
        </w:tc>
        <w:tc>
          <w:tcPr>
            <w:tcW w:w="360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41366929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4136692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divId w:val="787285222"/>
              <w:rPr>
                <w:rFonts w:eastAsia="Times New Roman"/>
              </w:rPr>
            </w:pPr>
            <w:r>
              <w:rPr>
                <w:rFonts w:eastAsia="Times New Roman"/>
                <w:color w:val="000000"/>
                <w:sz w:val="20"/>
                <w:szCs w:val="20"/>
              </w:rPr>
              <w:t>Commercial, financial, and agricultura</w:t>
            </w:r>
            <w:r>
              <w:rPr>
                <w:rFonts w:eastAsia="Times New Roman"/>
                <w:color w:val="000000"/>
                <w:sz w:val="20"/>
                <w:szCs w:val="20"/>
              </w:rPr>
              <w:t>l</w:t>
            </w:r>
            <w:r>
              <w:rPr>
                <w:rFonts w:eastAsia="Times New Roman"/>
                <w:color w:val="000000"/>
                <w:sz w:val="13"/>
                <w:szCs w:val="13"/>
              </w:rPr>
              <w:t>(a</w:t>
            </w:r>
            <w:r>
              <w:rPr>
                <w:rFonts w:eastAsia="Times New Roman"/>
                <w:color w:val="000000"/>
                <w:sz w:val="13"/>
                <w:szCs w:val="13"/>
              </w:rPr>
              <w: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242,701 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1366929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23,629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27,920</w:t>
            </w:r>
          </w:p>
        </w:tc>
      </w:tr>
      <w:tr w:rsidR="00000000">
        <w:trPr>
          <w:divId w:val="41366929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119,079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91,369</w:t>
            </w:r>
          </w:p>
        </w:tc>
      </w:tr>
      <w:tr w:rsidR="00000000">
        <w:trPr>
          <w:divId w:val="41366929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312,086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279,346</w:t>
            </w:r>
          </w:p>
        </w:tc>
      </w:tr>
      <w:tr w:rsidR="00000000">
        <w:trPr>
          <w:divId w:val="41366929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706,700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663,256</w:t>
            </w:r>
          </w:p>
        </w:tc>
      </w:tr>
      <w:tr w:rsidR="00000000">
        <w:trPr>
          <w:divId w:val="41366929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23,633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23,028</w:t>
            </w:r>
          </w:p>
        </w:tc>
      </w:tr>
      <w:tr w:rsidR="00000000">
        <w:trPr>
          <w:divId w:val="413669293"/>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loans held for investment</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1,427,828 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ind w:hanging="360"/>
        <w:jc w:val="both"/>
        <w:divId w:val="1739549489"/>
        <w:rPr>
          <w:rFonts w:eastAsia="Times New Roman"/>
        </w:rPr>
      </w:pPr>
      <w:r>
        <w:rPr>
          <w:rFonts w:eastAsia="Times New Roman"/>
          <w:color w:val="000000"/>
          <w:sz w:val="16"/>
          <w:szCs w:val="16"/>
        </w:rPr>
        <w:t xml:space="preserve">(a)Includes $1.1 million and $8.4 </w:t>
      </w:r>
      <w:r>
        <w:rPr>
          <w:rFonts w:eastAsia="Times New Roman"/>
          <w:color w:val="000000"/>
          <w:sz w:val="16"/>
          <w:szCs w:val="16"/>
        </w:rPr>
        <w:t>million of Small Business Administration Paycheck Protection (SBA PPP) loans, net as of June 30, 2022 and December 31, 2021, respectively.</w:t>
      </w:r>
    </w:p>
    <w:p w:rsidR="00000000" w:rsidRDefault="00100014">
      <w:pPr>
        <w:jc w:val="both"/>
        <w:divId w:val="1813054987"/>
        <w:rPr>
          <w:rFonts w:eastAsia="Times New Roman"/>
        </w:rPr>
      </w:pPr>
      <w:r>
        <w:rPr>
          <w:rFonts w:eastAsia="Times New Roman"/>
          <w:color w:val="000000"/>
          <w:sz w:val="20"/>
          <w:szCs w:val="20"/>
        </w:rPr>
        <w:t>The Bank grants real estate, commercial, installment, and other consumer loans to customers located within the Missou</w:t>
      </w:r>
      <w:r>
        <w:rPr>
          <w:rFonts w:eastAsia="Times New Roman"/>
          <w:color w:val="000000"/>
          <w:sz w:val="20"/>
          <w:szCs w:val="20"/>
        </w:rPr>
        <w:t>ri communities surrounding Jefferson City, Columbia, Clinton, Warsaw, Springfield, St. Louis, and the greater Kansas City metropolitan area. As such, the Bank is susceptible to changes in the economic environment in these communities. The Bank does not hav</w:t>
      </w:r>
      <w:r>
        <w:rPr>
          <w:rFonts w:eastAsia="Times New Roman"/>
          <w:color w:val="000000"/>
          <w:sz w:val="20"/>
          <w:szCs w:val="20"/>
        </w:rPr>
        <w:t xml:space="preserve">e a concentration of credit in any one economic sector. Installment and other consumer loans consist </w:t>
      </w:r>
    </w:p>
    <w:p w:rsidR="00000000" w:rsidRDefault="00100014">
      <w:pPr>
        <w:jc w:val="center"/>
        <w:divId w:val="1874229430"/>
        <w:rPr>
          <w:rFonts w:eastAsia="Times New Roman"/>
        </w:rPr>
      </w:pPr>
      <w:r>
        <w:rPr>
          <w:rFonts w:eastAsia="Times New Roman"/>
          <w:color w:val="000000"/>
          <w:sz w:val="20"/>
          <w:szCs w:val="20"/>
        </w:rPr>
        <w:t>8</w:t>
      </w:r>
    </w:p>
    <w:p w:rsidR="00000000" w:rsidRDefault="00100014">
      <w:pPr>
        <w:rPr>
          <w:rFonts w:eastAsia="Times New Roman"/>
        </w:rPr>
      </w:pPr>
      <w:r>
        <w:rPr>
          <w:rFonts w:eastAsia="Times New Roman"/>
        </w:rPr>
        <w:pict>
          <v:rect id="_x0000_i1032" style="width:0;height:1.5pt" o:hralign="center" o:hrstd="t" o:hr="t" fillcolor="#a0a0a0" stroked="f"/>
        </w:pict>
      </w:r>
    </w:p>
    <w:p w:rsidR="00000000" w:rsidRDefault="00100014">
      <w:pPr>
        <w:jc w:val="center"/>
        <w:divId w:val="1989049231"/>
        <w:rPr>
          <w:rFonts w:eastAsia="Times New Roman"/>
        </w:rPr>
      </w:pPr>
      <w:r>
        <w:rPr>
          <w:rFonts w:eastAsia="Times New Roman"/>
          <w:b/>
          <w:bCs/>
          <w:color w:val="000000"/>
          <w:sz w:val="20"/>
          <w:szCs w:val="20"/>
        </w:rPr>
        <w:t>HAWTHORN BANCSHARES, INC.</w:t>
      </w:r>
    </w:p>
    <w:p w:rsidR="00000000" w:rsidRDefault="00100014">
      <w:pPr>
        <w:jc w:val="center"/>
        <w:divId w:val="1989049231"/>
        <w:rPr>
          <w:rFonts w:eastAsia="Times New Roman"/>
        </w:rPr>
      </w:pPr>
      <w:r>
        <w:rPr>
          <w:rFonts w:eastAsia="Times New Roman"/>
          <w:b/>
          <w:bCs/>
          <w:color w:val="000000"/>
          <w:sz w:val="20"/>
          <w:szCs w:val="20"/>
        </w:rPr>
        <w:t>AND SUBSIDIARIES</w:t>
      </w:r>
    </w:p>
    <w:p w:rsidR="00000000" w:rsidRDefault="00100014">
      <w:pPr>
        <w:jc w:val="center"/>
        <w:divId w:val="1989049231"/>
        <w:rPr>
          <w:rFonts w:eastAsia="Times New Roman"/>
        </w:rPr>
      </w:pPr>
      <w:r>
        <w:rPr>
          <w:rFonts w:eastAsia="Times New Roman"/>
          <w:color w:val="000000"/>
          <w:sz w:val="18"/>
          <w:szCs w:val="18"/>
        </w:rPr>
        <w:t>Notes to the Consolidated Financial Statements</w:t>
      </w:r>
    </w:p>
    <w:p w:rsidR="00000000" w:rsidRDefault="00100014">
      <w:pPr>
        <w:jc w:val="center"/>
        <w:divId w:val="1989049231"/>
        <w:rPr>
          <w:rFonts w:eastAsia="Times New Roman"/>
        </w:rPr>
      </w:pPr>
      <w:r>
        <w:rPr>
          <w:rFonts w:eastAsia="Times New Roman"/>
          <w:i/>
          <w:iCs/>
          <w:color w:val="000000"/>
          <w:sz w:val="18"/>
          <w:szCs w:val="18"/>
        </w:rPr>
        <w:t>(Unaudited)</w:t>
      </w:r>
    </w:p>
    <w:p w:rsidR="00000000" w:rsidRDefault="00100014">
      <w:pPr>
        <w:jc w:val="both"/>
        <w:divId w:val="1511215797"/>
        <w:rPr>
          <w:rFonts w:eastAsia="Times New Roman"/>
        </w:rPr>
      </w:pPr>
      <w:r>
        <w:rPr>
          <w:rFonts w:eastAsia="Times New Roman"/>
          <w:color w:val="000000"/>
          <w:sz w:val="20"/>
          <w:szCs w:val="20"/>
        </w:rPr>
        <w:t xml:space="preserve">primarily of the financing of automotive vehicles. At June 30, 2022, loans of $585.5 </w:t>
      </w:r>
      <w:r>
        <w:rPr>
          <w:rFonts w:eastAsia="Times New Roman"/>
          <w:color w:val="000000"/>
          <w:sz w:val="20"/>
          <w:szCs w:val="20"/>
        </w:rPr>
        <w:t>million were pledged to the Federal Home Loan Bank (FHLB) as collateral for borrowings and letters of credit.</w:t>
      </w:r>
    </w:p>
    <w:p w:rsidR="00000000" w:rsidRDefault="00100014">
      <w:pPr>
        <w:divId w:val="236670653"/>
        <w:rPr>
          <w:rFonts w:eastAsia="Times New Roman"/>
        </w:rPr>
      </w:pPr>
      <w:r>
        <w:rPr>
          <w:rFonts w:eastAsia="Times New Roman"/>
          <w:i/>
          <w:iCs/>
          <w:color w:val="000000"/>
          <w:sz w:val="20"/>
          <w:szCs w:val="20"/>
        </w:rPr>
        <w:t>Allowance for Loan Losses</w:t>
      </w:r>
    </w:p>
    <w:p w:rsidR="00000000" w:rsidRDefault="00100014">
      <w:pPr>
        <w:jc w:val="both"/>
        <w:divId w:val="1032146829"/>
        <w:rPr>
          <w:rFonts w:eastAsia="Times New Roman"/>
        </w:rPr>
      </w:pPr>
      <w:r>
        <w:rPr>
          <w:rFonts w:eastAsia="Times New Roman"/>
          <w:color w:val="000000"/>
          <w:sz w:val="20"/>
          <w:szCs w:val="20"/>
        </w:rPr>
        <w:t>The following table illustrates the changes in the allowance for loan losses by portfolio segment: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1419"/>
        <w:gridCol w:w="37"/>
        <w:gridCol w:w="91"/>
        <w:gridCol w:w="720"/>
        <w:gridCol w:w="36"/>
        <w:gridCol w:w="36"/>
        <w:gridCol w:w="36"/>
        <w:gridCol w:w="36"/>
        <w:gridCol w:w="91"/>
        <w:gridCol w:w="739"/>
        <w:gridCol w:w="36"/>
        <w:gridCol w:w="36"/>
        <w:gridCol w:w="36"/>
        <w:gridCol w:w="36"/>
        <w:gridCol w:w="91"/>
        <w:gridCol w:w="739"/>
        <w:gridCol w:w="36"/>
        <w:gridCol w:w="36"/>
        <w:gridCol w:w="36"/>
        <w:gridCol w:w="36"/>
        <w:gridCol w:w="91"/>
        <w:gridCol w:w="618"/>
        <w:gridCol w:w="36"/>
        <w:gridCol w:w="36"/>
        <w:gridCol w:w="36"/>
        <w:gridCol w:w="36"/>
        <w:gridCol w:w="91"/>
        <w:gridCol w:w="686"/>
        <w:gridCol w:w="36"/>
        <w:gridCol w:w="36"/>
        <w:gridCol w:w="36"/>
        <w:gridCol w:w="36"/>
        <w:gridCol w:w="91"/>
        <w:gridCol w:w="632"/>
        <w:gridCol w:w="36"/>
        <w:gridCol w:w="36"/>
        <w:gridCol w:w="36"/>
        <w:gridCol w:w="36"/>
        <w:gridCol w:w="91"/>
        <w:gridCol w:w="487"/>
        <w:gridCol w:w="36"/>
        <w:gridCol w:w="36"/>
        <w:gridCol w:w="36"/>
        <w:gridCol w:w="36"/>
        <w:gridCol w:w="90"/>
        <w:gridCol w:w="420"/>
        <w:gridCol w:w="36"/>
      </w:tblGrid>
      <w:tr w:rsidR="00000000">
        <w:trPr>
          <w:divId w:val="1841239999"/>
        </w:trPr>
        <w:tc>
          <w:tcPr>
            <w:tcW w:w="50" w:type="pct"/>
            <w:vAlign w:val="center"/>
            <w:hideMark/>
          </w:tcPr>
          <w:p w:rsidR="00000000" w:rsidRDefault="00100014">
            <w:pPr>
              <w:jc w:val="both"/>
              <w:rPr>
                <w:rFonts w:eastAsia="Times New Roman"/>
              </w:rPr>
            </w:pPr>
          </w:p>
        </w:tc>
        <w:tc>
          <w:tcPr>
            <w:tcW w:w="11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84123999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Three Months Ended June 30, 2022</w:t>
            </w:r>
          </w:p>
        </w:tc>
      </w:tr>
      <w:tr w:rsidR="00000000">
        <w:trPr>
          <w:divId w:val="184123999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w:t>
            </w:r>
          </w:p>
        </w:tc>
      </w:tr>
      <w:tr w:rsidR="00100014">
        <w:trPr>
          <w:divId w:val="184123999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2,830</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60</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664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2,578</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7,692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273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182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14,279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41239999"/>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841239999"/>
        </w:trPr>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149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821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73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1,200</w:t>
            </w:r>
          </w:p>
        </w:tc>
      </w:tr>
      <w:tr w:rsidR="00000000">
        <w:trPr>
          <w:divId w:val="1841239999"/>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841239999"/>
        </w:trPr>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188</w:t>
            </w:r>
          </w:p>
        </w:tc>
      </w:tr>
      <w:tr w:rsidR="00000000">
        <w:trPr>
          <w:divId w:val="1841239999"/>
        </w:trPr>
        <w:tc>
          <w:tcPr>
            <w:tcW w:w="0" w:type="auto"/>
            <w:gridSpan w:val="3"/>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(62)</w:t>
            </w:r>
          </w:p>
        </w:tc>
      </w:tr>
      <w:tr w:rsidR="00000000">
        <w:trPr>
          <w:divId w:val="184123999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103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126</w:t>
            </w:r>
          </w:p>
        </w:tc>
      </w:tr>
      <w:tr w:rsidR="00000000">
        <w:trPr>
          <w:divId w:val="1841239999"/>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3,005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66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762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2,747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8,410</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312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15,353</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933"/>
        <w:gridCol w:w="144"/>
        <w:gridCol w:w="144"/>
        <w:gridCol w:w="701"/>
        <w:gridCol w:w="144"/>
        <w:gridCol w:w="144"/>
        <w:gridCol w:w="144"/>
        <w:gridCol w:w="144"/>
        <w:gridCol w:w="144"/>
        <w:gridCol w:w="775"/>
        <w:gridCol w:w="144"/>
        <w:gridCol w:w="144"/>
        <w:gridCol w:w="144"/>
        <w:gridCol w:w="144"/>
        <w:gridCol w:w="144"/>
        <w:gridCol w:w="775"/>
        <w:gridCol w:w="144"/>
        <w:gridCol w:w="144"/>
        <w:gridCol w:w="144"/>
        <w:gridCol w:w="144"/>
        <w:gridCol w:w="144"/>
        <w:gridCol w:w="624"/>
        <w:gridCol w:w="144"/>
        <w:gridCol w:w="144"/>
        <w:gridCol w:w="144"/>
        <w:gridCol w:w="144"/>
        <w:gridCol w:w="144"/>
        <w:gridCol w:w="676"/>
        <w:gridCol w:w="144"/>
        <w:gridCol w:w="144"/>
        <w:gridCol w:w="144"/>
        <w:gridCol w:w="144"/>
        <w:gridCol w:w="144"/>
        <w:gridCol w:w="624"/>
        <w:gridCol w:w="144"/>
        <w:gridCol w:w="144"/>
        <w:gridCol w:w="144"/>
        <w:gridCol w:w="144"/>
        <w:gridCol w:w="144"/>
        <w:gridCol w:w="500"/>
        <w:gridCol w:w="144"/>
        <w:gridCol w:w="144"/>
        <w:gridCol w:w="144"/>
        <w:gridCol w:w="144"/>
        <w:gridCol w:w="144"/>
        <w:gridCol w:w="511"/>
        <w:gridCol w:w="144"/>
      </w:tblGrid>
      <w:tr w:rsidR="00000000">
        <w:tc>
          <w:tcPr>
            <w:tcW w:w="50" w:type="pct"/>
            <w:vAlign w:val="center"/>
            <w:hideMark/>
          </w:tcPr>
          <w:p w:rsidR="00000000" w:rsidRDefault="00100014">
            <w:pPr>
              <w:rPr>
                <w:rFonts w:eastAsia="Times New Roman"/>
              </w:rPr>
            </w:pPr>
          </w:p>
        </w:tc>
        <w:tc>
          <w:tcPr>
            <w:tcW w:w="11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Three Months Ended June 30, 2021</w:t>
            </w: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4,676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309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532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2,594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9,904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245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101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18,361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655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(82)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400</w:t>
            </w:r>
          </w:p>
        </w:tc>
      </w:tr>
      <w:tr w:rsidR="00000000">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81</w:t>
            </w:r>
          </w:p>
        </w:tc>
      </w:tr>
      <w:tr w:rsidR="00000000">
        <w:tc>
          <w:tcPr>
            <w:tcW w:w="0" w:type="auto"/>
            <w:gridSpan w:val="3"/>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(55)</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26</w:t>
            </w:r>
          </w:p>
        </w:tc>
      </w:tr>
      <w:tr w:rsidR="00000000">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5,336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495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2,467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9,915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18,735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3768977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419"/>
        <w:gridCol w:w="37"/>
        <w:gridCol w:w="91"/>
        <w:gridCol w:w="720"/>
        <w:gridCol w:w="36"/>
        <w:gridCol w:w="36"/>
        <w:gridCol w:w="36"/>
        <w:gridCol w:w="36"/>
        <w:gridCol w:w="91"/>
        <w:gridCol w:w="739"/>
        <w:gridCol w:w="36"/>
        <w:gridCol w:w="36"/>
        <w:gridCol w:w="36"/>
        <w:gridCol w:w="36"/>
        <w:gridCol w:w="91"/>
        <w:gridCol w:w="739"/>
        <w:gridCol w:w="36"/>
        <w:gridCol w:w="36"/>
        <w:gridCol w:w="36"/>
        <w:gridCol w:w="36"/>
        <w:gridCol w:w="91"/>
        <w:gridCol w:w="618"/>
        <w:gridCol w:w="36"/>
        <w:gridCol w:w="36"/>
        <w:gridCol w:w="36"/>
        <w:gridCol w:w="36"/>
        <w:gridCol w:w="91"/>
        <w:gridCol w:w="686"/>
        <w:gridCol w:w="36"/>
        <w:gridCol w:w="36"/>
        <w:gridCol w:w="36"/>
        <w:gridCol w:w="36"/>
        <w:gridCol w:w="91"/>
        <w:gridCol w:w="632"/>
        <w:gridCol w:w="36"/>
        <w:gridCol w:w="36"/>
        <w:gridCol w:w="36"/>
        <w:gridCol w:w="36"/>
        <w:gridCol w:w="91"/>
        <w:gridCol w:w="487"/>
        <w:gridCol w:w="36"/>
        <w:gridCol w:w="36"/>
        <w:gridCol w:w="36"/>
        <w:gridCol w:w="36"/>
        <w:gridCol w:w="90"/>
        <w:gridCol w:w="420"/>
        <w:gridCol w:w="36"/>
      </w:tblGrid>
      <w:tr w:rsidR="00000000">
        <w:trPr>
          <w:divId w:val="376897769"/>
        </w:trPr>
        <w:tc>
          <w:tcPr>
            <w:tcW w:w="50" w:type="pct"/>
            <w:vAlign w:val="center"/>
            <w:hideMark/>
          </w:tcPr>
          <w:p w:rsidR="00000000" w:rsidRDefault="00100014">
            <w:pPr>
              <w:jc w:val="both"/>
              <w:rPr>
                <w:rFonts w:eastAsia="Times New Roman"/>
              </w:rPr>
            </w:pPr>
          </w:p>
        </w:tc>
        <w:tc>
          <w:tcPr>
            <w:tcW w:w="11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37689776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Six Months Ended June 30, 2022</w:t>
            </w:r>
          </w:p>
        </w:tc>
      </w:tr>
      <w:tr w:rsidR="00000000">
        <w:trPr>
          <w:divId w:val="37689776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w:t>
            </w:r>
          </w:p>
        </w:tc>
      </w:tr>
      <w:tr w:rsidR="00100014">
        <w:trPr>
          <w:divId w:val="37689776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2,717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137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588</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2,482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10,662</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256</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61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16,903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376897769"/>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376897769"/>
        </w:trPr>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(71)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242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(2,077)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(1,300)</w:t>
            </w:r>
          </w:p>
        </w:tc>
      </w:tr>
      <w:tr w:rsidR="00000000">
        <w:trPr>
          <w:divId w:val="376897769"/>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376897769"/>
        </w:trPr>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60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178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354</w:t>
            </w:r>
          </w:p>
        </w:tc>
      </w:tr>
      <w:tr w:rsidR="00000000">
        <w:trPr>
          <w:divId w:val="376897769"/>
        </w:trPr>
        <w:tc>
          <w:tcPr>
            <w:tcW w:w="0" w:type="auto"/>
            <w:gridSpan w:val="3"/>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(104)</w:t>
            </w:r>
          </w:p>
        </w:tc>
      </w:tr>
      <w:tr w:rsidR="00000000">
        <w:trPr>
          <w:divId w:val="37689776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175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74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250</w:t>
            </w:r>
          </w:p>
        </w:tc>
      </w:tr>
      <w:tr w:rsidR="00000000">
        <w:trPr>
          <w:divId w:val="376897769"/>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3,005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66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762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2,747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8,410</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312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15,353</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1933"/>
        <w:gridCol w:w="144"/>
        <w:gridCol w:w="144"/>
        <w:gridCol w:w="701"/>
        <w:gridCol w:w="144"/>
        <w:gridCol w:w="144"/>
        <w:gridCol w:w="144"/>
        <w:gridCol w:w="144"/>
        <w:gridCol w:w="144"/>
        <w:gridCol w:w="775"/>
        <w:gridCol w:w="144"/>
        <w:gridCol w:w="144"/>
        <w:gridCol w:w="144"/>
        <w:gridCol w:w="144"/>
        <w:gridCol w:w="144"/>
        <w:gridCol w:w="775"/>
        <w:gridCol w:w="144"/>
        <w:gridCol w:w="144"/>
        <w:gridCol w:w="144"/>
        <w:gridCol w:w="144"/>
        <w:gridCol w:w="144"/>
        <w:gridCol w:w="624"/>
        <w:gridCol w:w="144"/>
        <w:gridCol w:w="144"/>
        <w:gridCol w:w="144"/>
        <w:gridCol w:w="144"/>
        <w:gridCol w:w="144"/>
        <w:gridCol w:w="676"/>
        <w:gridCol w:w="144"/>
        <w:gridCol w:w="144"/>
        <w:gridCol w:w="144"/>
        <w:gridCol w:w="144"/>
        <w:gridCol w:w="144"/>
        <w:gridCol w:w="624"/>
        <w:gridCol w:w="144"/>
        <w:gridCol w:w="144"/>
        <w:gridCol w:w="144"/>
        <w:gridCol w:w="144"/>
        <w:gridCol w:w="144"/>
        <w:gridCol w:w="500"/>
        <w:gridCol w:w="144"/>
        <w:gridCol w:w="144"/>
        <w:gridCol w:w="144"/>
        <w:gridCol w:w="144"/>
        <w:gridCol w:w="144"/>
        <w:gridCol w:w="511"/>
        <w:gridCol w:w="144"/>
      </w:tblGrid>
      <w:tr w:rsidR="00000000">
        <w:tc>
          <w:tcPr>
            <w:tcW w:w="50" w:type="pct"/>
            <w:vAlign w:val="center"/>
            <w:hideMark/>
          </w:tcPr>
          <w:p w:rsidR="00000000" w:rsidRDefault="00100014">
            <w:pPr>
              <w:jc w:val="both"/>
              <w:rPr>
                <w:rFonts w:eastAsia="Times New Roman"/>
              </w:rPr>
            </w:pPr>
          </w:p>
        </w:tc>
        <w:tc>
          <w:tcPr>
            <w:tcW w:w="11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0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Six Months Ended June 30, 2021</w:t>
            </w: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Commercial, Financial, &amp; Agricultural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Commercial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Installment and Other Consumer</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 allocated</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5,121</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475</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2,679</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9,354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264</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7</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18,113</w:t>
            </w:r>
            <w:r>
              <w:rPr>
                <w:rFonts w:eastAsia="Times New Roman"/>
                <w:color w:val="000000"/>
                <w:sz w:val="14"/>
                <w:szCs w:val="14"/>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Additions:</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Provision for (release of ) loan losses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400</w:t>
            </w:r>
          </w:p>
        </w:tc>
      </w:tr>
      <w:tr w:rsidR="00000000">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Deductions: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Loans charged off</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55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188</w:t>
            </w:r>
          </w:p>
        </w:tc>
      </w:tr>
      <w:tr w:rsidR="00000000">
        <w:tc>
          <w:tcPr>
            <w:tcW w:w="0" w:type="auto"/>
            <w:gridSpan w:val="3"/>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color w:val="000000"/>
                <w:sz w:val="14"/>
                <w:szCs w:val="14"/>
              </w:rPr>
              <w:t>Less recoveries on loans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(183)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(175)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(39)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(410)</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Net loan charge-offs (recoveries)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(128)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(172)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65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4"/>
                <w:szCs w:val="14"/>
              </w:rPr>
              <w:t>(222)</w:t>
            </w:r>
          </w:p>
        </w:tc>
      </w:tr>
      <w:tr w:rsidR="00000000">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4"/>
                <w:szCs w:val="14"/>
              </w:rPr>
              <w:t>Balance at end of period</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5,336</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251</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495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2,467</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9,915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252</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19</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b/>
                <w:bCs/>
                <w:color w:val="000000"/>
                <w:sz w:val="14"/>
                <w:szCs w:val="14"/>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b/>
                <w:bCs/>
                <w:color w:val="000000"/>
                <w:sz w:val="14"/>
                <w:szCs w:val="14"/>
              </w:rPr>
              <w:t>18,735</w:t>
            </w:r>
            <w:r>
              <w:rPr>
                <w:rFonts w:eastAsia="Times New Roman"/>
                <w:color w:val="000000"/>
                <w:sz w:val="14"/>
                <w:szCs w:val="14"/>
              </w:rPr>
              <w:t> </w:t>
            </w:r>
          </w:p>
        </w:tc>
        <w:tc>
          <w:tcPr>
            <w:tcW w:w="0" w:type="auto"/>
            <w:tcBorders>
              <w:top w:val="single" w:sz="6"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center"/>
        <w:divId w:val="96024324"/>
        <w:rPr>
          <w:rFonts w:eastAsia="Times New Roman"/>
        </w:rPr>
      </w:pPr>
      <w:r>
        <w:rPr>
          <w:rFonts w:eastAsia="Times New Roman"/>
          <w:color w:val="000000"/>
          <w:sz w:val="20"/>
          <w:szCs w:val="20"/>
        </w:rPr>
        <w:t>9</w:t>
      </w:r>
    </w:p>
    <w:p w:rsidR="00000000" w:rsidRDefault="00100014">
      <w:pPr>
        <w:rPr>
          <w:rFonts w:eastAsia="Times New Roman"/>
        </w:rPr>
      </w:pPr>
      <w:r>
        <w:rPr>
          <w:rFonts w:eastAsia="Times New Roman"/>
        </w:rPr>
        <w:pict>
          <v:rect id="_x0000_i1033" style="width:0;height:1.5pt" o:hralign="center" o:hrstd="t" o:hr="t" fillcolor="#a0a0a0" stroked="f"/>
        </w:pict>
      </w:r>
    </w:p>
    <w:p w:rsidR="00000000" w:rsidRDefault="00100014">
      <w:pPr>
        <w:jc w:val="center"/>
        <w:divId w:val="174341686"/>
        <w:rPr>
          <w:rFonts w:eastAsia="Times New Roman"/>
        </w:rPr>
      </w:pPr>
      <w:r>
        <w:rPr>
          <w:rFonts w:eastAsia="Times New Roman"/>
          <w:b/>
          <w:bCs/>
          <w:color w:val="000000"/>
          <w:sz w:val="20"/>
          <w:szCs w:val="20"/>
        </w:rPr>
        <w:t>HAWTHORN BANCSHARES, INC.</w:t>
      </w:r>
    </w:p>
    <w:p w:rsidR="00000000" w:rsidRDefault="00100014">
      <w:pPr>
        <w:jc w:val="center"/>
        <w:divId w:val="174341686"/>
        <w:rPr>
          <w:rFonts w:eastAsia="Times New Roman"/>
        </w:rPr>
      </w:pPr>
      <w:r>
        <w:rPr>
          <w:rFonts w:eastAsia="Times New Roman"/>
          <w:b/>
          <w:bCs/>
          <w:color w:val="000000"/>
          <w:sz w:val="20"/>
          <w:szCs w:val="20"/>
        </w:rPr>
        <w:t>AND SUBSIDIARIES</w:t>
      </w:r>
    </w:p>
    <w:p w:rsidR="00000000" w:rsidRDefault="00100014">
      <w:pPr>
        <w:jc w:val="center"/>
        <w:divId w:val="174341686"/>
        <w:rPr>
          <w:rFonts w:eastAsia="Times New Roman"/>
        </w:rPr>
      </w:pPr>
      <w:r>
        <w:rPr>
          <w:rFonts w:eastAsia="Times New Roman"/>
          <w:color w:val="000000"/>
          <w:sz w:val="18"/>
          <w:szCs w:val="18"/>
        </w:rPr>
        <w:t>Notes to the Consolidated Financial Statements</w:t>
      </w:r>
    </w:p>
    <w:p w:rsidR="00000000" w:rsidRDefault="00100014">
      <w:pPr>
        <w:jc w:val="center"/>
        <w:divId w:val="174341686"/>
        <w:rPr>
          <w:rFonts w:eastAsia="Times New Roman"/>
        </w:rPr>
      </w:pPr>
      <w:r>
        <w:rPr>
          <w:rFonts w:eastAsia="Times New Roman"/>
          <w:i/>
          <w:iCs/>
          <w:color w:val="000000"/>
          <w:sz w:val="18"/>
          <w:szCs w:val="18"/>
        </w:rPr>
        <w:t>(Unaudited)</w:t>
      </w:r>
    </w:p>
    <w:p w:rsidR="00000000" w:rsidRDefault="00100014">
      <w:pPr>
        <w:jc w:val="both"/>
        <w:divId w:val="791292071"/>
        <w:rPr>
          <w:rFonts w:eastAsia="Times New Roman"/>
        </w:rPr>
      </w:pPr>
      <w:r>
        <w:rPr>
          <w:rFonts w:eastAsia="Times New Roman"/>
          <w:color w:val="000000"/>
          <w:sz w:val="20"/>
          <w:szCs w:val="20"/>
        </w:rPr>
        <w:t xml:space="preserve">Loans, or portions of loans, are charged off to the extent deemed uncollectible or a loss is confirmed. </w:t>
      </w:r>
      <w:r>
        <w:rPr>
          <w:rFonts w:eastAsia="Times New Roman"/>
          <w:color w:val="000000"/>
          <w:sz w:val="20"/>
          <w:szCs w:val="20"/>
        </w:rPr>
        <w:t>Loan charge-offs reduce the allowance for loan losses, and recoveries of loans previously charged off are added back to the allowance. If management determines that it is probable that all amounts due on a loan will not be collected under the original term</w:t>
      </w:r>
      <w:r>
        <w:rPr>
          <w:rFonts w:eastAsia="Times New Roman"/>
          <w:color w:val="000000"/>
          <w:sz w:val="20"/>
          <w:szCs w:val="20"/>
        </w:rPr>
        <w:t>s of the loan agreement, the loan is considered to be impaired. These loans are evaluated individually for impairment, and in conjunction with current economic conditions and loss experience, specific reserves are estimated as further discussed below. Loan</w:t>
      </w:r>
      <w:r>
        <w:rPr>
          <w:rFonts w:eastAsia="Times New Roman"/>
          <w:color w:val="000000"/>
          <w:sz w:val="20"/>
          <w:szCs w:val="20"/>
        </w:rPr>
        <w:t>s not individually evaluated are aggregated by risk characteristics and reserves are recorded using a consistent methodology that considers historical loan loss experience by loan type, delinquencies, current economic conditions, loan risk ratings and indu</w:t>
      </w:r>
      <w:r>
        <w:rPr>
          <w:rFonts w:eastAsia="Times New Roman"/>
          <w:color w:val="000000"/>
          <w:sz w:val="20"/>
          <w:szCs w:val="20"/>
        </w:rPr>
        <w:t xml:space="preserve">stry concentration. </w:t>
      </w:r>
    </w:p>
    <w:p w:rsidR="00000000" w:rsidRDefault="00100014">
      <w:pPr>
        <w:jc w:val="both"/>
        <w:divId w:val="509686513"/>
        <w:rPr>
          <w:rFonts w:eastAsia="Times New Roman"/>
        </w:rPr>
      </w:pPr>
      <w:r>
        <w:rPr>
          <w:rFonts w:eastAsia="Times New Roman"/>
          <w:color w:val="000000"/>
          <w:sz w:val="20"/>
          <w:szCs w:val="20"/>
        </w:rPr>
        <w:t>These historical loss rates for each risk group are used as the starting point to determine loss rates for measurement purposes. The historical loan loss rates are multiplied by loss emergence periods (LEP) which represent the estimate</w:t>
      </w:r>
      <w:r>
        <w:rPr>
          <w:rFonts w:eastAsia="Times New Roman"/>
          <w:color w:val="000000"/>
          <w:sz w:val="20"/>
          <w:szCs w:val="20"/>
        </w:rPr>
        <w:t>d time period between a borrower first experiencing financial difficulty and the recognition of a loss. Management's look-back period began with loss history in the first quarter 2012 as the starting point through the current quarter and it will continue t</w:t>
      </w:r>
      <w:r>
        <w:rPr>
          <w:rFonts w:eastAsia="Times New Roman"/>
          <w:color w:val="000000"/>
          <w:sz w:val="20"/>
          <w:szCs w:val="20"/>
        </w:rPr>
        <w:t>o include this starting point going forward. The look-back period will continue to be evaluated and will be adjusted once a sustained loss-producing downturn is recognized and found to be representative of historical losses expected for the current portfol</w:t>
      </w:r>
      <w:r>
        <w:rPr>
          <w:rFonts w:eastAsia="Times New Roman"/>
          <w:color w:val="000000"/>
          <w:sz w:val="20"/>
          <w:szCs w:val="20"/>
        </w:rPr>
        <w:t>io.</w:t>
      </w:r>
    </w:p>
    <w:p w:rsidR="00000000" w:rsidRDefault="00100014">
      <w:pPr>
        <w:jc w:val="both"/>
        <w:divId w:val="1637024995"/>
        <w:rPr>
          <w:rFonts w:eastAsia="Times New Roman"/>
        </w:rPr>
      </w:pPr>
      <w:r>
        <w:rPr>
          <w:rFonts w:eastAsia="Times New Roman"/>
          <w:color w:val="000000"/>
          <w:sz w:val="20"/>
          <w:szCs w:val="20"/>
        </w:rPr>
        <w:t>The Company’</w:t>
      </w:r>
      <w:r>
        <w:rPr>
          <w:rFonts w:eastAsia="Times New Roman"/>
          <w:color w:val="000000"/>
          <w:sz w:val="20"/>
          <w:szCs w:val="20"/>
        </w:rPr>
        <w:t xml:space="preserve">s methodology includes qualitative risk factors that allow management to adjust its estimates of losses based on the most recent information available and to address other limitations in the quantitative component based on historical loss rates. Such risk </w:t>
      </w:r>
      <w:r>
        <w:rPr>
          <w:rFonts w:eastAsia="Times New Roman"/>
          <w:color w:val="000000"/>
          <w:sz w:val="20"/>
          <w:szCs w:val="20"/>
        </w:rPr>
        <w:t>factors are generally reviewed and updated quarterly, as appropriate, and are adjusted to reflect changes in national and local economic conditions and developments, the nature, volume and terms of loans in the portfolio, including changes in volume and se</w:t>
      </w:r>
      <w:r>
        <w:rPr>
          <w:rFonts w:eastAsia="Times New Roman"/>
          <w:color w:val="000000"/>
          <w:sz w:val="20"/>
          <w:szCs w:val="20"/>
        </w:rPr>
        <w:t>verity of past due loans, the volume of non-accrual loans, and the volume and severity of adversely classified or graded loans, loan concentrations, assessment of trends in collateral values, assessment of changes in the quality of the Company’s internal l</w:t>
      </w:r>
      <w:r>
        <w:rPr>
          <w:rFonts w:eastAsia="Times New Roman"/>
          <w:color w:val="000000"/>
          <w:sz w:val="20"/>
          <w:szCs w:val="20"/>
        </w:rPr>
        <w:t>oan review department, and changes in lending policies and procedures, including underwriting standards and collections, charge-off and recovery practices.</w:t>
      </w:r>
    </w:p>
    <w:p w:rsidR="00000000" w:rsidRDefault="00100014">
      <w:pPr>
        <w:jc w:val="both"/>
        <w:divId w:val="1986080954"/>
        <w:rPr>
          <w:rFonts w:eastAsia="Times New Roman"/>
        </w:rPr>
      </w:pPr>
      <w:r>
        <w:rPr>
          <w:rFonts w:eastAsia="Times New Roman"/>
          <w:color w:val="000000"/>
          <w:sz w:val="20"/>
          <w:szCs w:val="20"/>
        </w:rPr>
        <w:t xml:space="preserve">The funding of $88.4 million and $47.5 million in SBA PPP loans during 2020 and 2021, respectively, </w:t>
      </w:r>
      <w:r>
        <w:rPr>
          <w:rFonts w:eastAsia="Times New Roman"/>
          <w:color w:val="000000"/>
          <w:sz w:val="20"/>
          <w:szCs w:val="20"/>
        </w:rPr>
        <w:t xml:space="preserve">required management to assess the methodology that would be adopted in regard to the allowance for loan losses applicable to these loans. Because the SBA PPP loans are expected to be mostly paid off within a year and carry a 100% credit guarantee from the </w:t>
      </w:r>
      <w:r>
        <w:rPr>
          <w:rFonts w:eastAsia="Times New Roman"/>
          <w:color w:val="000000"/>
          <w:sz w:val="20"/>
          <w:szCs w:val="20"/>
        </w:rPr>
        <w:t xml:space="preserve">SBA, management determined that no allowance for loan losses was deemed necessary for these loans. At June 30, 2022, the net balance of the PPP loans totaled $1.1 million. </w:t>
      </w:r>
    </w:p>
    <w:p w:rsidR="00000000" w:rsidRDefault="00100014">
      <w:pPr>
        <w:jc w:val="both"/>
        <w:divId w:val="1690719304"/>
        <w:rPr>
          <w:rFonts w:eastAsia="Times New Roman"/>
        </w:rPr>
      </w:pPr>
      <w:r>
        <w:rPr>
          <w:rFonts w:eastAsia="Times New Roman"/>
          <w:color w:val="000000"/>
          <w:sz w:val="20"/>
          <w:szCs w:val="20"/>
        </w:rPr>
        <w:t xml:space="preserve">All SBA PPP loans have a 1% interest rate and the Company earns a fee based upon a </w:t>
      </w:r>
      <w:r>
        <w:rPr>
          <w:rFonts w:eastAsia="Times New Roman"/>
          <w:color w:val="000000"/>
          <w:sz w:val="20"/>
          <w:szCs w:val="20"/>
        </w:rPr>
        <w:t>tiered schedule corresponding with the amount of the loan to the borrower, which is deferred and recognized over the life of the loan. The PPP loan may be forgiven by the SBA if the borrower meets certain criteria as defined by the Coronavirus Aid, Relief,</w:t>
      </w:r>
      <w:r>
        <w:rPr>
          <w:rFonts w:eastAsia="Times New Roman"/>
          <w:color w:val="000000"/>
          <w:sz w:val="20"/>
          <w:szCs w:val="20"/>
        </w:rPr>
        <w:t xml:space="preserve"> and Economic Security (CARES) Act. The Company reports these loans at their principal amount outstanding, net of unearned income, unamortized deferred loan fee income and loan origination costs. Interest is accrued as earned and loan origination fees and </w:t>
      </w:r>
      <w:r>
        <w:rPr>
          <w:rFonts w:eastAsia="Times New Roman"/>
          <w:color w:val="000000"/>
          <w:sz w:val="20"/>
          <w:szCs w:val="20"/>
        </w:rPr>
        <w:t>direct costs are deferred and accreted or amortized into interest income, as an adjustment to the yield, over the life of the loan using the level yield method. When a PPP loan is paid off or forgiven by the SBA, the remaining unaccreted or unamortized net</w:t>
      </w:r>
      <w:r>
        <w:rPr>
          <w:rFonts w:eastAsia="Times New Roman"/>
          <w:color w:val="000000"/>
          <w:sz w:val="20"/>
          <w:szCs w:val="20"/>
        </w:rPr>
        <w:t xml:space="preserve"> origination fees or costs are immediately recognized into income.</w:t>
      </w:r>
    </w:p>
    <w:p w:rsidR="00000000" w:rsidRDefault="00100014">
      <w:pPr>
        <w:jc w:val="center"/>
        <w:divId w:val="3630487"/>
        <w:rPr>
          <w:rFonts w:eastAsia="Times New Roman"/>
        </w:rPr>
      </w:pPr>
      <w:r>
        <w:rPr>
          <w:rFonts w:eastAsia="Times New Roman"/>
          <w:color w:val="000000"/>
          <w:sz w:val="20"/>
          <w:szCs w:val="20"/>
        </w:rPr>
        <w:t>10</w:t>
      </w:r>
    </w:p>
    <w:p w:rsidR="00000000" w:rsidRDefault="00100014">
      <w:pPr>
        <w:rPr>
          <w:rFonts w:eastAsia="Times New Roman"/>
        </w:rPr>
      </w:pPr>
      <w:r>
        <w:rPr>
          <w:rFonts w:eastAsia="Times New Roman"/>
        </w:rPr>
        <w:pict>
          <v:rect id="_x0000_i1034" style="width:0;height:1.5pt" o:hralign="center" o:hrstd="t" o:hr="t" fillcolor="#a0a0a0" stroked="f"/>
        </w:pict>
      </w:r>
    </w:p>
    <w:p w:rsidR="00000000" w:rsidRDefault="00100014">
      <w:pPr>
        <w:jc w:val="center"/>
        <w:divId w:val="1672097054"/>
        <w:rPr>
          <w:rFonts w:eastAsia="Times New Roman"/>
        </w:rPr>
      </w:pPr>
      <w:r>
        <w:rPr>
          <w:rFonts w:eastAsia="Times New Roman"/>
          <w:b/>
          <w:bCs/>
          <w:color w:val="000000"/>
          <w:sz w:val="20"/>
          <w:szCs w:val="20"/>
        </w:rPr>
        <w:t>HAWTHORN BANCSHARES, INC.</w:t>
      </w:r>
    </w:p>
    <w:p w:rsidR="00000000" w:rsidRDefault="00100014">
      <w:pPr>
        <w:jc w:val="center"/>
        <w:divId w:val="1672097054"/>
        <w:rPr>
          <w:rFonts w:eastAsia="Times New Roman"/>
        </w:rPr>
      </w:pPr>
      <w:r>
        <w:rPr>
          <w:rFonts w:eastAsia="Times New Roman"/>
          <w:b/>
          <w:bCs/>
          <w:color w:val="000000"/>
          <w:sz w:val="20"/>
          <w:szCs w:val="20"/>
        </w:rPr>
        <w:t>AND SUBSIDIARIES</w:t>
      </w:r>
    </w:p>
    <w:p w:rsidR="00000000" w:rsidRDefault="00100014">
      <w:pPr>
        <w:jc w:val="center"/>
        <w:divId w:val="1672097054"/>
        <w:rPr>
          <w:rFonts w:eastAsia="Times New Roman"/>
        </w:rPr>
      </w:pPr>
      <w:r>
        <w:rPr>
          <w:rFonts w:eastAsia="Times New Roman"/>
          <w:color w:val="000000"/>
          <w:sz w:val="18"/>
          <w:szCs w:val="18"/>
        </w:rPr>
        <w:t>Notes to the Consolidated Financial Statements</w:t>
      </w:r>
    </w:p>
    <w:p w:rsidR="00000000" w:rsidRDefault="00100014">
      <w:pPr>
        <w:jc w:val="center"/>
        <w:divId w:val="1672097054"/>
        <w:rPr>
          <w:rFonts w:eastAsia="Times New Roman"/>
        </w:rPr>
      </w:pPr>
      <w:r>
        <w:rPr>
          <w:rFonts w:eastAsia="Times New Roman"/>
          <w:i/>
          <w:iCs/>
          <w:color w:val="000000"/>
          <w:sz w:val="18"/>
          <w:szCs w:val="18"/>
        </w:rPr>
        <w:t>(Unaudited)</w:t>
      </w:r>
    </w:p>
    <w:p w:rsidR="00000000" w:rsidRDefault="00100014">
      <w:pPr>
        <w:jc w:val="both"/>
        <w:divId w:val="1521309530"/>
        <w:rPr>
          <w:rFonts w:eastAsia="Times New Roman"/>
        </w:rPr>
      </w:pPr>
      <w:r>
        <w:rPr>
          <w:rFonts w:eastAsia="Times New Roman"/>
          <w:color w:val="000000"/>
          <w:sz w:val="20"/>
          <w:szCs w:val="20"/>
        </w:rPr>
        <w:t>The following table illustrates the allowance fo</w:t>
      </w:r>
      <w:r>
        <w:rPr>
          <w:rFonts w:eastAsia="Times New Roman"/>
          <w:color w:val="000000"/>
          <w:sz w:val="20"/>
          <w:szCs w:val="20"/>
        </w:rPr>
        <w:t xml:space="preserve">r loan losses and recorded investment by portfolio segment: </w:t>
      </w:r>
    </w:p>
    <w:tbl>
      <w:tblPr>
        <w:tblW w:w="4924" w:type="pct"/>
        <w:tblCellMar>
          <w:top w:w="15" w:type="dxa"/>
          <w:left w:w="15" w:type="dxa"/>
          <w:bottom w:w="15" w:type="dxa"/>
          <w:right w:w="15" w:type="dxa"/>
        </w:tblCellMar>
        <w:tblLook w:val="04A0" w:firstRow="1" w:lastRow="0" w:firstColumn="1" w:lastColumn="0" w:noHBand="0" w:noVBand="1"/>
      </w:tblPr>
      <w:tblGrid>
        <w:gridCol w:w="40"/>
        <w:gridCol w:w="962"/>
        <w:gridCol w:w="39"/>
        <w:gridCol w:w="101"/>
        <w:gridCol w:w="721"/>
        <w:gridCol w:w="36"/>
        <w:gridCol w:w="36"/>
        <w:gridCol w:w="36"/>
        <w:gridCol w:w="36"/>
        <w:gridCol w:w="101"/>
        <w:gridCol w:w="734"/>
        <w:gridCol w:w="36"/>
        <w:gridCol w:w="36"/>
        <w:gridCol w:w="36"/>
        <w:gridCol w:w="36"/>
        <w:gridCol w:w="101"/>
        <w:gridCol w:w="734"/>
        <w:gridCol w:w="36"/>
        <w:gridCol w:w="36"/>
        <w:gridCol w:w="36"/>
        <w:gridCol w:w="36"/>
        <w:gridCol w:w="101"/>
        <w:gridCol w:w="612"/>
        <w:gridCol w:w="36"/>
        <w:gridCol w:w="36"/>
        <w:gridCol w:w="36"/>
        <w:gridCol w:w="36"/>
        <w:gridCol w:w="101"/>
        <w:gridCol w:w="682"/>
        <w:gridCol w:w="36"/>
        <w:gridCol w:w="36"/>
        <w:gridCol w:w="36"/>
        <w:gridCol w:w="36"/>
        <w:gridCol w:w="101"/>
        <w:gridCol w:w="644"/>
        <w:gridCol w:w="36"/>
        <w:gridCol w:w="36"/>
        <w:gridCol w:w="36"/>
        <w:gridCol w:w="36"/>
        <w:gridCol w:w="101"/>
        <w:gridCol w:w="481"/>
        <w:gridCol w:w="36"/>
        <w:gridCol w:w="36"/>
        <w:gridCol w:w="36"/>
        <w:gridCol w:w="36"/>
        <w:gridCol w:w="100"/>
        <w:gridCol w:w="680"/>
        <w:gridCol w:w="36"/>
      </w:tblGrid>
      <w:tr w:rsidR="00000000">
        <w:trPr>
          <w:divId w:val="96484391"/>
        </w:trPr>
        <w:tc>
          <w:tcPr>
            <w:tcW w:w="50" w:type="pct"/>
            <w:vAlign w:val="center"/>
            <w:hideMark/>
          </w:tcPr>
          <w:p w:rsidR="00000000" w:rsidRDefault="00100014">
            <w:pPr>
              <w:jc w:val="both"/>
              <w:rPr>
                <w:rFonts w:eastAsia="Times New Roman"/>
              </w:rPr>
            </w:pPr>
          </w:p>
        </w:tc>
        <w:tc>
          <w:tcPr>
            <w:tcW w:w="11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2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9648439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Commercial, Financial, and Agricultural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Residential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Construction - Commercial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Residential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Real Estate Mortgage - Commercial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Installment and Other Consumer</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 allocated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w:t>
            </w:r>
          </w:p>
        </w:tc>
      </w:tr>
      <w:tr w:rsidR="00000000">
        <w:trPr>
          <w:divId w:val="9648439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648439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9648439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2,967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750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2,557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8,370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285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15,046</w:t>
            </w:r>
          </w:p>
        </w:tc>
      </w:tr>
      <w:tr w:rsidR="00100014">
        <w:trPr>
          <w:divId w:val="96484391"/>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3,005 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762 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2,747 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8,410 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15,353 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9648439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2,283 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16,413 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19,314 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242,388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23,629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118,983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309,803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690,287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23,424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1,408,514</w:t>
            </w:r>
          </w:p>
        </w:tc>
      </w:tr>
      <w:tr w:rsidR="00100014">
        <w:trPr>
          <w:divId w:val="96484391"/>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242,701 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23,629 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119,079 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312,086 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706,700 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23,633 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1,427,828 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Height w:val="300"/>
        </w:trPr>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648439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648439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Allowance for loan losses: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9648439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Individually evaluated for impairment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2,815 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3,044 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2,675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575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2,316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7,847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248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13,859</w:t>
            </w:r>
          </w:p>
        </w:tc>
      </w:tr>
      <w:tr w:rsidR="00100014">
        <w:trPr>
          <w:divId w:val="96484391"/>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588 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2,482 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10,662 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16,903 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outstanding:</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9648439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Individually evaluated for impairment</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341 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2,391 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24,357 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27,254 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648439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Collectively evaluated for impairment</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216,873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27,920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91,264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276,955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638,899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22,968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1,274,879</w:t>
            </w:r>
          </w:p>
        </w:tc>
      </w:tr>
      <w:tr w:rsidR="00100014">
        <w:trPr>
          <w:divId w:val="96484391"/>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217,214 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27,920 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91,369 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279,346 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663,256 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23,028 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722631484"/>
        <w:rPr>
          <w:rFonts w:eastAsia="Times New Roman"/>
        </w:rPr>
      </w:pPr>
      <w:r>
        <w:rPr>
          <w:rFonts w:eastAsia="Times New Roman"/>
          <w:i/>
          <w:iCs/>
          <w:color w:val="000000"/>
          <w:sz w:val="20"/>
          <w:szCs w:val="20"/>
        </w:rPr>
        <w:t>Impaired Loans</w:t>
      </w:r>
    </w:p>
    <w:p w:rsidR="00000000" w:rsidRDefault="00100014">
      <w:pPr>
        <w:jc w:val="both"/>
        <w:divId w:val="1213618554"/>
        <w:rPr>
          <w:rFonts w:eastAsia="Times New Roman"/>
        </w:rPr>
      </w:pPr>
      <w:r>
        <w:rPr>
          <w:rFonts w:eastAsia="Times New Roman"/>
          <w:color w:val="000000"/>
          <w:sz w:val="20"/>
          <w:szCs w:val="20"/>
        </w:rPr>
        <w:t>Loans evaluated under Accounting Standards Codification (ASC) 310-10-35 include loans whi</w:t>
      </w:r>
      <w:r>
        <w:rPr>
          <w:rFonts w:eastAsia="Times New Roman"/>
          <w:color w:val="000000"/>
          <w:sz w:val="20"/>
          <w:szCs w:val="20"/>
        </w:rPr>
        <w:t>ch are individually evaluated for impairment. All other loans are collectively evaluated for impairment under ASC 450-20. Impaired loans individually evaluated for impairment totaled $19.3 million and $27.3 million at June 30, 2022 and December 31, 2021, r</w:t>
      </w:r>
      <w:r>
        <w:rPr>
          <w:rFonts w:eastAsia="Times New Roman"/>
          <w:color w:val="000000"/>
          <w:sz w:val="20"/>
          <w:szCs w:val="20"/>
        </w:rPr>
        <w:t>espectively, and are comprised of loans on non-accrual status and loans which have been classified as troubled debt restructurings (TDRs).</w:t>
      </w:r>
    </w:p>
    <w:p w:rsidR="00000000" w:rsidRDefault="00100014">
      <w:pPr>
        <w:jc w:val="both"/>
        <w:divId w:val="1387333291"/>
        <w:rPr>
          <w:rFonts w:eastAsia="Times New Roman"/>
        </w:rPr>
      </w:pPr>
      <w:r>
        <w:rPr>
          <w:rFonts w:eastAsia="Times New Roman"/>
          <w:color w:val="000000"/>
          <w:sz w:val="20"/>
          <w:szCs w:val="20"/>
        </w:rPr>
        <w:t>The net carrying value of impaired loans is based on the fair values of collateral obtained through independent appra</w:t>
      </w:r>
      <w:r>
        <w:rPr>
          <w:rFonts w:eastAsia="Times New Roman"/>
          <w:color w:val="000000"/>
          <w:sz w:val="20"/>
          <w:szCs w:val="20"/>
        </w:rPr>
        <w:t xml:space="preserve">isals or internal evaluations, or by discounting the total expected future cash flows. At June 30, 2022, $16.0 million of impaired loans were evaluated based on the fair value less estimated selling costs of the loans' collateral compared to $24.2 million </w:t>
      </w:r>
      <w:r>
        <w:rPr>
          <w:rFonts w:eastAsia="Times New Roman"/>
          <w:color w:val="000000"/>
          <w:sz w:val="20"/>
          <w:szCs w:val="20"/>
        </w:rPr>
        <w:t>at December 31, 2021. Once the impairment amount is calculated, a specific reserve allocation is recorded. At June 30, 2022, $0.3 million of the Company’s allowance for loan losses was allocated to impaired loans totaling $19.3 million compared to $3.0 mil</w:t>
      </w:r>
      <w:r>
        <w:rPr>
          <w:rFonts w:eastAsia="Times New Roman"/>
          <w:color w:val="000000"/>
          <w:sz w:val="20"/>
          <w:szCs w:val="20"/>
        </w:rPr>
        <w:t>lion of the Company’s allowance for loan losses allocated to impaired loans totaling $27.3 million at December 31, 2021. Management determined that $16.0 million, or 83%, of total impaired loans required no reserve allocation at June 30, 2022 compared to $</w:t>
      </w:r>
      <w:r>
        <w:rPr>
          <w:rFonts w:eastAsia="Times New Roman"/>
          <w:color w:val="000000"/>
          <w:sz w:val="20"/>
          <w:szCs w:val="20"/>
        </w:rPr>
        <w:t>16.6 million, or 61%,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rsidR="00000000" w:rsidRDefault="00100014">
      <w:pPr>
        <w:jc w:val="center"/>
        <w:divId w:val="1283415203"/>
        <w:rPr>
          <w:rFonts w:eastAsia="Times New Roman"/>
        </w:rPr>
      </w:pPr>
      <w:r>
        <w:rPr>
          <w:rFonts w:eastAsia="Times New Roman"/>
          <w:color w:val="000000"/>
          <w:sz w:val="20"/>
          <w:szCs w:val="20"/>
        </w:rPr>
        <w:t>11</w:t>
      </w:r>
    </w:p>
    <w:p w:rsidR="00000000" w:rsidRDefault="00100014">
      <w:pPr>
        <w:rPr>
          <w:rFonts w:eastAsia="Times New Roman"/>
        </w:rPr>
      </w:pPr>
      <w:r>
        <w:rPr>
          <w:rFonts w:eastAsia="Times New Roman"/>
        </w:rPr>
        <w:pict>
          <v:rect id="_x0000_i1035" style="width:0;height:1.5pt" o:hralign="center" o:hrstd="t" o:hr="t" fillcolor="#a0a0a0" stroked="f"/>
        </w:pict>
      </w:r>
    </w:p>
    <w:p w:rsidR="00000000" w:rsidRDefault="00100014">
      <w:pPr>
        <w:jc w:val="center"/>
        <w:divId w:val="1757558710"/>
        <w:rPr>
          <w:rFonts w:eastAsia="Times New Roman"/>
        </w:rPr>
      </w:pPr>
      <w:r>
        <w:rPr>
          <w:rFonts w:eastAsia="Times New Roman"/>
          <w:b/>
          <w:bCs/>
          <w:color w:val="000000"/>
          <w:sz w:val="20"/>
          <w:szCs w:val="20"/>
        </w:rPr>
        <w:t>HAWTHORN BANCSHARES, INC.</w:t>
      </w:r>
    </w:p>
    <w:p w:rsidR="00000000" w:rsidRDefault="00100014">
      <w:pPr>
        <w:jc w:val="center"/>
        <w:divId w:val="1757558710"/>
        <w:rPr>
          <w:rFonts w:eastAsia="Times New Roman"/>
        </w:rPr>
      </w:pPr>
      <w:r>
        <w:rPr>
          <w:rFonts w:eastAsia="Times New Roman"/>
          <w:b/>
          <w:bCs/>
          <w:color w:val="000000"/>
          <w:sz w:val="20"/>
          <w:szCs w:val="20"/>
        </w:rPr>
        <w:t>AND SUBSIDIARIES</w:t>
      </w:r>
    </w:p>
    <w:p w:rsidR="00000000" w:rsidRDefault="00100014">
      <w:pPr>
        <w:jc w:val="center"/>
        <w:divId w:val="1757558710"/>
        <w:rPr>
          <w:rFonts w:eastAsia="Times New Roman"/>
        </w:rPr>
      </w:pPr>
      <w:r>
        <w:rPr>
          <w:rFonts w:eastAsia="Times New Roman"/>
          <w:color w:val="000000"/>
          <w:sz w:val="18"/>
          <w:szCs w:val="18"/>
        </w:rPr>
        <w:t>Notes to the Consolidated Financial Statements</w:t>
      </w:r>
    </w:p>
    <w:p w:rsidR="00000000" w:rsidRDefault="00100014">
      <w:pPr>
        <w:jc w:val="center"/>
        <w:divId w:val="1757558710"/>
        <w:rPr>
          <w:rFonts w:eastAsia="Times New Roman"/>
        </w:rPr>
      </w:pPr>
      <w:r>
        <w:rPr>
          <w:rFonts w:eastAsia="Times New Roman"/>
          <w:i/>
          <w:iCs/>
          <w:color w:val="000000"/>
          <w:sz w:val="18"/>
          <w:szCs w:val="18"/>
        </w:rPr>
        <w:t>(Unaudited)</w:t>
      </w:r>
    </w:p>
    <w:p w:rsidR="00000000" w:rsidRDefault="00100014">
      <w:pPr>
        <w:jc w:val="both"/>
        <w:divId w:val="1222985404"/>
        <w:rPr>
          <w:rFonts w:eastAsia="Times New Roman"/>
        </w:rPr>
      </w:pPr>
      <w:r>
        <w:rPr>
          <w:rFonts w:eastAsia="Times New Roman"/>
          <w:color w:val="000000"/>
          <w:sz w:val="20"/>
          <w:szCs w:val="20"/>
        </w:rPr>
        <w:t>The categories of impaired loans at June 30, 2022 and December 31, 2021 are as follows:</w:t>
      </w:r>
    </w:p>
    <w:tbl>
      <w:tblPr>
        <w:tblW w:w="4946" w:type="pct"/>
        <w:tblCellMar>
          <w:top w:w="15" w:type="dxa"/>
          <w:left w:w="15" w:type="dxa"/>
          <w:bottom w:w="15" w:type="dxa"/>
          <w:right w:w="15" w:type="dxa"/>
        </w:tblCellMar>
        <w:tblLook w:val="04A0" w:firstRow="1" w:lastRow="0" w:firstColumn="1" w:lastColumn="0" w:noHBand="0" w:noVBand="1"/>
      </w:tblPr>
      <w:tblGrid>
        <w:gridCol w:w="38"/>
        <w:gridCol w:w="5872"/>
        <w:gridCol w:w="37"/>
        <w:gridCol w:w="120"/>
        <w:gridCol w:w="799"/>
        <w:gridCol w:w="36"/>
        <w:gridCol w:w="36"/>
        <w:gridCol w:w="36"/>
        <w:gridCol w:w="36"/>
        <w:gridCol w:w="120"/>
        <w:gridCol w:w="1050"/>
        <w:gridCol w:w="36"/>
      </w:tblGrid>
      <w:tr w:rsidR="00000000">
        <w:trPr>
          <w:divId w:val="1817260560"/>
        </w:trPr>
        <w:tc>
          <w:tcPr>
            <w:tcW w:w="50" w:type="pct"/>
            <w:vAlign w:val="center"/>
            <w:hideMark/>
          </w:tcPr>
          <w:p w:rsidR="00000000" w:rsidRDefault="00100014">
            <w:pPr>
              <w:jc w:val="both"/>
              <w:rPr>
                <w:rFonts w:eastAsia="Times New Roman"/>
              </w:rPr>
            </w:pPr>
          </w:p>
        </w:tc>
        <w:tc>
          <w:tcPr>
            <w:tcW w:w="361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1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81726056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81726056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Non-accrual loans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17,648 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25,459 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1726056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Performing TDRs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1,666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1,795</w:t>
            </w:r>
          </w:p>
        </w:tc>
      </w:tr>
      <w:tr w:rsidR="00000000">
        <w:trPr>
          <w:divId w:val="1817260560"/>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impaired loans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19,314 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27,254 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784933098"/>
        <w:rPr>
          <w:rFonts w:eastAsia="Times New Roman"/>
        </w:rPr>
      </w:pPr>
      <w:r>
        <w:rPr>
          <w:rFonts w:eastAsia="Times New Roman"/>
          <w:color w:val="000000"/>
          <w:sz w:val="20"/>
          <w:szCs w:val="20"/>
        </w:rPr>
        <w:t>The following tables provide additional information about impaired loans at June 30, 2022 and December 31, 2021, respectively, segregated between loans for which an allowance has been provided and loans for which no allowance has been provided.</w:t>
      </w:r>
      <w:r>
        <w:rPr>
          <w:rFonts w:eastAsia="Times New Roman"/>
          <w:color w:val="FF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0"/>
        <w:gridCol w:w="4812"/>
        <w:gridCol w:w="39"/>
        <w:gridCol w:w="121"/>
        <w:gridCol w:w="935"/>
        <w:gridCol w:w="36"/>
        <w:gridCol w:w="36"/>
        <w:gridCol w:w="36"/>
        <w:gridCol w:w="36"/>
        <w:gridCol w:w="120"/>
        <w:gridCol w:w="935"/>
        <w:gridCol w:w="36"/>
        <w:gridCol w:w="36"/>
        <w:gridCol w:w="36"/>
        <w:gridCol w:w="36"/>
        <w:gridCol w:w="121"/>
        <w:gridCol w:w="859"/>
        <w:gridCol w:w="36"/>
      </w:tblGrid>
      <w:tr w:rsidR="00000000">
        <w:trPr>
          <w:divId w:val="1490945428"/>
        </w:trPr>
        <w:tc>
          <w:tcPr>
            <w:tcW w:w="50" w:type="pct"/>
            <w:vAlign w:val="center"/>
            <w:hideMark/>
          </w:tcPr>
          <w:p w:rsidR="00000000" w:rsidRDefault="00100014">
            <w:pPr>
              <w:jc w:val="both"/>
              <w:rPr>
                <w:rFonts w:eastAsia="Times New Roman"/>
              </w:rPr>
            </w:pPr>
          </w:p>
        </w:tc>
        <w:tc>
          <w:tcPr>
            <w:tcW w:w="295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Specific Reserves</w:t>
            </w:r>
          </w:p>
        </w:tc>
      </w:tr>
      <w:tr w:rsidR="00000000">
        <w:trPr>
          <w:divId w:val="149094542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r>
      <w:tr w:rsidR="00000000">
        <w:trPr>
          <w:divId w:val="1490945428"/>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15,992 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16,847 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90945428"/>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9094542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r>
      <w:tr w:rsidR="00000000">
        <w:trPr>
          <w:divId w:val="1490945428"/>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90945428"/>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490945428"/>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r>
      <w:tr w:rsidR="00000000">
        <w:trPr>
          <w:divId w:val="1490945428"/>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2,283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2,775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190</w:t>
            </w:r>
          </w:p>
        </w:tc>
      </w:tr>
      <w:tr w:rsidR="00000000">
        <w:trPr>
          <w:divId w:val="1490945428"/>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503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40</w:t>
            </w:r>
          </w:p>
        </w:tc>
      </w:tr>
      <w:tr w:rsidR="00000000">
        <w:trPr>
          <w:divId w:val="1490945428"/>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209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210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w:t>
            </w:r>
          </w:p>
        </w:tc>
      </w:tr>
      <w:tr w:rsidR="00000000">
        <w:trPr>
          <w:divId w:val="1490945428"/>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3,322 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90945428"/>
        </w:trPr>
        <w:tc>
          <w:tcPr>
            <w:tcW w:w="0" w:type="auto"/>
            <w:gridSpan w:val="3"/>
            <w:tcBorders>
              <w:top w:val="single" w:sz="8" w:space="0" w:color="000000"/>
              <w:bottom w:val="double" w:sz="6" w:space="0" w:color="000000"/>
            </w:tcBorders>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19,314 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20,819 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953"/>
        <w:gridCol w:w="144"/>
        <w:gridCol w:w="144"/>
        <w:gridCol w:w="1003"/>
        <w:gridCol w:w="144"/>
        <w:gridCol w:w="144"/>
        <w:gridCol w:w="144"/>
        <w:gridCol w:w="144"/>
        <w:gridCol w:w="144"/>
        <w:gridCol w:w="1003"/>
        <w:gridCol w:w="144"/>
        <w:gridCol w:w="144"/>
        <w:gridCol w:w="144"/>
        <w:gridCol w:w="144"/>
        <w:gridCol w:w="144"/>
        <w:gridCol w:w="877"/>
        <w:gridCol w:w="144"/>
      </w:tblGrid>
      <w:tr w:rsidR="00000000">
        <w:tc>
          <w:tcPr>
            <w:tcW w:w="50" w:type="pct"/>
            <w:vAlign w:val="center"/>
            <w:hideMark/>
          </w:tcPr>
          <w:p w:rsidR="00000000" w:rsidRDefault="00100014">
            <w:pPr>
              <w:rPr>
                <w:rFonts w:eastAsia="Times New Roman"/>
              </w:rPr>
            </w:pPr>
          </w:p>
        </w:tc>
        <w:tc>
          <w:tcPr>
            <w:tcW w:w="29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Recorded Investment</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Unpaid Principal Balance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Specific Reserves</w:t>
            </w: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December 31, 2021</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b/>
                <w:bCs/>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With no related allowance recorded:</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r>
      <w:tr w:rsidR="00000000">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1,034 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1,152 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15,593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16,057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With an allowance recorded: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341 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374 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w:t>
            </w: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1,357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1,730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166</w:t>
            </w:r>
          </w:p>
        </w:tc>
      </w:tr>
      <w:tr w:rsidR="00000000">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8,764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9,142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2,815</w:t>
            </w:r>
          </w:p>
        </w:tc>
      </w:tr>
      <w:tr w:rsidR="00000000">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w:t>
            </w:r>
          </w:p>
        </w:tc>
      </w:tr>
      <w:tr w:rsidR="00000000">
        <w:tc>
          <w:tcPr>
            <w:tcW w:w="0" w:type="auto"/>
            <w:gridSpan w:val="3"/>
            <w:tcBorders>
              <w:top w:val="single" w:sz="8" w:space="0" w:color="000000"/>
            </w:tcBorders>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impaired loans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27,254 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28,654 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center"/>
        <w:divId w:val="1378892641"/>
        <w:rPr>
          <w:rFonts w:eastAsia="Times New Roman"/>
        </w:rPr>
      </w:pPr>
      <w:r>
        <w:rPr>
          <w:rFonts w:eastAsia="Times New Roman"/>
          <w:color w:val="000000"/>
          <w:sz w:val="20"/>
          <w:szCs w:val="20"/>
        </w:rPr>
        <w:t>12</w:t>
      </w:r>
    </w:p>
    <w:p w:rsidR="00000000" w:rsidRDefault="00100014">
      <w:pPr>
        <w:rPr>
          <w:rFonts w:eastAsia="Times New Roman"/>
        </w:rPr>
      </w:pPr>
      <w:r>
        <w:rPr>
          <w:rFonts w:eastAsia="Times New Roman"/>
        </w:rPr>
        <w:pict>
          <v:rect id="_x0000_i1036" style="width:0;height:1.5pt" o:hralign="center" o:hrstd="t" o:hr="t" fillcolor="#a0a0a0" stroked="f"/>
        </w:pict>
      </w:r>
    </w:p>
    <w:p w:rsidR="00000000" w:rsidRDefault="00100014">
      <w:pPr>
        <w:jc w:val="center"/>
        <w:divId w:val="932202070"/>
        <w:rPr>
          <w:rFonts w:eastAsia="Times New Roman"/>
        </w:rPr>
      </w:pPr>
      <w:r>
        <w:rPr>
          <w:rFonts w:eastAsia="Times New Roman"/>
          <w:b/>
          <w:bCs/>
          <w:color w:val="000000"/>
          <w:sz w:val="20"/>
          <w:szCs w:val="20"/>
        </w:rPr>
        <w:t>HAWTHORN BANCSHARES, INC.</w:t>
      </w:r>
    </w:p>
    <w:p w:rsidR="00000000" w:rsidRDefault="00100014">
      <w:pPr>
        <w:jc w:val="center"/>
        <w:divId w:val="932202070"/>
        <w:rPr>
          <w:rFonts w:eastAsia="Times New Roman"/>
        </w:rPr>
      </w:pPr>
      <w:r>
        <w:rPr>
          <w:rFonts w:eastAsia="Times New Roman"/>
          <w:b/>
          <w:bCs/>
          <w:color w:val="000000"/>
          <w:sz w:val="20"/>
          <w:szCs w:val="20"/>
        </w:rPr>
        <w:t>AND SUBSIDIARIES</w:t>
      </w:r>
    </w:p>
    <w:p w:rsidR="00000000" w:rsidRDefault="00100014">
      <w:pPr>
        <w:jc w:val="center"/>
        <w:divId w:val="932202070"/>
        <w:rPr>
          <w:rFonts w:eastAsia="Times New Roman"/>
        </w:rPr>
      </w:pPr>
      <w:r>
        <w:rPr>
          <w:rFonts w:eastAsia="Times New Roman"/>
          <w:color w:val="000000"/>
          <w:sz w:val="18"/>
          <w:szCs w:val="18"/>
        </w:rPr>
        <w:t>Notes to the Consolidated Financial Statements</w:t>
      </w:r>
    </w:p>
    <w:p w:rsidR="00000000" w:rsidRDefault="00100014">
      <w:pPr>
        <w:jc w:val="center"/>
        <w:divId w:val="932202070"/>
        <w:rPr>
          <w:rFonts w:eastAsia="Times New Roman"/>
        </w:rPr>
      </w:pPr>
      <w:r>
        <w:rPr>
          <w:rFonts w:eastAsia="Times New Roman"/>
          <w:i/>
          <w:iCs/>
          <w:color w:val="000000"/>
          <w:sz w:val="18"/>
          <w:szCs w:val="18"/>
        </w:rPr>
        <w:t>(Unaudited)</w:t>
      </w:r>
    </w:p>
    <w:p w:rsidR="00000000" w:rsidRDefault="00100014">
      <w:pPr>
        <w:jc w:val="both"/>
        <w:divId w:val="1865095537"/>
        <w:rPr>
          <w:rFonts w:eastAsia="Times New Roman"/>
        </w:rPr>
      </w:pPr>
      <w:r>
        <w:rPr>
          <w:rFonts w:eastAsia="Times New Roman"/>
          <w:color w:val="000000"/>
          <w:sz w:val="20"/>
          <w:szCs w:val="20"/>
        </w:rPr>
        <w:t xml:space="preserve">The following table presents by class, information related to the average recorded investment and interest income recognized on impaired loans during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1358"/>
        <w:gridCol w:w="38"/>
        <w:gridCol w:w="101"/>
        <w:gridCol w:w="609"/>
        <w:gridCol w:w="36"/>
        <w:gridCol w:w="36"/>
        <w:gridCol w:w="36"/>
        <w:gridCol w:w="36"/>
        <w:gridCol w:w="101"/>
        <w:gridCol w:w="639"/>
        <w:gridCol w:w="36"/>
        <w:gridCol w:w="36"/>
        <w:gridCol w:w="36"/>
        <w:gridCol w:w="36"/>
        <w:gridCol w:w="101"/>
        <w:gridCol w:w="609"/>
        <w:gridCol w:w="36"/>
        <w:gridCol w:w="36"/>
        <w:gridCol w:w="36"/>
        <w:gridCol w:w="36"/>
        <w:gridCol w:w="101"/>
        <w:gridCol w:w="638"/>
        <w:gridCol w:w="36"/>
        <w:gridCol w:w="36"/>
        <w:gridCol w:w="36"/>
        <w:gridCol w:w="36"/>
        <w:gridCol w:w="101"/>
        <w:gridCol w:w="628"/>
        <w:gridCol w:w="36"/>
        <w:gridCol w:w="36"/>
        <w:gridCol w:w="36"/>
        <w:gridCol w:w="36"/>
        <w:gridCol w:w="101"/>
        <w:gridCol w:w="639"/>
        <w:gridCol w:w="36"/>
        <w:gridCol w:w="36"/>
        <w:gridCol w:w="36"/>
        <w:gridCol w:w="36"/>
        <w:gridCol w:w="101"/>
        <w:gridCol w:w="617"/>
        <w:gridCol w:w="36"/>
        <w:gridCol w:w="36"/>
        <w:gridCol w:w="36"/>
        <w:gridCol w:w="36"/>
        <w:gridCol w:w="101"/>
        <w:gridCol w:w="638"/>
        <w:gridCol w:w="36"/>
      </w:tblGrid>
      <w:tr w:rsidR="00000000">
        <w:trPr>
          <w:divId w:val="1258369303"/>
        </w:trPr>
        <w:tc>
          <w:tcPr>
            <w:tcW w:w="50" w:type="pct"/>
            <w:vAlign w:val="center"/>
            <w:hideMark/>
          </w:tcPr>
          <w:p w:rsidR="00000000" w:rsidRDefault="00100014">
            <w:pPr>
              <w:jc w:val="both"/>
              <w:rPr>
                <w:rFonts w:eastAsia="Times New Roman"/>
              </w:rPr>
            </w:pPr>
          </w:p>
        </w:tc>
        <w:tc>
          <w:tcPr>
            <w:tcW w:w="117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3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3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6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258369303"/>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1"/>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1"/>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Six Months Ended June 30,</w:t>
            </w:r>
          </w:p>
        </w:tc>
      </w:tr>
      <w:tr w:rsidR="00000000">
        <w:trPr>
          <w:divId w:val="1258369303"/>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2021</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2021</w:t>
            </w:r>
          </w:p>
        </w:tc>
      </w:tr>
      <w:tr w:rsidR="00000000">
        <w:trPr>
          <w:divId w:val="125836930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Interest Recognized For the Period Ended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Average 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Interest Recognized For the Period Ended</w:t>
            </w:r>
          </w:p>
        </w:tc>
      </w:tr>
      <w:tr w:rsidR="00000000">
        <w:trPr>
          <w:divId w:val="1258369303"/>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With no related allowance recorded: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125836930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1,834 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58369303"/>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58369303"/>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1,266 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1,391 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5836930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15,712 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9,459 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15,679 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9,458 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58369303"/>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100014">
        <w:trPr>
          <w:divId w:val="1258369303"/>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15,712 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12,551 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15,679 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12,683 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58369303"/>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With an allowance recorded:</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1258369303"/>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5,553 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5,548 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5836930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258369303"/>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construction </w:t>
            </w:r>
            <w:r>
              <w:rPr>
                <w:rFonts w:eastAsia="Times New Roman"/>
                <w:color w:val="000000"/>
                <w:sz w:val="16"/>
                <w:szCs w:val="16"/>
              </w:rPr>
              <w:t>−</w:t>
            </w:r>
            <w:r>
              <w:rPr>
                <w:rFonts w:eastAsia="Times New Roman"/>
                <w:color w:val="000000"/>
                <w:sz w:val="16"/>
                <w:szCs w:val="16"/>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182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25836930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2,327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1,692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2,333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1,779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w:t>
            </w:r>
          </w:p>
        </w:tc>
      </w:tr>
      <w:tr w:rsidR="00000000">
        <w:trPr>
          <w:divId w:val="1258369303"/>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 xml:space="preserve">Real estate mortgage </w:t>
            </w:r>
            <w:r>
              <w:rPr>
                <w:rFonts w:eastAsia="Times New Roman"/>
                <w:color w:val="000000"/>
                <w:sz w:val="16"/>
                <w:szCs w:val="16"/>
              </w:rPr>
              <w:t>−</w:t>
            </w:r>
            <w:r>
              <w:rPr>
                <w:rFonts w:eastAsia="Times New Roman"/>
                <w:color w:val="000000"/>
                <w:sz w:val="16"/>
                <w:szCs w:val="16"/>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16,323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16,189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r>
      <w:tr w:rsidR="00000000">
        <w:trPr>
          <w:divId w:val="1258369303"/>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r>
      <w:tr w:rsidR="00100014">
        <w:trPr>
          <w:divId w:val="1258369303"/>
        </w:trPr>
        <w:tc>
          <w:tcPr>
            <w:tcW w:w="0" w:type="auto"/>
            <w:gridSpan w:val="3"/>
            <w:tcBorders>
              <w:top w:val="sing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3,340 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23,916 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3,349 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23,927 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100014">
        <w:trPr>
          <w:divId w:val="1258369303"/>
        </w:trPr>
        <w:tc>
          <w:tcPr>
            <w:tcW w:w="0" w:type="auto"/>
            <w:gridSpan w:val="3"/>
            <w:tcBorders>
              <w:top w:val="single" w:sz="6" w:space="0" w:color="000000"/>
              <w:bottom w:val="double" w:sz="6" w:space="0" w:color="000000"/>
            </w:tcBorders>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impaired loans</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19,052 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36,467 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19,028 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52 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36,610 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1587494123"/>
        <w:rPr>
          <w:rFonts w:eastAsia="Times New Roman"/>
        </w:rPr>
      </w:pPr>
      <w:r>
        <w:rPr>
          <w:rFonts w:eastAsia="Times New Roman"/>
          <w:color w:val="000000"/>
          <w:sz w:val="20"/>
          <w:szCs w:val="20"/>
        </w:rPr>
        <w:t>The recorded investment varies from the unpaid principal balance primarily due to partial charge-offs taken as a result of current appraisals receiv</w:t>
      </w:r>
      <w:r>
        <w:rPr>
          <w:rFonts w:eastAsia="Times New Roman"/>
          <w:color w:val="000000"/>
          <w:sz w:val="20"/>
          <w:szCs w:val="20"/>
        </w:rPr>
        <w:t>ed. The amount recognized as interest income on impaired loans continuing to accrue interest, primarily related to TDRs, was $28,000 and $52,000 for the three and six months ended June 30, 2022, respectively, compared to $36,000 and $76,000 for the three a</w:t>
      </w:r>
      <w:r>
        <w:rPr>
          <w:rFonts w:eastAsia="Times New Roman"/>
          <w:color w:val="000000"/>
          <w:sz w:val="20"/>
          <w:szCs w:val="20"/>
        </w:rPr>
        <w:t>nd six months ended June 30, 2021, respectively. The average recorded investment in impaired loans is calculated on a monthly basis during the periods reported.</w:t>
      </w:r>
    </w:p>
    <w:p w:rsidR="00000000" w:rsidRDefault="00100014">
      <w:pPr>
        <w:divId w:val="725614831"/>
        <w:rPr>
          <w:rFonts w:eastAsia="Times New Roman"/>
        </w:rPr>
      </w:pPr>
      <w:r>
        <w:rPr>
          <w:rFonts w:eastAsia="Times New Roman"/>
          <w:i/>
          <w:iCs/>
          <w:color w:val="000000"/>
          <w:sz w:val="20"/>
          <w:szCs w:val="20"/>
        </w:rPr>
        <w:t>Delinquent and Non-Accrual Loans</w:t>
      </w:r>
    </w:p>
    <w:p w:rsidR="00000000" w:rsidRDefault="00100014">
      <w:pPr>
        <w:jc w:val="both"/>
        <w:divId w:val="1762263304"/>
        <w:rPr>
          <w:rFonts w:eastAsia="Times New Roman"/>
        </w:rPr>
      </w:pPr>
      <w:r>
        <w:rPr>
          <w:rFonts w:eastAsia="Times New Roman"/>
          <w:color w:val="000000"/>
          <w:sz w:val="20"/>
          <w:szCs w:val="20"/>
        </w:rPr>
        <w:t>The delinquency status of loans is determined based on the con</w:t>
      </w:r>
      <w:r>
        <w:rPr>
          <w:rFonts w:eastAsia="Times New Roman"/>
          <w:color w:val="000000"/>
          <w:sz w:val="20"/>
          <w:szCs w:val="20"/>
        </w:rPr>
        <w:t>tractual terms of the notes. Loans are generally classified as delinquent once payments become 30 days or more past due. The Company’s policy is to discontinue the accrual of interest income on any loan when, in the opinion of management, the ultimate coll</w:t>
      </w:r>
      <w:r>
        <w:rPr>
          <w:rFonts w:eastAsia="Times New Roman"/>
          <w:color w:val="000000"/>
          <w:sz w:val="20"/>
          <w:szCs w:val="20"/>
        </w:rPr>
        <w:t>ectability of interest or principal is no longer probable. In general, loans are placed on non-accrual when they become 90 days or more past due. However, management considers many factors before placing a loan on non-accrual status, including the delinque</w:t>
      </w:r>
      <w:r>
        <w:rPr>
          <w:rFonts w:eastAsia="Times New Roman"/>
          <w:color w:val="000000"/>
          <w:sz w:val="20"/>
          <w:szCs w:val="20"/>
        </w:rPr>
        <w:t xml:space="preserve">ncy status of the loan, the overall financial condition of the borrower, the progress of management’s collection efforts and the value of the underlying collateral. Subsequent interest payments received on non-accrual loans are applied to principal if any </w:t>
      </w:r>
      <w:r>
        <w:rPr>
          <w:rFonts w:eastAsia="Times New Roman"/>
          <w:color w:val="000000"/>
          <w:sz w:val="20"/>
          <w:szCs w:val="20"/>
        </w:rPr>
        <w:t xml:space="preserve">doubt exists as to the collectability of such principal; otherwise, such receipts are recorded as interest income on a cash basis. Non-accrual loans are returned to accrual status when, in the opinion of management, the financial condition of the borrower </w:t>
      </w:r>
      <w:r>
        <w:rPr>
          <w:rFonts w:eastAsia="Times New Roman"/>
          <w:color w:val="000000"/>
          <w:sz w:val="20"/>
          <w:szCs w:val="20"/>
        </w:rPr>
        <w:t>indicates that the timely collectability of interest and principal is probable and the borrower demonstrates the ability to pay under the terms of the note through a sustained period of repayment performance, which is generally six months.</w:t>
      </w:r>
    </w:p>
    <w:p w:rsidR="00000000" w:rsidRDefault="00100014">
      <w:pPr>
        <w:jc w:val="center"/>
        <w:divId w:val="154687378"/>
        <w:rPr>
          <w:rFonts w:eastAsia="Times New Roman"/>
        </w:rPr>
      </w:pPr>
      <w:r>
        <w:rPr>
          <w:rFonts w:eastAsia="Times New Roman"/>
          <w:color w:val="000000"/>
          <w:sz w:val="20"/>
          <w:szCs w:val="20"/>
        </w:rPr>
        <w:t>13</w:t>
      </w:r>
    </w:p>
    <w:p w:rsidR="00000000" w:rsidRDefault="00100014">
      <w:pPr>
        <w:rPr>
          <w:rFonts w:eastAsia="Times New Roman"/>
        </w:rPr>
      </w:pPr>
      <w:r>
        <w:rPr>
          <w:rFonts w:eastAsia="Times New Roman"/>
        </w:rPr>
        <w:pict>
          <v:rect id="_x0000_i1037" style="width:0;height:1.5pt" o:hralign="center" o:hrstd="t" o:hr="t" fillcolor="#a0a0a0" stroked="f"/>
        </w:pict>
      </w:r>
    </w:p>
    <w:p w:rsidR="00000000" w:rsidRDefault="00100014">
      <w:pPr>
        <w:jc w:val="center"/>
        <w:divId w:val="27416366"/>
        <w:rPr>
          <w:rFonts w:eastAsia="Times New Roman"/>
        </w:rPr>
      </w:pPr>
      <w:r>
        <w:rPr>
          <w:rFonts w:eastAsia="Times New Roman"/>
          <w:b/>
          <w:bCs/>
          <w:color w:val="000000"/>
          <w:sz w:val="20"/>
          <w:szCs w:val="20"/>
        </w:rPr>
        <w:t>HAWTHORN BANCSHARES, INC.</w:t>
      </w:r>
    </w:p>
    <w:p w:rsidR="00000000" w:rsidRDefault="00100014">
      <w:pPr>
        <w:jc w:val="center"/>
        <w:divId w:val="27416366"/>
        <w:rPr>
          <w:rFonts w:eastAsia="Times New Roman"/>
        </w:rPr>
      </w:pPr>
      <w:r>
        <w:rPr>
          <w:rFonts w:eastAsia="Times New Roman"/>
          <w:b/>
          <w:bCs/>
          <w:color w:val="000000"/>
          <w:sz w:val="20"/>
          <w:szCs w:val="20"/>
        </w:rPr>
        <w:t>AND SUBSIDIARIES</w:t>
      </w:r>
    </w:p>
    <w:p w:rsidR="00000000" w:rsidRDefault="00100014">
      <w:pPr>
        <w:jc w:val="center"/>
        <w:divId w:val="27416366"/>
        <w:rPr>
          <w:rFonts w:eastAsia="Times New Roman"/>
        </w:rPr>
      </w:pPr>
      <w:r>
        <w:rPr>
          <w:rFonts w:eastAsia="Times New Roman"/>
          <w:color w:val="000000"/>
          <w:sz w:val="18"/>
          <w:szCs w:val="18"/>
        </w:rPr>
        <w:t>Notes to the Consolidated Financial Statements</w:t>
      </w:r>
    </w:p>
    <w:p w:rsidR="00000000" w:rsidRDefault="00100014">
      <w:pPr>
        <w:jc w:val="center"/>
        <w:divId w:val="27416366"/>
        <w:rPr>
          <w:rFonts w:eastAsia="Times New Roman"/>
        </w:rPr>
      </w:pPr>
      <w:r>
        <w:rPr>
          <w:rFonts w:eastAsia="Times New Roman"/>
          <w:i/>
          <w:iCs/>
          <w:color w:val="000000"/>
          <w:sz w:val="18"/>
          <w:szCs w:val="18"/>
        </w:rPr>
        <w:t>(Unaudited)</w:t>
      </w:r>
    </w:p>
    <w:p w:rsidR="00000000" w:rsidRDefault="00100014">
      <w:pPr>
        <w:jc w:val="both"/>
        <w:divId w:val="395201014"/>
        <w:rPr>
          <w:rFonts w:eastAsia="Times New Roman"/>
        </w:rPr>
      </w:pPr>
      <w:r>
        <w:rPr>
          <w:rFonts w:eastAsia="Times New Roman"/>
          <w:color w:val="000000"/>
          <w:sz w:val="20"/>
          <w:szCs w:val="20"/>
        </w:rPr>
        <w:t xml:space="preserve">The following table provides aging information for the Company’s past due and non-accrual loans at June 30, 2022 and December 31, </w:t>
      </w:r>
      <w:r>
        <w:rPr>
          <w:rFonts w:eastAsia="Times New Roman"/>
          <w:color w:val="000000"/>
          <w:sz w:val="20"/>
          <w:szCs w:val="20"/>
        </w:rPr>
        <w:t>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3072"/>
        <w:gridCol w:w="37"/>
        <w:gridCol w:w="120"/>
        <w:gridCol w:w="901"/>
        <w:gridCol w:w="36"/>
        <w:gridCol w:w="36"/>
        <w:gridCol w:w="36"/>
        <w:gridCol w:w="36"/>
        <w:gridCol w:w="120"/>
        <w:gridCol w:w="793"/>
        <w:gridCol w:w="36"/>
        <w:gridCol w:w="36"/>
        <w:gridCol w:w="36"/>
        <w:gridCol w:w="36"/>
        <w:gridCol w:w="121"/>
        <w:gridCol w:w="633"/>
        <w:gridCol w:w="36"/>
        <w:gridCol w:w="36"/>
        <w:gridCol w:w="36"/>
        <w:gridCol w:w="36"/>
        <w:gridCol w:w="120"/>
        <w:gridCol w:w="759"/>
        <w:gridCol w:w="36"/>
        <w:gridCol w:w="36"/>
        <w:gridCol w:w="36"/>
        <w:gridCol w:w="36"/>
        <w:gridCol w:w="120"/>
        <w:gridCol w:w="860"/>
        <w:gridCol w:w="36"/>
      </w:tblGrid>
      <w:tr w:rsidR="00000000">
        <w:trPr>
          <w:divId w:val="847595020"/>
        </w:trPr>
        <w:tc>
          <w:tcPr>
            <w:tcW w:w="50" w:type="pct"/>
            <w:vAlign w:val="center"/>
            <w:hideMark/>
          </w:tcPr>
          <w:p w:rsidR="00000000" w:rsidRDefault="00100014">
            <w:pPr>
              <w:jc w:val="both"/>
              <w:rPr>
                <w:rFonts w:eastAsia="Times New Roman"/>
              </w:rPr>
            </w:pPr>
          </w:p>
        </w:tc>
        <w:tc>
          <w:tcPr>
            <w:tcW w:w="18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7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3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1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7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84759502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Current or Less Than 30 Days Past Due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30 - 89 Days Past Due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90 Days Past Due And Still Accruing</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Non-Accrual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w:t>
            </w:r>
          </w:p>
        </w:tc>
      </w:tr>
      <w:tr w:rsidR="00000000">
        <w:trPr>
          <w:divId w:val="84759502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242,424 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242,701 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118,983 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119,079 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310,554 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312,086 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688,659 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1,944 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16,097 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706,700 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23,384 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23,633 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tcBorders>
              <w:top w:val="sing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1,407,633 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2,378 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17,648 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1,427,828 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Height w:val="28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217,058 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217,214 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27,920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27,920</w:t>
            </w: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91,264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91,369</w:t>
            </w: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277,532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671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279,346</w:t>
            </w:r>
          </w:p>
        </w:tc>
      </w:tr>
      <w:tr w:rsidR="00000000">
        <w:trPr>
          <w:divId w:val="84759502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638,982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24,029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663,256</w:t>
            </w:r>
          </w:p>
        </w:tc>
      </w:tr>
      <w:tr w:rsidR="00000000">
        <w:trPr>
          <w:divId w:val="847595020"/>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22,848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23,028</w:t>
            </w:r>
          </w:p>
        </w:tc>
      </w:tr>
      <w:tr w:rsidR="00000000">
        <w:trPr>
          <w:divId w:val="847595020"/>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1,275,604 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1,056 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25,459 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1,302,133 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1374844055"/>
        <w:rPr>
          <w:rFonts w:eastAsia="Times New Roman"/>
        </w:rPr>
      </w:pPr>
      <w:r>
        <w:rPr>
          <w:rFonts w:eastAsia="Times New Roman"/>
          <w:i/>
          <w:iCs/>
          <w:color w:val="000000"/>
          <w:sz w:val="20"/>
          <w:szCs w:val="20"/>
        </w:rPr>
        <w:t>Credit Quality</w:t>
      </w:r>
    </w:p>
    <w:p w:rsidR="00000000" w:rsidRDefault="00100014">
      <w:pPr>
        <w:jc w:val="both"/>
        <w:divId w:val="1845780304"/>
        <w:rPr>
          <w:rFonts w:eastAsia="Times New Roman"/>
        </w:rPr>
      </w:pPr>
      <w:r>
        <w:rPr>
          <w:rFonts w:eastAsia="Times New Roman"/>
          <w:color w:val="000000"/>
          <w:sz w:val="20"/>
          <w:szCs w:val="20"/>
        </w:rPr>
        <w:t xml:space="preserve">The Company categorizes loans into risk categories based upon an internal rating system reflecting management’s risk assessment. Loans are placed on </w:t>
      </w:r>
      <w:r>
        <w:rPr>
          <w:rFonts w:eastAsia="Times New Roman"/>
          <w:i/>
          <w:iCs/>
          <w:color w:val="000000"/>
          <w:sz w:val="20"/>
          <w:szCs w:val="20"/>
        </w:rPr>
        <w:t>watch</w:t>
      </w:r>
      <w:r>
        <w:rPr>
          <w:rFonts w:eastAsia="Times New Roman"/>
          <w:color w:val="000000"/>
          <w:sz w:val="20"/>
          <w:szCs w:val="20"/>
        </w:rPr>
        <w:t xml:space="preserve"> status when one or more weaknesses are identified that may result in the borrower being unable to mee</w:t>
      </w:r>
      <w:r>
        <w:rPr>
          <w:rFonts w:eastAsia="Times New Roman"/>
          <w:color w:val="000000"/>
          <w:sz w:val="20"/>
          <w:szCs w:val="20"/>
        </w:rPr>
        <w:t xml:space="preserve">t repayment terms or when the Company’s credit position could deteriorate at some future date. Loans classified as </w:t>
      </w:r>
      <w:r>
        <w:rPr>
          <w:rFonts w:eastAsia="Times New Roman"/>
          <w:i/>
          <w:iCs/>
          <w:color w:val="000000"/>
          <w:sz w:val="20"/>
          <w:szCs w:val="20"/>
        </w:rPr>
        <w:t>substandard</w:t>
      </w:r>
      <w:r>
        <w:rPr>
          <w:rFonts w:eastAsia="Times New Roman"/>
          <w:color w:val="000000"/>
          <w:sz w:val="20"/>
          <w:szCs w:val="20"/>
        </w:rPr>
        <w:t xml:space="preserve"> are inadequately protected by the current sound worth and paying capacity of the obligor or by the collateral pledged, if any. Lo</w:t>
      </w:r>
      <w:r>
        <w:rPr>
          <w:rFonts w:eastAsia="Times New Roman"/>
          <w:color w:val="000000"/>
          <w:sz w:val="20"/>
          <w:szCs w:val="20"/>
        </w:rPr>
        <w:t>ans so classified may have a well-defined weakness or weaknesses that jeopardize the repayment of the debt. Such loans are characterized by the distinct possibility that the Company may sustain some loss if the deficiencies are not corrected. A loan is cla</w:t>
      </w:r>
      <w:r>
        <w:rPr>
          <w:rFonts w:eastAsia="Times New Roman"/>
          <w:color w:val="000000"/>
          <w:sz w:val="20"/>
          <w:szCs w:val="20"/>
        </w:rPr>
        <w:t>ssified as a TDR when a borrower is experiencing financial difficulties that lead to the restructuring of a loan, and the Company grants concessions to the borrower in the restructuring that it would not otherwise consider. Loans classified as TDRs that ar</w:t>
      </w:r>
      <w:r>
        <w:rPr>
          <w:rFonts w:eastAsia="Times New Roman"/>
          <w:color w:val="000000"/>
          <w:sz w:val="20"/>
          <w:szCs w:val="20"/>
        </w:rPr>
        <w:t xml:space="preserve">e accruing interest are classified as performing TDRs. Loans classified as TDRs that are not accruing interest are classified as non-performing TDRs and are included with all other non-accrual loans for presentation purposes. It is the Company’s policy to </w:t>
      </w:r>
      <w:r>
        <w:rPr>
          <w:rFonts w:eastAsia="Times New Roman"/>
          <w:color w:val="000000"/>
          <w:sz w:val="20"/>
          <w:szCs w:val="20"/>
        </w:rPr>
        <w:t>discontinue the accrual of interest income on loans when management believes that the collection of interest or principal is doubtful.</w:t>
      </w:r>
    </w:p>
    <w:p w:rsidR="00000000" w:rsidRDefault="00100014">
      <w:pPr>
        <w:jc w:val="center"/>
        <w:divId w:val="658773712"/>
        <w:rPr>
          <w:rFonts w:eastAsia="Times New Roman"/>
        </w:rPr>
      </w:pPr>
      <w:r>
        <w:rPr>
          <w:rFonts w:eastAsia="Times New Roman"/>
          <w:color w:val="000000"/>
          <w:sz w:val="20"/>
          <w:szCs w:val="20"/>
        </w:rPr>
        <w:t>14</w:t>
      </w:r>
    </w:p>
    <w:p w:rsidR="00000000" w:rsidRDefault="00100014">
      <w:pPr>
        <w:rPr>
          <w:rFonts w:eastAsia="Times New Roman"/>
        </w:rPr>
      </w:pPr>
      <w:r>
        <w:rPr>
          <w:rFonts w:eastAsia="Times New Roman"/>
        </w:rPr>
        <w:pict>
          <v:rect id="_x0000_i1038" style="width:0;height:1.5pt" o:hralign="center" o:hrstd="t" o:hr="t" fillcolor="#a0a0a0" stroked="f"/>
        </w:pict>
      </w:r>
    </w:p>
    <w:p w:rsidR="00000000" w:rsidRDefault="00100014">
      <w:pPr>
        <w:jc w:val="center"/>
        <w:divId w:val="1088238332"/>
        <w:rPr>
          <w:rFonts w:eastAsia="Times New Roman"/>
        </w:rPr>
      </w:pPr>
      <w:r>
        <w:rPr>
          <w:rFonts w:eastAsia="Times New Roman"/>
          <w:b/>
          <w:bCs/>
          <w:color w:val="000000"/>
          <w:sz w:val="20"/>
          <w:szCs w:val="20"/>
        </w:rPr>
        <w:t>HAWTHORN BANCSHARES, INC.</w:t>
      </w:r>
    </w:p>
    <w:p w:rsidR="00000000" w:rsidRDefault="00100014">
      <w:pPr>
        <w:jc w:val="center"/>
        <w:divId w:val="1088238332"/>
        <w:rPr>
          <w:rFonts w:eastAsia="Times New Roman"/>
        </w:rPr>
      </w:pPr>
      <w:r>
        <w:rPr>
          <w:rFonts w:eastAsia="Times New Roman"/>
          <w:b/>
          <w:bCs/>
          <w:color w:val="000000"/>
          <w:sz w:val="20"/>
          <w:szCs w:val="20"/>
        </w:rPr>
        <w:t>AND SUBSIDIARIES</w:t>
      </w:r>
    </w:p>
    <w:p w:rsidR="00000000" w:rsidRDefault="00100014">
      <w:pPr>
        <w:jc w:val="center"/>
        <w:divId w:val="1088238332"/>
        <w:rPr>
          <w:rFonts w:eastAsia="Times New Roman"/>
        </w:rPr>
      </w:pPr>
      <w:r>
        <w:rPr>
          <w:rFonts w:eastAsia="Times New Roman"/>
          <w:color w:val="000000"/>
          <w:sz w:val="18"/>
          <w:szCs w:val="18"/>
        </w:rPr>
        <w:t>Notes to the Consolidated Financial Sta</w:t>
      </w:r>
      <w:r>
        <w:rPr>
          <w:rFonts w:eastAsia="Times New Roman"/>
          <w:color w:val="000000"/>
          <w:sz w:val="18"/>
          <w:szCs w:val="18"/>
        </w:rPr>
        <w:t>tements</w:t>
      </w:r>
    </w:p>
    <w:p w:rsidR="00000000" w:rsidRDefault="00100014">
      <w:pPr>
        <w:jc w:val="center"/>
        <w:divId w:val="1088238332"/>
        <w:rPr>
          <w:rFonts w:eastAsia="Times New Roman"/>
        </w:rPr>
      </w:pPr>
      <w:r>
        <w:rPr>
          <w:rFonts w:eastAsia="Times New Roman"/>
          <w:i/>
          <w:iCs/>
          <w:color w:val="000000"/>
          <w:sz w:val="18"/>
          <w:szCs w:val="18"/>
        </w:rPr>
        <w:t>(Unaudited)</w:t>
      </w:r>
    </w:p>
    <w:p w:rsidR="00000000" w:rsidRDefault="00100014">
      <w:pPr>
        <w:jc w:val="both"/>
        <w:divId w:val="317272730"/>
        <w:rPr>
          <w:rFonts w:eastAsia="Times New Roman"/>
        </w:rPr>
      </w:pPr>
      <w:r>
        <w:rPr>
          <w:rFonts w:eastAsia="Times New Roman"/>
          <w:color w:val="000000"/>
          <w:sz w:val="20"/>
          <w:szCs w:val="20"/>
        </w:rPr>
        <w:t>The following table presents the risk categories by class at June 30,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7"/>
        <w:gridCol w:w="996"/>
        <w:gridCol w:w="37"/>
        <w:gridCol w:w="121"/>
        <w:gridCol w:w="836"/>
        <w:gridCol w:w="36"/>
        <w:gridCol w:w="36"/>
        <w:gridCol w:w="36"/>
        <w:gridCol w:w="36"/>
        <w:gridCol w:w="121"/>
        <w:gridCol w:w="843"/>
        <w:gridCol w:w="36"/>
        <w:gridCol w:w="36"/>
        <w:gridCol w:w="36"/>
        <w:gridCol w:w="36"/>
        <w:gridCol w:w="121"/>
        <w:gridCol w:w="855"/>
        <w:gridCol w:w="36"/>
        <w:gridCol w:w="36"/>
        <w:gridCol w:w="36"/>
        <w:gridCol w:w="36"/>
        <w:gridCol w:w="121"/>
        <w:gridCol w:w="719"/>
        <w:gridCol w:w="36"/>
        <w:gridCol w:w="36"/>
        <w:gridCol w:w="36"/>
        <w:gridCol w:w="36"/>
        <w:gridCol w:w="121"/>
        <w:gridCol w:w="791"/>
        <w:gridCol w:w="36"/>
        <w:gridCol w:w="36"/>
        <w:gridCol w:w="36"/>
        <w:gridCol w:w="36"/>
        <w:gridCol w:w="121"/>
        <w:gridCol w:w="736"/>
        <w:gridCol w:w="36"/>
        <w:gridCol w:w="36"/>
        <w:gridCol w:w="36"/>
        <w:gridCol w:w="36"/>
        <w:gridCol w:w="120"/>
        <w:gridCol w:w="700"/>
        <w:gridCol w:w="36"/>
      </w:tblGrid>
      <w:tr w:rsidR="00000000">
        <w:trPr>
          <w:divId w:val="1428888283"/>
        </w:trPr>
        <w:tc>
          <w:tcPr>
            <w:tcW w:w="50" w:type="pct"/>
            <w:vAlign w:val="center"/>
            <w:hideMark/>
          </w:tcPr>
          <w:p w:rsidR="00000000" w:rsidRDefault="00100014">
            <w:pPr>
              <w:jc w:val="both"/>
              <w:rPr>
                <w:rFonts w:eastAsia="Times New Roman"/>
              </w:rPr>
            </w:pPr>
          </w:p>
        </w:tc>
        <w:tc>
          <w:tcPr>
            <w:tcW w:w="104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6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42888828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Commercial, Financial, &amp; Agricultural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Real Estate Construction - Residential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Real Estate Construction - Commercial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Real Estate Mortgage - Residential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Real Estate Mortgage - Commercial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Installment and other Consumer</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w:t>
            </w:r>
          </w:p>
        </w:tc>
      </w:tr>
      <w:tr w:rsidR="00000000">
        <w:trPr>
          <w:divId w:val="142888828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At 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142888828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Watch</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8,604 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2,837 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8,326 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48,612 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68,379 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Substandard</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6,244 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2,673 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2,066 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11,507 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Performing TDRs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1,154 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1,666 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Non-accrual loans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16,097 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17,648 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100014">
        <w:trPr>
          <w:divId w:val="1428888283"/>
        </w:trPr>
        <w:tc>
          <w:tcPr>
            <w:tcW w:w="0" w:type="auto"/>
            <w:gridSpan w:val="3"/>
            <w:tcBorders>
              <w:top w:val="single" w:sz="8"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15,161 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5,606 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11,133 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67,091 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99,200 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42888828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At December 31, 2021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100014">
        <w:trPr>
          <w:divId w:val="142888828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Watch</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9,219 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4,304 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12,185 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43,348 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69,056 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Substandard</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6,284 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2,673 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750 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2,305 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12,012 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428888283"/>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Performing TDRs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188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1,795</w:t>
            </w:r>
          </w:p>
        </w:tc>
      </w:tr>
      <w:tr w:rsidR="00000000">
        <w:trPr>
          <w:divId w:val="1428888283"/>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Non-accrual loans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24,029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25,459</w:t>
            </w:r>
          </w:p>
        </w:tc>
      </w:tr>
      <w:tr w:rsidR="00100014">
        <w:trPr>
          <w:divId w:val="1428888283"/>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15,844 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7,082 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15,326 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70,010 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108,322 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1377048492"/>
        <w:rPr>
          <w:rFonts w:eastAsia="Times New Roman"/>
        </w:rPr>
      </w:pPr>
      <w:r>
        <w:rPr>
          <w:rFonts w:eastAsia="Times New Roman"/>
          <w:i/>
          <w:iCs/>
          <w:color w:val="000000"/>
          <w:sz w:val="20"/>
          <w:szCs w:val="20"/>
        </w:rPr>
        <w:t>Troubled Debt Restructurings</w:t>
      </w:r>
    </w:p>
    <w:p w:rsidR="00000000" w:rsidRDefault="00100014">
      <w:pPr>
        <w:jc w:val="both"/>
        <w:divId w:val="803428787"/>
        <w:rPr>
          <w:rFonts w:eastAsia="Times New Roman"/>
        </w:rPr>
      </w:pPr>
      <w:r>
        <w:rPr>
          <w:rFonts w:eastAsia="Times New Roman"/>
          <w:color w:val="000000"/>
          <w:sz w:val="20"/>
          <w:szCs w:val="20"/>
        </w:rPr>
        <w:t xml:space="preserve">At June 30, 2022, loans classified as TDRs totaled $2.1 million, of which $0.5 </w:t>
      </w:r>
      <w:r>
        <w:rPr>
          <w:rFonts w:eastAsia="Times New Roman"/>
          <w:color w:val="000000"/>
          <w:sz w:val="20"/>
          <w:szCs w:val="20"/>
        </w:rPr>
        <w:t>million were classified as non-performing TDRs and $1.6 million were classified as performing TDRs. At December 31, 2021, loans classified as TDRs totaled $2.4 million, of which $0.6 million were classified as non-performing TDRs and $1.8 million were clas</w:t>
      </w:r>
      <w:r>
        <w:rPr>
          <w:rFonts w:eastAsia="Times New Roman"/>
          <w:color w:val="000000"/>
          <w:sz w:val="20"/>
          <w:szCs w:val="20"/>
        </w:rPr>
        <w:t>sified as performing TDRs. Both performing and non-performing TDRs are considered impaired loans. When an individual loan is determined to be a TDR, the amount of impairment is based upon the present value of expected future cash flows discounted at the lo</w:t>
      </w:r>
      <w:r>
        <w:rPr>
          <w:rFonts w:eastAsia="Times New Roman"/>
          <w:color w:val="000000"/>
          <w:sz w:val="20"/>
          <w:szCs w:val="20"/>
        </w:rPr>
        <w:t>an’s effective interest rate or the fair value of the underlying collateral less applicable selling costs. Accordingly, specific reserves of $167,000 and $159,000 related to TDRs were allocated to the allowance for loan losses at June 30, 2022 and December</w:t>
      </w:r>
      <w:r>
        <w:rPr>
          <w:rFonts w:eastAsia="Times New Roman"/>
          <w:color w:val="000000"/>
          <w:sz w:val="20"/>
          <w:szCs w:val="20"/>
        </w:rPr>
        <w:t> 31, 2021, respectively.</w:t>
      </w:r>
    </w:p>
    <w:p w:rsidR="00000000" w:rsidRDefault="00100014">
      <w:pPr>
        <w:jc w:val="both"/>
        <w:divId w:val="963076008"/>
        <w:rPr>
          <w:rFonts w:eastAsia="Times New Roman"/>
        </w:rPr>
      </w:pPr>
      <w:r>
        <w:rPr>
          <w:rFonts w:eastAsia="Times New Roman"/>
          <w:color w:val="000000"/>
          <w:sz w:val="20"/>
          <w:szCs w:val="20"/>
        </w:rPr>
        <w:t>The Company’s portfolio of loans classified as TDRs include concessions for the borrower given their financial condition such as applying interest rates below the current market rate, deferring principal payments, and extending mat</w:t>
      </w:r>
      <w:r>
        <w:rPr>
          <w:rFonts w:eastAsia="Times New Roman"/>
          <w:color w:val="000000"/>
          <w:sz w:val="20"/>
          <w:szCs w:val="20"/>
        </w:rPr>
        <w:t>urity dates. There was one loan meeting the TDR criteria that was modified during the three and six months ended June 30, 2022, respectively, compared to no loans during the three and six months ended June 30, 2021, respectively. The Company considers a TD</w:t>
      </w:r>
      <w:r>
        <w:rPr>
          <w:rFonts w:eastAsia="Times New Roman"/>
          <w:color w:val="000000"/>
          <w:sz w:val="20"/>
          <w:szCs w:val="20"/>
        </w:rPr>
        <w:t>R to be in default when it is 90 days or more past due under the modified terms, a charge-off occurs, or it is in the process of foreclosure. There were no loans modified as a TDR that defaulted during the three and six months ended June 30, 2022 and 2021,</w:t>
      </w:r>
      <w:r>
        <w:rPr>
          <w:rFonts w:eastAsia="Times New Roman"/>
          <w:color w:val="000000"/>
          <w:sz w:val="20"/>
          <w:szCs w:val="20"/>
        </w:rPr>
        <w:t xml:space="preserve"> respectively, and within twelve months of their modification date. </w:t>
      </w:r>
    </w:p>
    <w:p w:rsidR="00000000" w:rsidRDefault="00100014">
      <w:pPr>
        <w:divId w:val="1472089950"/>
        <w:rPr>
          <w:rFonts w:eastAsia="Times New Roman"/>
        </w:rPr>
      </w:pPr>
      <w:r>
        <w:rPr>
          <w:rFonts w:eastAsia="Times New Roman"/>
          <w:i/>
          <w:iCs/>
          <w:color w:val="000000"/>
          <w:sz w:val="20"/>
          <w:szCs w:val="20"/>
        </w:rPr>
        <w:t>Loans Held For Sale</w:t>
      </w:r>
    </w:p>
    <w:p w:rsidR="00000000" w:rsidRDefault="00100014">
      <w:pPr>
        <w:jc w:val="both"/>
        <w:divId w:val="1574311486"/>
        <w:rPr>
          <w:rFonts w:eastAsia="Times New Roman"/>
        </w:rPr>
      </w:pPr>
      <w:r>
        <w:rPr>
          <w:rFonts w:eastAsia="Times New Roman"/>
          <w:color w:val="000000"/>
          <w:sz w:val="20"/>
          <w:szCs w:val="20"/>
        </w:rPr>
        <w:t>The Company designates certain long-term fixed rate personal real estate loans as held for sale. In the fourth quarter of 2021, the Company elected the fair value opti</w:t>
      </w:r>
      <w:r>
        <w:rPr>
          <w:rFonts w:eastAsia="Times New Roman"/>
          <w:color w:val="000000"/>
          <w:sz w:val="20"/>
          <w:szCs w:val="20"/>
        </w:rPr>
        <w:t>on for all newly originated long-term personal real estate loans held for sale. As of December 31, 2021, all loans held for sale were carried at fair value. The loans are primarily sold to Freddie Mac, Fannie Mae, PennyMac, and various other secondary mark</w:t>
      </w:r>
      <w:r>
        <w:rPr>
          <w:rFonts w:eastAsia="Times New Roman"/>
          <w:color w:val="000000"/>
          <w:sz w:val="20"/>
          <w:szCs w:val="20"/>
        </w:rPr>
        <w:t xml:space="preserve">et investors. At June 30, 2022, the carrying amount of these loans was $1.7 million compared to $2.2 million at December 31, 2021. </w:t>
      </w:r>
    </w:p>
    <w:p w:rsidR="00000000" w:rsidRDefault="00100014">
      <w:pPr>
        <w:jc w:val="center"/>
        <w:divId w:val="1139223198"/>
        <w:rPr>
          <w:rFonts w:eastAsia="Times New Roman"/>
        </w:rPr>
      </w:pPr>
      <w:r>
        <w:rPr>
          <w:rFonts w:eastAsia="Times New Roman"/>
          <w:color w:val="000000"/>
          <w:sz w:val="20"/>
          <w:szCs w:val="20"/>
        </w:rPr>
        <w:t>15</w:t>
      </w:r>
    </w:p>
    <w:p w:rsidR="00000000" w:rsidRDefault="00100014">
      <w:pPr>
        <w:rPr>
          <w:rFonts w:eastAsia="Times New Roman"/>
        </w:rPr>
      </w:pPr>
      <w:r>
        <w:rPr>
          <w:rFonts w:eastAsia="Times New Roman"/>
        </w:rPr>
        <w:pict>
          <v:rect id="_x0000_i1039" style="width:0;height:1.5pt" o:hralign="center" o:hrstd="t" o:hr="t" fillcolor="#a0a0a0" stroked="f"/>
        </w:pict>
      </w:r>
    </w:p>
    <w:p w:rsidR="00000000" w:rsidRDefault="00100014">
      <w:pPr>
        <w:jc w:val="center"/>
        <w:divId w:val="713117604"/>
        <w:rPr>
          <w:rFonts w:eastAsia="Times New Roman"/>
        </w:rPr>
      </w:pPr>
      <w:r>
        <w:rPr>
          <w:rFonts w:eastAsia="Times New Roman"/>
          <w:b/>
          <w:bCs/>
          <w:color w:val="000000"/>
          <w:sz w:val="20"/>
          <w:szCs w:val="20"/>
        </w:rPr>
        <w:t>HAWTHORN BANCSHARES, INC.</w:t>
      </w:r>
    </w:p>
    <w:p w:rsidR="00000000" w:rsidRDefault="00100014">
      <w:pPr>
        <w:jc w:val="center"/>
        <w:divId w:val="713117604"/>
        <w:rPr>
          <w:rFonts w:eastAsia="Times New Roman"/>
        </w:rPr>
      </w:pPr>
      <w:r>
        <w:rPr>
          <w:rFonts w:eastAsia="Times New Roman"/>
          <w:b/>
          <w:bCs/>
          <w:color w:val="000000"/>
          <w:sz w:val="20"/>
          <w:szCs w:val="20"/>
        </w:rPr>
        <w:t>AND SUBSIDIARIES</w:t>
      </w:r>
    </w:p>
    <w:p w:rsidR="00000000" w:rsidRDefault="00100014">
      <w:pPr>
        <w:jc w:val="center"/>
        <w:divId w:val="713117604"/>
        <w:rPr>
          <w:rFonts w:eastAsia="Times New Roman"/>
        </w:rPr>
      </w:pPr>
      <w:r>
        <w:rPr>
          <w:rFonts w:eastAsia="Times New Roman"/>
          <w:color w:val="000000"/>
          <w:sz w:val="18"/>
          <w:szCs w:val="18"/>
        </w:rPr>
        <w:t>Notes to the Consolidated Financial State</w:t>
      </w:r>
      <w:r>
        <w:rPr>
          <w:rFonts w:eastAsia="Times New Roman"/>
          <w:color w:val="000000"/>
          <w:sz w:val="18"/>
          <w:szCs w:val="18"/>
        </w:rPr>
        <w:t>ments</w:t>
      </w:r>
    </w:p>
    <w:p w:rsidR="00000000" w:rsidRDefault="00100014">
      <w:pPr>
        <w:jc w:val="center"/>
        <w:divId w:val="713117604"/>
        <w:rPr>
          <w:rFonts w:eastAsia="Times New Roman"/>
        </w:rPr>
      </w:pPr>
      <w:r>
        <w:rPr>
          <w:rFonts w:eastAsia="Times New Roman"/>
          <w:i/>
          <w:iCs/>
          <w:color w:val="000000"/>
          <w:sz w:val="18"/>
          <w:szCs w:val="18"/>
        </w:rPr>
        <w:t>(Unaudited)</w:t>
      </w:r>
    </w:p>
    <w:p w:rsidR="00000000" w:rsidRDefault="00100014">
      <w:pPr>
        <w:divId w:val="1406533697"/>
        <w:rPr>
          <w:rFonts w:eastAsia="Times New Roman"/>
        </w:rPr>
      </w:pPr>
      <w:r>
        <w:rPr>
          <w:rFonts w:eastAsia="Times New Roman"/>
          <w:b/>
          <w:bCs/>
          <w:color w:val="000000"/>
          <w:sz w:val="20"/>
          <w:szCs w:val="20"/>
        </w:rPr>
        <w:t>(3) Other Real Estate Acquired in Settlement of Loans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12"/>
        <w:gridCol w:w="36"/>
        <w:gridCol w:w="120"/>
        <w:gridCol w:w="950"/>
        <w:gridCol w:w="36"/>
        <w:gridCol w:w="36"/>
        <w:gridCol w:w="36"/>
        <w:gridCol w:w="36"/>
        <w:gridCol w:w="120"/>
        <w:gridCol w:w="950"/>
        <w:gridCol w:w="36"/>
      </w:tblGrid>
      <w:tr w:rsidR="00000000">
        <w:trPr>
          <w:divId w:val="1811510265"/>
        </w:trPr>
        <w:tc>
          <w:tcPr>
            <w:tcW w:w="50" w:type="pct"/>
            <w:vAlign w:val="center"/>
            <w:hideMark/>
          </w:tcPr>
          <w:p w:rsidR="00000000" w:rsidRDefault="00100014">
            <w:pPr>
              <w:rPr>
                <w:rFonts w:eastAsia="Times New Roman"/>
              </w:rPr>
            </w:pPr>
          </w:p>
        </w:tc>
        <w:tc>
          <w:tcPr>
            <w:tcW w:w="3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811510265"/>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w:t>
            </w:r>
          </w:p>
        </w:tc>
      </w:tr>
      <w:tr w:rsidR="00000000">
        <w:trPr>
          <w:divId w:val="181151026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81151026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643 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1151026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Real estate construction - commercial</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10,094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10,166</w:t>
            </w:r>
          </w:p>
        </w:tc>
      </w:tr>
      <w:tr w:rsidR="00000000">
        <w:trPr>
          <w:divId w:val="181151026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Real estate mortgage - residential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117</w:t>
            </w:r>
          </w:p>
        </w:tc>
      </w:tr>
      <w:tr w:rsidR="00000000">
        <w:trPr>
          <w:divId w:val="181151026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Real estate mortgage - commercial</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1,639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2,510</w:t>
            </w:r>
          </w:p>
        </w:tc>
      </w:tr>
      <w:tr w:rsidR="00000000">
        <w:trPr>
          <w:divId w:val="181151026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11,819 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13,436 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1151026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Less valuation allowance for other real estate owned</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(2,664)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(2,911)</w:t>
            </w:r>
          </w:p>
        </w:tc>
      </w:tr>
      <w:tr w:rsidR="00000000">
        <w:trPr>
          <w:divId w:val="1811510265"/>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other real estate owned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9,155 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10,525 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1012340293"/>
        <w:rPr>
          <w:rFonts w:eastAsia="Times New Roman"/>
        </w:rPr>
      </w:pPr>
      <w:r>
        <w:rPr>
          <w:rFonts w:eastAsia="Times New Roman"/>
          <w:color w:val="000000"/>
          <w:sz w:val="20"/>
          <w:szCs w:val="20"/>
        </w:rPr>
        <w:t>Changes in the net carrying amount of other real estate owned were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91"/>
        <w:gridCol w:w="37"/>
        <w:gridCol w:w="121"/>
        <w:gridCol w:w="952"/>
        <w:gridCol w:w="38"/>
        <w:gridCol w:w="37"/>
        <w:gridCol w:w="36"/>
        <w:gridCol w:w="36"/>
        <w:gridCol w:w="120"/>
        <w:gridCol w:w="910"/>
        <w:gridCol w:w="37"/>
        <w:gridCol w:w="36"/>
        <w:gridCol w:w="36"/>
        <w:gridCol w:w="36"/>
        <w:gridCol w:w="121"/>
        <w:gridCol w:w="910"/>
        <w:gridCol w:w="38"/>
        <w:gridCol w:w="37"/>
        <w:gridCol w:w="36"/>
        <w:gridCol w:w="36"/>
        <w:gridCol w:w="120"/>
        <w:gridCol w:w="910"/>
        <w:gridCol w:w="37"/>
      </w:tblGrid>
      <w:tr w:rsidR="00000000">
        <w:trPr>
          <w:divId w:val="18508631"/>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850863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850863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850863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12,669</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14,842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13,436</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14,905</w:t>
            </w:r>
          </w:p>
        </w:tc>
      </w:tr>
      <w:tr w:rsidR="00000000">
        <w:trPr>
          <w:divId w:val="1850863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Additions net of (charge-offs)</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30</w:t>
            </w:r>
          </w:p>
        </w:tc>
      </w:tr>
      <w:tr w:rsidR="00000000">
        <w:trPr>
          <w:divId w:val="1850863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Proceeds from sales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(625)</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(1,348)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50863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Charge-offs against the valuation allowance for other real estate owned, net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(84)</w:t>
            </w:r>
          </w:p>
        </w:tc>
      </w:tr>
      <w:tr w:rsidR="00000000">
        <w:trPr>
          <w:divId w:val="1850863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Net gain on sales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25</w:t>
            </w:r>
          </w:p>
        </w:tc>
      </w:tr>
      <w:tr w:rsidR="00000000">
        <w:trPr>
          <w:divId w:val="1850863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 other real estate owned</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11,819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14,552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11,819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14,552</w:t>
            </w:r>
          </w:p>
        </w:tc>
      </w:tr>
      <w:tr w:rsidR="00000000">
        <w:trPr>
          <w:divId w:val="1850863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Less valuation allowance for other real estate owned</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(2,664)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(2,614)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(2,664)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(2,614)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8508631"/>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9,155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11,938</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9,155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11,938</w:t>
            </w:r>
          </w:p>
        </w:tc>
      </w:tr>
    </w:tbl>
    <w:p w:rsidR="00000000" w:rsidRDefault="00100014">
      <w:pPr>
        <w:jc w:val="both"/>
        <w:divId w:val="292515926"/>
        <w:rPr>
          <w:rFonts w:eastAsia="Times New Roman"/>
        </w:rPr>
      </w:pPr>
      <w:r>
        <w:rPr>
          <w:rFonts w:eastAsia="Times New Roman"/>
          <w:color w:val="000000"/>
          <w:sz w:val="20"/>
          <w:szCs w:val="20"/>
        </w:rPr>
        <w:t xml:space="preserve">At June 30, 2022, $0.2 </w:t>
      </w:r>
      <w:r>
        <w:rPr>
          <w:rFonts w:eastAsia="Times New Roman"/>
          <w:color w:val="000000"/>
          <w:sz w:val="20"/>
          <w:szCs w:val="20"/>
        </w:rPr>
        <w:t>million of consumer mortgage loans secured by residential real estate properties were in the process of foreclosure compared to $0.2 million of consumer mortgage loans at December 31, 2021.</w:t>
      </w:r>
    </w:p>
    <w:p w:rsidR="00000000" w:rsidRDefault="00100014">
      <w:pPr>
        <w:jc w:val="both"/>
        <w:divId w:val="1281571007"/>
        <w:rPr>
          <w:rFonts w:eastAsia="Times New Roman"/>
        </w:rPr>
      </w:pPr>
      <w:r>
        <w:rPr>
          <w:rFonts w:eastAsia="Times New Roman"/>
          <w:color w:val="000000"/>
          <w:sz w:val="20"/>
          <w:szCs w:val="20"/>
        </w:rPr>
        <w:t>Activity in the valuation allowance for other real estate owned wa</w:t>
      </w:r>
      <w:r>
        <w:rPr>
          <w:rFonts w:eastAsia="Times New Roman"/>
          <w:color w:val="000000"/>
          <w:sz w:val="20"/>
          <w:szCs w:val="20"/>
        </w:rPr>
        <w:t>s as follows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91"/>
        <w:gridCol w:w="37"/>
        <w:gridCol w:w="121"/>
        <w:gridCol w:w="952"/>
        <w:gridCol w:w="38"/>
        <w:gridCol w:w="37"/>
        <w:gridCol w:w="36"/>
        <w:gridCol w:w="36"/>
        <w:gridCol w:w="120"/>
        <w:gridCol w:w="910"/>
        <w:gridCol w:w="37"/>
        <w:gridCol w:w="36"/>
        <w:gridCol w:w="36"/>
        <w:gridCol w:w="36"/>
        <w:gridCol w:w="121"/>
        <w:gridCol w:w="910"/>
        <w:gridCol w:w="38"/>
        <w:gridCol w:w="37"/>
        <w:gridCol w:w="36"/>
        <w:gridCol w:w="36"/>
        <w:gridCol w:w="120"/>
        <w:gridCol w:w="910"/>
        <w:gridCol w:w="37"/>
      </w:tblGrid>
      <w:tr w:rsidR="00000000">
        <w:trPr>
          <w:divId w:val="706954039"/>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70695403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70695403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70695403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2,911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2,702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2,911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2,614</w:t>
            </w:r>
          </w:p>
        </w:tc>
      </w:tr>
      <w:tr w:rsidR="00000000">
        <w:trPr>
          <w:divId w:val="70695403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Provision for other real estate owned </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84</w:t>
            </w:r>
          </w:p>
        </w:tc>
      </w:tr>
      <w:tr w:rsidR="00000000">
        <w:trPr>
          <w:divId w:val="70695403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Charge-offs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(219)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(219)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(84)</w:t>
            </w:r>
          </w:p>
        </w:tc>
      </w:tr>
      <w:tr w:rsidR="00000000">
        <w:trPr>
          <w:divId w:val="706954039"/>
        </w:trPr>
        <w:tc>
          <w:tcPr>
            <w:tcW w:w="0" w:type="auto"/>
            <w:gridSpan w:val="3"/>
            <w:tcBorders>
              <w:top w:val="single" w:sz="6"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2,664</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2,614</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2,664</w:t>
            </w: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2,614</w:t>
            </w:r>
          </w:p>
        </w:tc>
      </w:tr>
    </w:tbl>
    <w:p w:rsidR="00000000" w:rsidRDefault="00100014">
      <w:pPr>
        <w:jc w:val="center"/>
        <w:divId w:val="596671812"/>
        <w:rPr>
          <w:rFonts w:eastAsia="Times New Roman"/>
        </w:rPr>
      </w:pPr>
      <w:r>
        <w:rPr>
          <w:rFonts w:eastAsia="Times New Roman"/>
          <w:color w:val="000000"/>
          <w:sz w:val="20"/>
          <w:szCs w:val="20"/>
        </w:rPr>
        <w:t>16</w:t>
      </w:r>
    </w:p>
    <w:p w:rsidR="00000000" w:rsidRDefault="00100014">
      <w:pPr>
        <w:rPr>
          <w:rFonts w:eastAsia="Times New Roman"/>
        </w:rPr>
      </w:pPr>
      <w:r>
        <w:rPr>
          <w:rFonts w:eastAsia="Times New Roman"/>
        </w:rPr>
        <w:pict>
          <v:rect id="_x0000_i1040" style="width:0;height:1.5pt" o:hralign="center" o:hrstd="t" o:hr="t" fillcolor="#a0a0a0" stroked="f"/>
        </w:pict>
      </w:r>
    </w:p>
    <w:p w:rsidR="00000000" w:rsidRDefault="00100014">
      <w:pPr>
        <w:jc w:val="center"/>
        <w:divId w:val="1886021058"/>
        <w:rPr>
          <w:rFonts w:eastAsia="Times New Roman"/>
        </w:rPr>
      </w:pPr>
      <w:r>
        <w:rPr>
          <w:rFonts w:eastAsia="Times New Roman"/>
          <w:b/>
          <w:bCs/>
          <w:color w:val="000000"/>
          <w:sz w:val="20"/>
          <w:szCs w:val="20"/>
        </w:rPr>
        <w:t>HAWTHORN BANCSHARES, INC.</w:t>
      </w:r>
    </w:p>
    <w:p w:rsidR="00000000" w:rsidRDefault="00100014">
      <w:pPr>
        <w:jc w:val="center"/>
        <w:divId w:val="1886021058"/>
        <w:rPr>
          <w:rFonts w:eastAsia="Times New Roman"/>
        </w:rPr>
      </w:pPr>
      <w:r>
        <w:rPr>
          <w:rFonts w:eastAsia="Times New Roman"/>
          <w:b/>
          <w:bCs/>
          <w:color w:val="000000"/>
          <w:sz w:val="20"/>
          <w:szCs w:val="20"/>
        </w:rPr>
        <w:t>AND SUBSIDIARIES</w:t>
      </w:r>
    </w:p>
    <w:p w:rsidR="00000000" w:rsidRDefault="00100014">
      <w:pPr>
        <w:jc w:val="center"/>
        <w:divId w:val="1886021058"/>
        <w:rPr>
          <w:rFonts w:eastAsia="Times New Roman"/>
        </w:rPr>
      </w:pPr>
      <w:r>
        <w:rPr>
          <w:rFonts w:eastAsia="Times New Roman"/>
          <w:color w:val="000000"/>
          <w:sz w:val="18"/>
          <w:szCs w:val="18"/>
        </w:rPr>
        <w:t>Notes to the Consolidated Financial Statements</w:t>
      </w:r>
    </w:p>
    <w:p w:rsidR="00000000" w:rsidRDefault="00100014">
      <w:pPr>
        <w:jc w:val="center"/>
        <w:divId w:val="1886021058"/>
        <w:rPr>
          <w:rFonts w:eastAsia="Times New Roman"/>
        </w:rPr>
      </w:pPr>
      <w:r>
        <w:rPr>
          <w:rFonts w:eastAsia="Times New Roman"/>
          <w:i/>
          <w:iCs/>
          <w:color w:val="000000"/>
          <w:sz w:val="18"/>
          <w:szCs w:val="18"/>
        </w:rPr>
        <w:t>(Unaudited)</w:t>
      </w:r>
    </w:p>
    <w:p w:rsidR="00000000" w:rsidRDefault="00100014">
      <w:pPr>
        <w:divId w:val="1603419957"/>
        <w:rPr>
          <w:rFonts w:eastAsia="Times New Roman"/>
        </w:rPr>
      </w:pPr>
      <w:r>
        <w:rPr>
          <w:rFonts w:eastAsia="Times New Roman"/>
          <w:b/>
          <w:bCs/>
          <w:color w:val="000000"/>
          <w:sz w:val="20"/>
          <w:szCs w:val="20"/>
        </w:rPr>
        <w:t>(4) Investment Securities</w:t>
      </w:r>
    </w:p>
    <w:p w:rsidR="00000000" w:rsidRDefault="00100014">
      <w:pPr>
        <w:jc w:val="both"/>
        <w:divId w:val="2116633252"/>
        <w:rPr>
          <w:rFonts w:eastAsia="Times New Roman"/>
        </w:rPr>
      </w:pPr>
      <w:r>
        <w:rPr>
          <w:rFonts w:eastAsia="Times New Roman"/>
          <w:color w:val="000000"/>
          <w:sz w:val="20"/>
          <w:szCs w:val="20"/>
        </w:rPr>
        <w:t>The amortized cost and fair value of debt securities classified as available-for-sale at June 30, 2022 and December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705"/>
        <w:gridCol w:w="38"/>
        <w:gridCol w:w="120"/>
        <w:gridCol w:w="979"/>
        <w:gridCol w:w="36"/>
        <w:gridCol w:w="36"/>
        <w:gridCol w:w="36"/>
        <w:gridCol w:w="36"/>
        <w:gridCol w:w="120"/>
        <w:gridCol w:w="772"/>
        <w:gridCol w:w="36"/>
        <w:gridCol w:w="36"/>
        <w:gridCol w:w="36"/>
        <w:gridCol w:w="36"/>
        <w:gridCol w:w="120"/>
        <w:gridCol w:w="886"/>
        <w:gridCol w:w="36"/>
        <w:gridCol w:w="36"/>
        <w:gridCol w:w="36"/>
        <w:gridCol w:w="36"/>
        <w:gridCol w:w="120"/>
        <w:gridCol w:w="939"/>
        <w:gridCol w:w="36"/>
      </w:tblGrid>
      <w:tr w:rsidR="00000000">
        <w:trPr>
          <w:divId w:val="1021470374"/>
        </w:trPr>
        <w:tc>
          <w:tcPr>
            <w:tcW w:w="50" w:type="pct"/>
            <w:vAlign w:val="center"/>
            <w:hideMark/>
          </w:tcPr>
          <w:p w:rsidR="00000000" w:rsidRDefault="00100014">
            <w:pPr>
              <w:jc w:val="both"/>
              <w:rPr>
                <w:rFonts w:eastAsia="Times New Roman"/>
              </w:rPr>
            </w:pPr>
          </w:p>
        </w:tc>
        <w:tc>
          <w:tcPr>
            <w:tcW w:w="226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1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8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1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021470374"/>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Gross Unrealized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 Amortized Cost</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Gains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Losses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w:t>
            </w:r>
          </w:p>
        </w:tc>
      </w:tr>
      <w:tr w:rsidR="00000000">
        <w:trPr>
          <w:divId w:val="102147037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3,807 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(32)</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3,775 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1,013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962</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26,498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(1,878)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24,620</w:t>
            </w: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136,034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(23,932)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112,105</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125,404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(12,428)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112,998</w:t>
            </w: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(362)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11,578</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(250)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1,236</w:t>
            </w:r>
          </w:p>
        </w:tc>
      </w:tr>
      <w:tr w:rsidR="00000000">
        <w:trPr>
          <w:divId w:val="102147037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306,067 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(38,933)</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267,274 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021470374"/>
          <w:trHeight w:val="300"/>
        </w:trPr>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Treasury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3,909 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3,917 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1,314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1,319</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26,498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(196)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26,372</w:t>
            </w: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128,093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1,605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129,224</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137,286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791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(1,611)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136,466</w:t>
            </w:r>
          </w:p>
        </w:tc>
      </w:tr>
      <w:tr w:rsidR="00000000">
        <w:trPr>
          <w:divId w:val="102147037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debt securities (a)</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11,825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482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12,284</w:t>
            </w:r>
          </w:p>
        </w:tc>
      </w:tr>
      <w:tr w:rsidR="00000000">
        <w:trPr>
          <w:divId w:val="102147037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Bank issued trust preferred securities (a)</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1,486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(198)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1,288</w:t>
            </w:r>
          </w:p>
        </w:tc>
      </w:tr>
      <w:tr w:rsidR="00000000">
        <w:trPr>
          <w:divId w:val="1021470374"/>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310,411 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2,964 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310,870 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308903863"/>
        <w:rPr>
          <w:rFonts w:eastAsia="Times New Roman"/>
        </w:rPr>
      </w:pPr>
      <w:r>
        <w:rPr>
          <w:rFonts w:eastAsia="Times New Roman"/>
          <w:color w:val="000000"/>
          <w:sz w:val="20"/>
          <w:szCs w:val="20"/>
        </w:rPr>
        <w:t xml:space="preserve">(a) Certain hybrid instruments possessing characteristics typically associated with debt obligations. </w:t>
      </w:r>
    </w:p>
    <w:p w:rsidR="00000000" w:rsidRDefault="00100014">
      <w:pPr>
        <w:jc w:val="both"/>
        <w:divId w:val="718405989"/>
        <w:rPr>
          <w:rFonts w:eastAsia="Times New Roman"/>
        </w:rPr>
      </w:pPr>
      <w:r>
        <w:rPr>
          <w:rFonts w:eastAsia="Times New Roman"/>
          <w:color w:val="000000"/>
          <w:sz w:val="20"/>
          <w:szCs w:val="20"/>
        </w:rPr>
        <w:t>The Company’s investment se</w:t>
      </w:r>
      <w:r>
        <w:rPr>
          <w:rFonts w:eastAsia="Times New Roman"/>
          <w:color w:val="000000"/>
          <w:sz w:val="20"/>
          <w:szCs w:val="20"/>
        </w:rPr>
        <w:t>curities are classified as available for sale. Agency bonds and notes, SBA guaranteed loan certificates, residential and commercial agency mortgage-backed securities, and agency collateralized mortgage obligations (CMO) include securities issued by the Gov</w:t>
      </w:r>
      <w:r>
        <w:rPr>
          <w:rFonts w:eastAsia="Times New Roman"/>
          <w:color w:val="000000"/>
          <w:sz w:val="20"/>
          <w:szCs w:val="20"/>
        </w:rPr>
        <w:t>ernment National Mortgage Association (GNMA), a U.S. government agency, and the Federal National Mortgage Association (FNMA), the Federal Home Loan Mortgage Corporation (FHLMC), and the Federal Home Loan Bank (FHLB), which are U.S. government-sponsored ent</w:t>
      </w:r>
      <w:r>
        <w:rPr>
          <w:rFonts w:eastAsia="Times New Roman"/>
          <w:color w:val="000000"/>
          <w:sz w:val="20"/>
          <w:szCs w:val="20"/>
        </w:rPr>
        <w:t>erprises.</w:t>
      </w:r>
    </w:p>
    <w:p w:rsidR="00000000" w:rsidRDefault="00100014">
      <w:pPr>
        <w:jc w:val="both"/>
        <w:divId w:val="2134132075"/>
        <w:rPr>
          <w:rFonts w:eastAsia="Times New Roman"/>
        </w:rPr>
      </w:pPr>
      <w:r>
        <w:rPr>
          <w:rFonts w:eastAsia="Times New Roman"/>
          <w:color w:val="000000"/>
          <w:sz w:val="20"/>
          <w:szCs w:val="20"/>
        </w:rPr>
        <w:t>Debt securities with carrying values aggregating approximately $220.4 million and $275.4 million at June 30, 2022 and December 31, 2021, respectively, were pledged to secure public funds, securities sold under agreements to repurchase, and for ot</w:t>
      </w:r>
      <w:r>
        <w:rPr>
          <w:rFonts w:eastAsia="Times New Roman"/>
          <w:color w:val="000000"/>
          <w:sz w:val="20"/>
          <w:szCs w:val="20"/>
        </w:rPr>
        <w:t>her purposes as required or permitted by law.</w:t>
      </w:r>
    </w:p>
    <w:p w:rsidR="00000000" w:rsidRDefault="00100014">
      <w:pPr>
        <w:jc w:val="center"/>
        <w:divId w:val="1070612236"/>
        <w:rPr>
          <w:rFonts w:eastAsia="Times New Roman"/>
        </w:rPr>
      </w:pPr>
      <w:r>
        <w:rPr>
          <w:rFonts w:eastAsia="Times New Roman"/>
          <w:color w:val="000000"/>
          <w:sz w:val="20"/>
          <w:szCs w:val="20"/>
        </w:rPr>
        <w:t>17</w:t>
      </w:r>
    </w:p>
    <w:p w:rsidR="00000000" w:rsidRDefault="00100014">
      <w:pPr>
        <w:rPr>
          <w:rFonts w:eastAsia="Times New Roman"/>
        </w:rPr>
      </w:pPr>
      <w:r>
        <w:rPr>
          <w:rFonts w:eastAsia="Times New Roman"/>
        </w:rPr>
        <w:pict>
          <v:rect id="_x0000_i1041" style="width:0;height:1.5pt" o:hralign="center" o:hrstd="t" o:hr="t" fillcolor="#a0a0a0" stroked="f"/>
        </w:pict>
      </w:r>
    </w:p>
    <w:p w:rsidR="00000000" w:rsidRDefault="00100014">
      <w:pPr>
        <w:jc w:val="center"/>
        <w:divId w:val="2024162972"/>
        <w:rPr>
          <w:rFonts w:eastAsia="Times New Roman"/>
        </w:rPr>
      </w:pPr>
      <w:r>
        <w:rPr>
          <w:rFonts w:eastAsia="Times New Roman"/>
          <w:b/>
          <w:bCs/>
          <w:color w:val="000000"/>
          <w:sz w:val="20"/>
          <w:szCs w:val="20"/>
        </w:rPr>
        <w:t>HAWTHORN BANCSHARES, INC.</w:t>
      </w:r>
    </w:p>
    <w:p w:rsidR="00000000" w:rsidRDefault="00100014">
      <w:pPr>
        <w:jc w:val="center"/>
        <w:divId w:val="2024162972"/>
        <w:rPr>
          <w:rFonts w:eastAsia="Times New Roman"/>
        </w:rPr>
      </w:pPr>
      <w:r>
        <w:rPr>
          <w:rFonts w:eastAsia="Times New Roman"/>
          <w:b/>
          <w:bCs/>
          <w:color w:val="000000"/>
          <w:sz w:val="20"/>
          <w:szCs w:val="20"/>
        </w:rPr>
        <w:t>AND SUBSIDIARIES</w:t>
      </w:r>
    </w:p>
    <w:p w:rsidR="00000000" w:rsidRDefault="00100014">
      <w:pPr>
        <w:jc w:val="center"/>
        <w:divId w:val="2024162972"/>
        <w:rPr>
          <w:rFonts w:eastAsia="Times New Roman"/>
        </w:rPr>
      </w:pPr>
      <w:r>
        <w:rPr>
          <w:rFonts w:eastAsia="Times New Roman"/>
          <w:color w:val="000000"/>
          <w:sz w:val="18"/>
          <w:szCs w:val="18"/>
        </w:rPr>
        <w:t>Notes to the Consolidated Financial Statements</w:t>
      </w:r>
    </w:p>
    <w:p w:rsidR="00000000" w:rsidRDefault="00100014">
      <w:pPr>
        <w:jc w:val="center"/>
        <w:divId w:val="2024162972"/>
        <w:rPr>
          <w:rFonts w:eastAsia="Times New Roman"/>
        </w:rPr>
      </w:pPr>
      <w:r>
        <w:rPr>
          <w:rFonts w:eastAsia="Times New Roman"/>
          <w:i/>
          <w:iCs/>
          <w:color w:val="000000"/>
          <w:sz w:val="18"/>
          <w:szCs w:val="18"/>
        </w:rPr>
        <w:t>(Unaudited)</w:t>
      </w:r>
    </w:p>
    <w:p w:rsidR="00000000" w:rsidRDefault="00100014">
      <w:pPr>
        <w:jc w:val="both"/>
        <w:divId w:val="2079670198"/>
        <w:rPr>
          <w:rFonts w:eastAsia="Times New Roman"/>
        </w:rPr>
      </w:pPr>
      <w:r>
        <w:rPr>
          <w:rFonts w:eastAsia="Times New Roman"/>
          <w:color w:val="000000"/>
          <w:sz w:val="20"/>
          <w:szCs w:val="20"/>
        </w:rPr>
        <w:t>The amortized cost and fair value of debt securities classified as available-for-sale at June 30, 2022, by contractual maturity are shown below. Expected maturities may differ from contractual maturities because borrowers have the right to call or prepay o</w:t>
      </w:r>
      <w:r>
        <w:rPr>
          <w:rFonts w:eastAsia="Times New Roman"/>
          <w:color w:val="000000"/>
          <w:sz w:val="20"/>
          <w:szCs w:val="20"/>
        </w:rPr>
        <w:t>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20"/>
        <w:gridCol w:w="37"/>
        <w:gridCol w:w="120"/>
        <w:gridCol w:w="961"/>
        <w:gridCol w:w="36"/>
        <w:gridCol w:w="36"/>
        <w:gridCol w:w="36"/>
        <w:gridCol w:w="36"/>
        <w:gridCol w:w="120"/>
        <w:gridCol w:w="928"/>
        <w:gridCol w:w="36"/>
      </w:tblGrid>
      <w:tr w:rsidR="00000000">
        <w:trPr>
          <w:divId w:val="792596121"/>
        </w:trPr>
        <w:tc>
          <w:tcPr>
            <w:tcW w:w="50" w:type="pct"/>
            <w:vAlign w:val="center"/>
            <w:hideMark/>
          </w:tcPr>
          <w:p w:rsidR="00000000" w:rsidRDefault="00100014">
            <w:pPr>
              <w:jc w:val="both"/>
              <w:rPr>
                <w:rFonts w:eastAsia="Times New Roman"/>
              </w:rPr>
            </w:pPr>
          </w:p>
        </w:tc>
        <w:tc>
          <w:tcPr>
            <w:tcW w:w="358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7925961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w:t>
            </w:r>
          </w:p>
        </w:tc>
      </w:tr>
      <w:tr w:rsidR="00000000">
        <w:trPr>
          <w:divId w:val="79259612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Due in one year or less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5,009 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4,998 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7925961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Due after one year through five years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24,407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23,486</w:t>
            </w:r>
          </w:p>
        </w:tc>
      </w:tr>
      <w:tr w:rsidR="00000000">
        <w:trPr>
          <w:divId w:val="7925961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Due after five years through ten years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29,238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27,424</w:t>
            </w:r>
          </w:p>
        </w:tc>
      </w:tr>
      <w:tr w:rsidR="00000000">
        <w:trPr>
          <w:divId w:val="7925961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Due after ten years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122,009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98,368</w:t>
            </w:r>
          </w:p>
        </w:tc>
      </w:tr>
      <w:tr w:rsidR="00000000">
        <w:trPr>
          <w:divId w:val="79259612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180,663</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154,276</w:t>
            </w:r>
          </w:p>
        </w:tc>
      </w:tr>
      <w:tr w:rsidR="00000000">
        <w:trPr>
          <w:divId w:val="7925961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125,404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112,998</w:t>
            </w:r>
          </w:p>
        </w:tc>
      </w:tr>
      <w:tr w:rsidR="00000000">
        <w:trPr>
          <w:divId w:val="792596121"/>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available-for-sale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306,067 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267,274 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361639476"/>
        <w:rPr>
          <w:rFonts w:eastAsia="Times New Roman"/>
        </w:rPr>
      </w:pPr>
      <w:r>
        <w:rPr>
          <w:rFonts w:eastAsia="Times New Roman"/>
          <w:i/>
          <w:iCs/>
          <w:color w:val="000000"/>
          <w:sz w:val="20"/>
          <w:szCs w:val="20"/>
        </w:rPr>
        <w:t>Other Investment Securities</w:t>
      </w:r>
    </w:p>
    <w:p w:rsidR="00000000" w:rsidRDefault="00100014">
      <w:pPr>
        <w:jc w:val="both"/>
        <w:divId w:val="330956992"/>
        <w:rPr>
          <w:rFonts w:eastAsia="Times New Roman"/>
        </w:rPr>
      </w:pPr>
      <w:r>
        <w:rPr>
          <w:rFonts w:eastAsia="Times New Roman"/>
          <w:color w:val="000000"/>
          <w:sz w:val="20"/>
          <w:szCs w:val="20"/>
        </w:rPr>
        <w:t>Other investment securities include equity securities with readily determinable fair values and other investment securities that do not have readily determinable fair values. Investments in FHLB stock, and Midwest Independent Bank (MIB) bankers bank stock,</w:t>
      </w:r>
      <w:r>
        <w:rPr>
          <w:rFonts w:eastAsia="Times New Roman"/>
          <w:color w:val="000000"/>
          <w:sz w:val="20"/>
          <w:szCs w:val="20"/>
        </w:rPr>
        <w:t xml:space="preserve"> that do not have readily determinable fair values, are required for membership in those organizations.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796"/>
        <w:gridCol w:w="38"/>
        <w:gridCol w:w="121"/>
        <w:gridCol w:w="885"/>
        <w:gridCol w:w="37"/>
        <w:gridCol w:w="36"/>
        <w:gridCol w:w="36"/>
        <w:gridCol w:w="36"/>
        <w:gridCol w:w="121"/>
        <w:gridCol w:w="1125"/>
        <w:gridCol w:w="36"/>
      </w:tblGrid>
      <w:tr w:rsidR="00000000">
        <w:trPr>
          <w:divId w:val="1098602728"/>
        </w:trPr>
        <w:tc>
          <w:tcPr>
            <w:tcW w:w="50" w:type="pct"/>
            <w:vAlign w:val="center"/>
            <w:hideMark/>
          </w:tcPr>
          <w:p w:rsidR="00000000" w:rsidRDefault="00100014">
            <w:pPr>
              <w:jc w:val="both"/>
              <w:rPr>
                <w:rFonts w:eastAsia="Times New Roman"/>
              </w:rPr>
            </w:pPr>
          </w:p>
        </w:tc>
        <w:tc>
          <w:tcPr>
            <w:tcW w:w="35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6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71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09860272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09860272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Other securities: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09860272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FHLB stock</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4,911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5,197</w:t>
            </w:r>
          </w:p>
        </w:tc>
      </w:tr>
      <w:tr w:rsidR="00000000">
        <w:trPr>
          <w:divId w:val="1098602728"/>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MIB stock</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151</w:t>
            </w:r>
          </w:p>
        </w:tc>
      </w:tr>
      <w:tr w:rsidR="00000000">
        <w:trPr>
          <w:divId w:val="109860272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Equity securities with readily determinable fair values</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60</w:t>
            </w:r>
          </w:p>
        </w:tc>
      </w:tr>
      <w:tr w:rsidR="00000000">
        <w:trPr>
          <w:divId w:val="109860272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other investment securities</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5,109</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5,408</w:t>
            </w:r>
          </w:p>
        </w:tc>
      </w:tr>
    </w:tbl>
    <w:p w:rsidR="00000000" w:rsidRDefault="00100014">
      <w:pPr>
        <w:jc w:val="center"/>
        <w:divId w:val="1427964121"/>
        <w:rPr>
          <w:rFonts w:eastAsia="Times New Roman"/>
        </w:rPr>
      </w:pPr>
      <w:r>
        <w:rPr>
          <w:rFonts w:eastAsia="Times New Roman"/>
          <w:color w:val="000000"/>
          <w:sz w:val="20"/>
          <w:szCs w:val="20"/>
        </w:rPr>
        <w:t>18</w:t>
      </w:r>
    </w:p>
    <w:p w:rsidR="00000000" w:rsidRDefault="00100014">
      <w:pPr>
        <w:rPr>
          <w:rFonts w:eastAsia="Times New Roman"/>
        </w:rPr>
      </w:pPr>
      <w:r>
        <w:rPr>
          <w:rFonts w:eastAsia="Times New Roman"/>
        </w:rPr>
        <w:pict>
          <v:rect id="_x0000_i1042" style="width:0;height:1.5pt" o:hralign="center" o:hrstd="t" o:hr="t" fillcolor="#a0a0a0" stroked="f"/>
        </w:pict>
      </w:r>
    </w:p>
    <w:p w:rsidR="00000000" w:rsidRDefault="00100014">
      <w:pPr>
        <w:jc w:val="center"/>
        <w:divId w:val="1485926696"/>
        <w:rPr>
          <w:rFonts w:eastAsia="Times New Roman"/>
        </w:rPr>
      </w:pPr>
      <w:r>
        <w:rPr>
          <w:rFonts w:eastAsia="Times New Roman"/>
          <w:b/>
          <w:bCs/>
          <w:color w:val="000000"/>
          <w:sz w:val="20"/>
          <w:szCs w:val="20"/>
        </w:rPr>
        <w:t>HAWTHORN BANCSHARES, INC.</w:t>
      </w:r>
    </w:p>
    <w:p w:rsidR="00000000" w:rsidRDefault="00100014">
      <w:pPr>
        <w:jc w:val="center"/>
        <w:divId w:val="1485926696"/>
        <w:rPr>
          <w:rFonts w:eastAsia="Times New Roman"/>
        </w:rPr>
      </w:pPr>
      <w:r>
        <w:rPr>
          <w:rFonts w:eastAsia="Times New Roman"/>
          <w:b/>
          <w:bCs/>
          <w:color w:val="000000"/>
          <w:sz w:val="20"/>
          <w:szCs w:val="20"/>
        </w:rPr>
        <w:t>AND SUBSIDIARIES</w:t>
      </w:r>
    </w:p>
    <w:p w:rsidR="00000000" w:rsidRDefault="00100014">
      <w:pPr>
        <w:jc w:val="center"/>
        <w:divId w:val="1485926696"/>
        <w:rPr>
          <w:rFonts w:eastAsia="Times New Roman"/>
        </w:rPr>
      </w:pPr>
      <w:r>
        <w:rPr>
          <w:rFonts w:eastAsia="Times New Roman"/>
          <w:color w:val="000000"/>
          <w:sz w:val="18"/>
          <w:szCs w:val="18"/>
        </w:rPr>
        <w:t>Notes to the Consolidated Financial Statements</w:t>
      </w:r>
    </w:p>
    <w:p w:rsidR="00000000" w:rsidRDefault="00100014">
      <w:pPr>
        <w:jc w:val="center"/>
        <w:divId w:val="1485926696"/>
        <w:rPr>
          <w:rFonts w:eastAsia="Times New Roman"/>
        </w:rPr>
      </w:pPr>
      <w:r>
        <w:rPr>
          <w:rFonts w:eastAsia="Times New Roman"/>
          <w:i/>
          <w:iCs/>
          <w:color w:val="000000"/>
          <w:sz w:val="18"/>
          <w:szCs w:val="18"/>
        </w:rPr>
        <w:t>(Unaudited)</w:t>
      </w:r>
    </w:p>
    <w:p w:rsidR="00000000" w:rsidRDefault="00100014">
      <w:pPr>
        <w:jc w:val="both"/>
        <w:divId w:val="767000026"/>
        <w:rPr>
          <w:rFonts w:eastAsia="Times New Roman"/>
        </w:rPr>
      </w:pPr>
      <w:r>
        <w:rPr>
          <w:rFonts w:eastAsia="Times New Roman"/>
          <w:color w:val="000000"/>
          <w:sz w:val="20"/>
          <w:szCs w:val="20"/>
        </w:rPr>
        <w:t>Gross unrealized losses on debt securities and the fair value of the related securities, aggregated by investment category and length of time that individual securities have been in a continuous unrealized loss position, at June 30, 2022 and December 31, 2</w:t>
      </w:r>
      <w:r>
        <w:rPr>
          <w:rFonts w:eastAsia="Times New Roman"/>
          <w:color w:val="000000"/>
          <w:sz w:val="20"/>
          <w:szCs w:val="20"/>
        </w:rPr>
        <w:t>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849"/>
        <w:gridCol w:w="38"/>
        <w:gridCol w:w="100"/>
        <w:gridCol w:w="708"/>
        <w:gridCol w:w="36"/>
        <w:gridCol w:w="36"/>
        <w:gridCol w:w="36"/>
        <w:gridCol w:w="36"/>
        <w:gridCol w:w="101"/>
        <w:gridCol w:w="696"/>
        <w:gridCol w:w="36"/>
        <w:gridCol w:w="36"/>
        <w:gridCol w:w="36"/>
        <w:gridCol w:w="36"/>
        <w:gridCol w:w="100"/>
        <w:gridCol w:w="534"/>
        <w:gridCol w:w="36"/>
        <w:gridCol w:w="36"/>
        <w:gridCol w:w="36"/>
        <w:gridCol w:w="36"/>
        <w:gridCol w:w="101"/>
        <w:gridCol w:w="697"/>
        <w:gridCol w:w="36"/>
        <w:gridCol w:w="36"/>
        <w:gridCol w:w="36"/>
        <w:gridCol w:w="36"/>
        <w:gridCol w:w="100"/>
        <w:gridCol w:w="674"/>
        <w:gridCol w:w="36"/>
        <w:gridCol w:w="36"/>
        <w:gridCol w:w="36"/>
        <w:gridCol w:w="36"/>
        <w:gridCol w:w="101"/>
        <w:gridCol w:w="712"/>
        <w:gridCol w:w="36"/>
      </w:tblGrid>
      <w:tr w:rsidR="00000000">
        <w:trPr>
          <w:divId w:val="126364549"/>
        </w:trPr>
        <w:tc>
          <w:tcPr>
            <w:tcW w:w="50" w:type="pct"/>
            <w:vAlign w:val="center"/>
            <w:hideMark/>
          </w:tcPr>
          <w:p w:rsidR="00000000" w:rsidRDefault="00100014">
            <w:pPr>
              <w:jc w:val="both"/>
              <w:rPr>
                <w:rFonts w:eastAsia="Times New Roman"/>
              </w:rPr>
            </w:pPr>
          </w:p>
        </w:tc>
        <w:tc>
          <w:tcPr>
            <w:tcW w:w="174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6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Less than 12 months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12 months or more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4"/>
                <w:szCs w:val="14"/>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 xml:space="preserve">Unrealized Losses </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Unrealized Losses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 Fair Value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4"/>
                <w:szCs w:val="14"/>
              </w:rPr>
              <w:t>Total Unrealized Losses</w:t>
            </w:r>
          </w:p>
        </w:tc>
      </w:tr>
      <w:tr w:rsidR="00000000">
        <w:trPr>
          <w:divId w:val="12636454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Treasury</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3,775 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3,775 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government and federal agency obligations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962 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962 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20,271 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(1,227)</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4,349 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(651)</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24,620 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(1,878)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102,049 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(20,817)</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8,011 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(3,115)</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110,060 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(23,932)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82,022 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(7,412)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27,922 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(5,016)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109,944 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(12,428)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4,463 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4,463 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1,236 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1,236 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213,542 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(29,901)</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41,518 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(9,032)</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255,060 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(38,933)</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December 31, 2021</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Treasury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government-sponsored enterprises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18,304 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Obligations of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39,221 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(474)</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Mortgage-backed securities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89,520 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(1,579)</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1,864 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91,384 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(1,611)</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debt securities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3,802 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 issued trust preferred securities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1,288 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6364549"/>
        </w:trPr>
        <w:tc>
          <w:tcPr>
            <w:tcW w:w="0" w:type="auto"/>
            <w:gridSpan w:val="3"/>
            <w:tcBorders>
              <w:top w:val="single" w:sz="6" w:space="0" w:color="000000"/>
              <w:bottom w:val="doub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152,605 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(2,275)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3,152 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(230)</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155,757 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(2,505)</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765615097"/>
        <w:rPr>
          <w:rFonts w:eastAsia="Times New Roman"/>
        </w:rPr>
      </w:pPr>
      <w:r>
        <w:rPr>
          <w:rFonts w:eastAsia="Times New Roman"/>
          <w:color w:val="000000"/>
          <w:sz w:val="20"/>
          <w:szCs w:val="20"/>
        </w:rPr>
        <w:t>The total available-for-sale portfolio consisted of approximately 444 securities at June 30, 2022</w:t>
      </w:r>
      <w:r>
        <w:rPr>
          <w:rFonts w:eastAsia="Times New Roman"/>
          <w:color w:val="000000"/>
          <w:sz w:val="20"/>
          <w:szCs w:val="20"/>
        </w:rPr>
        <w:t>. The portfolio included 424 securities having an aggregate fair value of $255.1 million that were in a loss position at June 30, 2022. Securities identified as temporarily impaired which had been in a loss position for 12 months or longer totaled $41.5 mi</w:t>
      </w:r>
      <w:r>
        <w:rPr>
          <w:rFonts w:eastAsia="Times New Roman"/>
          <w:color w:val="000000"/>
          <w:sz w:val="20"/>
          <w:szCs w:val="20"/>
        </w:rPr>
        <w:t>llion at fair value at June 30, 2022. The $38.9 million aggregate unrealized loss included in accumulated other comprehensive loss at June 30, 2022 was caused by interest rate fluctuations.</w:t>
      </w:r>
    </w:p>
    <w:p w:rsidR="00000000" w:rsidRDefault="00100014">
      <w:pPr>
        <w:jc w:val="both"/>
        <w:divId w:val="218899789"/>
        <w:rPr>
          <w:rFonts w:eastAsia="Times New Roman"/>
        </w:rPr>
      </w:pPr>
      <w:r>
        <w:rPr>
          <w:rFonts w:eastAsia="Times New Roman"/>
          <w:color w:val="000000"/>
          <w:sz w:val="20"/>
          <w:szCs w:val="20"/>
        </w:rPr>
        <w:t xml:space="preserve">The total available-for-sale portfolio consisted of approximately </w:t>
      </w:r>
      <w:r>
        <w:rPr>
          <w:rFonts w:eastAsia="Times New Roman"/>
          <w:color w:val="000000"/>
          <w:sz w:val="20"/>
          <w:szCs w:val="20"/>
        </w:rPr>
        <w:t>435 securities at December 31, 2021. The portfolio included 134 securities having an aggregate fair value of $155.8 million that were in a loss position at December 31, 2021. Securities identified as temporarily impaired which had been in a loss position f</w:t>
      </w:r>
      <w:r>
        <w:rPr>
          <w:rFonts w:eastAsia="Times New Roman"/>
          <w:color w:val="000000"/>
          <w:sz w:val="20"/>
          <w:szCs w:val="20"/>
        </w:rPr>
        <w:t>or 12 months or longer totaled $3.2 million at fair value at December 31, 2021. The $2.5 million aggregate unrealized loss included in accumulated other comprehensive loss at December 31, 2021 was caused by interest rate fluctuations.</w:t>
      </w:r>
    </w:p>
    <w:p w:rsidR="00000000" w:rsidRDefault="00100014">
      <w:pPr>
        <w:jc w:val="both"/>
        <w:divId w:val="92171252"/>
        <w:rPr>
          <w:rFonts w:eastAsia="Times New Roman"/>
        </w:rPr>
      </w:pPr>
      <w:r>
        <w:rPr>
          <w:rFonts w:eastAsia="Times New Roman"/>
          <w:color w:val="000000"/>
          <w:sz w:val="20"/>
          <w:szCs w:val="20"/>
        </w:rPr>
        <w:t>Because the decline i</w:t>
      </w:r>
      <w:r>
        <w:rPr>
          <w:rFonts w:eastAsia="Times New Roman"/>
          <w:color w:val="000000"/>
          <w:sz w:val="20"/>
          <w:szCs w:val="20"/>
        </w:rPr>
        <w:t>n fair value is attributable to changes in interest rates and not credit quality, these investments were not considered other-than-temporarily impaired at June 30, 2022 and December 31, 2021, respectively. In the absence of changes in credit quality of the</w:t>
      </w:r>
      <w:r>
        <w:rPr>
          <w:rFonts w:eastAsia="Times New Roman"/>
          <w:color w:val="000000"/>
          <w:sz w:val="20"/>
          <w:szCs w:val="20"/>
        </w:rPr>
        <w:t>se investments, the fair value is expected to recover on all debt securities as they approach their maturity date or re-pricing date, or if market yields for such investments decline. In addition, the Company does not have the intent to sell these investme</w:t>
      </w:r>
      <w:r>
        <w:rPr>
          <w:rFonts w:eastAsia="Times New Roman"/>
          <w:color w:val="000000"/>
          <w:sz w:val="20"/>
          <w:szCs w:val="20"/>
        </w:rPr>
        <w:t>nts over the period of recovery, and it is not more likely than not that the Company will be required to sell such investment securities.</w:t>
      </w:r>
    </w:p>
    <w:p w:rsidR="00000000" w:rsidRDefault="00100014">
      <w:pPr>
        <w:jc w:val="center"/>
        <w:divId w:val="288440373"/>
        <w:rPr>
          <w:rFonts w:eastAsia="Times New Roman"/>
        </w:rPr>
      </w:pPr>
      <w:r>
        <w:rPr>
          <w:rFonts w:eastAsia="Times New Roman"/>
          <w:color w:val="000000"/>
          <w:sz w:val="20"/>
          <w:szCs w:val="20"/>
        </w:rPr>
        <w:t>19</w:t>
      </w:r>
    </w:p>
    <w:p w:rsidR="00000000" w:rsidRDefault="00100014">
      <w:pPr>
        <w:rPr>
          <w:rFonts w:eastAsia="Times New Roman"/>
        </w:rPr>
      </w:pPr>
      <w:r>
        <w:rPr>
          <w:rFonts w:eastAsia="Times New Roman"/>
        </w:rPr>
        <w:pict>
          <v:rect id="_x0000_i1043" style="width:0;height:1.5pt" o:hralign="center" o:hrstd="t" o:hr="t" fillcolor="#a0a0a0" stroked="f"/>
        </w:pict>
      </w:r>
    </w:p>
    <w:p w:rsidR="00000000" w:rsidRDefault="00100014">
      <w:pPr>
        <w:jc w:val="center"/>
        <w:divId w:val="1981377928"/>
        <w:rPr>
          <w:rFonts w:eastAsia="Times New Roman"/>
        </w:rPr>
      </w:pPr>
      <w:r>
        <w:rPr>
          <w:rFonts w:eastAsia="Times New Roman"/>
          <w:b/>
          <w:bCs/>
          <w:color w:val="000000"/>
          <w:sz w:val="20"/>
          <w:szCs w:val="20"/>
        </w:rPr>
        <w:t>HAWTHORN BANCSHARES, INC.</w:t>
      </w:r>
    </w:p>
    <w:p w:rsidR="00000000" w:rsidRDefault="00100014">
      <w:pPr>
        <w:jc w:val="center"/>
        <w:divId w:val="1981377928"/>
        <w:rPr>
          <w:rFonts w:eastAsia="Times New Roman"/>
        </w:rPr>
      </w:pPr>
      <w:r>
        <w:rPr>
          <w:rFonts w:eastAsia="Times New Roman"/>
          <w:b/>
          <w:bCs/>
          <w:color w:val="000000"/>
          <w:sz w:val="20"/>
          <w:szCs w:val="20"/>
        </w:rPr>
        <w:t>AND SUBSIDIARIES</w:t>
      </w:r>
    </w:p>
    <w:p w:rsidR="00000000" w:rsidRDefault="00100014">
      <w:pPr>
        <w:jc w:val="center"/>
        <w:divId w:val="1981377928"/>
        <w:rPr>
          <w:rFonts w:eastAsia="Times New Roman"/>
        </w:rPr>
      </w:pPr>
      <w:r>
        <w:rPr>
          <w:rFonts w:eastAsia="Times New Roman"/>
          <w:color w:val="000000"/>
          <w:sz w:val="18"/>
          <w:szCs w:val="18"/>
        </w:rPr>
        <w:t>Notes to the Consolidated Financial Statements</w:t>
      </w:r>
    </w:p>
    <w:p w:rsidR="00000000" w:rsidRDefault="00100014">
      <w:pPr>
        <w:jc w:val="center"/>
        <w:divId w:val="1981377928"/>
        <w:rPr>
          <w:rFonts w:eastAsia="Times New Roman"/>
        </w:rPr>
      </w:pPr>
      <w:r>
        <w:rPr>
          <w:rFonts w:eastAsia="Times New Roman"/>
          <w:i/>
          <w:iCs/>
          <w:color w:val="000000"/>
          <w:sz w:val="18"/>
          <w:szCs w:val="18"/>
        </w:rPr>
        <w:t>(Unaudited)</w:t>
      </w:r>
    </w:p>
    <w:p w:rsidR="00000000" w:rsidRDefault="00100014">
      <w:pPr>
        <w:jc w:val="both"/>
        <w:divId w:val="560753779"/>
        <w:rPr>
          <w:rFonts w:eastAsia="Times New Roman"/>
        </w:rPr>
      </w:pPr>
      <w:r>
        <w:rPr>
          <w:rFonts w:eastAsia="Times New Roman"/>
          <w:color w:val="000000"/>
          <w:sz w:val="20"/>
          <w:szCs w:val="20"/>
        </w:rPr>
        <w:t>The following table presents the gross realized gains and losses from sales and calls of available-for-sale securities, as well as gains and losses on equity securities from fair value adjustments which have been recognized in earnings:</w:t>
      </w:r>
    </w:p>
    <w:tbl>
      <w:tblPr>
        <w:tblW w:w="5000" w:type="pct"/>
        <w:tblCellMar>
          <w:top w:w="15" w:type="dxa"/>
          <w:left w:w="15" w:type="dxa"/>
          <w:bottom w:w="15" w:type="dxa"/>
          <w:right w:w="15" w:type="dxa"/>
        </w:tblCellMar>
        <w:tblLook w:val="04A0" w:firstRow="1" w:lastRow="0" w:firstColumn="1" w:lastColumn="0" w:noHBand="0" w:noVBand="1"/>
      </w:tblPr>
      <w:tblGrid>
        <w:gridCol w:w="37"/>
        <w:gridCol w:w="3602"/>
        <w:gridCol w:w="36"/>
        <w:gridCol w:w="111"/>
        <w:gridCol w:w="957"/>
        <w:gridCol w:w="37"/>
        <w:gridCol w:w="36"/>
        <w:gridCol w:w="36"/>
        <w:gridCol w:w="36"/>
        <w:gridCol w:w="110"/>
        <w:gridCol w:w="920"/>
        <w:gridCol w:w="36"/>
        <w:gridCol w:w="36"/>
        <w:gridCol w:w="36"/>
        <w:gridCol w:w="36"/>
        <w:gridCol w:w="111"/>
        <w:gridCol w:w="920"/>
        <w:gridCol w:w="38"/>
        <w:gridCol w:w="36"/>
        <w:gridCol w:w="36"/>
        <w:gridCol w:w="36"/>
        <w:gridCol w:w="110"/>
        <w:gridCol w:w="921"/>
        <w:gridCol w:w="36"/>
      </w:tblGrid>
      <w:tr w:rsidR="00000000">
        <w:trPr>
          <w:divId w:val="1371417790"/>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7141779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Six Months Ended June 30,</w:t>
            </w:r>
          </w:p>
        </w:tc>
      </w:tr>
      <w:tr w:rsidR="00000000">
        <w:trPr>
          <w:divId w:val="137141779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8"/>
                <w:szCs w:val="18"/>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2021</w:t>
            </w:r>
          </w:p>
        </w:tc>
      </w:tr>
      <w:tr w:rsidR="00000000">
        <w:trPr>
          <w:divId w:val="137141779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Investment securities (losses) gains,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7141779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Available-for-sale securities: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7141779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Gross realized gains</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w:t>
            </w:r>
          </w:p>
        </w:tc>
      </w:tr>
      <w:tr w:rsidR="00000000">
        <w:trPr>
          <w:divId w:val="137141779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Gross realized losses</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137141779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Other-than-temporary impairment recognized</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137141779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Other investment securities: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71417790"/>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Fair value adjustments, net</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r>
      <w:tr w:rsidR="00000000">
        <w:trPr>
          <w:divId w:val="1371417790"/>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Investment securities (losses) gains, net</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w:t>
            </w:r>
          </w:p>
        </w:tc>
      </w:tr>
    </w:tbl>
    <w:p w:rsidR="00000000" w:rsidRDefault="00100014">
      <w:pPr>
        <w:divId w:val="247151773"/>
        <w:rPr>
          <w:rFonts w:eastAsia="Times New Roman"/>
        </w:rPr>
      </w:pPr>
      <w:r>
        <w:rPr>
          <w:rFonts w:eastAsia="Times New Roman"/>
          <w:b/>
          <w:bCs/>
          <w:color w:val="000000"/>
          <w:sz w:val="20"/>
          <w:szCs w:val="20"/>
        </w:rPr>
        <w:t>(5) Intangible Assets</w:t>
      </w:r>
    </w:p>
    <w:p w:rsidR="00000000" w:rsidRDefault="00100014">
      <w:pPr>
        <w:divId w:val="1590772614"/>
        <w:rPr>
          <w:rFonts w:eastAsia="Times New Roman"/>
        </w:rPr>
      </w:pPr>
      <w:r>
        <w:rPr>
          <w:rFonts w:eastAsia="Times New Roman"/>
          <w:i/>
          <w:iCs/>
          <w:color w:val="000000"/>
          <w:sz w:val="20"/>
          <w:szCs w:val="20"/>
        </w:rPr>
        <w:t>Mortgage Servicing Rights</w:t>
      </w:r>
    </w:p>
    <w:p w:rsidR="00000000" w:rsidRDefault="00100014">
      <w:pPr>
        <w:jc w:val="both"/>
        <w:divId w:val="1999307241"/>
        <w:rPr>
          <w:rFonts w:eastAsia="Times New Roman"/>
        </w:rPr>
      </w:pPr>
      <w:r>
        <w:rPr>
          <w:rFonts w:eastAsia="Times New Roman"/>
          <w:color w:val="000000"/>
          <w:sz w:val="20"/>
          <w:szCs w:val="20"/>
        </w:rPr>
        <w:t>At June 30, 2022, the Company was servicing approximately $252.3 million of loans sold to the secondary market compared to $270.0 million at December 31, 2021, and $286.6 million at June </w:t>
      </w:r>
      <w:r>
        <w:rPr>
          <w:rFonts w:eastAsia="Times New Roman"/>
          <w:color w:val="000000"/>
          <w:sz w:val="20"/>
          <w:szCs w:val="20"/>
        </w:rPr>
        <w:t>30, 2021. Mortgage loan servicing fees, reported in real estate servicing fees, net, earned on loans sold were $0.2 million and $0.4 million for the three and six months ended June 30, 2022, respectively, compared to $0.2 million and $0.4 million for the t</w:t>
      </w:r>
      <w:r>
        <w:rPr>
          <w:rFonts w:eastAsia="Times New Roman"/>
          <w:color w:val="000000"/>
          <w:sz w:val="20"/>
          <w:szCs w:val="20"/>
        </w:rPr>
        <w:t>hree and six months ended June 30, 2021, respectively.</w:t>
      </w:r>
    </w:p>
    <w:p w:rsidR="00000000" w:rsidRDefault="00100014">
      <w:pPr>
        <w:jc w:val="both"/>
        <w:divId w:val="1242645014"/>
        <w:rPr>
          <w:rFonts w:eastAsia="Times New Roman"/>
        </w:rPr>
      </w:pPr>
      <w:r>
        <w:rPr>
          <w:rFonts w:eastAsia="Times New Roman"/>
          <w:color w:val="000000"/>
          <w:sz w:val="20"/>
          <w:szCs w:val="20"/>
        </w:rPr>
        <w:t>The table below presents changes in mortgage servicing rights (MSRs)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624"/>
        <w:gridCol w:w="38"/>
        <w:gridCol w:w="121"/>
        <w:gridCol w:w="912"/>
        <w:gridCol w:w="38"/>
        <w:gridCol w:w="36"/>
        <w:gridCol w:w="36"/>
        <w:gridCol w:w="36"/>
        <w:gridCol w:w="120"/>
        <w:gridCol w:w="912"/>
        <w:gridCol w:w="37"/>
        <w:gridCol w:w="36"/>
        <w:gridCol w:w="36"/>
        <w:gridCol w:w="36"/>
        <w:gridCol w:w="121"/>
        <w:gridCol w:w="912"/>
        <w:gridCol w:w="38"/>
        <w:gridCol w:w="36"/>
        <w:gridCol w:w="36"/>
        <w:gridCol w:w="36"/>
        <w:gridCol w:w="120"/>
        <w:gridCol w:w="913"/>
        <w:gridCol w:w="37"/>
      </w:tblGrid>
      <w:tr w:rsidR="00000000">
        <w:trPr>
          <w:divId w:val="13506789"/>
        </w:trPr>
        <w:tc>
          <w:tcPr>
            <w:tcW w:w="50" w:type="pct"/>
            <w:vAlign w:val="center"/>
            <w:hideMark/>
          </w:tcPr>
          <w:p w:rsidR="00000000" w:rsidRDefault="00100014">
            <w:pPr>
              <w:jc w:val="both"/>
              <w:rPr>
                <w:rFonts w:eastAsia="Times New Roman"/>
              </w:rPr>
            </w:pPr>
          </w:p>
        </w:tc>
        <w:tc>
          <w:tcPr>
            <w:tcW w:w="224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50678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350678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350678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2,639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2,494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2,445</w:t>
            </w:r>
          </w:p>
        </w:tc>
      </w:tr>
      <w:tr w:rsidR="00000000">
        <w:trPr>
          <w:divId w:val="13506789"/>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Originated mortgage servicing rights</w:t>
            </w: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123</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40</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292</w:t>
            </w:r>
          </w:p>
        </w:tc>
      </w:tr>
      <w:tr w:rsidR="00000000">
        <w:trPr>
          <w:divId w:val="1350678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Changes in fair value:</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ind w:hanging="27"/>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506789"/>
        </w:trPr>
        <w:tc>
          <w:tcPr>
            <w:tcW w:w="0" w:type="auto"/>
            <w:gridSpan w:val="3"/>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Due to changes in model inputs and assumptions (1)</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160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190</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282 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506789"/>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changes in fair value (2)</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(102)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(159)</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(244)</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506789"/>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 changes in fair value</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79</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158</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38</w:t>
            </w:r>
          </w:p>
        </w:tc>
      </w:tr>
      <w:tr w:rsidR="00000000">
        <w:trPr>
          <w:divId w:val="13506789"/>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7"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2,775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2,775</w:t>
            </w: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360"/>
        <w:divId w:val="511913564"/>
        <w:rPr>
          <w:rFonts w:eastAsia="Times New Roman"/>
        </w:rPr>
      </w:pPr>
      <w:r>
        <w:rPr>
          <w:rFonts w:eastAsia="Times New Roman"/>
          <w:color w:val="000000"/>
          <w:sz w:val="16"/>
          <w:szCs w:val="16"/>
        </w:rPr>
        <w:t>(1)</w:t>
      </w:r>
      <w:r>
        <w:rPr>
          <w:rFonts w:eastAsia="Times New Roman"/>
          <w:color w:val="000000"/>
          <w:sz w:val="16"/>
          <w:szCs w:val="16"/>
        </w:rPr>
        <w:t xml:space="preserve">The change in fair value resulting from changes in valuation inputs or assumptions, reported in real estate servicing fees, net, used in the valuation model reflects the change in discount rates and prepayment speed assumptions primarily due to changes in </w:t>
      </w:r>
      <w:r>
        <w:rPr>
          <w:rFonts w:eastAsia="Times New Roman"/>
          <w:color w:val="000000"/>
          <w:sz w:val="16"/>
          <w:szCs w:val="16"/>
        </w:rPr>
        <w:t>interest rates.</w:t>
      </w:r>
    </w:p>
    <w:p w:rsidR="00000000" w:rsidRDefault="00100014">
      <w:pPr>
        <w:ind w:hanging="360"/>
        <w:divId w:val="420874266"/>
        <w:rPr>
          <w:rFonts w:eastAsia="Times New Roman"/>
        </w:rPr>
      </w:pPr>
      <w:r>
        <w:rPr>
          <w:rFonts w:eastAsia="Times New Roman"/>
          <w:color w:val="000000"/>
          <w:sz w:val="16"/>
          <w:szCs w:val="16"/>
        </w:rPr>
        <w:t>(2)Other changes in fair value, reported in real estate servicing fees, net, reflect changes due to customer payments and passage of time.</w:t>
      </w:r>
    </w:p>
    <w:p w:rsidR="00000000" w:rsidRDefault="00100014">
      <w:pPr>
        <w:jc w:val="both"/>
        <w:divId w:val="1462655200"/>
        <w:rPr>
          <w:rFonts w:eastAsia="Times New Roman"/>
        </w:rPr>
      </w:pPr>
      <w:r>
        <w:rPr>
          <w:rFonts w:eastAsia="Times New Roman"/>
          <w:color w:val="000000"/>
          <w:sz w:val="20"/>
          <w:szCs w:val="20"/>
        </w:rPr>
        <w:t>The following key data and assumptions were used in estimating the fair value of the Company’s MSRs a</w:t>
      </w:r>
      <w:r>
        <w:rPr>
          <w:rFonts w:eastAsia="Times New Roman"/>
          <w:color w:val="000000"/>
          <w:sz w:val="20"/>
          <w:szCs w:val="20"/>
        </w:rPr>
        <w:t>s of June 30, 2022 and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7"/>
        <w:gridCol w:w="5873"/>
        <w:gridCol w:w="36"/>
        <w:gridCol w:w="38"/>
        <w:gridCol w:w="900"/>
        <w:gridCol w:w="188"/>
        <w:gridCol w:w="36"/>
        <w:gridCol w:w="36"/>
        <w:gridCol w:w="36"/>
        <w:gridCol w:w="40"/>
        <w:gridCol w:w="898"/>
        <w:gridCol w:w="188"/>
      </w:tblGrid>
      <w:tr w:rsidR="00000000">
        <w:trPr>
          <w:divId w:val="947200806"/>
        </w:trPr>
        <w:tc>
          <w:tcPr>
            <w:tcW w:w="50" w:type="pct"/>
            <w:vAlign w:val="center"/>
            <w:hideMark/>
          </w:tcPr>
          <w:p w:rsidR="00000000" w:rsidRDefault="00100014">
            <w:pPr>
              <w:jc w:val="both"/>
              <w:rPr>
                <w:rFonts w:eastAsia="Times New Roman"/>
              </w:rPr>
            </w:pPr>
          </w:p>
        </w:tc>
        <w:tc>
          <w:tcPr>
            <w:tcW w:w="3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947200806"/>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947200806"/>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94720080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Weighted average constant prepayment rate</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7.48 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11.81 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47200806"/>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Weighted average note rate</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3.38 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3.41 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47200806"/>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Weighted average discount rate</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9.25 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47200806"/>
        </w:trPr>
        <w:tc>
          <w:tcPr>
            <w:tcW w:w="0" w:type="auto"/>
            <w:gridSpan w:val="3"/>
            <w:tcBorders>
              <w:bottom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Weighted average expected life (in years)</w:t>
            </w:r>
          </w:p>
        </w:tc>
        <w:tc>
          <w:tcPr>
            <w:tcW w:w="0" w:type="auto"/>
            <w:gridSpan w:val="3"/>
            <w:tcBorders>
              <w:bottom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6.97</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single" w:sz="6" w:space="0" w:color="000000"/>
            </w:tcBorders>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5.95</w:t>
            </w:r>
          </w:p>
        </w:tc>
      </w:tr>
    </w:tbl>
    <w:p w:rsidR="00000000" w:rsidRDefault="00100014">
      <w:pPr>
        <w:jc w:val="center"/>
        <w:divId w:val="1797211928"/>
        <w:rPr>
          <w:rFonts w:eastAsia="Times New Roman"/>
        </w:rPr>
      </w:pPr>
      <w:r>
        <w:rPr>
          <w:rFonts w:eastAsia="Times New Roman"/>
          <w:color w:val="000000"/>
          <w:sz w:val="20"/>
          <w:szCs w:val="20"/>
        </w:rPr>
        <w:t>20</w:t>
      </w:r>
    </w:p>
    <w:p w:rsidR="00000000" w:rsidRDefault="00100014">
      <w:pPr>
        <w:rPr>
          <w:rFonts w:eastAsia="Times New Roman"/>
        </w:rPr>
      </w:pPr>
      <w:r>
        <w:rPr>
          <w:rFonts w:eastAsia="Times New Roman"/>
        </w:rPr>
        <w:pict>
          <v:rect id="_x0000_i1044" style="width:0;height:1.5pt" o:hralign="center" o:hrstd="t" o:hr="t" fillcolor="#a0a0a0" stroked="f"/>
        </w:pict>
      </w:r>
    </w:p>
    <w:p w:rsidR="00000000" w:rsidRDefault="00100014">
      <w:pPr>
        <w:jc w:val="center"/>
        <w:divId w:val="1100612471"/>
        <w:rPr>
          <w:rFonts w:eastAsia="Times New Roman"/>
        </w:rPr>
      </w:pPr>
      <w:r>
        <w:rPr>
          <w:rFonts w:eastAsia="Times New Roman"/>
          <w:b/>
          <w:bCs/>
          <w:color w:val="000000"/>
          <w:sz w:val="20"/>
          <w:szCs w:val="20"/>
        </w:rPr>
        <w:t>HAWTHORN BANCSHARES, INC.</w:t>
      </w:r>
    </w:p>
    <w:p w:rsidR="00000000" w:rsidRDefault="00100014">
      <w:pPr>
        <w:jc w:val="center"/>
        <w:divId w:val="1100612471"/>
        <w:rPr>
          <w:rFonts w:eastAsia="Times New Roman"/>
        </w:rPr>
      </w:pPr>
      <w:r>
        <w:rPr>
          <w:rFonts w:eastAsia="Times New Roman"/>
          <w:b/>
          <w:bCs/>
          <w:color w:val="000000"/>
          <w:sz w:val="20"/>
          <w:szCs w:val="20"/>
        </w:rPr>
        <w:t>AND SUBSIDIARIES</w:t>
      </w:r>
    </w:p>
    <w:p w:rsidR="00000000" w:rsidRDefault="00100014">
      <w:pPr>
        <w:jc w:val="center"/>
        <w:divId w:val="1100612471"/>
        <w:rPr>
          <w:rFonts w:eastAsia="Times New Roman"/>
        </w:rPr>
      </w:pPr>
      <w:r>
        <w:rPr>
          <w:rFonts w:eastAsia="Times New Roman"/>
          <w:color w:val="000000"/>
          <w:sz w:val="18"/>
          <w:szCs w:val="18"/>
        </w:rPr>
        <w:t>Notes to the Consolidated Financial Statements</w:t>
      </w:r>
    </w:p>
    <w:p w:rsidR="00000000" w:rsidRDefault="00100014">
      <w:pPr>
        <w:jc w:val="center"/>
        <w:divId w:val="1100612471"/>
        <w:rPr>
          <w:rFonts w:eastAsia="Times New Roman"/>
        </w:rPr>
      </w:pPr>
      <w:r>
        <w:rPr>
          <w:rFonts w:eastAsia="Times New Roman"/>
          <w:i/>
          <w:iCs/>
          <w:color w:val="000000"/>
          <w:sz w:val="18"/>
          <w:szCs w:val="18"/>
        </w:rPr>
        <w:t>(Unaudited)</w:t>
      </w:r>
    </w:p>
    <w:p w:rsidR="00000000" w:rsidRDefault="00100014">
      <w:pPr>
        <w:divId w:val="2028560603"/>
        <w:rPr>
          <w:rFonts w:eastAsia="Times New Roman"/>
        </w:rPr>
      </w:pPr>
      <w:r>
        <w:rPr>
          <w:rFonts w:eastAsia="Times New Roman"/>
          <w:b/>
          <w:bCs/>
          <w:color w:val="000000"/>
          <w:sz w:val="20"/>
          <w:szCs w:val="20"/>
        </w:rPr>
        <w:t>(6) Deposits</w:t>
      </w:r>
    </w:p>
    <w:p w:rsidR="00000000" w:rsidRDefault="00100014">
      <w:pPr>
        <w:jc w:val="both"/>
        <w:divId w:val="1464157576"/>
        <w:rPr>
          <w:rFonts w:eastAsia="Times New Roman"/>
        </w:rPr>
      </w:pPr>
      <w:r>
        <w:rPr>
          <w:rFonts w:eastAsia="Times New Roman"/>
          <w:color w:val="000000"/>
          <w:sz w:val="20"/>
          <w:szCs w:val="20"/>
        </w:rPr>
        <w:t>The table below represents the aggregate amount of time deposits with balances that met or exceeded the Federal Deposit Insurance Corporation (FDIC) insurance limit of $250,000 and brokered deposits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678"/>
        <w:gridCol w:w="37"/>
        <w:gridCol w:w="36"/>
        <w:gridCol w:w="36"/>
        <w:gridCol w:w="36"/>
        <w:gridCol w:w="36"/>
        <w:gridCol w:w="36"/>
        <w:gridCol w:w="36"/>
        <w:gridCol w:w="120"/>
        <w:gridCol w:w="835"/>
        <w:gridCol w:w="36"/>
        <w:gridCol w:w="36"/>
        <w:gridCol w:w="36"/>
        <w:gridCol w:w="36"/>
        <w:gridCol w:w="120"/>
        <w:gridCol w:w="1082"/>
        <w:gridCol w:w="36"/>
      </w:tblGrid>
      <w:tr w:rsidR="00000000">
        <w:trPr>
          <w:divId w:val="706612478"/>
        </w:trPr>
        <w:tc>
          <w:tcPr>
            <w:tcW w:w="50" w:type="pct"/>
            <w:vAlign w:val="center"/>
            <w:hideMark/>
          </w:tcPr>
          <w:p w:rsidR="00000000" w:rsidRDefault="00100014">
            <w:pPr>
              <w:jc w:val="both"/>
              <w:rPr>
                <w:rFonts w:eastAsia="Times New Roman"/>
              </w:rPr>
            </w:pPr>
          </w:p>
        </w:tc>
        <w:tc>
          <w:tcPr>
            <w:tcW w:w="35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70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70661247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(aggregate amounts in thousands)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706612478"/>
        </w:trPr>
        <w:tc>
          <w:tcPr>
            <w:tcW w:w="0" w:type="auto"/>
            <w:gridSpan w:val="3"/>
            <w:tcBorders>
              <w:top w:val="single" w:sz="8"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Time deposits with balances &gt; $250,000</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99,884 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706612478"/>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Brokered deposits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34,018 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20,202 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divId w:val="1112240200"/>
        <w:rPr>
          <w:rFonts w:eastAsia="Times New Roman"/>
        </w:rPr>
      </w:pPr>
    </w:p>
    <w:p w:rsidR="00000000" w:rsidRDefault="00100014">
      <w:pPr>
        <w:divId w:val="761223242"/>
        <w:rPr>
          <w:rFonts w:eastAsia="Times New Roman"/>
        </w:rPr>
      </w:pPr>
      <w:r>
        <w:rPr>
          <w:rFonts w:eastAsia="Times New Roman"/>
          <w:b/>
          <w:bCs/>
          <w:color w:val="000000"/>
          <w:sz w:val="20"/>
          <w:szCs w:val="20"/>
        </w:rPr>
        <w:t>(7) Federal Funds Purchased and Securities Sold under Agreements to Repurchase</w:t>
      </w:r>
    </w:p>
    <w:tbl>
      <w:tblPr>
        <w:tblW w:w="5000" w:type="pct"/>
        <w:tblCellMar>
          <w:top w:w="15" w:type="dxa"/>
          <w:left w:w="15" w:type="dxa"/>
          <w:bottom w:w="15" w:type="dxa"/>
          <w:right w:w="15" w:type="dxa"/>
        </w:tblCellMar>
        <w:tblLook w:val="04A0" w:firstRow="1" w:lastRow="0" w:firstColumn="1" w:lastColumn="0" w:noHBand="0" w:noVBand="1"/>
      </w:tblPr>
      <w:tblGrid>
        <w:gridCol w:w="39"/>
        <w:gridCol w:w="5999"/>
        <w:gridCol w:w="38"/>
        <w:gridCol w:w="120"/>
        <w:gridCol w:w="760"/>
        <w:gridCol w:w="36"/>
        <w:gridCol w:w="36"/>
        <w:gridCol w:w="36"/>
        <w:gridCol w:w="36"/>
        <w:gridCol w:w="120"/>
        <w:gridCol w:w="1050"/>
        <w:gridCol w:w="36"/>
      </w:tblGrid>
      <w:tr w:rsidR="00000000">
        <w:trPr>
          <w:divId w:val="255477318"/>
        </w:trPr>
        <w:tc>
          <w:tcPr>
            <w:tcW w:w="50" w:type="pct"/>
            <w:vAlign w:val="center"/>
            <w:hideMark/>
          </w:tcPr>
          <w:p w:rsidR="00000000" w:rsidRDefault="00100014">
            <w:pPr>
              <w:rPr>
                <w:rFonts w:eastAsia="Times New Roman"/>
              </w:rPr>
            </w:pPr>
          </w:p>
        </w:tc>
        <w:tc>
          <w:tcPr>
            <w:tcW w:w="3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5547731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25547731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purchased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547731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Repurchase agreements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6,935 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5477318"/>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6,935 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23,829 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200359699"/>
        <w:rPr>
          <w:rFonts w:eastAsia="Times New Roman"/>
        </w:rPr>
      </w:pPr>
      <w:r>
        <w:rPr>
          <w:rFonts w:eastAsia="Times New Roman"/>
          <w:color w:val="000000"/>
          <w:sz w:val="20"/>
          <w:szCs w:val="20"/>
        </w:rPr>
        <w:t>The Company offers a sweep account program whereby amounts in excess of an established limit are “swept” from the customer’</w:t>
      </w:r>
      <w:r>
        <w:rPr>
          <w:rFonts w:eastAsia="Times New Roman"/>
          <w:color w:val="000000"/>
          <w:sz w:val="20"/>
          <w:szCs w:val="20"/>
        </w:rPr>
        <w:t>s demand deposit account on a daily basis into retail repurchase agreements pursuant to individual repurchase agreements between the Company and its customers</w:t>
      </w:r>
      <w:r>
        <w:rPr>
          <w:rFonts w:eastAsia="Times New Roman"/>
          <w:i/>
          <w:iCs/>
          <w:color w:val="000000"/>
          <w:sz w:val="20"/>
          <w:szCs w:val="20"/>
        </w:rPr>
        <w:t>.</w:t>
      </w:r>
      <w:r>
        <w:rPr>
          <w:rFonts w:eastAsia="Times New Roman"/>
          <w:color w:val="000000"/>
          <w:sz w:val="20"/>
          <w:szCs w:val="20"/>
        </w:rPr>
        <w:t xml:space="preserve"> Repurchase agreements are agreements to sell securities subject to an obligation to repurchase t</w:t>
      </w:r>
      <w:r>
        <w:rPr>
          <w:rFonts w:eastAsia="Times New Roman"/>
          <w:color w:val="000000"/>
          <w:sz w:val="20"/>
          <w:szCs w:val="20"/>
        </w:rPr>
        <w:t>he same or similar securities. They are accounted for as collateralized financing transactions, not as sales and purchases of the securities portfolio. The securities collateral pledged for the repurchase agreements with customers is maintained by a design</w:t>
      </w:r>
      <w:r>
        <w:rPr>
          <w:rFonts w:eastAsia="Times New Roman"/>
          <w:color w:val="000000"/>
          <w:sz w:val="20"/>
          <w:szCs w:val="20"/>
        </w:rPr>
        <w:t>ated third-party custodian</w:t>
      </w:r>
      <w:r>
        <w:rPr>
          <w:rFonts w:eastAsia="Times New Roman"/>
          <w:i/>
          <w:iCs/>
          <w:color w:val="000000"/>
          <w:sz w:val="20"/>
          <w:szCs w:val="20"/>
        </w:rPr>
        <w:t>.</w:t>
      </w:r>
      <w:r>
        <w:rPr>
          <w:rFonts w:eastAsia="Times New Roman"/>
          <w:color w:val="000000"/>
          <w:sz w:val="20"/>
          <w:szCs w:val="20"/>
        </w:rPr>
        <w:t xml:space="preserve"> The collateral amounts pledged to repurchase agreements by remaining maturity in the table below are limited to the outstanding balances of the related asset or liability; thus amounts of excess collateral are not shown.</w:t>
      </w:r>
    </w:p>
    <w:tbl>
      <w:tblPr>
        <w:tblW w:w="5000" w:type="pct"/>
        <w:tblCellMar>
          <w:top w:w="15" w:type="dxa"/>
          <w:left w:w="15" w:type="dxa"/>
          <w:bottom w:w="15" w:type="dxa"/>
          <w:right w:w="15" w:type="dxa"/>
        </w:tblCellMar>
        <w:tblLook w:val="04A0" w:firstRow="1" w:lastRow="0" w:firstColumn="1" w:lastColumn="0" w:noHBand="0" w:noVBand="1"/>
      </w:tblPr>
      <w:tblGrid>
        <w:gridCol w:w="38"/>
        <w:gridCol w:w="3601"/>
        <w:gridCol w:w="37"/>
        <w:gridCol w:w="111"/>
        <w:gridCol w:w="957"/>
        <w:gridCol w:w="37"/>
        <w:gridCol w:w="36"/>
        <w:gridCol w:w="36"/>
        <w:gridCol w:w="36"/>
        <w:gridCol w:w="110"/>
        <w:gridCol w:w="920"/>
        <w:gridCol w:w="36"/>
        <w:gridCol w:w="36"/>
        <w:gridCol w:w="36"/>
        <w:gridCol w:w="36"/>
        <w:gridCol w:w="111"/>
        <w:gridCol w:w="920"/>
        <w:gridCol w:w="36"/>
        <w:gridCol w:w="36"/>
        <w:gridCol w:w="36"/>
        <w:gridCol w:w="36"/>
        <w:gridCol w:w="110"/>
        <w:gridCol w:w="922"/>
        <w:gridCol w:w="36"/>
      </w:tblGrid>
      <w:tr w:rsidR="00000000">
        <w:trPr>
          <w:divId w:val="5251879"/>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5251879"/>
        </w:trPr>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Repurchase Agreements</w:t>
            </w:r>
          </w:p>
        </w:tc>
        <w:tc>
          <w:tcPr>
            <w:tcW w:w="0" w:type="auto"/>
            <w:gridSpan w:val="21"/>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Remaining Contractual Maturity of the Agreements</w:t>
            </w:r>
          </w:p>
        </w:tc>
      </w:tr>
      <w:tr w:rsidR="00000000">
        <w:trPr>
          <w:divId w:val="5251879"/>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Overnight and continuous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Less than 90 days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Greater than 90 days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w:t>
            </w:r>
          </w:p>
        </w:tc>
      </w:tr>
      <w:tr w:rsidR="00000000">
        <w:trPr>
          <w:divId w:val="525187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525187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6,935 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6,935 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525187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5251879"/>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6,935 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6,935 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5251879"/>
          <w:trHeight w:val="30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525187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525187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525187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9,113 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525187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14,716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14,716</w:t>
            </w:r>
          </w:p>
        </w:tc>
      </w:tr>
      <w:tr w:rsidR="00000000">
        <w:trPr>
          <w:divId w:val="5251879"/>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23,829 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290094707"/>
        <w:rPr>
          <w:rFonts w:eastAsia="Times New Roman"/>
        </w:rPr>
      </w:pPr>
      <w:r>
        <w:rPr>
          <w:rFonts w:eastAsia="Times New Roman"/>
          <w:b/>
          <w:bCs/>
          <w:color w:val="000000"/>
          <w:sz w:val="20"/>
          <w:szCs w:val="20"/>
        </w:rPr>
        <w:t>(8) Leases</w:t>
      </w:r>
    </w:p>
    <w:p w:rsidR="00000000" w:rsidRDefault="00100014">
      <w:pPr>
        <w:jc w:val="both"/>
        <w:divId w:val="1080951887"/>
        <w:rPr>
          <w:rFonts w:eastAsia="Times New Roman"/>
        </w:rPr>
      </w:pPr>
      <w:r>
        <w:rPr>
          <w:rFonts w:eastAsia="Times New Roman"/>
          <w:color w:val="000000"/>
          <w:sz w:val="20"/>
          <w:szCs w:val="20"/>
        </w:rPr>
        <w:t xml:space="preserve">The Company's leases primarily consist of office space and bank branches with remaining lease terms of generally 1 </w:t>
      </w:r>
      <w:r>
        <w:rPr>
          <w:rFonts w:eastAsia="Times New Roman"/>
          <w:color w:val="000000"/>
          <w:sz w:val="20"/>
          <w:szCs w:val="20"/>
        </w:rPr>
        <w:t xml:space="preserve">to 10 years. As of June 30, 2022, operating right of use (ROU) assets and liabilities were $1.6 million and $1.7 million, respectively. As of June 30, 2022, the weighted-average remaining lease term on these operating leases is approximately 6.1 years and </w:t>
      </w:r>
      <w:r>
        <w:rPr>
          <w:rFonts w:eastAsia="Times New Roman"/>
          <w:color w:val="000000"/>
          <w:sz w:val="20"/>
          <w:szCs w:val="20"/>
        </w:rPr>
        <w:t>the weighted-average discount rate used to measure the lease liabilities is approximately 4.0%.</w:t>
      </w:r>
    </w:p>
    <w:p w:rsidR="00000000" w:rsidRDefault="00100014">
      <w:pPr>
        <w:jc w:val="both"/>
        <w:divId w:val="1693679606"/>
        <w:rPr>
          <w:rFonts w:eastAsia="Times New Roman"/>
        </w:rPr>
      </w:pPr>
      <w:r>
        <w:rPr>
          <w:rFonts w:eastAsia="Times New Roman"/>
          <w:color w:val="000000"/>
          <w:sz w:val="20"/>
          <w:szCs w:val="20"/>
        </w:rPr>
        <w:t xml:space="preserve">Operating leases in which the Company is the lessee are recorded as operating lease ROU assets and operating lease liabilities. Currently, the Company does not </w:t>
      </w:r>
      <w:r>
        <w:rPr>
          <w:rFonts w:eastAsia="Times New Roman"/>
          <w:color w:val="000000"/>
          <w:sz w:val="20"/>
          <w:szCs w:val="20"/>
        </w:rPr>
        <w:t>have any finance leases. The ROU assets are included in</w:t>
      </w:r>
      <w:r>
        <w:rPr>
          <w:rFonts w:eastAsia="Times New Roman"/>
          <w:color w:val="000000"/>
          <w:sz w:val="20"/>
          <w:szCs w:val="20"/>
        </w:rPr>
        <w:t xml:space="preserve"> </w:t>
      </w:r>
      <w:r>
        <w:rPr>
          <w:rFonts w:eastAsia="Times New Roman"/>
          <w:color w:val="000000"/>
          <w:sz w:val="20"/>
          <w:szCs w:val="20"/>
        </w:rPr>
        <w:t>premises and equipment, ne</w:t>
      </w:r>
      <w:r>
        <w:rPr>
          <w:rFonts w:eastAsia="Times New Roman"/>
          <w:color w:val="000000"/>
          <w:sz w:val="20"/>
          <w:szCs w:val="20"/>
        </w:rPr>
        <w:t>t</w:t>
      </w:r>
      <w:r>
        <w:rPr>
          <w:rFonts w:eastAsia="Times New Roman"/>
          <w:color w:val="000000"/>
          <w:sz w:val="20"/>
          <w:szCs w:val="20"/>
        </w:rPr>
        <w:t xml:space="preserve"> on the consolidated balance sheets. </w:t>
      </w:r>
    </w:p>
    <w:p w:rsidR="00000000" w:rsidRDefault="00100014">
      <w:pPr>
        <w:jc w:val="both"/>
        <w:divId w:val="671566468"/>
        <w:rPr>
          <w:rFonts w:eastAsia="Times New Roman"/>
        </w:rPr>
      </w:pPr>
      <w:r>
        <w:rPr>
          <w:rFonts w:eastAsia="Times New Roman"/>
          <w:color w:val="000000"/>
          <w:sz w:val="20"/>
          <w:szCs w:val="20"/>
        </w:rPr>
        <w:t>Operating lease ROU assets represent the Company's right to use an underlying asset during the lease term and operating lease liabiliti</w:t>
      </w:r>
      <w:r>
        <w:rPr>
          <w:rFonts w:eastAsia="Times New Roman"/>
          <w:color w:val="000000"/>
          <w:sz w:val="20"/>
          <w:szCs w:val="20"/>
        </w:rPr>
        <w:t xml:space="preserve">es represent the Company's obligation to make lease payments arising from the lease. ROU assets and </w:t>
      </w:r>
    </w:p>
    <w:p w:rsidR="00000000" w:rsidRDefault="00100014">
      <w:pPr>
        <w:jc w:val="center"/>
        <w:divId w:val="1327396626"/>
        <w:rPr>
          <w:rFonts w:eastAsia="Times New Roman"/>
        </w:rPr>
      </w:pPr>
      <w:r>
        <w:rPr>
          <w:rFonts w:eastAsia="Times New Roman"/>
          <w:color w:val="000000"/>
          <w:sz w:val="20"/>
          <w:szCs w:val="20"/>
        </w:rPr>
        <w:t>21</w:t>
      </w:r>
    </w:p>
    <w:p w:rsidR="00000000" w:rsidRDefault="00100014">
      <w:pPr>
        <w:rPr>
          <w:rFonts w:eastAsia="Times New Roman"/>
        </w:rPr>
      </w:pPr>
      <w:r>
        <w:rPr>
          <w:rFonts w:eastAsia="Times New Roman"/>
        </w:rPr>
        <w:pict>
          <v:rect id="_x0000_i1045" style="width:0;height:1.5pt" o:hralign="center" o:hrstd="t" o:hr="t" fillcolor="#a0a0a0" stroked="f"/>
        </w:pict>
      </w:r>
    </w:p>
    <w:p w:rsidR="00000000" w:rsidRDefault="00100014">
      <w:pPr>
        <w:jc w:val="center"/>
        <w:divId w:val="1583375586"/>
        <w:rPr>
          <w:rFonts w:eastAsia="Times New Roman"/>
        </w:rPr>
      </w:pPr>
      <w:r>
        <w:rPr>
          <w:rFonts w:eastAsia="Times New Roman"/>
          <w:b/>
          <w:bCs/>
          <w:color w:val="000000"/>
          <w:sz w:val="20"/>
          <w:szCs w:val="20"/>
        </w:rPr>
        <w:t>HAWTHORN BANCSHARES, INC.</w:t>
      </w:r>
    </w:p>
    <w:p w:rsidR="00000000" w:rsidRDefault="00100014">
      <w:pPr>
        <w:jc w:val="center"/>
        <w:divId w:val="1583375586"/>
        <w:rPr>
          <w:rFonts w:eastAsia="Times New Roman"/>
        </w:rPr>
      </w:pPr>
      <w:r>
        <w:rPr>
          <w:rFonts w:eastAsia="Times New Roman"/>
          <w:b/>
          <w:bCs/>
          <w:color w:val="000000"/>
          <w:sz w:val="20"/>
          <w:szCs w:val="20"/>
        </w:rPr>
        <w:t>AND SUBSIDIARIES</w:t>
      </w:r>
    </w:p>
    <w:p w:rsidR="00000000" w:rsidRDefault="00100014">
      <w:pPr>
        <w:jc w:val="center"/>
        <w:divId w:val="1583375586"/>
        <w:rPr>
          <w:rFonts w:eastAsia="Times New Roman"/>
        </w:rPr>
      </w:pPr>
      <w:r>
        <w:rPr>
          <w:rFonts w:eastAsia="Times New Roman"/>
          <w:color w:val="000000"/>
          <w:sz w:val="18"/>
          <w:szCs w:val="18"/>
        </w:rPr>
        <w:t>Notes to the Consolidated Financial Statements</w:t>
      </w:r>
    </w:p>
    <w:p w:rsidR="00000000" w:rsidRDefault="00100014">
      <w:pPr>
        <w:jc w:val="center"/>
        <w:divId w:val="1583375586"/>
        <w:rPr>
          <w:rFonts w:eastAsia="Times New Roman"/>
        </w:rPr>
      </w:pPr>
      <w:r>
        <w:rPr>
          <w:rFonts w:eastAsia="Times New Roman"/>
          <w:i/>
          <w:iCs/>
          <w:color w:val="000000"/>
          <w:sz w:val="18"/>
          <w:szCs w:val="18"/>
        </w:rPr>
        <w:t>(Unaudited)</w:t>
      </w:r>
    </w:p>
    <w:p w:rsidR="00000000" w:rsidRDefault="00100014">
      <w:pPr>
        <w:jc w:val="both"/>
        <w:divId w:val="1298411046"/>
        <w:rPr>
          <w:rFonts w:eastAsia="Times New Roman"/>
        </w:rPr>
      </w:pPr>
      <w:r>
        <w:rPr>
          <w:rFonts w:eastAsia="Times New Roman"/>
          <w:color w:val="000000"/>
          <w:sz w:val="20"/>
          <w:szCs w:val="20"/>
        </w:rPr>
        <w:t>operating lease liabilities are recognized at lease commencement based on the present value of the remaining lease pay</w:t>
      </w:r>
      <w:r>
        <w:rPr>
          <w:rFonts w:eastAsia="Times New Roman"/>
          <w:color w:val="000000"/>
          <w:sz w:val="20"/>
          <w:szCs w:val="20"/>
        </w:rPr>
        <w:t xml:space="preserve">ments using a discount rate that represents the Company's incremental borrowing rate at the lease commencement date. </w:t>
      </w:r>
    </w:p>
    <w:p w:rsidR="00000000" w:rsidRDefault="00100014">
      <w:pPr>
        <w:jc w:val="both"/>
        <w:divId w:val="1785270013"/>
        <w:rPr>
          <w:rFonts w:eastAsia="Times New Roman"/>
        </w:rPr>
      </w:pPr>
      <w:r>
        <w:rPr>
          <w:rFonts w:eastAsia="Times New Roman"/>
          <w:color w:val="000000"/>
          <w:sz w:val="20"/>
          <w:szCs w:val="20"/>
        </w:rPr>
        <w:t>Operating lease cost, which is comprised of amortization of the ROU asset and the implicit interest accreted on the operating lease liabil</w:t>
      </w:r>
      <w:r>
        <w:rPr>
          <w:rFonts w:eastAsia="Times New Roman"/>
          <w:color w:val="000000"/>
          <w:sz w:val="20"/>
          <w:szCs w:val="20"/>
        </w:rPr>
        <w:t>ity, is recognized on a straight-line basis over the lease term, and is recorded in net occupancy expense in the consolidated statements of income. The operating lease cost was $93,000 and $187,000 for the three and six months ended June 30, 2022, respecti</w:t>
      </w:r>
      <w:r>
        <w:rPr>
          <w:rFonts w:eastAsia="Times New Roman"/>
          <w:color w:val="000000"/>
          <w:sz w:val="20"/>
          <w:szCs w:val="20"/>
        </w:rPr>
        <w:t>vely, compared to $95,000 and $196,000 for the three and six months ended June 30, 2021, respectively.</w:t>
      </w:r>
    </w:p>
    <w:p w:rsidR="00000000" w:rsidRDefault="00100014">
      <w:pPr>
        <w:jc w:val="both"/>
        <w:divId w:val="192545805"/>
        <w:rPr>
          <w:rFonts w:eastAsia="Times New Roman"/>
        </w:rPr>
      </w:pPr>
      <w:r>
        <w:rPr>
          <w:rFonts w:eastAsia="Times New Roman"/>
          <w:color w:val="000000"/>
          <w:sz w:val="20"/>
          <w:szCs w:val="20"/>
        </w:rPr>
        <w:t>At adoption of Accounting Standards Update (ASU) 2016-02 on January 1, 2019, lease and non-lease components of new lease agreements are accounted for sep</w:t>
      </w:r>
      <w:r>
        <w:rPr>
          <w:rFonts w:eastAsia="Times New Roman"/>
          <w:color w:val="000000"/>
          <w:sz w:val="20"/>
          <w:szCs w:val="20"/>
        </w:rPr>
        <w:t>arately. Lease components include fixed payments including rent, real estate taxes and insurance costs and non-lease components include common-area maintenance costs. Leases with an initial term of 12 months or less are not recorded on the balance sheet; t</w:t>
      </w:r>
      <w:r>
        <w:rPr>
          <w:rFonts w:eastAsia="Times New Roman"/>
          <w:color w:val="000000"/>
          <w:sz w:val="20"/>
          <w:szCs w:val="20"/>
        </w:rPr>
        <w:t>he Company recognizes lease expense for these leases on a straight-line basis over the lease term. Operating lease expense for these leases was $44,000 for the three and six months ended June 30, 2022 compared to $19,000 and $32,000 for the three and six m</w:t>
      </w:r>
      <w:r>
        <w:rPr>
          <w:rFonts w:eastAsia="Times New Roman"/>
          <w:color w:val="000000"/>
          <w:sz w:val="20"/>
          <w:szCs w:val="20"/>
        </w:rPr>
        <w:t xml:space="preserve">onths ended June 30, 2021, respectively. </w:t>
      </w:r>
    </w:p>
    <w:p w:rsidR="00000000" w:rsidRDefault="00100014">
      <w:pPr>
        <w:jc w:val="both"/>
        <w:divId w:val="2060085238"/>
        <w:rPr>
          <w:rFonts w:eastAsia="Times New Roman"/>
        </w:rPr>
      </w:pPr>
      <w:r>
        <w:rPr>
          <w:rFonts w:eastAsia="Times New Roman"/>
          <w:color w:val="000000"/>
          <w:sz w:val="20"/>
          <w:szCs w:val="20"/>
        </w:rPr>
        <w:t>The table below summarizes the maturity of remaining operating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51"/>
        <w:gridCol w:w="7089"/>
        <w:gridCol w:w="37"/>
        <w:gridCol w:w="121"/>
        <w:gridCol w:w="972"/>
        <w:gridCol w:w="36"/>
      </w:tblGrid>
      <w:tr w:rsidR="00000000">
        <w:trPr>
          <w:divId w:val="290017235"/>
        </w:trPr>
        <w:tc>
          <w:tcPr>
            <w:tcW w:w="50" w:type="pct"/>
            <w:vAlign w:val="center"/>
            <w:hideMark/>
          </w:tcPr>
          <w:p w:rsidR="00000000" w:rsidRDefault="00100014">
            <w:pPr>
              <w:jc w:val="both"/>
              <w:rPr>
                <w:rFonts w:eastAsia="Times New Roman"/>
              </w:rPr>
            </w:pPr>
          </w:p>
        </w:tc>
        <w:tc>
          <w:tcPr>
            <w:tcW w:w="428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9001723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Lease payments due in:</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Operating Lease</w:t>
            </w:r>
          </w:p>
        </w:tc>
      </w:tr>
      <w:tr w:rsidR="00000000">
        <w:trPr>
          <w:divId w:val="290017235"/>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r>
      <w:tr w:rsidR="00000000">
        <w:trPr>
          <w:divId w:val="29001723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1609506084"/>
              <w:rPr>
                <w:rFonts w:eastAsia="Times New Roman"/>
              </w:rPr>
            </w:pPr>
            <w:r>
              <w:rPr>
                <w:rFonts w:eastAsia="Times New Roman"/>
                <w:color w:val="000000"/>
                <w:sz w:val="20"/>
                <w:szCs w:val="20"/>
              </w:rPr>
              <w:t>2022 (excluding 6 months ended June 30, 2022)</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184</w:t>
            </w:r>
          </w:p>
        </w:tc>
      </w:tr>
      <w:tr w:rsidR="00000000">
        <w:trPr>
          <w:divId w:val="29001723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367</w:t>
            </w:r>
          </w:p>
        </w:tc>
      </w:tr>
      <w:tr w:rsidR="00000000">
        <w:trPr>
          <w:divId w:val="29001723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2024</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258</w:t>
            </w:r>
          </w:p>
        </w:tc>
      </w:tr>
      <w:tr w:rsidR="00000000">
        <w:trPr>
          <w:divId w:val="29001723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257</w:t>
            </w:r>
          </w:p>
        </w:tc>
      </w:tr>
      <w:tr w:rsidR="00000000">
        <w:trPr>
          <w:divId w:val="29001723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2026</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259</w:t>
            </w:r>
          </w:p>
        </w:tc>
      </w:tr>
      <w:tr w:rsidR="00000000">
        <w:trPr>
          <w:divId w:val="290017235"/>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90017235"/>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9001723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Thereafter</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571</w:t>
            </w:r>
          </w:p>
        </w:tc>
      </w:tr>
      <w:tr w:rsidR="00000000">
        <w:trPr>
          <w:divId w:val="29001723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 lease payments</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1,896</w:t>
            </w:r>
          </w:p>
        </w:tc>
      </w:tr>
      <w:tr w:rsidR="00000000">
        <w:trPr>
          <w:divId w:val="29001723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Less imputed interest</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(209)</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90017235"/>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 lease liabilities, as reported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1,687</w:t>
            </w:r>
          </w:p>
        </w:tc>
      </w:tr>
    </w:tbl>
    <w:p w:rsidR="00000000" w:rsidRDefault="00100014">
      <w:pPr>
        <w:divId w:val="2097899887"/>
        <w:rPr>
          <w:rFonts w:eastAsia="Times New Roman"/>
        </w:rPr>
      </w:pPr>
      <w:r>
        <w:rPr>
          <w:rFonts w:eastAsia="Times New Roman"/>
          <w:b/>
          <w:bCs/>
          <w:color w:val="000000"/>
          <w:sz w:val="20"/>
          <w:szCs w:val="20"/>
        </w:rPr>
        <w:t>(9) Income Taxes</w:t>
      </w:r>
    </w:p>
    <w:p w:rsidR="00000000" w:rsidRDefault="00100014">
      <w:pPr>
        <w:jc w:val="both"/>
        <w:divId w:val="2083285318"/>
        <w:rPr>
          <w:rFonts w:eastAsia="Times New Roman"/>
        </w:rPr>
      </w:pPr>
      <w:r>
        <w:rPr>
          <w:rFonts w:eastAsia="Times New Roman"/>
          <w:color w:val="000000"/>
          <w:sz w:val="20"/>
          <w:szCs w:val="20"/>
        </w:rPr>
        <w:t>Income taxes as a percentage of earnings before income taxes as reported in the consolidated financial statements were 17.8% and 18.4</w:t>
      </w:r>
      <w:r>
        <w:rPr>
          <w:rFonts w:eastAsia="Times New Roman"/>
          <w:color w:val="000000"/>
          <w:sz w:val="20"/>
          <w:szCs w:val="20"/>
        </w:rPr>
        <w:t xml:space="preserve">% for the three and six months ended June 30, 2022, respectively, compared to 19.7% and 19.2% for the three and six months ended June 30, 2021, respectively. </w:t>
      </w:r>
    </w:p>
    <w:p w:rsidR="00000000" w:rsidRDefault="00100014">
      <w:pPr>
        <w:jc w:val="both"/>
        <w:divId w:val="1507285265"/>
        <w:rPr>
          <w:rFonts w:eastAsia="Times New Roman"/>
        </w:rPr>
      </w:pPr>
      <w:r>
        <w:rPr>
          <w:rFonts w:eastAsia="Times New Roman"/>
          <w:color w:val="000000"/>
          <w:sz w:val="20"/>
          <w:szCs w:val="20"/>
        </w:rPr>
        <w:t>The decrease in the effective tax rate for the three months ended June 30, 2022 compared to the t</w:t>
      </w:r>
      <w:r>
        <w:rPr>
          <w:rFonts w:eastAsia="Times New Roman"/>
          <w:color w:val="000000"/>
          <w:sz w:val="20"/>
          <w:szCs w:val="20"/>
        </w:rPr>
        <w:t>hree months ended June 30, 2021 was primarily attributable to the decrease in earnings and the benefit recorded pertaining to the historical tax credit. The decrease in the effective tax rate for the six months ended June 30, 2022 compared to the six month</w:t>
      </w:r>
      <w:r>
        <w:rPr>
          <w:rFonts w:eastAsia="Times New Roman"/>
          <w:color w:val="000000"/>
          <w:sz w:val="20"/>
          <w:szCs w:val="20"/>
        </w:rPr>
        <w:t>s ended June 30, 2021 was primarily attributable to the increase in earnings and an increase in state taxes attributed to elevated earnings partially offset by the benefit recorded pertaining to the historical tax credit. The effective tax rate for each of</w:t>
      </w:r>
      <w:r>
        <w:rPr>
          <w:rFonts w:eastAsia="Times New Roman"/>
          <w:color w:val="000000"/>
          <w:sz w:val="20"/>
          <w:szCs w:val="20"/>
        </w:rPr>
        <w:t xml:space="preserve"> the three and six months ended June 30, 2022 and 2021, respectively, is lower than the U.S. federal statutory rate of 21% primarily due to tax-free revenues.</w:t>
      </w:r>
    </w:p>
    <w:p w:rsidR="00000000" w:rsidRDefault="00100014">
      <w:pPr>
        <w:jc w:val="both"/>
        <w:divId w:val="378362751"/>
        <w:rPr>
          <w:rFonts w:eastAsia="Times New Roman"/>
        </w:rPr>
      </w:pPr>
      <w:r>
        <w:rPr>
          <w:rFonts w:eastAsia="Times New Roman"/>
          <w:color w:val="000000"/>
          <w:sz w:val="20"/>
          <w:szCs w:val="20"/>
        </w:rPr>
        <w:t>Included in the effective tax rate is a $14,000 and $27,000 benefit associated with a historic ta</w:t>
      </w:r>
      <w:r>
        <w:rPr>
          <w:rFonts w:eastAsia="Times New Roman"/>
          <w:color w:val="000000"/>
          <w:sz w:val="20"/>
          <w:szCs w:val="20"/>
        </w:rPr>
        <w:t xml:space="preserve">x credit investment for the three and six months ended June 30, 2022, respectively. The investment is expected to generate a $331,000 tax benefit over the life of the project and is being recognized under the deferral method of accounting. </w:t>
      </w:r>
    </w:p>
    <w:p w:rsidR="00000000" w:rsidRDefault="00100014">
      <w:pPr>
        <w:jc w:val="both"/>
        <w:divId w:val="1090196562"/>
        <w:rPr>
          <w:rFonts w:eastAsia="Times New Roman"/>
        </w:rPr>
      </w:pPr>
      <w:r>
        <w:rPr>
          <w:rFonts w:eastAsia="Times New Roman"/>
          <w:color w:val="000000"/>
          <w:sz w:val="20"/>
          <w:szCs w:val="20"/>
        </w:rPr>
        <w:t>The ultimate realization of deferred tax assets is dependent upon the generation of future taxable income of the appropriate character during the periods in which those temporary differences become deductible. Management considers the scheduled reversal of</w:t>
      </w:r>
      <w:r>
        <w:rPr>
          <w:rFonts w:eastAsia="Times New Roman"/>
          <w:color w:val="000000"/>
          <w:sz w:val="20"/>
          <w:szCs w:val="20"/>
        </w:rPr>
        <w:t xml:space="preserve"> deferred tax liabilities, projected future taxable income, and tax planning initiatives in making this assessment. In management's opinion, the Company will more likely than not realize the benefits of its deferred tax assets and, therefore, has not estab</w:t>
      </w:r>
      <w:r>
        <w:rPr>
          <w:rFonts w:eastAsia="Times New Roman"/>
          <w:color w:val="000000"/>
          <w:sz w:val="20"/>
          <w:szCs w:val="20"/>
        </w:rPr>
        <w:t>lished a valuation allowance against its deferred tax assets as of June 30, 2022. Management arrived at this conclusion based upon the level of historical taxable income and projections for future taxable income of the appropriate character over the period</w:t>
      </w:r>
      <w:r>
        <w:rPr>
          <w:rFonts w:eastAsia="Times New Roman"/>
          <w:color w:val="000000"/>
          <w:sz w:val="20"/>
          <w:szCs w:val="20"/>
        </w:rPr>
        <w:t xml:space="preserve">s in which the deferred tax assets are deductible. </w:t>
      </w:r>
    </w:p>
    <w:p w:rsidR="00000000" w:rsidRDefault="00100014">
      <w:pPr>
        <w:jc w:val="center"/>
        <w:divId w:val="366608782"/>
        <w:rPr>
          <w:rFonts w:eastAsia="Times New Roman"/>
        </w:rPr>
      </w:pPr>
      <w:r>
        <w:rPr>
          <w:rFonts w:eastAsia="Times New Roman"/>
          <w:color w:val="000000"/>
          <w:sz w:val="20"/>
          <w:szCs w:val="20"/>
        </w:rPr>
        <w:t>22</w:t>
      </w:r>
    </w:p>
    <w:p w:rsidR="00000000" w:rsidRDefault="00100014">
      <w:pPr>
        <w:rPr>
          <w:rFonts w:eastAsia="Times New Roman"/>
        </w:rPr>
      </w:pPr>
      <w:r>
        <w:rPr>
          <w:rFonts w:eastAsia="Times New Roman"/>
        </w:rPr>
        <w:pict>
          <v:rect id="_x0000_i1046" style="width:0;height:1.5pt" o:hralign="center" o:hrstd="t" o:hr="t" fillcolor="#a0a0a0" stroked="f"/>
        </w:pict>
      </w:r>
    </w:p>
    <w:p w:rsidR="00000000" w:rsidRDefault="00100014">
      <w:pPr>
        <w:jc w:val="center"/>
        <w:divId w:val="238173569"/>
        <w:rPr>
          <w:rFonts w:eastAsia="Times New Roman"/>
        </w:rPr>
      </w:pPr>
      <w:r>
        <w:rPr>
          <w:rFonts w:eastAsia="Times New Roman"/>
          <w:b/>
          <w:bCs/>
          <w:color w:val="000000"/>
          <w:sz w:val="20"/>
          <w:szCs w:val="20"/>
        </w:rPr>
        <w:t>HAWTHORN BANCSHARES, INC.</w:t>
      </w:r>
    </w:p>
    <w:p w:rsidR="00000000" w:rsidRDefault="00100014">
      <w:pPr>
        <w:jc w:val="center"/>
        <w:divId w:val="238173569"/>
        <w:rPr>
          <w:rFonts w:eastAsia="Times New Roman"/>
        </w:rPr>
      </w:pPr>
      <w:r>
        <w:rPr>
          <w:rFonts w:eastAsia="Times New Roman"/>
          <w:b/>
          <w:bCs/>
          <w:color w:val="000000"/>
          <w:sz w:val="20"/>
          <w:szCs w:val="20"/>
        </w:rPr>
        <w:t>AND SUBSIDIARIES</w:t>
      </w:r>
    </w:p>
    <w:p w:rsidR="00000000" w:rsidRDefault="00100014">
      <w:pPr>
        <w:jc w:val="center"/>
        <w:divId w:val="238173569"/>
        <w:rPr>
          <w:rFonts w:eastAsia="Times New Roman"/>
        </w:rPr>
      </w:pPr>
      <w:r>
        <w:rPr>
          <w:rFonts w:eastAsia="Times New Roman"/>
          <w:color w:val="000000"/>
          <w:sz w:val="18"/>
          <w:szCs w:val="18"/>
        </w:rPr>
        <w:t>Notes to the Consolidated Financial Statements</w:t>
      </w:r>
    </w:p>
    <w:p w:rsidR="00000000" w:rsidRDefault="00100014">
      <w:pPr>
        <w:jc w:val="center"/>
        <w:divId w:val="238173569"/>
        <w:rPr>
          <w:rFonts w:eastAsia="Times New Roman"/>
        </w:rPr>
      </w:pPr>
      <w:r>
        <w:rPr>
          <w:rFonts w:eastAsia="Times New Roman"/>
          <w:i/>
          <w:iCs/>
          <w:color w:val="000000"/>
          <w:sz w:val="18"/>
          <w:szCs w:val="18"/>
        </w:rPr>
        <w:t>(Unaudited)</w:t>
      </w:r>
    </w:p>
    <w:p w:rsidR="00000000" w:rsidRDefault="00100014">
      <w:pPr>
        <w:jc w:val="both"/>
        <w:divId w:val="281307264"/>
        <w:rPr>
          <w:rFonts w:eastAsia="Times New Roman"/>
        </w:rPr>
      </w:pPr>
      <w:r>
        <w:rPr>
          <w:rFonts w:eastAsia="Times New Roman"/>
          <w:color w:val="000000"/>
          <w:sz w:val="20"/>
          <w:szCs w:val="20"/>
        </w:rPr>
        <w:t xml:space="preserve">The Company follows ASC Topic 740, </w:t>
      </w:r>
      <w:r>
        <w:rPr>
          <w:rFonts w:eastAsia="Times New Roman"/>
          <w:i/>
          <w:iCs/>
          <w:color w:val="000000"/>
          <w:sz w:val="20"/>
          <w:szCs w:val="20"/>
        </w:rPr>
        <w:t xml:space="preserve">Income Taxes, </w:t>
      </w:r>
      <w:r>
        <w:rPr>
          <w:rFonts w:eastAsia="Times New Roman"/>
          <w:color w:val="000000"/>
          <w:sz w:val="20"/>
          <w:szCs w:val="20"/>
        </w:rPr>
        <w:t>which addresses the accounting for uncertain tax positions</w:t>
      </w:r>
      <w:r>
        <w:rPr>
          <w:rFonts w:eastAsia="Times New Roman"/>
          <w:i/>
          <w:iCs/>
          <w:color w:val="000000"/>
          <w:sz w:val="20"/>
          <w:szCs w:val="20"/>
        </w:rPr>
        <w:t>.</w:t>
      </w:r>
      <w:r>
        <w:rPr>
          <w:rFonts w:eastAsia="Times New Roman"/>
          <w:color w:val="000000"/>
          <w:sz w:val="20"/>
          <w:szCs w:val="20"/>
        </w:rPr>
        <w:t xml:space="preserve"> For each of the six months ended June 30, 2022 and 2021, respectively, the Company did not have any uncertain tax provisions, and did not record any related tax liabilities. </w:t>
      </w:r>
    </w:p>
    <w:p w:rsidR="00000000" w:rsidRDefault="00100014">
      <w:pPr>
        <w:jc w:val="both"/>
        <w:divId w:val="811368057"/>
        <w:rPr>
          <w:rFonts w:eastAsia="Times New Roman"/>
        </w:rPr>
      </w:pPr>
      <w:r>
        <w:rPr>
          <w:rFonts w:eastAsia="Times New Roman"/>
          <w:b/>
          <w:bCs/>
          <w:color w:val="000000"/>
          <w:sz w:val="20"/>
          <w:szCs w:val="20"/>
        </w:rPr>
        <w:t>(10) Stockholders’ Eq</w:t>
      </w:r>
      <w:r>
        <w:rPr>
          <w:rFonts w:eastAsia="Times New Roman"/>
          <w:b/>
          <w:bCs/>
          <w:color w:val="000000"/>
          <w:sz w:val="20"/>
          <w:szCs w:val="20"/>
        </w:rPr>
        <w:t>uity</w:t>
      </w:r>
    </w:p>
    <w:p w:rsidR="00000000" w:rsidRDefault="00100014">
      <w:pPr>
        <w:divId w:val="483664166"/>
        <w:rPr>
          <w:rFonts w:eastAsia="Times New Roman"/>
        </w:rPr>
      </w:pPr>
      <w:r>
        <w:rPr>
          <w:rFonts w:eastAsia="Times New Roman"/>
          <w:i/>
          <w:iCs/>
          <w:color w:val="000000"/>
          <w:sz w:val="20"/>
          <w:szCs w:val="20"/>
        </w:rPr>
        <w:t>Accumulated Other Comprehensive Income (Loss)</w:t>
      </w:r>
    </w:p>
    <w:p w:rsidR="00000000" w:rsidRDefault="00100014">
      <w:pPr>
        <w:jc w:val="both"/>
        <w:divId w:val="892156639"/>
        <w:rPr>
          <w:rFonts w:eastAsia="Times New Roman"/>
        </w:rPr>
      </w:pPr>
      <w:r>
        <w:rPr>
          <w:rFonts w:eastAsia="Times New Roman"/>
          <w:color w:val="000000"/>
          <w:sz w:val="20"/>
          <w:szCs w:val="20"/>
        </w:rPr>
        <w:t>The following table summarizes the change in the components of the Company’s accumulated other comprehensive income (loss) for the six months ended June 30,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4707"/>
        <w:gridCol w:w="37"/>
        <w:gridCol w:w="101"/>
        <w:gridCol w:w="909"/>
        <w:gridCol w:w="36"/>
        <w:gridCol w:w="36"/>
        <w:gridCol w:w="36"/>
        <w:gridCol w:w="36"/>
        <w:gridCol w:w="101"/>
        <w:gridCol w:w="973"/>
        <w:gridCol w:w="36"/>
        <w:gridCol w:w="36"/>
        <w:gridCol w:w="36"/>
        <w:gridCol w:w="36"/>
        <w:gridCol w:w="101"/>
        <w:gridCol w:w="1015"/>
        <w:gridCol w:w="36"/>
      </w:tblGrid>
      <w:tr w:rsidR="00000000">
        <w:trPr>
          <w:divId w:val="953055539"/>
        </w:trPr>
        <w:tc>
          <w:tcPr>
            <w:tcW w:w="50" w:type="pct"/>
            <w:vAlign w:val="center"/>
            <w:hideMark/>
          </w:tcPr>
          <w:p w:rsidR="00000000" w:rsidRDefault="00100014">
            <w:pPr>
              <w:jc w:val="both"/>
              <w:rPr>
                <w:rFonts w:eastAsia="Times New Roman"/>
              </w:rPr>
            </w:pPr>
          </w:p>
        </w:tc>
        <w:tc>
          <w:tcPr>
            <w:tcW w:w="29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95305553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 2022</w:t>
            </w:r>
          </w:p>
        </w:tc>
      </w:tr>
      <w:tr w:rsidR="00000000">
        <w:trPr>
          <w:divId w:val="95305553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Accumulated Other Comprehensive Income (Loss)</w:t>
            </w:r>
          </w:p>
        </w:tc>
      </w:tr>
      <w:tr w:rsidR="00000000">
        <w:trPr>
          <w:divId w:val="95305553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3,293 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 before reclassifications</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(39,251)</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(39,251)</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Current period other comprehensive loss, before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(39,251)</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(39,251)</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Income tax benefit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8,243 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8,243 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Current period other comprehensive loss, net of tax</w:t>
            </w: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(31,008)</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3055539"/>
        </w:trPr>
        <w:tc>
          <w:tcPr>
            <w:tcW w:w="0" w:type="auto"/>
            <w:gridSpan w:val="3"/>
            <w:tcBorders>
              <w:top w:val="sing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(30,646)</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2,931 </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(27,715)</w:t>
            </w:r>
          </w:p>
        </w:tc>
        <w:tc>
          <w:tcPr>
            <w:tcW w:w="0" w:type="auto"/>
            <w:tcBorders>
              <w:top w:val="sing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829"/>
        <w:gridCol w:w="144"/>
        <w:gridCol w:w="144"/>
        <w:gridCol w:w="1003"/>
        <w:gridCol w:w="144"/>
        <w:gridCol w:w="144"/>
        <w:gridCol w:w="144"/>
        <w:gridCol w:w="144"/>
        <w:gridCol w:w="144"/>
        <w:gridCol w:w="1003"/>
        <w:gridCol w:w="144"/>
        <w:gridCol w:w="144"/>
        <w:gridCol w:w="144"/>
        <w:gridCol w:w="144"/>
        <w:gridCol w:w="144"/>
        <w:gridCol w:w="1003"/>
        <w:gridCol w:w="144"/>
      </w:tblGrid>
      <w:tr w:rsidR="00000000">
        <w:tc>
          <w:tcPr>
            <w:tcW w:w="50" w:type="pct"/>
            <w:vAlign w:val="center"/>
            <w:hideMark/>
          </w:tcPr>
          <w:p w:rsidR="00000000" w:rsidRDefault="00100014">
            <w:pPr>
              <w:rPr>
                <w:rFonts w:eastAsia="Times New Roman"/>
              </w:rPr>
            </w:pPr>
          </w:p>
        </w:tc>
        <w:tc>
          <w:tcPr>
            <w:tcW w:w="29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 2021</w:t>
            </w: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Unrealized Gains (Losses) on Securities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Unrecognized Net Pension and Postretirement Costs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Accumulated Other Comprehensive Income (Loss)</w:t>
            </w:r>
          </w:p>
        </w:tc>
      </w:tr>
      <w:tr w:rsidR="00000000">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Balance at beginning of period</w:t>
            </w:r>
          </w:p>
        </w:tc>
        <w:tc>
          <w:tcPr>
            <w:tcW w:w="0" w:type="auto"/>
            <w:tcBorders>
              <w:top w:val="single" w:sz="8"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3,353 </w:t>
            </w:r>
          </w:p>
        </w:tc>
        <w:tc>
          <w:tcPr>
            <w:tcW w:w="0" w:type="auto"/>
            <w:tcBorders>
              <w:top w:val="single" w:sz="8"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(1,825)</w:t>
            </w:r>
          </w:p>
        </w:tc>
        <w:tc>
          <w:tcPr>
            <w:tcW w:w="0" w:type="auto"/>
            <w:tcBorders>
              <w:top w:val="single" w:sz="8"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1,528 </w:t>
            </w:r>
          </w:p>
        </w:tc>
        <w:tc>
          <w:tcPr>
            <w:tcW w:w="0" w:type="auto"/>
            <w:tcBorders>
              <w:top w:val="single" w:sz="8"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comprehensive (loss) income, before reclassifications</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(1,305)</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(1,121)</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Amounts reclassified from accumulated other comprehensive (loss) income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Current period other comprehensive (loss) income, before tax</w:t>
            </w: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(1,307)</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(1,123)</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Income tax benefit (expense)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Current period other comprehensive (loss) income,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6" w:space="0" w:color="000000"/>
              <w:bottom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Balance at end of period</w:t>
            </w: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2,321 </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(1,680)</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sing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641 </w:t>
            </w:r>
          </w:p>
        </w:tc>
        <w:tc>
          <w:tcPr>
            <w:tcW w:w="0" w:type="auto"/>
            <w:tcBorders>
              <w:top w:val="single" w:sz="6" w:space="0" w:color="000000"/>
              <w:bottom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1364481497"/>
        <w:rPr>
          <w:rFonts w:eastAsia="Times New Roman"/>
          <w:vanish/>
        </w:rPr>
      </w:pPr>
    </w:p>
    <w:tbl>
      <w:tblPr>
        <w:tblW w:w="1219" w:type="pct"/>
        <w:tblCellMar>
          <w:top w:w="15" w:type="dxa"/>
          <w:left w:w="15" w:type="dxa"/>
          <w:bottom w:w="15" w:type="dxa"/>
          <w:right w:w="15" w:type="dxa"/>
        </w:tblCellMar>
        <w:tblLook w:val="04A0" w:firstRow="1" w:lastRow="0" w:firstColumn="1" w:lastColumn="0" w:noHBand="0" w:noVBand="1"/>
      </w:tblPr>
      <w:tblGrid>
        <w:gridCol w:w="36"/>
        <w:gridCol w:w="1953"/>
        <w:gridCol w:w="36"/>
      </w:tblGrid>
      <w:tr w:rsidR="00000000">
        <w:trPr>
          <w:divId w:val="1364481497"/>
        </w:trPr>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64481497"/>
          <w:trHeight w:val="6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360"/>
        <w:jc w:val="both"/>
        <w:rPr>
          <w:rFonts w:eastAsia="Times New Roman"/>
        </w:rPr>
      </w:pPr>
      <w:r>
        <w:rPr>
          <w:rFonts w:eastAsia="Times New Roman"/>
          <w:color w:val="000000"/>
          <w:sz w:val="16"/>
          <w:szCs w:val="16"/>
        </w:rPr>
        <w:t>(1)</w:t>
      </w:r>
      <w:r>
        <w:rPr>
          <w:rFonts w:eastAsia="Times New Roman"/>
          <w:color w:val="000000"/>
          <w:sz w:val="16"/>
          <w:szCs w:val="16"/>
        </w:rPr>
        <w:t>The pre-tax amounts reclassified from accumulated other comprehensive income (loss) are included in investment securities gains (losses), net in the consolidated statements of income.</w:t>
      </w:r>
    </w:p>
    <w:p w:rsidR="00000000" w:rsidRDefault="00100014">
      <w:pPr>
        <w:ind w:hanging="360"/>
        <w:jc w:val="both"/>
        <w:rPr>
          <w:rFonts w:eastAsia="Times New Roman"/>
        </w:rPr>
      </w:pPr>
      <w:r>
        <w:rPr>
          <w:rFonts w:eastAsia="Times New Roman"/>
          <w:color w:val="000000"/>
          <w:sz w:val="16"/>
          <w:szCs w:val="16"/>
        </w:rPr>
        <w:t>(2)The pre-tax amounts reclassified from accumulated other comprehensive</w:t>
      </w:r>
      <w:r>
        <w:rPr>
          <w:rFonts w:eastAsia="Times New Roman"/>
          <w:color w:val="000000"/>
          <w:sz w:val="16"/>
          <w:szCs w:val="16"/>
        </w:rPr>
        <w:t xml:space="preserve"> income (loss) are included in the computation of net periodic pension cost.</w:t>
      </w:r>
    </w:p>
    <w:p w:rsidR="00000000" w:rsidRDefault="00100014">
      <w:pPr>
        <w:divId w:val="284242681"/>
        <w:rPr>
          <w:rFonts w:eastAsia="Times New Roman"/>
        </w:rPr>
      </w:pPr>
      <w:r>
        <w:rPr>
          <w:rFonts w:eastAsia="Times New Roman"/>
          <w:b/>
          <w:bCs/>
          <w:color w:val="000000"/>
          <w:sz w:val="20"/>
          <w:szCs w:val="20"/>
        </w:rPr>
        <w:t>(11) Employee Benefit Plans</w:t>
      </w:r>
    </w:p>
    <w:p w:rsidR="00000000" w:rsidRDefault="00100014">
      <w:pPr>
        <w:divId w:val="531262546"/>
        <w:rPr>
          <w:rFonts w:eastAsia="Times New Roman"/>
        </w:rPr>
      </w:pPr>
      <w:r>
        <w:rPr>
          <w:rFonts w:eastAsia="Times New Roman"/>
          <w:i/>
          <w:iCs/>
          <w:color w:val="000000"/>
          <w:sz w:val="20"/>
          <w:szCs w:val="20"/>
        </w:rPr>
        <w:t>Employee Benefits</w:t>
      </w:r>
    </w:p>
    <w:p w:rsidR="00000000" w:rsidRDefault="00100014">
      <w:pPr>
        <w:jc w:val="both"/>
        <w:divId w:val="536310547"/>
        <w:rPr>
          <w:rFonts w:eastAsia="Times New Roman"/>
        </w:rPr>
      </w:pPr>
      <w:r>
        <w:rPr>
          <w:rFonts w:eastAsia="Times New Roman"/>
          <w:color w:val="000000"/>
          <w:sz w:val="20"/>
          <w:szCs w:val="20"/>
        </w:rPr>
        <w:t>Employee benefits charged to operating expenses are summarized in the table below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601"/>
        <w:gridCol w:w="36"/>
        <w:gridCol w:w="101"/>
        <w:gridCol w:w="939"/>
        <w:gridCol w:w="38"/>
        <w:gridCol w:w="36"/>
        <w:gridCol w:w="36"/>
        <w:gridCol w:w="36"/>
        <w:gridCol w:w="100"/>
        <w:gridCol w:w="939"/>
        <w:gridCol w:w="37"/>
        <w:gridCol w:w="36"/>
        <w:gridCol w:w="36"/>
        <w:gridCol w:w="36"/>
        <w:gridCol w:w="101"/>
        <w:gridCol w:w="939"/>
        <w:gridCol w:w="38"/>
        <w:gridCol w:w="36"/>
        <w:gridCol w:w="36"/>
        <w:gridCol w:w="36"/>
        <w:gridCol w:w="100"/>
        <w:gridCol w:w="939"/>
        <w:gridCol w:w="37"/>
      </w:tblGrid>
      <w:tr w:rsidR="00000000">
        <w:trPr>
          <w:divId w:val="1177034595"/>
        </w:trPr>
        <w:tc>
          <w:tcPr>
            <w:tcW w:w="50" w:type="pct"/>
            <w:vAlign w:val="center"/>
            <w:hideMark/>
          </w:tcPr>
          <w:p w:rsidR="00000000" w:rsidRDefault="00100014">
            <w:pPr>
              <w:jc w:val="both"/>
              <w:rPr>
                <w:rFonts w:eastAsia="Times New Roman"/>
              </w:rPr>
            </w:pPr>
          </w:p>
        </w:tc>
        <w:tc>
          <w:tcPr>
            <w:tcW w:w="221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177034595"/>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17703459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177034595"/>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Payroll taxes</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786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791</w:t>
            </w:r>
          </w:p>
        </w:tc>
      </w:tr>
      <w:tr w:rsidR="00000000">
        <w:trPr>
          <w:divId w:val="117703459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Medical plans</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466</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519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941</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969</w:t>
            </w:r>
          </w:p>
        </w:tc>
      </w:tr>
      <w:tr w:rsidR="00000000">
        <w:trPr>
          <w:divId w:val="117703459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401(k) match and profit sharing</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444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796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943</w:t>
            </w:r>
          </w:p>
        </w:tc>
      </w:tr>
      <w:tr w:rsidR="00000000">
        <w:trPr>
          <w:divId w:val="1177034595"/>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Periodic pension cost</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804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898</w:t>
            </w:r>
          </w:p>
        </w:tc>
      </w:tr>
      <w:tr w:rsidR="00000000">
        <w:trPr>
          <w:divId w:val="1177034595"/>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w:t>
            </w:r>
          </w:p>
        </w:tc>
      </w:tr>
      <w:tr w:rsidR="00000000">
        <w:trPr>
          <w:divId w:val="1177034595"/>
        </w:trPr>
        <w:tc>
          <w:tcPr>
            <w:tcW w:w="0" w:type="auto"/>
            <w:gridSpan w:val="3"/>
            <w:tcBorders>
              <w:top w:val="single" w:sz="6"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employee benefits</w:t>
            </w: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1,608</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1,804</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3,339</w:t>
            </w:r>
          </w:p>
        </w:tc>
        <w:tc>
          <w:tcPr>
            <w:tcW w:w="0" w:type="auto"/>
            <w:gridSpan w:val="3"/>
            <w:tcBorders>
              <w:top w:val="single" w:sz="6"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6"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3,608</w:t>
            </w:r>
          </w:p>
        </w:tc>
      </w:tr>
    </w:tbl>
    <w:p w:rsidR="00000000" w:rsidRDefault="00100014">
      <w:pPr>
        <w:jc w:val="center"/>
        <w:divId w:val="656736394"/>
        <w:rPr>
          <w:rFonts w:eastAsia="Times New Roman"/>
        </w:rPr>
      </w:pPr>
      <w:r>
        <w:rPr>
          <w:rFonts w:eastAsia="Times New Roman"/>
          <w:color w:val="000000"/>
          <w:sz w:val="20"/>
          <w:szCs w:val="20"/>
        </w:rPr>
        <w:t>23</w:t>
      </w:r>
    </w:p>
    <w:p w:rsidR="00000000" w:rsidRDefault="00100014">
      <w:pPr>
        <w:rPr>
          <w:rFonts w:eastAsia="Times New Roman"/>
        </w:rPr>
      </w:pPr>
      <w:r>
        <w:rPr>
          <w:rFonts w:eastAsia="Times New Roman"/>
        </w:rPr>
        <w:pict>
          <v:rect id="_x0000_i1047" style="width:0;height:1.5pt" o:hralign="center" o:hrstd="t" o:hr="t" fillcolor="#a0a0a0" stroked="f"/>
        </w:pict>
      </w:r>
    </w:p>
    <w:p w:rsidR="00000000" w:rsidRDefault="00100014">
      <w:pPr>
        <w:jc w:val="center"/>
        <w:divId w:val="800655527"/>
        <w:rPr>
          <w:rFonts w:eastAsia="Times New Roman"/>
        </w:rPr>
      </w:pPr>
      <w:r>
        <w:rPr>
          <w:rFonts w:eastAsia="Times New Roman"/>
          <w:b/>
          <w:bCs/>
          <w:color w:val="000000"/>
          <w:sz w:val="20"/>
          <w:szCs w:val="20"/>
        </w:rPr>
        <w:t>HAWTHORN BANCSHARES, INC.</w:t>
      </w:r>
    </w:p>
    <w:p w:rsidR="00000000" w:rsidRDefault="00100014">
      <w:pPr>
        <w:jc w:val="center"/>
        <w:divId w:val="800655527"/>
        <w:rPr>
          <w:rFonts w:eastAsia="Times New Roman"/>
        </w:rPr>
      </w:pPr>
      <w:r>
        <w:rPr>
          <w:rFonts w:eastAsia="Times New Roman"/>
          <w:b/>
          <w:bCs/>
          <w:color w:val="000000"/>
          <w:sz w:val="20"/>
          <w:szCs w:val="20"/>
        </w:rPr>
        <w:t>AND SUBSIDIARIES</w:t>
      </w:r>
    </w:p>
    <w:p w:rsidR="00000000" w:rsidRDefault="00100014">
      <w:pPr>
        <w:jc w:val="center"/>
        <w:divId w:val="800655527"/>
        <w:rPr>
          <w:rFonts w:eastAsia="Times New Roman"/>
        </w:rPr>
      </w:pPr>
      <w:r>
        <w:rPr>
          <w:rFonts w:eastAsia="Times New Roman"/>
          <w:color w:val="000000"/>
          <w:sz w:val="18"/>
          <w:szCs w:val="18"/>
        </w:rPr>
        <w:t>Notes to the Consolidated Financial Statements</w:t>
      </w:r>
    </w:p>
    <w:p w:rsidR="00000000" w:rsidRDefault="00100014">
      <w:pPr>
        <w:jc w:val="center"/>
        <w:divId w:val="800655527"/>
        <w:rPr>
          <w:rFonts w:eastAsia="Times New Roman"/>
        </w:rPr>
      </w:pPr>
      <w:r>
        <w:rPr>
          <w:rFonts w:eastAsia="Times New Roman"/>
          <w:i/>
          <w:iCs/>
          <w:color w:val="000000"/>
          <w:sz w:val="18"/>
          <w:szCs w:val="18"/>
        </w:rPr>
        <w:t>(Unaudited)</w:t>
      </w:r>
    </w:p>
    <w:p w:rsidR="00000000" w:rsidRDefault="00100014">
      <w:pPr>
        <w:jc w:val="both"/>
        <w:divId w:val="1713536267"/>
        <w:rPr>
          <w:rFonts w:eastAsia="Times New Roman"/>
        </w:rPr>
      </w:pPr>
      <w:r>
        <w:rPr>
          <w:rFonts w:eastAsia="Times New Roman"/>
          <w:color w:val="000000"/>
          <w:sz w:val="20"/>
          <w:szCs w:val="20"/>
        </w:rPr>
        <w:t>The Company's profit-sharing plan includes a matching 401(k) portion, in which the Company matches the first 3% of eligible employee contributions. The Company made annual contributions for the discretionary portion in an amount up to 6% of income before i</w:t>
      </w:r>
      <w:r>
        <w:rPr>
          <w:rFonts w:eastAsia="Times New Roman"/>
          <w:color w:val="000000"/>
          <w:sz w:val="20"/>
          <w:szCs w:val="20"/>
        </w:rPr>
        <w:t xml:space="preserve">ncome taxes and before contributions to the profit-sharing and pension plans for all participants, limited to the maximum amount deductible for federal income tax purposes, for each of the periods shown. In addition, employees were able to make additional </w:t>
      </w:r>
      <w:r>
        <w:rPr>
          <w:rFonts w:eastAsia="Times New Roman"/>
          <w:color w:val="000000"/>
          <w:sz w:val="20"/>
          <w:szCs w:val="20"/>
        </w:rPr>
        <w:t>tax-deferred contributions.</w:t>
      </w:r>
    </w:p>
    <w:p w:rsidR="00000000" w:rsidRDefault="00100014">
      <w:pPr>
        <w:divId w:val="1186023186"/>
        <w:rPr>
          <w:rFonts w:eastAsia="Times New Roman"/>
        </w:rPr>
      </w:pPr>
      <w:r>
        <w:rPr>
          <w:rFonts w:eastAsia="Times New Roman"/>
          <w:i/>
          <w:iCs/>
          <w:color w:val="000000"/>
          <w:sz w:val="20"/>
          <w:szCs w:val="20"/>
        </w:rPr>
        <w:t>Other Plans</w:t>
      </w:r>
    </w:p>
    <w:p w:rsidR="00000000" w:rsidRDefault="00100014">
      <w:pPr>
        <w:divId w:val="497891500"/>
        <w:rPr>
          <w:rFonts w:eastAsia="Times New Roman"/>
        </w:rPr>
      </w:pPr>
      <w:r>
        <w:rPr>
          <w:rFonts w:eastAsia="Times New Roman"/>
          <w:color w:val="000000"/>
          <w:sz w:val="20"/>
          <w:szCs w:val="20"/>
        </w:rPr>
        <w:t xml:space="preserve">On November 7, 2018, the Board of Directors of the Company adopted a supplemental executive retirement plan (SERP), effective as of January 1, 2018. The SERP provides select employees who satisfy certain eligibility </w:t>
      </w:r>
      <w:r>
        <w:rPr>
          <w:rFonts w:eastAsia="Times New Roman"/>
          <w:color w:val="000000"/>
          <w:sz w:val="20"/>
          <w:szCs w:val="20"/>
        </w:rPr>
        <w:t xml:space="preserve">requirements with certain benefits upon retirement, termination of employment or death. </w:t>
      </w:r>
    </w:p>
    <w:p w:rsidR="00000000" w:rsidRDefault="00100014">
      <w:pPr>
        <w:jc w:val="both"/>
        <w:divId w:val="612976890"/>
        <w:rPr>
          <w:rFonts w:eastAsia="Times New Roman"/>
        </w:rPr>
      </w:pPr>
      <w:r>
        <w:rPr>
          <w:rFonts w:eastAsia="Times New Roman"/>
          <w:color w:val="000000"/>
          <w:sz w:val="20"/>
          <w:szCs w:val="20"/>
        </w:rPr>
        <w:t>The accrued liability relating to the SERP was $1.5 million as of June 30, 2022, and the expense for the three and six months ended June 30, 2022 was $93,000 and $186,</w:t>
      </w:r>
      <w:r>
        <w:rPr>
          <w:rFonts w:eastAsia="Times New Roman"/>
          <w:color w:val="000000"/>
          <w:sz w:val="20"/>
          <w:szCs w:val="20"/>
        </w:rPr>
        <w:t xml:space="preserve">000, respectively, compared to $97,000 and 193,000, for the three and six months ended June 30, 2021, respectively, and is recognized over the required service period. </w:t>
      </w:r>
    </w:p>
    <w:p w:rsidR="00000000" w:rsidRDefault="00100014">
      <w:pPr>
        <w:divId w:val="1210148536"/>
        <w:rPr>
          <w:rFonts w:eastAsia="Times New Roman"/>
        </w:rPr>
      </w:pPr>
      <w:r>
        <w:rPr>
          <w:rFonts w:eastAsia="Times New Roman"/>
          <w:i/>
          <w:iCs/>
          <w:color w:val="000000"/>
          <w:sz w:val="20"/>
          <w:szCs w:val="20"/>
        </w:rPr>
        <w:t>Pension</w:t>
      </w:r>
    </w:p>
    <w:p w:rsidR="00000000" w:rsidRDefault="00100014">
      <w:pPr>
        <w:jc w:val="both"/>
        <w:divId w:val="921066475"/>
        <w:rPr>
          <w:rFonts w:eastAsia="Times New Roman"/>
        </w:rPr>
      </w:pPr>
      <w:r>
        <w:rPr>
          <w:rFonts w:eastAsia="Times New Roman"/>
          <w:color w:val="000000"/>
          <w:sz w:val="20"/>
          <w:szCs w:val="20"/>
        </w:rPr>
        <w:t>The Company provides a noncontributory defined benefit pension plan for all ful</w:t>
      </w:r>
      <w:r>
        <w:rPr>
          <w:rFonts w:eastAsia="Times New Roman"/>
          <w:color w:val="000000"/>
          <w:sz w:val="20"/>
          <w:szCs w:val="20"/>
        </w:rPr>
        <w:t xml:space="preserve">l-time and eligible employees. Beginning January 1, 2018 and for all retrospective periods presented, the Company adopted the guidance under ASU 2017-07, </w:t>
      </w:r>
      <w:r>
        <w:rPr>
          <w:rFonts w:eastAsia="Times New Roman"/>
          <w:i/>
          <w:iCs/>
          <w:color w:val="000000"/>
          <w:sz w:val="20"/>
          <w:szCs w:val="20"/>
        </w:rPr>
        <w:t>Improving the Presentation of Net Periodic Pension Cost and Net Periodic Postretirement Benefit Cost</w:t>
      </w:r>
      <w:r>
        <w:rPr>
          <w:rFonts w:eastAsia="Times New Roman"/>
          <w:color w:val="000000"/>
          <w:sz w:val="20"/>
          <w:szCs w:val="20"/>
        </w:rPr>
        <w:t xml:space="preserve">. </w:t>
      </w:r>
      <w:r>
        <w:rPr>
          <w:rFonts w:eastAsia="Times New Roman"/>
          <w:color w:val="000000"/>
          <w:sz w:val="20"/>
          <w:szCs w:val="20"/>
        </w:rPr>
        <w:t>Under the guidance, only the service cost component of the net periodic benefit cost is reported in the same income statement line item as salaries and benefits, and the remaining components are reported as other non-interest expense. An employer is requir</w:t>
      </w:r>
      <w:r>
        <w:rPr>
          <w:rFonts w:eastAsia="Times New Roman"/>
          <w:color w:val="000000"/>
          <w:sz w:val="20"/>
          <w:szCs w:val="20"/>
        </w:rPr>
        <w:t>ed to recognize the funded status of a defined benefit postretirement plan as an asset or liability in its balance sheet and to recognize changes in that funded status in the year in which the changes occur through comprehensive income. Under the Company’s</w:t>
      </w:r>
      <w:r>
        <w:rPr>
          <w:rFonts w:eastAsia="Times New Roman"/>
          <w:color w:val="000000"/>
          <w:sz w:val="20"/>
          <w:szCs w:val="20"/>
        </w:rPr>
        <w:t xml:space="preserve"> funding policy for the defined benefit pension plan, contributions are made to a trust as necessary to provide for current service and for any unfunded accrued actuarial liabilities over a reasonable period. To the extent that these requirements are fully</w:t>
      </w:r>
      <w:r>
        <w:rPr>
          <w:rFonts w:eastAsia="Times New Roman"/>
          <w:color w:val="000000"/>
          <w:sz w:val="20"/>
          <w:szCs w:val="20"/>
        </w:rPr>
        <w:t xml:space="preserve"> covered by assets in the trust, a contribution might not be made in a particular year. The Company made a pension contribution of $1.0 million on April 1, 2022. </w:t>
      </w:r>
    </w:p>
    <w:p w:rsidR="00000000" w:rsidRDefault="00100014">
      <w:pPr>
        <w:jc w:val="both"/>
        <w:divId w:val="1851409709"/>
        <w:rPr>
          <w:rFonts w:eastAsia="Times New Roman"/>
        </w:rPr>
      </w:pPr>
      <w:r>
        <w:rPr>
          <w:rFonts w:eastAsia="Times New Roman"/>
          <w:color w:val="000000"/>
          <w:sz w:val="20"/>
          <w:szCs w:val="20"/>
        </w:rPr>
        <w:t>Effective July 1, 2017, the Company amended the pension plan to effectuate a “soft freeze” su</w:t>
      </w:r>
      <w:r>
        <w:rPr>
          <w:rFonts w:eastAsia="Times New Roman"/>
          <w:color w:val="000000"/>
          <w:sz w:val="20"/>
          <w:szCs w:val="20"/>
        </w:rPr>
        <w:t>ch that no individual hired (or rehired in the case of a former employee) by the Company after September 30, 2017, whether or not such individual is or was a vested member in the plan, will be eligible to be an active member and be entitled to accrue any b</w:t>
      </w:r>
      <w:r>
        <w:rPr>
          <w:rFonts w:eastAsia="Times New Roman"/>
          <w:color w:val="000000"/>
          <w:sz w:val="20"/>
          <w:szCs w:val="20"/>
        </w:rPr>
        <w:t xml:space="preserve">enefits under the plan. </w:t>
      </w:r>
    </w:p>
    <w:p w:rsidR="00000000" w:rsidRDefault="00100014">
      <w:pPr>
        <w:divId w:val="1752576418"/>
        <w:rPr>
          <w:rFonts w:eastAsia="Times New Roman"/>
        </w:rPr>
      </w:pPr>
      <w:r>
        <w:rPr>
          <w:rFonts w:eastAsia="Times New Roman"/>
          <w:i/>
          <w:iCs/>
          <w:color w:val="000000"/>
          <w:sz w:val="20"/>
          <w:szCs w:val="20"/>
        </w:rPr>
        <w:t>Components of Net Pension Cost and Other Amounts Recognized in Accumulated Other Comprehensive Income (Loss)</w:t>
      </w:r>
    </w:p>
    <w:p w:rsidR="00000000" w:rsidRDefault="00100014">
      <w:pPr>
        <w:jc w:val="both"/>
        <w:divId w:val="645087761"/>
        <w:rPr>
          <w:rFonts w:eastAsia="Times New Roman"/>
        </w:rPr>
      </w:pPr>
      <w:r>
        <w:rPr>
          <w:rFonts w:eastAsia="Times New Roman"/>
          <w:color w:val="000000"/>
          <w:sz w:val="20"/>
          <w:szCs w:val="20"/>
        </w:rPr>
        <w:t>The following items are components of net pension cost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602"/>
        <w:gridCol w:w="37"/>
        <w:gridCol w:w="100"/>
        <w:gridCol w:w="940"/>
        <w:gridCol w:w="36"/>
        <w:gridCol w:w="36"/>
        <w:gridCol w:w="36"/>
        <w:gridCol w:w="36"/>
        <w:gridCol w:w="100"/>
        <w:gridCol w:w="940"/>
        <w:gridCol w:w="36"/>
        <w:gridCol w:w="36"/>
        <w:gridCol w:w="36"/>
        <w:gridCol w:w="36"/>
        <w:gridCol w:w="101"/>
        <w:gridCol w:w="940"/>
        <w:gridCol w:w="36"/>
        <w:gridCol w:w="36"/>
        <w:gridCol w:w="36"/>
        <w:gridCol w:w="36"/>
        <w:gridCol w:w="100"/>
        <w:gridCol w:w="940"/>
        <w:gridCol w:w="36"/>
      </w:tblGrid>
      <w:tr w:rsidR="00000000">
        <w:trPr>
          <w:divId w:val="178155351"/>
        </w:trPr>
        <w:tc>
          <w:tcPr>
            <w:tcW w:w="50" w:type="pct"/>
            <w:vAlign w:val="center"/>
            <w:hideMark/>
          </w:tcPr>
          <w:p w:rsidR="00000000" w:rsidRDefault="00100014">
            <w:pPr>
              <w:jc w:val="both"/>
              <w:rPr>
                <w:rFonts w:eastAsia="Times New Roman"/>
              </w:rPr>
            </w:pPr>
          </w:p>
        </w:tc>
        <w:tc>
          <w:tcPr>
            <w:tcW w:w="221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7815535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7815535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7815535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Service cost - benefits earned during the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846 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costs on projected benefit obligations (a)</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587 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536 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Expected return on plan assets (a)</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(583)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(465)</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(1,141)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(922)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Expected administrative expenses</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52 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Amortization of prior service cost (a)</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Amortization of unrecognized net loss (a)</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138 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184 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8155351"/>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periodic pension cost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696 </w:t>
            </w:r>
          </w:p>
        </w:tc>
        <w:tc>
          <w:tcPr>
            <w:tcW w:w="0" w:type="auto"/>
            <w:tcBorders>
              <w:top w:val="sing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360"/>
        <w:jc w:val="both"/>
        <w:rPr>
          <w:rFonts w:eastAsia="Times New Roman"/>
        </w:rPr>
      </w:pPr>
      <w:r>
        <w:rPr>
          <w:rFonts w:eastAsia="Times New Roman"/>
          <w:color w:val="000000"/>
          <w:sz w:val="16"/>
          <w:szCs w:val="16"/>
        </w:rPr>
        <w:t>(a)</w:t>
      </w:r>
      <w:r>
        <w:rPr>
          <w:rFonts w:eastAsia="Times New Roman"/>
          <w:color w:val="000000"/>
          <w:sz w:val="16"/>
          <w:szCs w:val="16"/>
        </w:rPr>
        <w:t xml:space="preserve">The components of net periodic pension cost other than the service cost and expected administrative expenses are included in other non-interest expense. </w:t>
      </w:r>
    </w:p>
    <w:p w:rsidR="00000000" w:rsidRDefault="00100014">
      <w:pPr>
        <w:jc w:val="both"/>
        <w:divId w:val="803892268"/>
        <w:rPr>
          <w:rFonts w:eastAsia="Times New Roman"/>
        </w:rPr>
      </w:pPr>
      <w:r>
        <w:rPr>
          <w:rFonts w:eastAsia="Times New Roman"/>
          <w:color w:val="000000"/>
          <w:sz w:val="20"/>
          <w:szCs w:val="20"/>
        </w:rPr>
        <w:t>Net periodic pension benefit costs include interest costs based on an assumed discount rate, the expec</w:t>
      </w:r>
      <w:r>
        <w:rPr>
          <w:rFonts w:eastAsia="Times New Roman"/>
          <w:color w:val="000000"/>
          <w:sz w:val="20"/>
          <w:szCs w:val="20"/>
        </w:rPr>
        <w:t>ted return on plan assets based on actuarially derived market-related values, and the amortization of net actuarial losses. Net periodic postretirement benefit costs include service costs, interest costs based on an assumed discount rate, and the amortizat</w:t>
      </w:r>
      <w:r>
        <w:rPr>
          <w:rFonts w:eastAsia="Times New Roman"/>
          <w:color w:val="000000"/>
          <w:sz w:val="20"/>
          <w:szCs w:val="20"/>
        </w:rPr>
        <w:t xml:space="preserve">ion of prior service credits and net actuarial gains. Differences between expected and actual results in each year are included in the net actuarial gain or loss amount, which is recognized in other comprehensive income. The net actuarial gain or loss in </w:t>
      </w:r>
    </w:p>
    <w:p w:rsidR="00000000" w:rsidRDefault="00100014">
      <w:pPr>
        <w:jc w:val="center"/>
        <w:divId w:val="217983156"/>
        <w:rPr>
          <w:rFonts w:eastAsia="Times New Roman"/>
        </w:rPr>
      </w:pPr>
      <w:r>
        <w:rPr>
          <w:rFonts w:eastAsia="Times New Roman"/>
          <w:color w:val="000000"/>
          <w:sz w:val="20"/>
          <w:szCs w:val="20"/>
        </w:rPr>
        <w:t>24</w:t>
      </w:r>
    </w:p>
    <w:p w:rsidR="00000000" w:rsidRDefault="00100014">
      <w:pPr>
        <w:rPr>
          <w:rFonts w:eastAsia="Times New Roman"/>
        </w:rPr>
      </w:pPr>
      <w:r>
        <w:rPr>
          <w:rFonts w:eastAsia="Times New Roman"/>
        </w:rPr>
        <w:pict>
          <v:rect id="_x0000_i1048" style="width:0;height:1.5pt" o:hralign="center" o:hrstd="t" o:hr="t" fillcolor="#a0a0a0" stroked="f"/>
        </w:pict>
      </w:r>
    </w:p>
    <w:p w:rsidR="00000000" w:rsidRDefault="00100014">
      <w:pPr>
        <w:jc w:val="center"/>
        <w:divId w:val="1654407615"/>
        <w:rPr>
          <w:rFonts w:eastAsia="Times New Roman"/>
        </w:rPr>
      </w:pPr>
      <w:r>
        <w:rPr>
          <w:rFonts w:eastAsia="Times New Roman"/>
          <w:b/>
          <w:bCs/>
          <w:color w:val="000000"/>
          <w:sz w:val="20"/>
          <w:szCs w:val="20"/>
        </w:rPr>
        <w:t>HAWTHORN BANCSHARES, INC.</w:t>
      </w:r>
    </w:p>
    <w:p w:rsidR="00000000" w:rsidRDefault="00100014">
      <w:pPr>
        <w:jc w:val="center"/>
        <w:divId w:val="1654407615"/>
        <w:rPr>
          <w:rFonts w:eastAsia="Times New Roman"/>
        </w:rPr>
      </w:pPr>
      <w:r>
        <w:rPr>
          <w:rFonts w:eastAsia="Times New Roman"/>
          <w:b/>
          <w:bCs/>
          <w:color w:val="000000"/>
          <w:sz w:val="20"/>
          <w:szCs w:val="20"/>
        </w:rPr>
        <w:t>AND SUBSIDIARIES</w:t>
      </w:r>
    </w:p>
    <w:p w:rsidR="00000000" w:rsidRDefault="00100014">
      <w:pPr>
        <w:jc w:val="center"/>
        <w:divId w:val="1654407615"/>
        <w:rPr>
          <w:rFonts w:eastAsia="Times New Roman"/>
        </w:rPr>
      </w:pPr>
      <w:r>
        <w:rPr>
          <w:rFonts w:eastAsia="Times New Roman"/>
          <w:color w:val="000000"/>
          <w:sz w:val="18"/>
          <w:szCs w:val="18"/>
        </w:rPr>
        <w:t>Notes to the Consolidated Financial Statements</w:t>
      </w:r>
    </w:p>
    <w:p w:rsidR="00000000" w:rsidRDefault="00100014">
      <w:pPr>
        <w:jc w:val="center"/>
        <w:divId w:val="1654407615"/>
        <w:rPr>
          <w:rFonts w:eastAsia="Times New Roman"/>
        </w:rPr>
      </w:pPr>
      <w:r>
        <w:rPr>
          <w:rFonts w:eastAsia="Times New Roman"/>
          <w:i/>
          <w:iCs/>
          <w:color w:val="000000"/>
          <w:sz w:val="18"/>
          <w:szCs w:val="18"/>
        </w:rPr>
        <w:t>(Unaudited)</w:t>
      </w:r>
    </w:p>
    <w:p w:rsidR="00000000" w:rsidRDefault="00100014">
      <w:pPr>
        <w:jc w:val="both"/>
        <w:divId w:val="1530751490"/>
        <w:rPr>
          <w:rFonts w:eastAsia="Times New Roman"/>
        </w:rPr>
      </w:pPr>
      <w:r>
        <w:rPr>
          <w:rFonts w:eastAsia="Times New Roman"/>
          <w:color w:val="000000"/>
          <w:sz w:val="20"/>
          <w:szCs w:val="20"/>
        </w:rPr>
        <w:t>excess of a 10% corridor is amortized in net periodic benefit cost over the average remaining service period of ac</w:t>
      </w:r>
      <w:r>
        <w:rPr>
          <w:rFonts w:eastAsia="Times New Roman"/>
          <w:color w:val="000000"/>
          <w:sz w:val="20"/>
          <w:szCs w:val="20"/>
        </w:rPr>
        <w:t>tive participants in the pension plan. The prior service credit is amortized over the average remaining service period to full eligibility for participating employees expected to receive benefits. Currently, there is no prior service cost or net transition</w:t>
      </w:r>
      <w:r>
        <w:rPr>
          <w:rFonts w:eastAsia="Times New Roman"/>
          <w:color w:val="000000"/>
          <w:sz w:val="20"/>
          <w:szCs w:val="20"/>
        </w:rPr>
        <w:t xml:space="preserve"> (asset)/obligation to be amortized.</w:t>
      </w:r>
    </w:p>
    <w:p w:rsidR="00000000" w:rsidRDefault="00100014">
      <w:pPr>
        <w:divId w:val="1674071018"/>
        <w:rPr>
          <w:rFonts w:eastAsia="Times New Roman"/>
        </w:rPr>
      </w:pPr>
      <w:r>
        <w:rPr>
          <w:rFonts w:eastAsia="Times New Roman"/>
          <w:b/>
          <w:bCs/>
          <w:color w:val="000000"/>
          <w:sz w:val="20"/>
          <w:szCs w:val="20"/>
        </w:rPr>
        <w:t>(12) Earnings per Share</w:t>
      </w:r>
    </w:p>
    <w:p w:rsidR="00000000" w:rsidRDefault="00100014">
      <w:pPr>
        <w:jc w:val="both"/>
        <w:divId w:val="1607536581"/>
        <w:rPr>
          <w:rFonts w:eastAsia="Times New Roman"/>
        </w:rPr>
      </w:pPr>
      <w:r>
        <w:rPr>
          <w:rFonts w:eastAsia="Times New Roman"/>
          <w:i/>
          <w:iCs/>
          <w:color w:val="000000"/>
          <w:sz w:val="20"/>
          <w:szCs w:val="20"/>
        </w:rPr>
        <w:t>Stock Dividend</w:t>
      </w:r>
    </w:p>
    <w:p w:rsidR="00000000" w:rsidRDefault="00100014">
      <w:pPr>
        <w:jc w:val="both"/>
        <w:divId w:val="311100542"/>
        <w:rPr>
          <w:rFonts w:eastAsia="Times New Roman"/>
        </w:rPr>
      </w:pPr>
      <w:r>
        <w:rPr>
          <w:rFonts w:eastAsia="Times New Roman"/>
          <w:color w:val="000000"/>
          <w:sz w:val="20"/>
          <w:szCs w:val="20"/>
        </w:rPr>
        <w:t>On July 1, 2022, the Company paid a special stock dividend of 4.0% to common shareholders of record at the close of business on June 15, 2022. For all periods presented, share info</w:t>
      </w:r>
      <w:r>
        <w:rPr>
          <w:rFonts w:eastAsia="Times New Roman"/>
          <w:color w:val="000000"/>
          <w:sz w:val="20"/>
          <w:szCs w:val="20"/>
        </w:rPr>
        <w:t>rmation, including basic and diluted earnings per share, has been adjusted retroactively to reflect this change.</w:t>
      </w:r>
    </w:p>
    <w:p w:rsidR="00000000" w:rsidRDefault="00100014">
      <w:pPr>
        <w:jc w:val="both"/>
        <w:divId w:val="1824665302"/>
        <w:rPr>
          <w:rFonts w:eastAsia="Times New Roman"/>
        </w:rPr>
      </w:pPr>
      <w:r>
        <w:rPr>
          <w:rFonts w:eastAsia="Times New Roman"/>
          <w:color w:val="000000"/>
          <w:sz w:val="20"/>
          <w:szCs w:val="20"/>
        </w:rPr>
        <w:t>Basic earnings per share is computed by dividing income available to shareholders by the weighted average number of shares outstanding during t</w:t>
      </w:r>
      <w:r>
        <w:rPr>
          <w:rFonts w:eastAsia="Times New Roman"/>
          <w:color w:val="000000"/>
          <w:sz w:val="20"/>
          <w:szCs w:val="20"/>
        </w:rPr>
        <w:t>he period. Diluted earnings per share gives effect to all dilutive potential shares that were outstanding during the period.</w:t>
      </w:r>
    </w:p>
    <w:p w:rsidR="00000000" w:rsidRDefault="00100014">
      <w:pPr>
        <w:jc w:val="both"/>
        <w:divId w:val="1741557061"/>
        <w:rPr>
          <w:rFonts w:eastAsia="Times New Roman"/>
        </w:rPr>
      </w:pPr>
      <w:r>
        <w:rPr>
          <w:rFonts w:eastAsia="Times New Roman"/>
          <w:color w:val="000000"/>
          <w:sz w:val="20"/>
          <w:szCs w:val="20"/>
        </w:rPr>
        <w:t>Presented below is a summary of the components used to calculate basic and diluted earnings per common share, which have been resta</w:t>
      </w:r>
      <w:r>
        <w:rPr>
          <w:rFonts w:eastAsia="Times New Roman"/>
          <w:color w:val="000000"/>
          <w:sz w:val="20"/>
          <w:szCs w:val="20"/>
        </w:rPr>
        <w:t>ted for all stock dividends:</w:t>
      </w:r>
    </w:p>
    <w:tbl>
      <w:tblPr>
        <w:tblW w:w="5000" w:type="pct"/>
        <w:tblCellMar>
          <w:top w:w="15" w:type="dxa"/>
          <w:left w:w="15" w:type="dxa"/>
          <w:bottom w:w="15" w:type="dxa"/>
          <w:right w:w="15" w:type="dxa"/>
        </w:tblCellMar>
        <w:tblLook w:val="04A0" w:firstRow="1" w:lastRow="0" w:firstColumn="1" w:lastColumn="0" w:noHBand="0" w:noVBand="1"/>
      </w:tblPr>
      <w:tblGrid>
        <w:gridCol w:w="40"/>
        <w:gridCol w:w="3605"/>
        <w:gridCol w:w="37"/>
        <w:gridCol w:w="102"/>
        <w:gridCol w:w="960"/>
        <w:gridCol w:w="39"/>
        <w:gridCol w:w="37"/>
        <w:gridCol w:w="36"/>
        <w:gridCol w:w="36"/>
        <w:gridCol w:w="101"/>
        <w:gridCol w:w="926"/>
        <w:gridCol w:w="38"/>
        <w:gridCol w:w="36"/>
        <w:gridCol w:w="36"/>
        <w:gridCol w:w="36"/>
        <w:gridCol w:w="102"/>
        <w:gridCol w:w="926"/>
        <w:gridCol w:w="39"/>
        <w:gridCol w:w="37"/>
        <w:gridCol w:w="36"/>
        <w:gridCol w:w="36"/>
        <w:gridCol w:w="101"/>
        <w:gridCol w:w="926"/>
        <w:gridCol w:w="38"/>
      </w:tblGrid>
      <w:tr w:rsidR="00000000">
        <w:trPr>
          <w:divId w:val="1821926600"/>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82192660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82192660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 except per share data)</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8219266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Basic earnings per share: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82192660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 available to shareholders</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4,489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4,892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11,098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10,731</w:t>
            </w:r>
          </w:p>
        </w:tc>
      </w:tr>
      <w:tr w:rsidR="00000000">
        <w:trPr>
          <w:divId w:val="1821926600"/>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Average shares outstanding</w:t>
            </w: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6,768,581</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6,877,305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6,816,436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6,816,436</w:t>
            </w:r>
          </w:p>
        </w:tc>
      </w:tr>
      <w:tr w:rsidR="00000000">
        <w:trPr>
          <w:divId w:val="1821926600"/>
        </w:trPr>
        <w:tc>
          <w:tcPr>
            <w:tcW w:w="0" w:type="auto"/>
            <w:gridSpan w:val="3"/>
            <w:tcBorders>
              <w:top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Basic earnings per share</w:t>
            </w:r>
          </w:p>
        </w:tc>
        <w:tc>
          <w:tcPr>
            <w:tcW w:w="0" w:type="auto"/>
            <w:tcBorders>
              <w:top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0.66</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0.71</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1.63</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1.56</w:t>
            </w:r>
          </w:p>
        </w:tc>
      </w:tr>
      <w:tr w:rsidR="00000000">
        <w:trPr>
          <w:divId w:val="1821926600"/>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Diluted 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ind w:hanging="6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ind w:hanging="6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ind w:hanging="6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821926600"/>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Net income available to shareholders</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4,489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4,892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11,098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10,731</w:t>
            </w:r>
          </w:p>
        </w:tc>
      </w:tr>
      <w:tr w:rsidR="00000000">
        <w:trPr>
          <w:divId w:val="1821926600"/>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Average shares outstanding</w:t>
            </w: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6,768,581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6,877,305</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6,816,436</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6,816,436</w:t>
            </w:r>
          </w:p>
        </w:tc>
      </w:tr>
      <w:tr w:rsidR="00000000">
        <w:trPr>
          <w:divId w:val="1821926600"/>
        </w:trPr>
        <w:tc>
          <w:tcPr>
            <w:tcW w:w="0" w:type="auto"/>
            <w:gridSpan w:val="3"/>
            <w:tcBorders>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Diluted earnings per share</w:t>
            </w:r>
          </w:p>
        </w:tc>
        <w:tc>
          <w:tcPr>
            <w:tcW w:w="0" w:type="auto"/>
            <w:tcBorders>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0.66</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double" w:sz="6" w:space="0" w:color="000000"/>
            </w:tcBorders>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0.71</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1.63</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1.56</w:t>
            </w:r>
          </w:p>
        </w:tc>
      </w:tr>
    </w:tbl>
    <w:p w:rsidR="00000000" w:rsidRDefault="00100014">
      <w:pPr>
        <w:jc w:val="both"/>
        <w:divId w:val="1819493878"/>
        <w:rPr>
          <w:rFonts w:eastAsia="Times New Roman"/>
        </w:rPr>
      </w:pPr>
      <w:r>
        <w:rPr>
          <w:rFonts w:eastAsia="Times New Roman"/>
          <w:i/>
          <w:iCs/>
          <w:color w:val="000000"/>
          <w:sz w:val="20"/>
          <w:szCs w:val="20"/>
        </w:rPr>
        <w:t>Repurchase Program</w:t>
      </w:r>
      <w:r>
        <w:rPr>
          <w:rFonts w:eastAsia="Times New Roman"/>
          <w:b/>
          <w:bCs/>
          <w:i/>
          <w:iCs/>
          <w:color w:val="000000"/>
          <w:sz w:val="20"/>
          <w:szCs w:val="20"/>
        </w:rPr>
        <w:t xml:space="preserve"> </w:t>
      </w:r>
    </w:p>
    <w:p w:rsidR="00000000" w:rsidRDefault="00100014">
      <w:pPr>
        <w:jc w:val="both"/>
        <w:divId w:val="128406676"/>
        <w:rPr>
          <w:rFonts w:eastAsia="Times New Roman"/>
        </w:rPr>
      </w:pPr>
      <w:r>
        <w:rPr>
          <w:rFonts w:eastAsia="Times New Roman"/>
          <w:color w:val="000000"/>
          <w:sz w:val="20"/>
          <w:szCs w:val="20"/>
        </w:rPr>
        <w:t>The Company's 2019 Repurchase Plan was amended during the second quarter of 2021 to authorize the purchase of up to an additional $5.0 </w:t>
      </w:r>
      <w:r>
        <w:rPr>
          <w:rFonts w:eastAsia="Times New Roman"/>
          <w:color w:val="000000"/>
          <w:sz w:val="20"/>
          <w:szCs w:val="20"/>
        </w:rPr>
        <w:t>million in market value of the Company's common stock. Management was given discretion to determine the number and pricing of the shares to be purchased, as well as the timing of any such purchases.</w:t>
      </w:r>
    </w:p>
    <w:p w:rsidR="00000000" w:rsidRDefault="00100014">
      <w:pPr>
        <w:jc w:val="both"/>
        <w:divId w:val="1590844102"/>
        <w:rPr>
          <w:rFonts w:eastAsia="Times New Roman"/>
        </w:rPr>
      </w:pPr>
      <w:r>
        <w:rPr>
          <w:rFonts w:eastAsia="Times New Roman"/>
          <w:color w:val="000000"/>
          <w:sz w:val="20"/>
          <w:szCs w:val="20"/>
        </w:rPr>
        <w:t xml:space="preserve">The Company repurchased 23,536 and 85,188 </w:t>
      </w:r>
      <w:r>
        <w:rPr>
          <w:rFonts w:eastAsia="Times New Roman"/>
          <w:color w:val="000000"/>
          <w:sz w:val="20"/>
          <w:szCs w:val="20"/>
        </w:rPr>
        <w:t>common shares under the plan during the first and second quarter of 2022, respectively, at an average cost of $26.60 per share totaling $2.9 million. As of June 30, 2022, $2.1 million remained available for share repurchases pursuant to the plan.</w:t>
      </w:r>
    </w:p>
    <w:p w:rsidR="00000000" w:rsidRDefault="00100014">
      <w:pPr>
        <w:divId w:val="40711416"/>
        <w:rPr>
          <w:rFonts w:eastAsia="Times New Roman"/>
        </w:rPr>
      </w:pPr>
      <w:r>
        <w:rPr>
          <w:rFonts w:eastAsia="Times New Roman"/>
          <w:b/>
          <w:bCs/>
          <w:color w:val="000000"/>
          <w:sz w:val="20"/>
          <w:szCs w:val="20"/>
        </w:rPr>
        <w:t>(13) Fair</w:t>
      </w:r>
      <w:r>
        <w:rPr>
          <w:rFonts w:eastAsia="Times New Roman"/>
          <w:b/>
          <w:bCs/>
          <w:color w:val="000000"/>
          <w:sz w:val="20"/>
          <w:szCs w:val="20"/>
        </w:rPr>
        <w:t xml:space="preserve"> Value Measurements</w:t>
      </w:r>
    </w:p>
    <w:p w:rsidR="00000000" w:rsidRDefault="00100014">
      <w:pPr>
        <w:jc w:val="both"/>
        <w:divId w:val="491990700"/>
        <w:rPr>
          <w:rFonts w:eastAsia="Times New Roman"/>
        </w:rPr>
      </w:pPr>
      <w:r>
        <w:rPr>
          <w:rFonts w:eastAsia="Times New Roman"/>
          <w:color w:val="000000"/>
          <w:sz w:val="20"/>
          <w:szCs w:val="20"/>
        </w:rPr>
        <w:t>Fair value represents the amount expected to be received to sell an asset or paid to transfer a liability in its principal or most advantageous market in an orderly transaction between market participants at the measurement date.</w:t>
      </w:r>
    </w:p>
    <w:p w:rsidR="00000000" w:rsidRDefault="00100014">
      <w:pPr>
        <w:jc w:val="both"/>
        <w:divId w:val="474420050"/>
        <w:rPr>
          <w:rFonts w:eastAsia="Times New Roman"/>
        </w:rPr>
      </w:pPr>
      <w:r>
        <w:rPr>
          <w:rFonts w:eastAsia="Times New Roman"/>
          <w:color w:val="000000"/>
          <w:sz w:val="20"/>
          <w:szCs w:val="20"/>
        </w:rPr>
        <w:t>Depend</w:t>
      </w:r>
      <w:r>
        <w:rPr>
          <w:rFonts w:eastAsia="Times New Roman"/>
          <w:color w:val="000000"/>
          <w:sz w:val="20"/>
          <w:szCs w:val="20"/>
        </w:rPr>
        <w:t>ing on the nature of the asset or liability, the Company uses various valuation methodologies and assumptions to estimate fair value. The measurement of fair value under U.S. GAAP uses a hierarchy intended to maximize the use of observable inputs and minim</w:t>
      </w:r>
      <w:r>
        <w:rPr>
          <w:rFonts w:eastAsia="Times New Roman"/>
          <w:color w:val="000000"/>
          <w:sz w:val="20"/>
          <w:szCs w:val="20"/>
        </w:rPr>
        <w:t xml:space="preserve">ize the use of unobservable inputs. This hierarchy uses three levels of inputs to measure the fair value of assets and liabilities as follows. </w:t>
      </w:r>
    </w:p>
    <w:p w:rsidR="00000000" w:rsidRDefault="00100014">
      <w:pPr>
        <w:jc w:val="both"/>
        <w:divId w:val="1309944270"/>
        <w:rPr>
          <w:rFonts w:eastAsia="Times New Roman"/>
        </w:rPr>
      </w:pPr>
      <w:r>
        <w:rPr>
          <w:rFonts w:eastAsia="Times New Roman"/>
          <w:color w:val="000000"/>
          <w:sz w:val="20"/>
          <w:szCs w:val="20"/>
        </w:rPr>
        <w:t>The fair value hierarchy is as follows:</w:t>
      </w:r>
    </w:p>
    <w:p w:rsidR="00000000" w:rsidRDefault="00100014">
      <w:pPr>
        <w:jc w:val="center"/>
        <w:divId w:val="1209755739"/>
        <w:rPr>
          <w:rFonts w:eastAsia="Times New Roman"/>
        </w:rPr>
      </w:pPr>
      <w:r>
        <w:rPr>
          <w:rFonts w:eastAsia="Times New Roman"/>
          <w:color w:val="000000"/>
          <w:sz w:val="20"/>
          <w:szCs w:val="20"/>
        </w:rPr>
        <w:t>25</w:t>
      </w:r>
    </w:p>
    <w:p w:rsidR="00000000" w:rsidRDefault="00100014">
      <w:pPr>
        <w:rPr>
          <w:rFonts w:eastAsia="Times New Roman"/>
        </w:rPr>
      </w:pPr>
      <w:r>
        <w:rPr>
          <w:rFonts w:eastAsia="Times New Roman"/>
        </w:rPr>
        <w:pict>
          <v:rect id="_x0000_i1049" style="width:0;height:1.5pt" o:hralign="center" o:hrstd="t" o:hr="t" fillcolor="#a0a0a0" stroked="f"/>
        </w:pict>
      </w:r>
    </w:p>
    <w:p w:rsidR="00000000" w:rsidRDefault="00100014">
      <w:pPr>
        <w:jc w:val="center"/>
        <w:divId w:val="1260217667"/>
        <w:rPr>
          <w:rFonts w:eastAsia="Times New Roman"/>
        </w:rPr>
      </w:pPr>
      <w:r>
        <w:rPr>
          <w:rFonts w:eastAsia="Times New Roman"/>
          <w:b/>
          <w:bCs/>
          <w:color w:val="000000"/>
          <w:sz w:val="20"/>
          <w:szCs w:val="20"/>
        </w:rPr>
        <w:t>HAWTHORN BANCSHARES, INC.</w:t>
      </w:r>
    </w:p>
    <w:p w:rsidR="00000000" w:rsidRDefault="00100014">
      <w:pPr>
        <w:jc w:val="center"/>
        <w:divId w:val="1260217667"/>
        <w:rPr>
          <w:rFonts w:eastAsia="Times New Roman"/>
        </w:rPr>
      </w:pPr>
      <w:r>
        <w:rPr>
          <w:rFonts w:eastAsia="Times New Roman"/>
          <w:b/>
          <w:bCs/>
          <w:color w:val="000000"/>
          <w:sz w:val="20"/>
          <w:szCs w:val="20"/>
        </w:rPr>
        <w:t>AND SU</w:t>
      </w:r>
      <w:r>
        <w:rPr>
          <w:rFonts w:eastAsia="Times New Roman"/>
          <w:b/>
          <w:bCs/>
          <w:color w:val="000000"/>
          <w:sz w:val="20"/>
          <w:szCs w:val="20"/>
        </w:rPr>
        <w:t>BSIDIARIES</w:t>
      </w:r>
    </w:p>
    <w:p w:rsidR="00000000" w:rsidRDefault="00100014">
      <w:pPr>
        <w:jc w:val="center"/>
        <w:divId w:val="1260217667"/>
        <w:rPr>
          <w:rFonts w:eastAsia="Times New Roman"/>
        </w:rPr>
      </w:pPr>
      <w:r>
        <w:rPr>
          <w:rFonts w:eastAsia="Times New Roman"/>
          <w:color w:val="000000"/>
          <w:sz w:val="18"/>
          <w:szCs w:val="18"/>
        </w:rPr>
        <w:t>Notes to the Consolidated Financial Statements</w:t>
      </w:r>
    </w:p>
    <w:p w:rsidR="00000000" w:rsidRDefault="00100014">
      <w:pPr>
        <w:jc w:val="center"/>
        <w:divId w:val="1260217667"/>
        <w:rPr>
          <w:rFonts w:eastAsia="Times New Roman"/>
        </w:rPr>
      </w:pPr>
      <w:r>
        <w:rPr>
          <w:rFonts w:eastAsia="Times New Roman"/>
          <w:i/>
          <w:iCs/>
          <w:color w:val="000000"/>
          <w:sz w:val="18"/>
          <w:szCs w:val="18"/>
        </w:rPr>
        <w:t>(Unaudited)</w:t>
      </w:r>
    </w:p>
    <w:p w:rsidR="00000000" w:rsidRDefault="00100014">
      <w:pPr>
        <w:jc w:val="both"/>
        <w:divId w:val="1890922866"/>
        <w:rPr>
          <w:rFonts w:eastAsia="Times New Roman"/>
        </w:rPr>
      </w:pPr>
      <w:r>
        <w:rPr>
          <w:rFonts w:eastAsia="Times New Roman"/>
          <w:color w:val="000000"/>
          <w:sz w:val="20"/>
          <w:szCs w:val="20"/>
        </w:rPr>
        <w:t xml:space="preserve">Level 1 – Inputs are unadjusted quoted prices for identical assets or liabilities in active markets. A quoted price in an active market provides the most reliable evidence of fair value </w:t>
      </w:r>
      <w:r>
        <w:rPr>
          <w:rFonts w:eastAsia="Times New Roman"/>
          <w:color w:val="000000"/>
          <w:sz w:val="20"/>
          <w:szCs w:val="20"/>
        </w:rPr>
        <w:t>and is used to measure fair value whenever available. A contractually binding sales price also provides reliable evidence of fair value.</w:t>
      </w:r>
    </w:p>
    <w:p w:rsidR="00000000" w:rsidRDefault="00100014">
      <w:pPr>
        <w:jc w:val="both"/>
        <w:divId w:val="1962806402"/>
        <w:rPr>
          <w:rFonts w:eastAsia="Times New Roman"/>
        </w:rPr>
      </w:pPr>
      <w:r>
        <w:rPr>
          <w:rFonts w:eastAsia="Times New Roman"/>
          <w:color w:val="000000"/>
          <w:sz w:val="20"/>
          <w:szCs w:val="20"/>
        </w:rPr>
        <w:t>Level 2 – Inputs other than quoted prices included in Level 1 that are observable for the asset or liability, either di</w:t>
      </w:r>
      <w:r>
        <w:rPr>
          <w:rFonts w:eastAsia="Times New Roman"/>
          <w:color w:val="000000"/>
          <w:sz w:val="20"/>
          <w:szCs w:val="20"/>
        </w:rPr>
        <w:t>rectly or indirectly. These might include quoted prices for similar assets and liabilities in active markets, such as interest rates and yield curves that are observable at commonly quoted intervals.</w:t>
      </w:r>
    </w:p>
    <w:p w:rsidR="00000000" w:rsidRDefault="00100014">
      <w:pPr>
        <w:jc w:val="both"/>
        <w:divId w:val="1623799617"/>
        <w:rPr>
          <w:rFonts w:eastAsia="Times New Roman"/>
        </w:rPr>
      </w:pPr>
      <w:r>
        <w:rPr>
          <w:rFonts w:eastAsia="Times New Roman"/>
          <w:color w:val="000000"/>
          <w:sz w:val="20"/>
          <w:szCs w:val="20"/>
        </w:rPr>
        <w:t>Level 3 – Inputs are unobservable inputs for the asset o</w:t>
      </w:r>
      <w:r>
        <w:rPr>
          <w:rFonts w:eastAsia="Times New Roman"/>
          <w:color w:val="000000"/>
          <w:sz w:val="20"/>
          <w:szCs w:val="20"/>
        </w:rPr>
        <w:t>r liability and significant to the fair value. These may be internally developed using the Company’s best information and assumptions that a market participant would consider.</w:t>
      </w:r>
    </w:p>
    <w:p w:rsidR="00000000" w:rsidRDefault="00100014">
      <w:pPr>
        <w:jc w:val="both"/>
        <w:divId w:val="1279336747"/>
        <w:rPr>
          <w:rFonts w:eastAsia="Times New Roman"/>
        </w:rPr>
      </w:pPr>
      <w:r>
        <w:rPr>
          <w:rFonts w:eastAsia="Times New Roman"/>
          <w:color w:val="000000"/>
          <w:sz w:val="20"/>
          <w:szCs w:val="20"/>
        </w:rPr>
        <w:t>In accordance with fair value accounting guidance, the Company measures, records</w:t>
      </w:r>
      <w:r>
        <w:rPr>
          <w:rFonts w:eastAsia="Times New Roman"/>
          <w:color w:val="000000"/>
          <w:sz w:val="20"/>
          <w:szCs w:val="20"/>
        </w:rPr>
        <w:t>, and reports various types of assets and liabilities at fair value on either a recurring or non-recurring basis in the Consolidated Financial Statements. Nonfinancial assets measured at fair value on a non-recurring basis would include foreclosed real est</w:t>
      </w:r>
      <w:r>
        <w:rPr>
          <w:rFonts w:eastAsia="Times New Roman"/>
          <w:color w:val="000000"/>
          <w:sz w:val="20"/>
          <w:szCs w:val="20"/>
        </w:rPr>
        <w:t>ate, long-lived assets, and core deposit intangible assets, which are reviewed when circumstances or other events indicate that impairment may have occurred.</w:t>
      </w:r>
    </w:p>
    <w:p w:rsidR="00000000" w:rsidRDefault="00100014">
      <w:pPr>
        <w:divId w:val="209660220"/>
        <w:rPr>
          <w:rFonts w:eastAsia="Times New Roman"/>
        </w:rPr>
      </w:pPr>
      <w:r>
        <w:rPr>
          <w:rFonts w:eastAsia="Times New Roman"/>
          <w:b/>
          <w:bCs/>
          <w:i/>
          <w:iCs/>
          <w:color w:val="000000"/>
          <w:sz w:val="20"/>
          <w:szCs w:val="20"/>
        </w:rPr>
        <w:t>Valuation Methods for Assets and Liabilities Measured at Fair Value on a Recurring Basis</w:t>
      </w:r>
    </w:p>
    <w:p w:rsidR="00000000" w:rsidRDefault="00100014">
      <w:pPr>
        <w:jc w:val="both"/>
        <w:divId w:val="1999655241"/>
        <w:rPr>
          <w:rFonts w:eastAsia="Times New Roman"/>
        </w:rPr>
      </w:pPr>
      <w:r>
        <w:rPr>
          <w:rFonts w:eastAsia="Times New Roman"/>
          <w:color w:val="000000"/>
          <w:sz w:val="20"/>
          <w:szCs w:val="20"/>
        </w:rPr>
        <w:t>Following</w:t>
      </w:r>
      <w:r>
        <w:rPr>
          <w:rFonts w:eastAsia="Times New Roman"/>
          <w:color w:val="000000"/>
          <w:sz w:val="20"/>
          <w:szCs w:val="20"/>
        </w:rPr>
        <w:t xml:space="preserve"> is a description of the Company’s valuation methodologies used for assets and liabilities recorded at fair value on a recurring basis:</w:t>
      </w:r>
    </w:p>
    <w:p w:rsidR="00000000" w:rsidRDefault="00100014">
      <w:pPr>
        <w:jc w:val="both"/>
        <w:divId w:val="1935673044"/>
        <w:rPr>
          <w:rFonts w:eastAsia="Times New Roman"/>
        </w:rPr>
      </w:pPr>
      <w:r>
        <w:rPr>
          <w:rFonts w:eastAsia="Times New Roman"/>
          <w:i/>
          <w:iCs/>
          <w:color w:val="000000"/>
          <w:sz w:val="20"/>
          <w:szCs w:val="20"/>
        </w:rPr>
        <w:t>Available-for-sale Securities</w:t>
      </w:r>
    </w:p>
    <w:p w:rsidR="00000000" w:rsidRDefault="00100014">
      <w:pPr>
        <w:jc w:val="both"/>
        <w:divId w:val="56831112"/>
        <w:rPr>
          <w:rFonts w:eastAsia="Times New Roman"/>
        </w:rPr>
      </w:pPr>
      <w:r>
        <w:rPr>
          <w:rFonts w:eastAsia="Times New Roman"/>
          <w:color w:val="000000"/>
          <w:sz w:val="20"/>
          <w:szCs w:val="20"/>
        </w:rPr>
        <w:t>The fair value measurements of the Company’s investment securities are determined by a thi</w:t>
      </w:r>
      <w:r>
        <w:rPr>
          <w:rFonts w:eastAsia="Times New Roman"/>
          <w:color w:val="000000"/>
          <w:sz w:val="20"/>
          <w:szCs w:val="20"/>
        </w:rPr>
        <w:t>rd party pricing service which considers observable data that may include dealer quotes, market spreads, cash flows, the U.S. Treasury yield curve, live trading levels, trade execution data, market consensus prepayment speeds, credit information and the bo</w:t>
      </w:r>
      <w:r>
        <w:rPr>
          <w:rFonts w:eastAsia="Times New Roman"/>
          <w:color w:val="000000"/>
          <w:sz w:val="20"/>
          <w:szCs w:val="20"/>
        </w:rPr>
        <w:t>nd’s terms and conditions, among other things. The fair value measurements are subject to independent verification to another pricing source by management each quarter for reasonableness.</w:t>
      </w:r>
    </w:p>
    <w:p w:rsidR="00000000" w:rsidRDefault="00100014">
      <w:pPr>
        <w:jc w:val="both"/>
        <w:divId w:val="1918703529"/>
        <w:rPr>
          <w:rFonts w:eastAsia="Times New Roman"/>
        </w:rPr>
      </w:pPr>
      <w:r>
        <w:rPr>
          <w:rFonts w:eastAsia="Times New Roman"/>
          <w:i/>
          <w:iCs/>
          <w:color w:val="000000"/>
          <w:sz w:val="20"/>
          <w:szCs w:val="20"/>
        </w:rPr>
        <w:t xml:space="preserve">Other Investment Securities </w:t>
      </w:r>
    </w:p>
    <w:p w:rsidR="00000000" w:rsidRDefault="00100014">
      <w:pPr>
        <w:jc w:val="both"/>
        <w:divId w:val="813105512"/>
        <w:rPr>
          <w:rFonts w:eastAsia="Times New Roman"/>
        </w:rPr>
      </w:pPr>
      <w:r>
        <w:rPr>
          <w:rFonts w:eastAsia="Times New Roman"/>
          <w:color w:val="000000"/>
          <w:sz w:val="20"/>
          <w:szCs w:val="20"/>
        </w:rPr>
        <w:t>Other investment securities include equ</w:t>
      </w:r>
      <w:r>
        <w:rPr>
          <w:rFonts w:eastAsia="Times New Roman"/>
          <w:color w:val="000000"/>
          <w:sz w:val="20"/>
          <w:szCs w:val="20"/>
        </w:rPr>
        <w:t>ity securities with readily determinable fair values and other investment securities that do not have readily determinable fair values. Investments in Federal Home Loan Bank (FHLB) stock, and Midwest Independent Bank (MIB) bankers bank stock, that do not h</w:t>
      </w:r>
      <w:r>
        <w:rPr>
          <w:rFonts w:eastAsia="Times New Roman"/>
          <w:color w:val="000000"/>
          <w:sz w:val="20"/>
          <w:szCs w:val="20"/>
        </w:rPr>
        <w:t>ave readily determinable fair values, are required for membership in those organizations. Equity securities that are not actively traded are classified in level 2.</w:t>
      </w:r>
    </w:p>
    <w:p w:rsidR="00000000" w:rsidRDefault="00100014">
      <w:pPr>
        <w:jc w:val="both"/>
        <w:divId w:val="1969314535"/>
        <w:rPr>
          <w:rFonts w:eastAsia="Times New Roman"/>
        </w:rPr>
      </w:pPr>
      <w:r>
        <w:rPr>
          <w:rFonts w:eastAsia="Times New Roman"/>
          <w:color w:val="000000"/>
          <w:sz w:val="20"/>
          <w:szCs w:val="20"/>
        </w:rPr>
        <w:t>Equity securities with readily determinable fair values are recorded at fair value, with cha</w:t>
      </w:r>
      <w:r>
        <w:rPr>
          <w:rFonts w:eastAsia="Times New Roman"/>
          <w:color w:val="000000"/>
          <w:sz w:val="20"/>
          <w:szCs w:val="20"/>
        </w:rPr>
        <w:t>nges in fair value reflected in earnings. Equity securities that do not have readily determinable fair values are carried at cost and are periodically assessed for impairment. The Company uses level 1 inputs to value equity securities that are traded in ac</w:t>
      </w:r>
      <w:r>
        <w:rPr>
          <w:rFonts w:eastAsia="Times New Roman"/>
          <w:color w:val="000000"/>
          <w:sz w:val="20"/>
          <w:szCs w:val="20"/>
        </w:rPr>
        <w:t>tive markets.</w:t>
      </w:r>
    </w:p>
    <w:p w:rsidR="00000000" w:rsidRDefault="00100014">
      <w:pPr>
        <w:jc w:val="both"/>
        <w:divId w:val="1911377916"/>
        <w:rPr>
          <w:rFonts w:eastAsia="Times New Roman"/>
        </w:rPr>
      </w:pPr>
      <w:r>
        <w:rPr>
          <w:rFonts w:eastAsia="Times New Roman"/>
          <w:i/>
          <w:iCs/>
          <w:color w:val="000000"/>
          <w:sz w:val="20"/>
          <w:szCs w:val="20"/>
        </w:rPr>
        <w:t>Loans Held for Sale</w:t>
      </w:r>
    </w:p>
    <w:p w:rsidR="00000000" w:rsidRDefault="00100014">
      <w:pPr>
        <w:jc w:val="both"/>
        <w:divId w:val="136260972"/>
        <w:rPr>
          <w:rFonts w:eastAsia="Times New Roman"/>
        </w:rPr>
      </w:pPr>
      <w:r>
        <w:rPr>
          <w:rFonts w:eastAsia="Times New Roman"/>
          <w:color w:val="000000"/>
          <w:sz w:val="20"/>
          <w:szCs w:val="20"/>
        </w:rPr>
        <w:t>The fair value of the committed in forward sale agreements loans is the price at which they could be sold in the principal market at the measurement date, therefore the Company classifies as level 2.</w:t>
      </w:r>
    </w:p>
    <w:p w:rsidR="00000000" w:rsidRDefault="00100014">
      <w:pPr>
        <w:jc w:val="both"/>
        <w:divId w:val="686950598"/>
        <w:rPr>
          <w:rFonts w:eastAsia="Times New Roman"/>
        </w:rPr>
      </w:pPr>
      <w:r>
        <w:rPr>
          <w:rFonts w:eastAsia="Times New Roman"/>
          <w:i/>
          <w:iCs/>
          <w:color w:val="000000"/>
          <w:sz w:val="20"/>
          <w:szCs w:val="20"/>
        </w:rPr>
        <w:t xml:space="preserve">Derivative Assets and </w:t>
      </w:r>
      <w:r>
        <w:rPr>
          <w:rFonts w:eastAsia="Times New Roman"/>
          <w:i/>
          <w:iCs/>
          <w:color w:val="000000"/>
          <w:sz w:val="20"/>
          <w:szCs w:val="20"/>
        </w:rPr>
        <w:t>Liabilities</w:t>
      </w:r>
    </w:p>
    <w:p w:rsidR="00000000" w:rsidRDefault="00100014">
      <w:pPr>
        <w:jc w:val="both"/>
        <w:divId w:val="385690702"/>
        <w:rPr>
          <w:rFonts w:eastAsia="Times New Roman"/>
        </w:rPr>
      </w:pPr>
      <w:r>
        <w:rPr>
          <w:rFonts w:eastAsia="Times New Roman"/>
          <w:color w:val="000000"/>
          <w:sz w:val="20"/>
          <w:szCs w:val="20"/>
        </w:rPr>
        <w:t>Derivative assets and liabilities include interest rate lock commitments (IRLCs) and forward sale commitments. The fair values of IRLCs and forward sale commitments are determined using readily observable market data such as interest rates, pri</w:t>
      </w:r>
      <w:r>
        <w:rPr>
          <w:rFonts w:eastAsia="Times New Roman"/>
          <w:color w:val="000000"/>
          <w:sz w:val="20"/>
          <w:szCs w:val="20"/>
        </w:rPr>
        <w:t>ces, volatility factors, and customer credit-related adjustments. For IRLCs, the fair value is subject to the anticipated loan funding probability (pull-through rate), which is considered an unobservable factor. Factors that affect pull-through rates inclu</w:t>
      </w:r>
      <w:r>
        <w:rPr>
          <w:rFonts w:eastAsia="Times New Roman"/>
          <w:color w:val="000000"/>
          <w:sz w:val="20"/>
          <w:szCs w:val="20"/>
        </w:rPr>
        <w:t>de origination channel, current mortgage interest rates in the market versus the interest rate incorporated in the IRLC, the purpose of the mortgage, stage of completion of the underlying application and underwriting process, and the time remaining until t</w:t>
      </w:r>
      <w:r>
        <w:rPr>
          <w:rFonts w:eastAsia="Times New Roman"/>
          <w:color w:val="000000"/>
          <w:sz w:val="20"/>
          <w:szCs w:val="20"/>
        </w:rPr>
        <w:t>he IRLC expires. The Company classifies IRLCs as level 3 due to the unobservable input of pull-through rates.</w:t>
      </w:r>
    </w:p>
    <w:p w:rsidR="00000000" w:rsidRDefault="00100014">
      <w:pPr>
        <w:jc w:val="center"/>
        <w:divId w:val="1079249252"/>
        <w:rPr>
          <w:rFonts w:eastAsia="Times New Roman"/>
        </w:rPr>
      </w:pPr>
      <w:r>
        <w:rPr>
          <w:rFonts w:eastAsia="Times New Roman"/>
          <w:color w:val="000000"/>
          <w:sz w:val="20"/>
          <w:szCs w:val="20"/>
        </w:rPr>
        <w:t>26</w:t>
      </w:r>
    </w:p>
    <w:p w:rsidR="00000000" w:rsidRDefault="00100014">
      <w:pPr>
        <w:rPr>
          <w:rFonts w:eastAsia="Times New Roman"/>
        </w:rPr>
      </w:pPr>
      <w:r>
        <w:rPr>
          <w:rFonts w:eastAsia="Times New Roman"/>
        </w:rPr>
        <w:pict>
          <v:rect id="_x0000_i1050" style="width:0;height:1.5pt" o:hralign="center" o:hrstd="t" o:hr="t" fillcolor="#a0a0a0" stroked="f"/>
        </w:pict>
      </w:r>
    </w:p>
    <w:p w:rsidR="00000000" w:rsidRDefault="00100014">
      <w:pPr>
        <w:jc w:val="center"/>
        <w:divId w:val="1026449105"/>
        <w:rPr>
          <w:rFonts w:eastAsia="Times New Roman"/>
        </w:rPr>
      </w:pPr>
      <w:r>
        <w:rPr>
          <w:rFonts w:eastAsia="Times New Roman"/>
          <w:b/>
          <w:bCs/>
          <w:color w:val="000000"/>
          <w:sz w:val="20"/>
          <w:szCs w:val="20"/>
        </w:rPr>
        <w:t>HAWTHORN BANCSHARES, INC.</w:t>
      </w:r>
    </w:p>
    <w:p w:rsidR="00000000" w:rsidRDefault="00100014">
      <w:pPr>
        <w:jc w:val="center"/>
        <w:divId w:val="1026449105"/>
        <w:rPr>
          <w:rFonts w:eastAsia="Times New Roman"/>
        </w:rPr>
      </w:pPr>
      <w:r>
        <w:rPr>
          <w:rFonts w:eastAsia="Times New Roman"/>
          <w:b/>
          <w:bCs/>
          <w:color w:val="000000"/>
          <w:sz w:val="20"/>
          <w:szCs w:val="20"/>
        </w:rPr>
        <w:t>AND SUBSIDIARIES</w:t>
      </w:r>
    </w:p>
    <w:p w:rsidR="00000000" w:rsidRDefault="00100014">
      <w:pPr>
        <w:jc w:val="center"/>
        <w:divId w:val="1026449105"/>
        <w:rPr>
          <w:rFonts w:eastAsia="Times New Roman"/>
        </w:rPr>
      </w:pPr>
      <w:r>
        <w:rPr>
          <w:rFonts w:eastAsia="Times New Roman"/>
          <w:color w:val="000000"/>
          <w:sz w:val="18"/>
          <w:szCs w:val="18"/>
        </w:rPr>
        <w:t>Notes to the Consolidated Financial Statements</w:t>
      </w:r>
    </w:p>
    <w:p w:rsidR="00000000" w:rsidRDefault="00100014">
      <w:pPr>
        <w:jc w:val="center"/>
        <w:divId w:val="1026449105"/>
        <w:rPr>
          <w:rFonts w:eastAsia="Times New Roman"/>
        </w:rPr>
      </w:pPr>
      <w:r>
        <w:rPr>
          <w:rFonts w:eastAsia="Times New Roman"/>
          <w:i/>
          <w:iCs/>
          <w:color w:val="000000"/>
          <w:sz w:val="18"/>
          <w:szCs w:val="18"/>
        </w:rPr>
        <w:t>(Unaudited)</w:t>
      </w:r>
    </w:p>
    <w:p w:rsidR="00000000" w:rsidRDefault="00100014">
      <w:pPr>
        <w:divId w:val="330380235"/>
        <w:rPr>
          <w:rFonts w:eastAsia="Times New Roman"/>
        </w:rPr>
      </w:pPr>
      <w:r>
        <w:rPr>
          <w:rFonts w:eastAsia="Times New Roman"/>
          <w:i/>
          <w:iCs/>
          <w:color w:val="000000"/>
          <w:sz w:val="20"/>
          <w:szCs w:val="20"/>
        </w:rPr>
        <w:t>Mortgage Servicing Rights</w:t>
      </w:r>
    </w:p>
    <w:p w:rsidR="00000000" w:rsidRDefault="00100014">
      <w:pPr>
        <w:jc w:val="both"/>
        <w:divId w:val="103579449"/>
        <w:rPr>
          <w:rFonts w:eastAsia="Times New Roman"/>
        </w:rPr>
      </w:pPr>
      <w:r>
        <w:rPr>
          <w:rFonts w:eastAsia="Times New Roman"/>
          <w:color w:val="000000"/>
          <w:sz w:val="20"/>
          <w:szCs w:val="20"/>
        </w:rPr>
        <w:t>The fair value of mortgage servicing rights is based on the discounted value of estimated future cash flows utilizing contractual cash flows, servicing rate, constant prep</w:t>
      </w:r>
      <w:r>
        <w:rPr>
          <w:rFonts w:eastAsia="Times New Roman"/>
          <w:color w:val="000000"/>
          <w:sz w:val="20"/>
          <w:szCs w:val="20"/>
        </w:rPr>
        <w:t>ayment rate, servicing cost, and discount rate factors. Accordingly, the fair value is estimated based on a valuation model that calculates the present value of estimated future net servicing income. The model incorporates assumptions that market participa</w:t>
      </w:r>
      <w:r>
        <w:rPr>
          <w:rFonts w:eastAsia="Times New Roman"/>
          <w:color w:val="000000"/>
          <w:sz w:val="20"/>
          <w:szCs w:val="20"/>
        </w:rPr>
        <w:t>nts use in estimating future net servicing income, including estimates of prepayment speeds, market discount rates, cost to service, float earnings rates, and other ancillary income, including late fees. The valuation models estimate the present value of e</w:t>
      </w:r>
      <w:r>
        <w:rPr>
          <w:rFonts w:eastAsia="Times New Roman"/>
          <w:color w:val="000000"/>
          <w:sz w:val="20"/>
          <w:szCs w:val="20"/>
        </w:rPr>
        <w:t>stimated future net servicing income. The Company classifies its servicing rights as Level 3.</w:t>
      </w:r>
    </w:p>
    <w:p w:rsidR="00000000" w:rsidRDefault="00100014">
      <w:pPr>
        <w:jc w:val="center"/>
        <w:divId w:val="1315570479"/>
        <w:rPr>
          <w:rFonts w:eastAsia="Times New Roman"/>
        </w:rPr>
      </w:pPr>
      <w:r>
        <w:rPr>
          <w:rFonts w:eastAsia="Times New Roman"/>
          <w:color w:val="000000"/>
          <w:sz w:val="20"/>
          <w:szCs w:val="20"/>
        </w:rPr>
        <w:t>27</w:t>
      </w:r>
    </w:p>
    <w:p w:rsidR="00000000" w:rsidRDefault="00100014">
      <w:pPr>
        <w:rPr>
          <w:rFonts w:eastAsia="Times New Roman"/>
        </w:rPr>
      </w:pPr>
      <w:r>
        <w:rPr>
          <w:rFonts w:eastAsia="Times New Roman"/>
        </w:rPr>
        <w:pict>
          <v:rect id="_x0000_i1051" style="width:0;height:1.5pt" o:hralign="center" o:hrstd="t" o:hr="t" fillcolor="#a0a0a0" stroked="f"/>
        </w:pict>
      </w:r>
    </w:p>
    <w:p w:rsidR="00000000" w:rsidRDefault="00100014">
      <w:pPr>
        <w:jc w:val="center"/>
        <w:divId w:val="1895458628"/>
        <w:rPr>
          <w:rFonts w:eastAsia="Times New Roman"/>
        </w:rPr>
      </w:pPr>
      <w:r>
        <w:rPr>
          <w:rFonts w:eastAsia="Times New Roman"/>
          <w:b/>
          <w:bCs/>
          <w:color w:val="000000"/>
          <w:sz w:val="20"/>
          <w:szCs w:val="20"/>
        </w:rPr>
        <w:t>HAWTHORN BANCSHARES, INC.</w:t>
      </w:r>
    </w:p>
    <w:p w:rsidR="00000000" w:rsidRDefault="00100014">
      <w:pPr>
        <w:jc w:val="center"/>
        <w:divId w:val="1895458628"/>
        <w:rPr>
          <w:rFonts w:eastAsia="Times New Roman"/>
        </w:rPr>
      </w:pPr>
      <w:r>
        <w:rPr>
          <w:rFonts w:eastAsia="Times New Roman"/>
          <w:b/>
          <w:bCs/>
          <w:color w:val="000000"/>
          <w:sz w:val="20"/>
          <w:szCs w:val="20"/>
        </w:rPr>
        <w:t>AND SUBSIDIARIES</w:t>
      </w:r>
    </w:p>
    <w:p w:rsidR="00000000" w:rsidRDefault="00100014">
      <w:pPr>
        <w:jc w:val="center"/>
        <w:divId w:val="1895458628"/>
        <w:rPr>
          <w:rFonts w:eastAsia="Times New Roman"/>
        </w:rPr>
      </w:pPr>
      <w:r>
        <w:rPr>
          <w:rFonts w:eastAsia="Times New Roman"/>
          <w:color w:val="000000"/>
          <w:sz w:val="18"/>
          <w:szCs w:val="18"/>
        </w:rPr>
        <w:t>Notes to the Consolidated Financial Statements</w:t>
      </w:r>
    </w:p>
    <w:p w:rsidR="00000000" w:rsidRDefault="00100014">
      <w:pPr>
        <w:jc w:val="center"/>
        <w:divId w:val="1895458628"/>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085"/>
        <w:gridCol w:w="40"/>
        <w:gridCol w:w="120"/>
        <w:gridCol w:w="855"/>
        <w:gridCol w:w="36"/>
        <w:gridCol w:w="36"/>
        <w:gridCol w:w="36"/>
        <w:gridCol w:w="36"/>
        <w:gridCol w:w="120"/>
        <w:gridCol w:w="755"/>
        <w:gridCol w:w="36"/>
        <w:gridCol w:w="36"/>
        <w:gridCol w:w="36"/>
        <w:gridCol w:w="36"/>
        <w:gridCol w:w="120"/>
        <w:gridCol w:w="700"/>
        <w:gridCol w:w="36"/>
        <w:gridCol w:w="36"/>
        <w:gridCol w:w="36"/>
        <w:gridCol w:w="36"/>
        <w:gridCol w:w="121"/>
        <w:gridCol w:w="881"/>
        <w:gridCol w:w="36"/>
      </w:tblGrid>
      <w:tr w:rsidR="00000000">
        <w:trPr>
          <w:divId w:val="958877508"/>
        </w:trPr>
        <w:tc>
          <w:tcPr>
            <w:tcW w:w="50" w:type="pct"/>
            <w:vAlign w:val="center"/>
            <w:hideMark/>
          </w:tcPr>
          <w:p w:rsidR="00000000" w:rsidRDefault="00100014">
            <w:pPr>
              <w:jc w:val="center"/>
              <w:rPr>
                <w:rFonts w:eastAsia="Times New Roman"/>
              </w:rPr>
            </w:pPr>
          </w:p>
        </w:tc>
        <w:tc>
          <w:tcPr>
            <w:tcW w:w="258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4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 Measurements</w:t>
            </w:r>
          </w:p>
        </w:tc>
      </w:tr>
      <w:tr w:rsidR="00000000">
        <w:trPr>
          <w:divId w:val="958877508"/>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Significant Unobservable Inputs (Level 3)</w:t>
            </w:r>
          </w:p>
        </w:tc>
      </w:tr>
      <w:tr w:rsidR="00000000">
        <w:trPr>
          <w:divId w:val="95887750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June 30,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Treasury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3,775 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3,775 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962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962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24,620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24,620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112,105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112,105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112,998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debt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11,578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11,578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1,236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1,236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Equity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99</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Forward sale commitments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Loans held for sale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1,716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 servicing rights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r>
      <w:tr w:rsidR="00000000">
        <w:trPr>
          <w:divId w:val="958877508"/>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271,881 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3,822 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265,230 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2,829 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tcBorders>
              <w:top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rate lock commitments</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Height w:val="30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Treasury</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3,917 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 and federal agency obligations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1,319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U.S. government-sponsored enterprises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26,372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129,224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Mortgage-backed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136,466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debt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12,284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Bank-issued trust preferred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1,288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Equity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312</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Loans held for sale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2,249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958877508"/>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Mortgage servicing rights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2,659</w:t>
            </w:r>
          </w:p>
        </w:tc>
      </w:tr>
      <w:tr w:rsidR="00000000">
        <w:trPr>
          <w:divId w:val="958877508"/>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316,162 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3,977 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309,214 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2,971 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95887750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rate lock commitments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958877508"/>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center"/>
        <w:divId w:val="178666296"/>
        <w:rPr>
          <w:rFonts w:eastAsia="Times New Roman"/>
        </w:rPr>
      </w:pPr>
      <w:r>
        <w:rPr>
          <w:rFonts w:eastAsia="Times New Roman"/>
          <w:color w:val="000000"/>
          <w:sz w:val="20"/>
          <w:szCs w:val="20"/>
        </w:rPr>
        <w:t>28</w:t>
      </w:r>
    </w:p>
    <w:p w:rsidR="00000000" w:rsidRDefault="00100014">
      <w:pPr>
        <w:rPr>
          <w:rFonts w:eastAsia="Times New Roman"/>
        </w:rPr>
      </w:pPr>
      <w:r>
        <w:rPr>
          <w:rFonts w:eastAsia="Times New Roman"/>
        </w:rPr>
        <w:pict>
          <v:rect id="_x0000_i1052" style="width:0;height:1.5pt" o:hralign="center" o:hrstd="t" o:hr="t" fillcolor="#a0a0a0" stroked="f"/>
        </w:pict>
      </w:r>
    </w:p>
    <w:p w:rsidR="00000000" w:rsidRDefault="00100014">
      <w:pPr>
        <w:jc w:val="center"/>
        <w:divId w:val="221454248"/>
        <w:rPr>
          <w:rFonts w:eastAsia="Times New Roman"/>
        </w:rPr>
      </w:pPr>
      <w:r>
        <w:rPr>
          <w:rFonts w:eastAsia="Times New Roman"/>
          <w:b/>
          <w:bCs/>
          <w:color w:val="000000"/>
          <w:sz w:val="20"/>
          <w:szCs w:val="20"/>
        </w:rPr>
        <w:t>HAWTHORN BANCSHARES, INC.</w:t>
      </w:r>
    </w:p>
    <w:p w:rsidR="00000000" w:rsidRDefault="00100014">
      <w:pPr>
        <w:jc w:val="center"/>
        <w:divId w:val="221454248"/>
        <w:rPr>
          <w:rFonts w:eastAsia="Times New Roman"/>
        </w:rPr>
      </w:pPr>
      <w:r>
        <w:rPr>
          <w:rFonts w:eastAsia="Times New Roman"/>
          <w:b/>
          <w:bCs/>
          <w:color w:val="000000"/>
          <w:sz w:val="20"/>
          <w:szCs w:val="20"/>
        </w:rPr>
        <w:t>AND SUBSIDIARIES</w:t>
      </w:r>
    </w:p>
    <w:p w:rsidR="00000000" w:rsidRDefault="00100014">
      <w:pPr>
        <w:jc w:val="center"/>
        <w:divId w:val="221454248"/>
        <w:rPr>
          <w:rFonts w:eastAsia="Times New Roman"/>
        </w:rPr>
      </w:pPr>
      <w:r>
        <w:rPr>
          <w:rFonts w:eastAsia="Times New Roman"/>
          <w:color w:val="000000"/>
          <w:sz w:val="18"/>
          <w:szCs w:val="18"/>
        </w:rPr>
        <w:t>Notes to the Consolidated Financial Statements</w:t>
      </w:r>
    </w:p>
    <w:p w:rsidR="00000000" w:rsidRDefault="00100014">
      <w:pPr>
        <w:jc w:val="center"/>
        <w:divId w:val="221454248"/>
        <w:rPr>
          <w:rFonts w:eastAsia="Times New Roman"/>
        </w:rPr>
      </w:pPr>
      <w:r>
        <w:rPr>
          <w:rFonts w:eastAsia="Times New Roman"/>
          <w:i/>
          <w:iCs/>
          <w:color w:val="000000"/>
          <w:sz w:val="18"/>
          <w:szCs w:val="18"/>
        </w:rPr>
        <w:t>(Unaudited)</w:t>
      </w:r>
    </w:p>
    <w:p w:rsidR="00000000" w:rsidRDefault="00100014">
      <w:pPr>
        <w:jc w:val="both"/>
        <w:divId w:val="223882109"/>
        <w:rPr>
          <w:rFonts w:eastAsia="Times New Roman"/>
        </w:rPr>
      </w:pPr>
      <w:r>
        <w:rPr>
          <w:rFonts w:eastAsia="Times New Roman"/>
          <w:color w:val="000000"/>
          <w:sz w:val="20"/>
          <w:szCs w:val="20"/>
        </w:rPr>
        <w:t>The changes in Level 3 assets and liabilities measured at fair value on a recurring basis are summarized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588"/>
        <w:gridCol w:w="38"/>
        <w:gridCol w:w="121"/>
        <w:gridCol w:w="951"/>
        <w:gridCol w:w="38"/>
        <w:gridCol w:w="37"/>
        <w:gridCol w:w="37"/>
        <w:gridCol w:w="37"/>
        <w:gridCol w:w="121"/>
        <w:gridCol w:w="907"/>
        <w:gridCol w:w="38"/>
        <w:gridCol w:w="36"/>
        <w:gridCol w:w="36"/>
        <w:gridCol w:w="36"/>
        <w:gridCol w:w="121"/>
        <w:gridCol w:w="910"/>
        <w:gridCol w:w="37"/>
        <w:gridCol w:w="37"/>
        <w:gridCol w:w="37"/>
        <w:gridCol w:w="37"/>
        <w:gridCol w:w="121"/>
        <w:gridCol w:w="909"/>
        <w:gridCol w:w="37"/>
      </w:tblGrid>
      <w:tr w:rsidR="00000000">
        <w:trPr>
          <w:divId w:val="847909147"/>
        </w:trPr>
        <w:tc>
          <w:tcPr>
            <w:tcW w:w="50" w:type="pct"/>
            <w:vAlign w:val="center"/>
            <w:hideMark/>
          </w:tcPr>
          <w:p w:rsidR="00000000" w:rsidRDefault="00100014">
            <w:pPr>
              <w:jc w:val="both"/>
              <w:rPr>
                <w:rFonts w:eastAsia="Times New Roman"/>
              </w:rPr>
            </w:pPr>
          </w:p>
        </w:tc>
        <w:tc>
          <w:tcPr>
            <w:tcW w:w="21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0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847909147"/>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1"/>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 Measurements Using Significant Unobservable Inputs (Level 3)</w:t>
            </w:r>
          </w:p>
        </w:tc>
      </w:tr>
      <w:tr w:rsidR="00000000">
        <w:trPr>
          <w:divId w:val="847909147"/>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bottom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Mortgage Servicing Rights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Borders>
              <w:top w:val="single" w:sz="6" w:space="0" w:color="000000"/>
              <w:bottom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Interest Rate Lock Commitments</w:t>
            </w:r>
          </w:p>
        </w:tc>
      </w:tr>
      <w:tr w:rsidR="00000000">
        <w:trPr>
          <w:divId w:val="847909147"/>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847909147"/>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84790914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Balance at beginning of period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2,659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2,445</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286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 gains or (losses) (realized/unrealized):</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47909147"/>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Included in earnings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847909147"/>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Included in other comprehensive income</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Purchases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Sales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(303)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Issues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292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Settlements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847909147"/>
        </w:trPr>
        <w:tc>
          <w:tcPr>
            <w:tcW w:w="0" w:type="auto"/>
            <w:gridSpan w:val="3"/>
            <w:tcBorders>
              <w:top w:val="single" w:sz="6"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Balance at end of period</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2,730</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2,775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95</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bl>
    <w:p w:rsidR="00000000" w:rsidRDefault="00100014">
      <w:pPr>
        <w:divId w:val="885415986"/>
        <w:rPr>
          <w:rFonts w:eastAsia="Times New Roman"/>
        </w:rPr>
      </w:pPr>
      <w:r>
        <w:rPr>
          <w:rFonts w:eastAsia="Times New Roman"/>
          <w:b/>
          <w:bCs/>
          <w:i/>
          <w:iCs/>
          <w:color w:val="000000"/>
          <w:sz w:val="20"/>
          <w:szCs w:val="20"/>
        </w:rPr>
        <w:t>Valuation Methods for Assets and Liabilities Measured at Fair Value on a Non-recurring Basis</w:t>
      </w:r>
    </w:p>
    <w:p w:rsidR="00000000" w:rsidRDefault="00100014">
      <w:pPr>
        <w:jc w:val="both"/>
        <w:divId w:val="1914192428"/>
        <w:rPr>
          <w:rFonts w:eastAsia="Times New Roman"/>
        </w:rPr>
      </w:pPr>
      <w:r>
        <w:rPr>
          <w:rFonts w:eastAsia="Times New Roman"/>
          <w:color w:val="000000"/>
          <w:sz w:val="20"/>
          <w:szCs w:val="20"/>
        </w:rPr>
        <w:t>Following is a description of the Company’s valuation methodologies used for assets and liabilities recor</w:t>
      </w:r>
      <w:r>
        <w:rPr>
          <w:rFonts w:eastAsia="Times New Roman"/>
          <w:color w:val="000000"/>
          <w:sz w:val="20"/>
          <w:szCs w:val="20"/>
        </w:rPr>
        <w:t>ded at fair value on a non-recurring basis:</w:t>
      </w:r>
    </w:p>
    <w:p w:rsidR="00000000" w:rsidRDefault="00100014">
      <w:pPr>
        <w:divId w:val="974094026"/>
        <w:rPr>
          <w:rFonts w:eastAsia="Times New Roman"/>
        </w:rPr>
      </w:pPr>
      <w:r>
        <w:rPr>
          <w:rFonts w:eastAsia="Times New Roman"/>
          <w:i/>
          <w:iCs/>
          <w:color w:val="000000"/>
          <w:sz w:val="20"/>
          <w:szCs w:val="20"/>
        </w:rPr>
        <w:t>Collateral Dependent Impaired Loans</w:t>
      </w:r>
    </w:p>
    <w:p w:rsidR="00000000" w:rsidRDefault="00100014">
      <w:pPr>
        <w:jc w:val="both"/>
        <w:divId w:val="1173495393"/>
        <w:rPr>
          <w:rFonts w:eastAsia="Times New Roman"/>
        </w:rPr>
      </w:pPr>
      <w:r>
        <w:rPr>
          <w:rFonts w:eastAsia="Times New Roman"/>
          <w:color w:val="000000"/>
          <w:sz w:val="20"/>
          <w:szCs w:val="20"/>
        </w:rPr>
        <w:t xml:space="preserve">While the overall loan portfolio is not carried at fair value, the Company periodically records non-recurring adjustments to the carrying value of loans based on fair value measurements for partial charge-offs of the uncollectible portions of those loans. </w:t>
      </w:r>
      <w:r>
        <w:rPr>
          <w:rFonts w:eastAsia="Times New Roman"/>
          <w:color w:val="000000"/>
          <w:sz w:val="20"/>
          <w:szCs w:val="20"/>
        </w:rPr>
        <w:t>Non-recurring adjustments also include certain impairment amounts for collateral dependent loans when establishing the allowance for loan losses. Such amounts are generally based on the fair value of the underlying collateral supporting the loan. In determ</w:t>
      </w:r>
      <w:r>
        <w:rPr>
          <w:rFonts w:eastAsia="Times New Roman"/>
          <w:color w:val="000000"/>
          <w:sz w:val="20"/>
          <w:szCs w:val="20"/>
        </w:rPr>
        <w:t>ining the value of real estate collateral, the Company relies on external and internal appraisals of property values depending on the size and complexity of the real estate collateral. The Company maintains staff trained to perform in-house evaluations and</w:t>
      </w:r>
      <w:r>
        <w:rPr>
          <w:rFonts w:eastAsia="Times New Roman"/>
          <w:color w:val="000000"/>
          <w:sz w:val="20"/>
          <w:szCs w:val="20"/>
        </w:rPr>
        <w:t xml:space="preserve"> also to review third-party appraisal reports for reasonableness. In the case of non-real estate collateral, reliance is placed on a variety of sources, including external estimates of value and judgments based on the experience and expertise of internal s</w:t>
      </w:r>
      <w:r>
        <w:rPr>
          <w:rFonts w:eastAsia="Times New Roman"/>
          <w:color w:val="000000"/>
          <w:sz w:val="20"/>
          <w:szCs w:val="20"/>
        </w:rPr>
        <w:t>pecialists. Values of all loan collateral are regularly reviewed by a senior loan committee. Because many of these inputs are not observable, the measurements are classified as Level 3. As of June 30, 2022, the Company identified $16.0 million in collatera</w:t>
      </w:r>
      <w:r>
        <w:rPr>
          <w:rFonts w:eastAsia="Times New Roman"/>
          <w:color w:val="000000"/>
          <w:sz w:val="20"/>
          <w:szCs w:val="20"/>
        </w:rPr>
        <w:t>l-dependent impaired loans that required no specific allowance for loan losses. Related to these loans, there were $2,000 and $25,000 in charge-offs recorded during the three and six months ended June 30, 2022, respectively. As of June 30, 2021, the Compan</w:t>
      </w:r>
      <w:r>
        <w:rPr>
          <w:rFonts w:eastAsia="Times New Roman"/>
          <w:color w:val="000000"/>
          <w:sz w:val="20"/>
          <w:szCs w:val="20"/>
        </w:rPr>
        <w:t>y identified $31.8 million in collateral-dependent impaired loans that had specific allowances for losses aggregating $5.0 million. Related to these loans, there were $11,000 and $34,000 in charge-offs recorded during the three and six months ended June 30</w:t>
      </w:r>
      <w:r>
        <w:rPr>
          <w:rFonts w:eastAsia="Times New Roman"/>
          <w:color w:val="000000"/>
          <w:sz w:val="20"/>
          <w:szCs w:val="20"/>
        </w:rPr>
        <w:t>, 2021, respectively.</w:t>
      </w:r>
    </w:p>
    <w:p w:rsidR="00000000" w:rsidRDefault="00100014">
      <w:pPr>
        <w:divId w:val="282467116"/>
        <w:rPr>
          <w:rFonts w:eastAsia="Times New Roman"/>
        </w:rPr>
      </w:pPr>
      <w:r>
        <w:rPr>
          <w:rFonts w:eastAsia="Times New Roman"/>
          <w:i/>
          <w:iCs/>
          <w:color w:val="000000"/>
          <w:sz w:val="20"/>
          <w:szCs w:val="20"/>
        </w:rPr>
        <w:t>Other Real Estate and Foreclosed Assets</w:t>
      </w:r>
    </w:p>
    <w:p w:rsidR="00000000" w:rsidRDefault="00100014">
      <w:pPr>
        <w:jc w:val="both"/>
        <w:divId w:val="2086950218"/>
        <w:rPr>
          <w:rFonts w:eastAsia="Times New Roman"/>
        </w:rPr>
      </w:pPr>
      <w:r>
        <w:rPr>
          <w:rFonts w:eastAsia="Times New Roman"/>
          <w:color w:val="000000"/>
          <w:sz w:val="20"/>
          <w:szCs w:val="20"/>
        </w:rPr>
        <w:t>Other real estate owned (OREO) and foreclosed assets consisted of loan collateral repossessed through foreclosure. This collateral is comprised of commercial and residential real estate and othe</w:t>
      </w:r>
      <w:r>
        <w:rPr>
          <w:rFonts w:eastAsia="Times New Roman"/>
          <w:color w:val="000000"/>
          <w:sz w:val="20"/>
          <w:szCs w:val="20"/>
        </w:rPr>
        <w:t>r non-real estate property, including autos, manufactured homes, and construction equipment. Subsequent to foreclosure, these assets initially are carried at fair value of the collateral less estimated selling costs. Fair value, when recorded, is generally</w:t>
      </w:r>
      <w:r>
        <w:rPr>
          <w:rFonts w:eastAsia="Times New Roman"/>
          <w:color w:val="000000"/>
          <w:sz w:val="20"/>
          <w:szCs w:val="20"/>
        </w:rPr>
        <w:t xml:space="preserve"> based upon appraisals by approved, independent state-certified appraisers. Like impaired loans, appraisals on OREO may be discounted based on the Company’s historical knowledge, changes in market conditions from the time of appraisal or other information </w:t>
      </w:r>
      <w:r>
        <w:rPr>
          <w:rFonts w:eastAsia="Times New Roman"/>
          <w:color w:val="000000"/>
          <w:sz w:val="20"/>
          <w:szCs w:val="20"/>
        </w:rPr>
        <w:t>available. During the holding period, valuations are updated periodically, and the assets may be written down to reflect a new cost basis. Because many of these inputs are not observable, the measurements are classified as Level 3.</w:t>
      </w:r>
    </w:p>
    <w:p w:rsidR="00000000" w:rsidRDefault="00100014">
      <w:pPr>
        <w:jc w:val="center"/>
        <w:divId w:val="675155623"/>
        <w:rPr>
          <w:rFonts w:eastAsia="Times New Roman"/>
        </w:rPr>
      </w:pPr>
      <w:r>
        <w:rPr>
          <w:rFonts w:eastAsia="Times New Roman"/>
          <w:color w:val="000000"/>
          <w:sz w:val="20"/>
          <w:szCs w:val="20"/>
        </w:rPr>
        <w:t>29</w:t>
      </w:r>
    </w:p>
    <w:p w:rsidR="00000000" w:rsidRDefault="00100014">
      <w:pPr>
        <w:rPr>
          <w:rFonts w:eastAsia="Times New Roman"/>
        </w:rPr>
      </w:pPr>
      <w:r>
        <w:rPr>
          <w:rFonts w:eastAsia="Times New Roman"/>
        </w:rPr>
        <w:pict>
          <v:rect id="_x0000_i1053" style="width:0;height:1.5pt" o:hralign="center" o:hrstd="t" o:hr="t" fillcolor="#a0a0a0" stroked="f"/>
        </w:pict>
      </w:r>
    </w:p>
    <w:p w:rsidR="00000000" w:rsidRDefault="00100014">
      <w:pPr>
        <w:jc w:val="center"/>
        <w:divId w:val="1006446549"/>
        <w:rPr>
          <w:rFonts w:eastAsia="Times New Roman"/>
        </w:rPr>
      </w:pPr>
      <w:r>
        <w:rPr>
          <w:rFonts w:eastAsia="Times New Roman"/>
          <w:b/>
          <w:bCs/>
          <w:color w:val="000000"/>
          <w:sz w:val="20"/>
          <w:szCs w:val="20"/>
        </w:rPr>
        <w:t>HAWTHORN BANCSHARES, INC.</w:t>
      </w:r>
    </w:p>
    <w:p w:rsidR="00000000" w:rsidRDefault="00100014">
      <w:pPr>
        <w:jc w:val="center"/>
        <w:divId w:val="1006446549"/>
        <w:rPr>
          <w:rFonts w:eastAsia="Times New Roman"/>
        </w:rPr>
      </w:pPr>
      <w:r>
        <w:rPr>
          <w:rFonts w:eastAsia="Times New Roman"/>
          <w:b/>
          <w:bCs/>
          <w:color w:val="000000"/>
          <w:sz w:val="20"/>
          <w:szCs w:val="20"/>
        </w:rPr>
        <w:t>AND SUBSIDIARIES</w:t>
      </w:r>
    </w:p>
    <w:p w:rsidR="00000000" w:rsidRDefault="00100014">
      <w:pPr>
        <w:jc w:val="center"/>
        <w:divId w:val="1006446549"/>
        <w:rPr>
          <w:rFonts w:eastAsia="Times New Roman"/>
        </w:rPr>
      </w:pPr>
      <w:r>
        <w:rPr>
          <w:rFonts w:eastAsia="Times New Roman"/>
          <w:color w:val="000000"/>
          <w:sz w:val="18"/>
          <w:szCs w:val="18"/>
        </w:rPr>
        <w:t>Notes to the Consolidated Financial Statements</w:t>
      </w:r>
    </w:p>
    <w:p w:rsidR="00000000" w:rsidRDefault="00100014">
      <w:pPr>
        <w:jc w:val="center"/>
        <w:divId w:val="1006446549"/>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365"/>
        <w:gridCol w:w="38"/>
        <w:gridCol w:w="100"/>
        <w:gridCol w:w="757"/>
        <w:gridCol w:w="36"/>
        <w:gridCol w:w="36"/>
        <w:gridCol w:w="36"/>
        <w:gridCol w:w="36"/>
        <w:gridCol w:w="101"/>
        <w:gridCol w:w="871"/>
        <w:gridCol w:w="36"/>
        <w:gridCol w:w="36"/>
        <w:gridCol w:w="36"/>
        <w:gridCol w:w="36"/>
        <w:gridCol w:w="101"/>
        <w:gridCol w:w="725"/>
        <w:gridCol w:w="36"/>
        <w:gridCol w:w="36"/>
        <w:gridCol w:w="36"/>
        <w:gridCol w:w="36"/>
        <w:gridCol w:w="101"/>
        <w:gridCol w:w="882"/>
        <w:gridCol w:w="36"/>
        <w:gridCol w:w="36"/>
        <w:gridCol w:w="36"/>
        <w:gridCol w:w="36"/>
        <w:gridCol w:w="101"/>
        <w:gridCol w:w="605"/>
        <w:gridCol w:w="36"/>
        <w:gridCol w:w="36"/>
        <w:gridCol w:w="36"/>
        <w:gridCol w:w="36"/>
        <w:gridCol w:w="101"/>
        <w:gridCol w:w="663"/>
        <w:gridCol w:w="36"/>
      </w:tblGrid>
      <w:tr w:rsidR="00000000">
        <w:trPr>
          <w:divId w:val="2091583849"/>
        </w:trPr>
        <w:tc>
          <w:tcPr>
            <w:tcW w:w="50" w:type="pct"/>
            <w:vAlign w:val="center"/>
            <w:hideMark/>
          </w:tcPr>
          <w:p w:rsidR="00000000" w:rsidRDefault="00100014">
            <w:pPr>
              <w:jc w:val="center"/>
              <w:rPr>
                <w:rFonts w:eastAsia="Times New Roman"/>
              </w:rPr>
            </w:pPr>
          </w:p>
        </w:tc>
        <w:tc>
          <w:tcPr>
            <w:tcW w:w="14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6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 Measurements Using</w:t>
            </w:r>
          </w:p>
        </w:tc>
      </w:tr>
      <w:tr w:rsidR="00000000">
        <w:trPr>
          <w:divId w:val="209158384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 Fair Value</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Quoted Prices in Active Markets for Identical Assets (Level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Other Observable Inputs (Level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Significant Unobservable Inputs (Level 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June 30, Total Gains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 Total Gains (Losses)*</w:t>
            </w:r>
          </w:p>
        </w:tc>
      </w:tr>
      <w:tr w:rsidR="00000000">
        <w:trPr>
          <w:divId w:val="209158384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commercial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15,992 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15,992 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tcBorders>
              <w:top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9,155 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9,155 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Height w:val="240"/>
        </w:trPr>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June 30, 2021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Collateral dependent impaired loans:</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Commercial, financial, &amp; agricultural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3,976 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3,976 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vAlign w:val="center"/>
            <w:hideMark/>
          </w:tcPr>
          <w:p w:rsidR="00000000" w:rsidRDefault="00100014">
            <w:pPr>
              <w:spacing w:after="100"/>
              <w:jc w:val="right"/>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2091583849"/>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359 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359 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22,420 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22,420 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tcBorders>
              <w:top w:val="single" w:sz="8"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1583849"/>
        </w:trPr>
        <w:tc>
          <w:tcPr>
            <w:tcW w:w="0" w:type="auto"/>
            <w:gridSpan w:val="3"/>
            <w:tcBorders>
              <w:top w:val="doub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real estate and repossessed assets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11,938 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11,938 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doub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tbl>
      <w:tblPr>
        <w:tblW w:w="1219" w:type="pct"/>
        <w:tblCellMar>
          <w:top w:w="15" w:type="dxa"/>
          <w:left w:w="15" w:type="dxa"/>
          <w:bottom w:w="15" w:type="dxa"/>
          <w:right w:w="15" w:type="dxa"/>
        </w:tblCellMar>
        <w:tblLook w:val="04A0" w:firstRow="1" w:lastRow="0" w:firstColumn="1" w:lastColumn="0" w:noHBand="0" w:noVBand="1"/>
      </w:tblPr>
      <w:tblGrid>
        <w:gridCol w:w="144"/>
        <w:gridCol w:w="2002"/>
        <w:gridCol w:w="144"/>
      </w:tblGrid>
      <w:tr w:rsidR="00000000">
        <w:tc>
          <w:tcPr>
            <w:tcW w:w="50" w:type="pct"/>
            <w:vAlign w:val="center"/>
            <w:hideMark/>
          </w:tcPr>
          <w:p w:rsidR="00000000" w:rsidRDefault="00100014">
            <w:pPr>
              <w:rPr>
                <w:rFonts w:eastAsia="Times New Roman"/>
              </w:rPr>
            </w:pPr>
          </w:p>
        </w:tc>
        <w:tc>
          <w:tcPr>
            <w:tcW w:w="49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trHeight w:val="60"/>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360"/>
        <w:divId w:val="447163847"/>
        <w:rPr>
          <w:rFonts w:eastAsia="Times New Roman"/>
        </w:rPr>
      </w:pPr>
      <w:r>
        <w:rPr>
          <w:rFonts w:eastAsia="Times New Roman"/>
          <w:color w:val="000000"/>
          <w:sz w:val="16"/>
          <w:szCs w:val="16"/>
        </w:rPr>
        <w:t>*</w:t>
      </w:r>
      <w:r>
        <w:rPr>
          <w:rFonts w:eastAsia="Times New Roman"/>
          <w:color w:val="000000"/>
          <w:sz w:val="16"/>
          <w:szCs w:val="16"/>
        </w:rPr>
        <w:t>Total losses reported for other real estate and foreclosed assets includes charge-offs, valuation write downs, and net losses taken during the periods reported.</w:t>
      </w:r>
    </w:p>
    <w:p w:rsidR="00000000" w:rsidRDefault="00100014">
      <w:pPr>
        <w:divId w:val="1039933323"/>
        <w:rPr>
          <w:rFonts w:eastAsia="Times New Roman"/>
        </w:rPr>
      </w:pPr>
      <w:r>
        <w:rPr>
          <w:rFonts w:eastAsia="Times New Roman"/>
          <w:b/>
          <w:bCs/>
          <w:color w:val="000000"/>
          <w:sz w:val="20"/>
          <w:szCs w:val="20"/>
        </w:rPr>
        <w:t>(14) Fair Value of Financial Instruments</w:t>
      </w:r>
    </w:p>
    <w:p w:rsidR="00000000" w:rsidRDefault="00100014">
      <w:pPr>
        <w:jc w:val="both"/>
        <w:divId w:val="552349199"/>
        <w:rPr>
          <w:rFonts w:eastAsia="Times New Roman"/>
        </w:rPr>
      </w:pPr>
      <w:r>
        <w:rPr>
          <w:rFonts w:eastAsia="Times New Roman"/>
          <w:color w:val="000000"/>
          <w:sz w:val="20"/>
          <w:szCs w:val="20"/>
        </w:rPr>
        <w:t>The following methods and assumptions were used to est</w:t>
      </w:r>
      <w:r>
        <w:rPr>
          <w:rFonts w:eastAsia="Times New Roman"/>
          <w:color w:val="000000"/>
          <w:sz w:val="20"/>
          <w:szCs w:val="20"/>
        </w:rPr>
        <w:t>imate the fair value of each class of financial instruments for which it is practicable to estimate such value:</w:t>
      </w:r>
    </w:p>
    <w:p w:rsidR="00000000" w:rsidRDefault="00100014">
      <w:pPr>
        <w:divId w:val="2084250882"/>
        <w:rPr>
          <w:rFonts w:eastAsia="Times New Roman"/>
        </w:rPr>
      </w:pPr>
      <w:r>
        <w:rPr>
          <w:rFonts w:eastAsia="Times New Roman"/>
          <w:b/>
          <w:bCs/>
          <w:i/>
          <w:iCs/>
          <w:color w:val="000000"/>
          <w:sz w:val="20"/>
          <w:szCs w:val="20"/>
        </w:rPr>
        <w:t>Loans</w:t>
      </w:r>
    </w:p>
    <w:p w:rsidR="00000000" w:rsidRDefault="00100014">
      <w:pPr>
        <w:jc w:val="both"/>
        <w:divId w:val="1453592786"/>
        <w:rPr>
          <w:rFonts w:eastAsia="Times New Roman"/>
        </w:rPr>
      </w:pPr>
      <w:r>
        <w:rPr>
          <w:rFonts w:eastAsia="Times New Roman"/>
          <w:color w:val="000000"/>
          <w:sz w:val="20"/>
          <w:szCs w:val="20"/>
        </w:rPr>
        <w:t>Fair values are estimated for portfolios with similar financial characteristics. Loans are segregated by type, such as commercial, real es</w:t>
      </w:r>
      <w:r>
        <w:rPr>
          <w:rFonts w:eastAsia="Times New Roman"/>
          <w:color w:val="000000"/>
          <w:sz w:val="20"/>
          <w:szCs w:val="20"/>
        </w:rPr>
        <w:t xml:space="preserve">tate, and consumer. Each loan category is further segmented into fixed and variable interest rate categories. The fair value of loans, or exit price, is estimated by using the future value of discounted cash flows using comparable market rates for similar </w:t>
      </w:r>
      <w:r>
        <w:rPr>
          <w:rFonts w:eastAsia="Times New Roman"/>
          <w:color w:val="000000"/>
          <w:sz w:val="20"/>
          <w:szCs w:val="20"/>
        </w:rPr>
        <w:t>types of loan products and adjusted for market factors. The discount rates used are estimated using comparable market rates for similar types of loan products adjusted to be commensurate with the credit risk, overhead costs, and optionality of such instrum</w:t>
      </w:r>
      <w:r>
        <w:rPr>
          <w:rFonts w:eastAsia="Times New Roman"/>
          <w:color w:val="000000"/>
          <w:sz w:val="20"/>
          <w:szCs w:val="20"/>
        </w:rPr>
        <w:t>ents.</w:t>
      </w:r>
    </w:p>
    <w:p w:rsidR="00000000" w:rsidRDefault="00100014">
      <w:pPr>
        <w:divId w:val="1411807764"/>
        <w:rPr>
          <w:rFonts w:eastAsia="Times New Roman"/>
        </w:rPr>
      </w:pPr>
      <w:r>
        <w:rPr>
          <w:rFonts w:eastAsia="Times New Roman"/>
          <w:b/>
          <w:bCs/>
          <w:i/>
          <w:iCs/>
          <w:color w:val="000000"/>
          <w:sz w:val="20"/>
          <w:szCs w:val="20"/>
        </w:rPr>
        <w:t>Federal Funds Sold, Cash, and Due from Banks</w:t>
      </w:r>
    </w:p>
    <w:p w:rsidR="00000000" w:rsidRDefault="00100014">
      <w:pPr>
        <w:jc w:val="both"/>
        <w:divId w:val="2077164417"/>
        <w:rPr>
          <w:rFonts w:eastAsia="Times New Roman"/>
        </w:rPr>
      </w:pPr>
      <w:r>
        <w:rPr>
          <w:rFonts w:eastAsia="Times New Roman"/>
          <w:color w:val="000000"/>
          <w:sz w:val="20"/>
          <w:szCs w:val="20"/>
        </w:rPr>
        <w:t>The carrying amounts of short-term federal funds sold, interest-earning deposits with banks, and cash and due from banks approximate fair value. Federal funds sold classified as short-term generally mature</w:t>
      </w:r>
      <w:r>
        <w:rPr>
          <w:rFonts w:eastAsia="Times New Roman"/>
          <w:color w:val="000000"/>
          <w:sz w:val="20"/>
          <w:szCs w:val="20"/>
        </w:rPr>
        <w:t xml:space="preserve"> in 90 days or less.</w:t>
      </w:r>
    </w:p>
    <w:p w:rsidR="00000000" w:rsidRDefault="00100014">
      <w:pPr>
        <w:divId w:val="93328607"/>
        <w:rPr>
          <w:rFonts w:eastAsia="Times New Roman"/>
        </w:rPr>
      </w:pPr>
      <w:r>
        <w:rPr>
          <w:rFonts w:eastAsia="Times New Roman"/>
          <w:b/>
          <w:bCs/>
          <w:i/>
          <w:iCs/>
          <w:color w:val="000000"/>
          <w:sz w:val="20"/>
          <w:szCs w:val="20"/>
        </w:rPr>
        <w:t>Certificates of Deposit in Other Banks</w:t>
      </w:r>
    </w:p>
    <w:p w:rsidR="00000000" w:rsidRDefault="00100014">
      <w:pPr>
        <w:jc w:val="both"/>
        <w:divId w:val="1168250827"/>
        <w:rPr>
          <w:rFonts w:eastAsia="Times New Roman"/>
        </w:rPr>
      </w:pPr>
      <w:r>
        <w:rPr>
          <w:rFonts w:eastAsia="Times New Roman"/>
          <w:color w:val="000000"/>
          <w:sz w:val="20"/>
          <w:szCs w:val="20"/>
        </w:rPr>
        <w:t>Certificates of deposit are other investments made by the Company with other financial institutions that are carried at cost which is equal to fair value.</w:t>
      </w:r>
    </w:p>
    <w:p w:rsidR="00000000" w:rsidRDefault="00100014">
      <w:pPr>
        <w:divId w:val="1628975804"/>
        <w:rPr>
          <w:rFonts w:eastAsia="Times New Roman"/>
        </w:rPr>
      </w:pPr>
      <w:r>
        <w:rPr>
          <w:rFonts w:eastAsia="Times New Roman"/>
          <w:b/>
          <w:bCs/>
          <w:i/>
          <w:iCs/>
          <w:color w:val="000000"/>
          <w:sz w:val="20"/>
          <w:szCs w:val="20"/>
        </w:rPr>
        <w:t>Cash Surrender Value - Life Insurance</w:t>
      </w:r>
    </w:p>
    <w:p w:rsidR="00000000" w:rsidRDefault="00100014">
      <w:pPr>
        <w:jc w:val="both"/>
        <w:divId w:val="1788501358"/>
        <w:rPr>
          <w:rFonts w:eastAsia="Times New Roman"/>
        </w:rPr>
      </w:pPr>
      <w:r>
        <w:rPr>
          <w:rFonts w:eastAsia="Times New Roman"/>
          <w:color w:val="000000"/>
          <w:sz w:val="20"/>
          <w:szCs w:val="20"/>
        </w:rPr>
        <w:t>The</w:t>
      </w:r>
      <w:r>
        <w:rPr>
          <w:rFonts w:eastAsia="Times New Roman"/>
          <w:color w:val="000000"/>
          <w:sz w:val="20"/>
          <w:szCs w:val="20"/>
        </w:rPr>
        <w:t xml:space="preserve"> fair value of Bank-owned life insurance (BOLI) approximates the carrying amount. Upon liquidation of these investments, the Company would receive the cash surrender value which equals the carrying amount.</w:t>
      </w:r>
    </w:p>
    <w:p w:rsidR="00000000" w:rsidRDefault="00100014">
      <w:pPr>
        <w:jc w:val="center"/>
        <w:divId w:val="2033990196"/>
        <w:rPr>
          <w:rFonts w:eastAsia="Times New Roman"/>
        </w:rPr>
      </w:pPr>
      <w:r>
        <w:rPr>
          <w:rFonts w:eastAsia="Times New Roman"/>
          <w:color w:val="000000"/>
          <w:sz w:val="20"/>
          <w:szCs w:val="20"/>
        </w:rPr>
        <w:t>30</w:t>
      </w:r>
    </w:p>
    <w:p w:rsidR="00000000" w:rsidRDefault="00100014">
      <w:pPr>
        <w:rPr>
          <w:rFonts w:eastAsia="Times New Roman"/>
        </w:rPr>
      </w:pPr>
      <w:r>
        <w:rPr>
          <w:rFonts w:eastAsia="Times New Roman"/>
        </w:rPr>
        <w:pict>
          <v:rect id="_x0000_i1054" style="width:0;height:1.5pt" o:hralign="center" o:hrstd="t" o:hr="t" fillcolor="#a0a0a0" stroked="f"/>
        </w:pict>
      </w:r>
    </w:p>
    <w:p w:rsidR="00000000" w:rsidRDefault="00100014">
      <w:pPr>
        <w:jc w:val="center"/>
        <w:divId w:val="1027562119"/>
        <w:rPr>
          <w:rFonts w:eastAsia="Times New Roman"/>
        </w:rPr>
      </w:pPr>
      <w:r>
        <w:rPr>
          <w:rFonts w:eastAsia="Times New Roman"/>
          <w:b/>
          <w:bCs/>
          <w:color w:val="000000"/>
          <w:sz w:val="20"/>
          <w:szCs w:val="20"/>
        </w:rPr>
        <w:t>HAWTHORN B</w:t>
      </w:r>
      <w:r>
        <w:rPr>
          <w:rFonts w:eastAsia="Times New Roman"/>
          <w:b/>
          <w:bCs/>
          <w:color w:val="000000"/>
          <w:sz w:val="20"/>
          <w:szCs w:val="20"/>
        </w:rPr>
        <w:t>ANCSHARES, INC.</w:t>
      </w:r>
    </w:p>
    <w:p w:rsidR="00000000" w:rsidRDefault="00100014">
      <w:pPr>
        <w:jc w:val="center"/>
        <w:divId w:val="1027562119"/>
        <w:rPr>
          <w:rFonts w:eastAsia="Times New Roman"/>
        </w:rPr>
      </w:pPr>
      <w:r>
        <w:rPr>
          <w:rFonts w:eastAsia="Times New Roman"/>
          <w:b/>
          <w:bCs/>
          <w:color w:val="000000"/>
          <w:sz w:val="20"/>
          <w:szCs w:val="20"/>
        </w:rPr>
        <w:t>AND SUBSIDIARIES</w:t>
      </w:r>
    </w:p>
    <w:p w:rsidR="00000000" w:rsidRDefault="00100014">
      <w:pPr>
        <w:jc w:val="center"/>
        <w:divId w:val="1027562119"/>
        <w:rPr>
          <w:rFonts w:eastAsia="Times New Roman"/>
        </w:rPr>
      </w:pPr>
      <w:r>
        <w:rPr>
          <w:rFonts w:eastAsia="Times New Roman"/>
          <w:color w:val="000000"/>
          <w:sz w:val="18"/>
          <w:szCs w:val="18"/>
        </w:rPr>
        <w:t>Notes to the Consolidated Financial Statements</w:t>
      </w:r>
    </w:p>
    <w:p w:rsidR="00000000" w:rsidRDefault="00100014">
      <w:pPr>
        <w:jc w:val="center"/>
        <w:divId w:val="1027562119"/>
        <w:rPr>
          <w:rFonts w:eastAsia="Times New Roman"/>
        </w:rPr>
      </w:pPr>
      <w:r>
        <w:rPr>
          <w:rFonts w:eastAsia="Times New Roman"/>
          <w:i/>
          <w:iCs/>
          <w:color w:val="000000"/>
          <w:sz w:val="18"/>
          <w:szCs w:val="18"/>
        </w:rPr>
        <w:t>(Unaudited)</w:t>
      </w:r>
    </w:p>
    <w:p w:rsidR="00000000" w:rsidRDefault="00100014">
      <w:pPr>
        <w:divId w:val="261690487"/>
        <w:rPr>
          <w:rFonts w:eastAsia="Times New Roman"/>
        </w:rPr>
      </w:pPr>
      <w:r>
        <w:rPr>
          <w:rFonts w:eastAsia="Times New Roman"/>
          <w:b/>
          <w:bCs/>
          <w:i/>
          <w:iCs/>
          <w:color w:val="000000"/>
          <w:sz w:val="20"/>
          <w:szCs w:val="20"/>
        </w:rPr>
        <w:t>Accrued Interest Receivable and Payable</w:t>
      </w:r>
    </w:p>
    <w:p w:rsidR="00000000" w:rsidRDefault="00100014">
      <w:pPr>
        <w:jc w:val="both"/>
        <w:divId w:val="625309368"/>
        <w:rPr>
          <w:rFonts w:eastAsia="Times New Roman"/>
        </w:rPr>
      </w:pPr>
      <w:r>
        <w:rPr>
          <w:rFonts w:eastAsia="Times New Roman"/>
          <w:color w:val="000000"/>
          <w:sz w:val="20"/>
          <w:szCs w:val="20"/>
        </w:rPr>
        <w:t>For accrued interest receivable and payable, the carrying amount is a reasonable estimate of fair value because of the short maturity for these financial instruments.</w:t>
      </w:r>
    </w:p>
    <w:p w:rsidR="00000000" w:rsidRDefault="00100014">
      <w:pPr>
        <w:divId w:val="348214905"/>
        <w:rPr>
          <w:rFonts w:eastAsia="Times New Roman"/>
        </w:rPr>
      </w:pPr>
      <w:r>
        <w:rPr>
          <w:rFonts w:eastAsia="Times New Roman"/>
          <w:b/>
          <w:bCs/>
          <w:i/>
          <w:iCs/>
          <w:color w:val="000000"/>
          <w:sz w:val="20"/>
          <w:szCs w:val="20"/>
        </w:rPr>
        <w:t>Deposits</w:t>
      </w:r>
    </w:p>
    <w:p w:rsidR="00000000" w:rsidRDefault="00100014">
      <w:pPr>
        <w:jc w:val="both"/>
        <w:divId w:val="1933077273"/>
        <w:rPr>
          <w:rFonts w:eastAsia="Times New Roman"/>
        </w:rPr>
      </w:pPr>
      <w:r>
        <w:rPr>
          <w:rFonts w:eastAsia="Times New Roman"/>
          <w:color w:val="000000"/>
          <w:sz w:val="20"/>
          <w:szCs w:val="20"/>
        </w:rPr>
        <w:t>The fair value of deposits with no stated maturity, such as non-interest-bearing</w:t>
      </w:r>
      <w:r>
        <w:rPr>
          <w:rFonts w:eastAsia="Times New Roman"/>
          <w:color w:val="000000"/>
          <w:sz w:val="20"/>
          <w:szCs w:val="20"/>
        </w:rPr>
        <w:t xml:space="preserve"> demand, NOW accounts, savings, and money market, is equal to the amount payable on demand. The fair value of time deposits is based on the discounted value of contractual cash flows. The discount rate is estimated using the rates currently offered for dep</w:t>
      </w:r>
      <w:r>
        <w:rPr>
          <w:rFonts w:eastAsia="Times New Roman"/>
          <w:color w:val="000000"/>
          <w:sz w:val="20"/>
          <w:szCs w:val="20"/>
        </w:rPr>
        <w:t>osits of similar remaining maturities.</w:t>
      </w:r>
    </w:p>
    <w:p w:rsidR="00000000" w:rsidRDefault="00100014">
      <w:pPr>
        <w:jc w:val="both"/>
        <w:divId w:val="939989725"/>
        <w:rPr>
          <w:rFonts w:eastAsia="Times New Roman"/>
        </w:rPr>
      </w:pPr>
      <w:r>
        <w:rPr>
          <w:rFonts w:eastAsia="Times New Roman"/>
          <w:b/>
          <w:bCs/>
          <w:i/>
          <w:iCs/>
          <w:color w:val="000000"/>
          <w:sz w:val="20"/>
          <w:szCs w:val="20"/>
        </w:rPr>
        <w:t xml:space="preserve">Federal Funds Purchased and Securities Sold Under Agreements to Repurchase </w:t>
      </w:r>
    </w:p>
    <w:p w:rsidR="00000000" w:rsidRDefault="00100014">
      <w:pPr>
        <w:jc w:val="both"/>
        <w:divId w:val="625938737"/>
        <w:rPr>
          <w:rFonts w:eastAsia="Times New Roman"/>
        </w:rPr>
      </w:pPr>
      <w:r>
        <w:rPr>
          <w:rFonts w:eastAsia="Times New Roman"/>
          <w:color w:val="000000"/>
          <w:sz w:val="20"/>
          <w:szCs w:val="20"/>
        </w:rPr>
        <w:t>For Federal funds purchased and securities sold under agreements to repurchase, the carrying amount is a reasonable estimate of fair value, a</w:t>
      </w:r>
      <w:r>
        <w:rPr>
          <w:rFonts w:eastAsia="Times New Roman"/>
          <w:color w:val="000000"/>
          <w:sz w:val="20"/>
          <w:szCs w:val="20"/>
        </w:rPr>
        <w:t>s such instruments reprice in a short time period.</w:t>
      </w:r>
    </w:p>
    <w:p w:rsidR="00000000" w:rsidRDefault="00100014">
      <w:pPr>
        <w:divId w:val="443770241"/>
        <w:rPr>
          <w:rFonts w:eastAsia="Times New Roman"/>
        </w:rPr>
      </w:pPr>
      <w:r>
        <w:rPr>
          <w:rFonts w:eastAsia="Times New Roman"/>
          <w:b/>
          <w:bCs/>
          <w:i/>
          <w:iCs/>
          <w:color w:val="000000"/>
          <w:sz w:val="20"/>
          <w:szCs w:val="20"/>
        </w:rPr>
        <w:t>Subordinated Notes and Other Borrowings</w:t>
      </w:r>
    </w:p>
    <w:p w:rsidR="00000000" w:rsidRDefault="00100014">
      <w:pPr>
        <w:jc w:val="both"/>
        <w:divId w:val="712579069"/>
        <w:rPr>
          <w:rFonts w:eastAsia="Times New Roman"/>
        </w:rPr>
      </w:pPr>
      <w:r>
        <w:rPr>
          <w:rFonts w:eastAsia="Times New Roman"/>
          <w:color w:val="000000"/>
          <w:sz w:val="20"/>
          <w:szCs w:val="20"/>
        </w:rPr>
        <w:t>The fair value of subordinated notes and other borrowings is based on the discounted value of contractual cash-flows. The discount rate is estimated using the rates currently offered for other borrowed money of similar remaining maturities.</w:t>
      </w:r>
    </w:p>
    <w:p w:rsidR="00000000" w:rsidRDefault="00100014">
      <w:pPr>
        <w:jc w:val="center"/>
        <w:divId w:val="1354726549"/>
        <w:rPr>
          <w:rFonts w:eastAsia="Times New Roman"/>
        </w:rPr>
      </w:pPr>
      <w:r>
        <w:rPr>
          <w:rFonts w:eastAsia="Times New Roman"/>
          <w:color w:val="000000"/>
          <w:sz w:val="20"/>
          <w:szCs w:val="20"/>
        </w:rPr>
        <w:t>31</w:t>
      </w:r>
    </w:p>
    <w:p w:rsidR="00000000" w:rsidRDefault="00100014">
      <w:pPr>
        <w:rPr>
          <w:rFonts w:eastAsia="Times New Roman"/>
        </w:rPr>
      </w:pPr>
      <w:r>
        <w:rPr>
          <w:rFonts w:eastAsia="Times New Roman"/>
        </w:rPr>
        <w:pict>
          <v:rect id="_x0000_i1055" style="width:0;height:1.5pt" o:hralign="center" o:hrstd="t" o:hr="t" fillcolor="#a0a0a0" stroked="f"/>
        </w:pict>
      </w:r>
    </w:p>
    <w:p w:rsidR="00000000" w:rsidRDefault="00100014">
      <w:pPr>
        <w:jc w:val="center"/>
        <w:divId w:val="167796481"/>
        <w:rPr>
          <w:rFonts w:eastAsia="Times New Roman"/>
        </w:rPr>
      </w:pPr>
      <w:r>
        <w:rPr>
          <w:rFonts w:eastAsia="Times New Roman"/>
          <w:b/>
          <w:bCs/>
          <w:color w:val="000000"/>
          <w:sz w:val="20"/>
          <w:szCs w:val="20"/>
        </w:rPr>
        <w:t>HAWTHORN BANCSHARES, INC.</w:t>
      </w:r>
    </w:p>
    <w:p w:rsidR="00000000" w:rsidRDefault="00100014">
      <w:pPr>
        <w:jc w:val="center"/>
        <w:divId w:val="167796481"/>
        <w:rPr>
          <w:rFonts w:eastAsia="Times New Roman"/>
        </w:rPr>
      </w:pPr>
      <w:r>
        <w:rPr>
          <w:rFonts w:eastAsia="Times New Roman"/>
          <w:b/>
          <w:bCs/>
          <w:color w:val="000000"/>
          <w:sz w:val="20"/>
          <w:szCs w:val="20"/>
        </w:rPr>
        <w:t>AND SUBSIDIARIES</w:t>
      </w:r>
    </w:p>
    <w:p w:rsidR="00000000" w:rsidRDefault="00100014">
      <w:pPr>
        <w:jc w:val="center"/>
        <w:divId w:val="167796481"/>
        <w:rPr>
          <w:rFonts w:eastAsia="Times New Roman"/>
        </w:rPr>
      </w:pPr>
      <w:r>
        <w:rPr>
          <w:rFonts w:eastAsia="Times New Roman"/>
          <w:color w:val="000000"/>
          <w:sz w:val="18"/>
          <w:szCs w:val="18"/>
        </w:rPr>
        <w:t>Notes to the Consolidated Financial Statements</w:t>
      </w:r>
    </w:p>
    <w:p w:rsidR="00000000" w:rsidRDefault="00100014">
      <w:pPr>
        <w:jc w:val="center"/>
        <w:divId w:val="167796481"/>
        <w:rPr>
          <w:rFonts w:eastAsia="Times New Roman"/>
        </w:rPr>
      </w:pPr>
      <w:r>
        <w:rPr>
          <w:rFonts w:eastAsia="Times New Roman"/>
          <w:i/>
          <w:iCs/>
          <w:color w:val="000000"/>
          <w:sz w:val="18"/>
          <w:szCs w:val="18"/>
        </w:rPr>
        <w:t>(Unaudited)</w:t>
      </w:r>
    </w:p>
    <w:p w:rsidR="00000000" w:rsidRDefault="00100014">
      <w:pPr>
        <w:jc w:val="both"/>
        <w:divId w:val="1442069397"/>
        <w:rPr>
          <w:rFonts w:eastAsia="Times New Roman"/>
        </w:rPr>
      </w:pPr>
      <w:r>
        <w:rPr>
          <w:rFonts w:eastAsia="Times New Roman"/>
          <w:color w:val="000000"/>
          <w:sz w:val="20"/>
          <w:szCs w:val="20"/>
        </w:rPr>
        <w:t>A summary of the carrying amounts and fair values of the Company’s financial instruments at June 30, 2022 and December 31, 2021 is</w:t>
      </w:r>
      <w:r>
        <w:rPr>
          <w:rFonts w:eastAsia="Times New Roman"/>
          <w:color w:val="000000"/>
          <w:sz w:val="20"/>
          <w:szCs w:val="20"/>
        </w:rPr>
        <w:t xml:space="preserv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trPr>
          <w:divId w:val="2093965907"/>
        </w:trPr>
        <w:tc>
          <w:tcPr>
            <w:tcW w:w="50" w:type="pct"/>
            <w:vAlign w:val="center"/>
            <w:hideMark/>
          </w:tcPr>
          <w:p w:rsidR="00000000" w:rsidRDefault="00100014">
            <w:pPr>
              <w:jc w:val="both"/>
              <w:rPr>
                <w:rFonts w:eastAsia="Times New Roman"/>
              </w:rPr>
            </w:pPr>
          </w:p>
        </w:tc>
        <w:tc>
          <w:tcPr>
            <w:tcW w:w="179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093965907"/>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r>
      <w:tr w:rsidR="00000000">
        <w:trPr>
          <w:divId w:val="2093965907"/>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 Measurements</w:t>
            </w:r>
          </w:p>
        </w:tc>
      </w:tr>
      <w:tr w:rsidR="00000000">
        <w:trPr>
          <w:divId w:val="2093965907"/>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Significant Unobservable Inputs</w:t>
            </w:r>
          </w:p>
        </w:tc>
      </w:tr>
      <w:tr w:rsidR="00000000">
        <w:trPr>
          <w:divId w:val="2093965907"/>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(Level 3)</w:t>
            </w:r>
          </w:p>
        </w:tc>
      </w:tr>
      <w:tr w:rsidR="00000000">
        <w:trPr>
          <w:divId w:val="209396590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20,018 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20,018 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20,018 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sold and overnight interest-bearing deposits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8,204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8,204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8,204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Certificates of deposit in other banks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4,201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4,201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4,201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Available-for-sale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267,274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267,274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3,775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263,499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5,109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5,109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5,062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Loans, net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1,412,475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1,401,198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1,401,198</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Loans held for sale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1,716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surrender value - life insurance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2,538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99</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Forward sale commitments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Accrued interest receivable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6,446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6,446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6,446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1,728,095 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1,716,818 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42,691 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272,830 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1,401,297 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3965907"/>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093965907"/>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471,762 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471,762 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471,762 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093965907"/>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Savings, interest checking and money market</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796,054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796,054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796,054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262,992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260,286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260,286</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6,935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6,935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6,935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68,000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68,000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68,000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Subordinated notes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49,486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41,176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41,176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rate lock commitments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r>
      <w:tr w:rsidR="00000000">
        <w:trPr>
          <w:divId w:val="209396590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Accrued interest payable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359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2093965907"/>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1,655,592 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1,644,576 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1,275,110 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109,176 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260,290 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center"/>
        <w:divId w:val="516388799"/>
        <w:rPr>
          <w:rFonts w:eastAsia="Times New Roman"/>
        </w:rPr>
      </w:pPr>
      <w:r>
        <w:rPr>
          <w:rFonts w:eastAsia="Times New Roman"/>
          <w:color w:val="000000"/>
          <w:sz w:val="20"/>
          <w:szCs w:val="20"/>
        </w:rPr>
        <w:t>32</w:t>
      </w:r>
    </w:p>
    <w:p w:rsidR="00000000" w:rsidRDefault="00100014">
      <w:pPr>
        <w:rPr>
          <w:rFonts w:eastAsia="Times New Roman"/>
        </w:rPr>
      </w:pPr>
      <w:r>
        <w:rPr>
          <w:rFonts w:eastAsia="Times New Roman"/>
        </w:rPr>
        <w:pict>
          <v:rect id="_x0000_i1056" style="width:0;height:1.5pt" o:hralign="center" o:hrstd="t" o:hr="t" fillcolor="#a0a0a0" stroked="f"/>
        </w:pict>
      </w:r>
    </w:p>
    <w:p w:rsidR="00000000" w:rsidRDefault="00100014">
      <w:pPr>
        <w:jc w:val="center"/>
        <w:divId w:val="1034623798"/>
        <w:rPr>
          <w:rFonts w:eastAsia="Times New Roman"/>
        </w:rPr>
      </w:pPr>
      <w:r>
        <w:rPr>
          <w:rFonts w:eastAsia="Times New Roman"/>
          <w:b/>
          <w:bCs/>
          <w:color w:val="000000"/>
          <w:sz w:val="20"/>
          <w:szCs w:val="20"/>
        </w:rPr>
        <w:t>HAWTHORN BANCSHARES, INC.</w:t>
      </w:r>
    </w:p>
    <w:p w:rsidR="00000000" w:rsidRDefault="00100014">
      <w:pPr>
        <w:jc w:val="center"/>
        <w:divId w:val="1034623798"/>
        <w:rPr>
          <w:rFonts w:eastAsia="Times New Roman"/>
        </w:rPr>
      </w:pPr>
      <w:r>
        <w:rPr>
          <w:rFonts w:eastAsia="Times New Roman"/>
          <w:b/>
          <w:bCs/>
          <w:color w:val="000000"/>
          <w:sz w:val="20"/>
          <w:szCs w:val="20"/>
        </w:rPr>
        <w:t>AND SUBSIDIARIES</w:t>
      </w:r>
    </w:p>
    <w:p w:rsidR="00000000" w:rsidRDefault="00100014">
      <w:pPr>
        <w:jc w:val="center"/>
        <w:divId w:val="1034623798"/>
        <w:rPr>
          <w:rFonts w:eastAsia="Times New Roman"/>
        </w:rPr>
      </w:pPr>
      <w:r>
        <w:rPr>
          <w:rFonts w:eastAsia="Times New Roman"/>
          <w:color w:val="000000"/>
          <w:sz w:val="18"/>
          <w:szCs w:val="18"/>
        </w:rPr>
        <w:t>Notes to the Consolidated Financial Statements</w:t>
      </w:r>
    </w:p>
    <w:p w:rsidR="00000000" w:rsidRDefault="00100014">
      <w:pPr>
        <w:jc w:val="center"/>
        <w:divId w:val="1034623798"/>
        <w:rPr>
          <w:rFonts w:eastAsia="Times New Roman"/>
        </w:rPr>
      </w:pPr>
      <w:r>
        <w:rPr>
          <w:rFonts w:eastAsia="Times New Roman"/>
          <w:i/>
          <w:i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877"/>
        <w:gridCol w:w="37"/>
        <w:gridCol w:w="100"/>
        <w:gridCol w:w="836"/>
        <w:gridCol w:w="36"/>
        <w:gridCol w:w="36"/>
        <w:gridCol w:w="36"/>
        <w:gridCol w:w="36"/>
        <w:gridCol w:w="100"/>
        <w:gridCol w:w="837"/>
        <w:gridCol w:w="36"/>
        <w:gridCol w:w="36"/>
        <w:gridCol w:w="36"/>
        <w:gridCol w:w="36"/>
        <w:gridCol w:w="100"/>
        <w:gridCol w:w="837"/>
        <w:gridCol w:w="36"/>
        <w:gridCol w:w="36"/>
        <w:gridCol w:w="36"/>
        <w:gridCol w:w="36"/>
        <w:gridCol w:w="101"/>
        <w:gridCol w:w="837"/>
        <w:gridCol w:w="36"/>
        <w:gridCol w:w="36"/>
        <w:gridCol w:w="36"/>
        <w:gridCol w:w="36"/>
        <w:gridCol w:w="101"/>
        <w:gridCol w:w="893"/>
        <w:gridCol w:w="36"/>
      </w:tblGrid>
      <w:tr w:rsidR="00000000">
        <w:trPr>
          <w:divId w:val="1313482349"/>
        </w:trPr>
        <w:tc>
          <w:tcPr>
            <w:tcW w:w="50" w:type="pct"/>
            <w:vAlign w:val="center"/>
            <w:hideMark/>
          </w:tcPr>
          <w:p w:rsidR="00000000" w:rsidRDefault="00100014">
            <w:pPr>
              <w:jc w:val="center"/>
              <w:rPr>
                <w:rFonts w:eastAsia="Times New Roman"/>
              </w:rPr>
            </w:pPr>
          </w:p>
        </w:tc>
        <w:tc>
          <w:tcPr>
            <w:tcW w:w="179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1348234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313482349"/>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 Measurements</w:t>
            </w:r>
          </w:p>
        </w:tc>
      </w:tr>
      <w:tr w:rsidR="00000000">
        <w:trPr>
          <w:divId w:val="1313482349"/>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Quoted Prices in Active Markets for Identical Assets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Other Observable Inputs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Significant Unobservable Inputs</w:t>
            </w:r>
          </w:p>
        </w:tc>
      </w:tr>
      <w:tr w:rsidR="00000000">
        <w:trPr>
          <w:divId w:val="131348234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Carrying 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(Level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(Level 3)</w:t>
            </w:r>
          </w:p>
        </w:tc>
      </w:tr>
      <w:tr w:rsidR="00000000">
        <w:trPr>
          <w:divId w:val="131348234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and due from banks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17,287 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sold and overnight interest-bearing deposits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142,622 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Certificates of deposit in other banks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5,193 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Available-for-sale securities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310,870 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3,917 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306,953 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investment securities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5,408 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5,348 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Loans, net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1,285,230 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1,308,539 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Loans held for sale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2,249 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Cash surrender value - life insurance</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Forward sale commitments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Accrued interest receivable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6,621 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tcBorders>
              <w:top w:val="single" w:sz="6" w:space="0" w:color="000000"/>
            </w:tcBorders>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1,778,313 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1,801,622 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175,700 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317,071 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1,308,851 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Deposits: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313482349"/>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Non-interest bearing demand</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453,066 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Savings, interest checking and money market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818,358 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245,396 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246,025 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23,829 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Home Loan Bank advances and other borrowings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77,418 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78,152 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Subordinated notes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49,486 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42,908 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rate lock commitments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Accrued interest payable</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313482349"/>
        </w:trPr>
        <w:tc>
          <w:tcPr>
            <w:tcW w:w="0" w:type="auto"/>
            <w:gridSpan w:val="3"/>
            <w:tcBorders>
              <w:top w:val="single" w:sz="6" w:space="0" w:color="000000"/>
              <w:bottom w:val="double" w:sz="6" w:space="0" w:color="000000"/>
            </w:tcBorders>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Total</w:t>
            </w: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1,667,861 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1,662,646 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1,295,535 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121,060 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246,051 </w:t>
            </w:r>
          </w:p>
        </w:tc>
        <w:tc>
          <w:tcPr>
            <w:tcW w:w="0" w:type="auto"/>
            <w:tcBorders>
              <w:top w:val="sing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divId w:val="827863942"/>
        <w:rPr>
          <w:rFonts w:eastAsia="Times New Roman"/>
        </w:rPr>
      </w:pPr>
      <w:r>
        <w:rPr>
          <w:rFonts w:eastAsia="Times New Roman"/>
          <w:b/>
          <w:bCs/>
          <w:i/>
          <w:iCs/>
          <w:color w:val="000000"/>
          <w:sz w:val="20"/>
          <w:szCs w:val="20"/>
        </w:rPr>
        <w:t>Off-Balance Sheet Financial Instruments</w:t>
      </w:r>
    </w:p>
    <w:p w:rsidR="00000000" w:rsidRDefault="00100014">
      <w:pPr>
        <w:ind w:hanging="1"/>
        <w:jc w:val="both"/>
        <w:divId w:val="831675333"/>
        <w:rPr>
          <w:rFonts w:eastAsia="Times New Roman"/>
        </w:rPr>
      </w:pPr>
      <w:r>
        <w:rPr>
          <w:rFonts w:eastAsia="Times New Roman"/>
          <w:color w:val="000000"/>
          <w:sz w:val="20"/>
          <w:szCs w:val="20"/>
        </w:rPr>
        <w:t>The</w:t>
      </w:r>
      <w:r>
        <w:rPr>
          <w:rFonts w:eastAsia="Times New Roman"/>
          <w:color w:val="000000"/>
          <w:sz w:val="20"/>
          <w:szCs w:val="20"/>
        </w:rPr>
        <w:t xml:space="preserve"> fair value of commitments to extend credit and standby letters of credit is estimated using the fees currently charged to enter into similar agreements, taking into account the remaining terms of the agreements, the likelihood of the counterparties drawin</w:t>
      </w:r>
      <w:r>
        <w:rPr>
          <w:rFonts w:eastAsia="Times New Roman"/>
          <w:color w:val="000000"/>
          <w:sz w:val="20"/>
          <w:szCs w:val="20"/>
        </w:rPr>
        <w:t>g on such financial instruments, and the present creditworthiness of such counterparties. The Company believes such commitments have been made on terms that are competitive in the markets in which it operates.</w:t>
      </w:r>
    </w:p>
    <w:p w:rsidR="00000000" w:rsidRDefault="00100014">
      <w:pPr>
        <w:divId w:val="999842827"/>
        <w:rPr>
          <w:rFonts w:eastAsia="Times New Roman"/>
        </w:rPr>
      </w:pPr>
      <w:r>
        <w:rPr>
          <w:rFonts w:eastAsia="Times New Roman"/>
          <w:b/>
          <w:bCs/>
          <w:i/>
          <w:iCs/>
          <w:color w:val="000000"/>
          <w:sz w:val="20"/>
          <w:szCs w:val="20"/>
        </w:rPr>
        <w:t>Limitations</w:t>
      </w:r>
    </w:p>
    <w:p w:rsidR="00000000" w:rsidRDefault="00100014">
      <w:pPr>
        <w:jc w:val="both"/>
        <w:divId w:val="428090430"/>
        <w:rPr>
          <w:rFonts w:eastAsia="Times New Roman"/>
        </w:rPr>
      </w:pPr>
      <w:r>
        <w:rPr>
          <w:rFonts w:eastAsia="Times New Roman"/>
          <w:color w:val="000000"/>
          <w:sz w:val="20"/>
          <w:szCs w:val="20"/>
        </w:rPr>
        <w:t xml:space="preserve">The fair value estimates provided </w:t>
      </w:r>
      <w:r>
        <w:rPr>
          <w:rFonts w:eastAsia="Times New Roman"/>
          <w:color w:val="000000"/>
          <w:sz w:val="20"/>
          <w:szCs w:val="20"/>
        </w:rPr>
        <w:t>are made at a point in time based on market information and information about the financial instruments. Because no market exists for a portion of the Company’s financial instruments, fair value estimates are based on judgments regarding future expected lo</w:t>
      </w:r>
      <w:r>
        <w:rPr>
          <w:rFonts w:eastAsia="Times New Roman"/>
          <w:color w:val="000000"/>
          <w:sz w:val="20"/>
          <w:szCs w:val="20"/>
        </w:rPr>
        <w:t>ss experience, current economic conditions, risk characteristics of various financial instruments, and other factors. These estimates are subjective in nature and involve uncertainties and matters of significant judgment and, therefore, cannot be determine</w:t>
      </w:r>
      <w:r>
        <w:rPr>
          <w:rFonts w:eastAsia="Times New Roman"/>
          <w:color w:val="000000"/>
          <w:sz w:val="20"/>
          <w:szCs w:val="20"/>
        </w:rPr>
        <w:t>d with precision. Changes in assumptions could significantly affect the fair value estimates.</w:t>
      </w:r>
    </w:p>
    <w:p w:rsidR="00000000" w:rsidRDefault="00100014">
      <w:pPr>
        <w:jc w:val="center"/>
        <w:divId w:val="2093619794"/>
        <w:rPr>
          <w:rFonts w:eastAsia="Times New Roman"/>
        </w:rPr>
      </w:pPr>
      <w:r>
        <w:rPr>
          <w:rFonts w:eastAsia="Times New Roman"/>
          <w:color w:val="000000"/>
          <w:sz w:val="20"/>
          <w:szCs w:val="20"/>
        </w:rPr>
        <w:t>33</w:t>
      </w:r>
    </w:p>
    <w:p w:rsidR="00000000" w:rsidRDefault="00100014">
      <w:pPr>
        <w:rPr>
          <w:rFonts w:eastAsia="Times New Roman"/>
        </w:rPr>
      </w:pPr>
      <w:r>
        <w:rPr>
          <w:rFonts w:eastAsia="Times New Roman"/>
        </w:rPr>
        <w:pict>
          <v:rect id="_x0000_i1057" style="width:0;height:1.5pt" o:hralign="center" o:hrstd="t" o:hr="t" fillcolor="#a0a0a0" stroked="f"/>
        </w:pict>
      </w:r>
    </w:p>
    <w:p w:rsidR="00000000" w:rsidRDefault="00100014">
      <w:pPr>
        <w:jc w:val="center"/>
        <w:divId w:val="1193376578"/>
        <w:rPr>
          <w:rFonts w:eastAsia="Times New Roman"/>
        </w:rPr>
      </w:pPr>
      <w:r>
        <w:rPr>
          <w:rFonts w:eastAsia="Times New Roman"/>
          <w:b/>
          <w:bCs/>
          <w:color w:val="000000"/>
          <w:sz w:val="20"/>
          <w:szCs w:val="20"/>
        </w:rPr>
        <w:t>HAWTHORN BANCSHARES, INC.</w:t>
      </w:r>
    </w:p>
    <w:p w:rsidR="00000000" w:rsidRDefault="00100014">
      <w:pPr>
        <w:jc w:val="center"/>
        <w:divId w:val="1193376578"/>
        <w:rPr>
          <w:rFonts w:eastAsia="Times New Roman"/>
        </w:rPr>
      </w:pPr>
      <w:r>
        <w:rPr>
          <w:rFonts w:eastAsia="Times New Roman"/>
          <w:b/>
          <w:bCs/>
          <w:color w:val="000000"/>
          <w:sz w:val="20"/>
          <w:szCs w:val="20"/>
        </w:rPr>
        <w:t>AND SUBSIDIARIES</w:t>
      </w:r>
    </w:p>
    <w:p w:rsidR="00000000" w:rsidRDefault="00100014">
      <w:pPr>
        <w:jc w:val="center"/>
        <w:divId w:val="1193376578"/>
        <w:rPr>
          <w:rFonts w:eastAsia="Times New Roman"/>
        </w:rPr>
      </w:pPr>
      <w:r>
        <w:rPr>
          <w:rFonts w:eastAsia="Times New Roman"/>
          <w:color w:val="000000"/>
          <w:sz w:val="18"/>
          <w:szCs w:val="18"/>
        </w:rPr>
        <w:t>Notes to the Consolidated Financial Statements</w:t>
      </w:r>
    </w:p>
    <w:p w:rsidR="00000000" w:rsidRDefault="00100014">
      <w:pPr>
        <w:jc w:val="center"/>
        <w:divId w:val="1193376578"/>
        <w:rPr>
          <w:rFonts w:eastAsia="Times New Roman"/>
        </w:rPr>
      </w:pPr>
      <w:r>
        <w:rPr>
          <w:rFonts w:eastAsia="Times New Roman"/>
          <w:i/>
          <w:iCs/>
          <w:color w:val="000000"/>
          <w:sz w:val="18"/>
          <w:szCs w:val="18"/>
        </w:rPr>
        <w:t>(Unaudited)</w:t>
      </w:r>
    </w:p>
    <w:p w:rsidR="00000000" w:rsidRDefault="00100014">
      <w:pPr>
        <w:divId w:val="815683339"/>
        <w:rPr>
          <w:rFonts w:eastAsia="Times New Roman"/>
        </w:rPr>
      </w:pPr>
    </w:p>
    <w:p w:rsidR="00000000" w:rsidRDefault="00100014">
      <w:pPr>
        <w:divId w:val="1481074743"/>
        <w:rPr>
          <w:rFonts w:eastAsia="Times New Roman"/>
        </w:rPr>
      </w:pPr>
      <w:r>
        <w:rPr>
          <w:rFonts w:eastAsia="Times New Roman"/>
          <w:b/>
          <w:bCs/>
          <w:color w:val="000000"/>
          <w:sz w:val="20"/>
          <w:szCs w:val="20"/>
        </w:rPr>
        <w:t>(15) Commitments a</w:t>
      </w:r>
      <w:r>
        <w:rPr>
          <w:rFonts w:eastAsia="Times New Roman"/>
          <w:b/>
          <w:bCs/>
          <w:color w:val="000000"/>
          <w:sz w:val="20"/>
          <w:szCs w:val="20"/>
        </w:rPr>
        <w:t>nd Contingencies</w:t>
      </w:r>
    </w:p>
    <w:p w:rsidR="00000000" w:rsidRDefault="00100014">
      <w:pPr>
        <w:jc w:val="both"/>
        <w:divId w:val="619844321"/>
        <w:rPr>
          <w:rFonts w:eastAsia="Times New Roman"/>
        </w:rPr>
      </w:pPr>
      <w:r>
        <w:rPr>
          <w:rFonts w:eastAsia="Times New Roman"/>
          <w:color w:val="000000"/>
          <w:sz w:val="20"/>
          <w:szCs w:val="20"/>
        </w:rPr>
        <w:t xml:space="preserve">The Company issues financial instruments with off-balance-sheet risk in the normal course of business of meeting the financing needs of its customers. These financial instruments include commitments to extend credit and standby letters of </w:t>
      </w:r>
      <w:r>
        <w:rPr>
          <w:rFonts w:eastAsia="Times New Roman"/>
          <w:color w:val="000000"/>
          <w:sz w:val="20"/>
          <w:szCs w:val="20"/>
        </w:rPr>
        <w:t>credit. These instruments may involve, to varying degrees, elements of credit and interest rate risk in excess of the amounts recognized in the consolidated balance sheets.</w:t>
      </w:r>
    </w:p>
    <w:p w:rsidR="00000000" w:rsidRDefault="00100014">
      <w:pPr>
        <w:jc w:val="both"/>
        <w:divId w:val="1302343990"/>
        <w:rPr>
          <w:rFonts w:eastAsia="Times New Roman"/>
        </w:rPr>
      </w:pPr>
      <w:r>
        <w:rPr>
          <w:rFonts w:eastAsia="Times New Roman"/>
          <w:color w:val="000000"/>
          <w:sz w:val="20"/>
          <w:szCs w:val="20"/>
        </w:rPr>
        <w:t>The Company’s extent of involvement and maximum potential exposure to credit loss i</w:t>
      </w:r>
      <w:r>
        <w:rPr>
          <w:rFonts w:eastAsia="Times New Roman"/>
          <w:color w:val="000000"/>
          <w:sz w:val="20"/>
          <w:szCs w:val="20"/>
        </w:rPr>
        <w:t xml:space="preserve">n the event of non-performance by the other party to the financial instrument for commitments to extend credit and standby letters of credit is represented by the contractual amount of these instruments. The Company uses the same credit policies in making </w:t>
      </w:r>
      <w:r>
        <w:rPr>
          <w:rFonts w:eastAsia="Times New Roman"/>
          <w:color w:val="000000"/>
          <w:sz w:val="20"/>
          <w:szCs w:val="20"/>
        </w:rPr>
        <w:t>commitments and conditional obligations as it does for financial instruments included on its consolidated balance sheets. At June 30, 2022, no amounts have been accrued for any estimated losses for these financial instruments.</w:t>
      </w:r>
    </w:p>
    <w:p w:rsidR="00000000" w:rsidRDefault="00100014">
      <w:pPr>
        <w:jc w:val="both"/>
        <w:divId w:val="2126003924"/>
        <w:rPr>
          <w:rFonts w:eastAsia="Times New Roman"/>
        </w:rPr>
      </w:pPr>
      <w:r>
        <w:rPr>
          <w:rFonts w:eastAsia="Times New Roman"/>
          <w:color w:val="000000"/>
          <w:sz w:val="20"/>
          <w:szCs w:val="20"/>
        </w:rPr>
        <w:t>The contractual amount of off</w:t>
      </w:r>
      <w:r>
        <w:rPr>
          <w:rFonts w:eastAsia="Times New Roman"/>
          <w:color w:val="000000"/>
          <w:sz w:val="20"/>
          <w:szCs w:val="20"/>
        </w:rPr>
        <w:t>-balance-sheet financial instruments were as follows as of the dates indicated:</w:t>
      </w:r>
    </w:p>
    <w:tbl>
      <w:tblPr>
        <w:tblW w:w="4886" w:type="pct"/>
        <w:tblCellMar>
          <w:top w:w="15" w:type="dxa"/>
          <w:left w:w="15" w:type="dxa"/>
          <w:bottom w:w="15" w:type="dxa"/>
          <w:right w:w="15" w:type="dxa"/>
        </w:tblCellMar>
        <w:tblLook w:val="04A0" w:firstRow="1" w:lastRow="0" w:firstColumn="1" w:lastColumn="0" w:noHBand="0" w:noVBand="1"/>
      </w:tblPr>
      <w:tblGrid>
        <w:gridCol w:w="38"/>
        <w:gridCol w:w="5770"/>
        <w:gridCol w:w="36"/>
        <w:gridCol w:w="121"/>
        <w:gridCol w:w="799"/>
        <w:gridCol w:w="37"/>
        <w:gridCol w:w="36"/>
        <w:gridCol w:w="36"/>
        <w:gridCol w:w="36"/>
        <w:gridCol w:w="121"/>
        <w:gridCol w:w="1051"/>
        <w:gridCol w:w="36"/>
      </w:tblGrid>
      <w:tr w:rsidR="00000000">
        <w:trPr>
          <w:divId w:val="1300302564"/>
        </w:trPr>
        <w:tc>
          <w:tcPr>
            <w:tcW w:w="50" w:type="pct"/>
            <w:vAlign w:val="center"/>
            <w:hideMark/>
          </w:tcPr>
          <w:p w:rsidR="00000000" w:rsidRDefault="00100014">
            <w:pPr>
              <w:jc w:val="both"/>
              <w:rPr>
                <w:rFonts w:eastAsia="Times New Roman"/>
              </w:rPr>
            </w:pPr>
          </w:p>
        </w:tc>
        <w:tc>
          <w:tcPr>
            <w:tcW w:w="35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8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30030256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30030256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Commitments to extend credit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394,214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396,958</w:t>
            </w:r>
          </w:p>
        </w:tc>
      </w:tr>
      <w:tr w:rsidR="00000000">
        <w:trPr>
          <w:divId w:val="130030256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rate lock commitments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7,686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16,161</w:t>
            </w:r>
          </w:p>
        </w:tc>
      </w:tr>
      <w:tr w:rsidR="00000000">
        <w:trPr>
          <w:divId w:val="130030256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Forward sale commitments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1,695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2,199</w:t>
            </w:r>
          </w:p>
        </w:tc>
      </w:tr>
      <w:tr w:rsidR="00000000">
        <w:trPr>
          <w:divId w:val="130030256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Standby letters of credit</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5,068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35,514</w:t>
            </w:r>
          </w:p>
        </w:tc>
      </w:tr>
      <w:tr w:rsidR="00000000">
        <w:trPr>
          <w:divId w:val="1300302564"/>
        </w:trPr>
        <w:tc>
          <w:tcPr>
            <w:tcW w:w="0" w:type="auto"/>
            <w:gridSpan w:val="3"/>
            <w:tcBorders>
              <w:top w:val="single" w:sz="6" w:space="0" w:color="000000"/>
              <w:bottom w:val="double" w:sz="6" w:space="0" w:color="000000"/>
            </w:tcBorders>
            <w:shd w:val="clear" w:color="auto" w:fill="CCEEFF"/>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408,663</w:t>
            </w:r>
          </w:p>
        </w:tc>
        <w:tc>
          <w:tcPr>
            <w:tcW w:w="0" w:type="auto"/>
            <w:gridSpan w:val="3"/>
            <w:tcBorders>
              <w:top w:val="single" w:sz="6"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450,832</w:t>
            </w:r>
          </w:p>
        </w:tc>
      </w:tr>
    </w:tbl>
    <w:p w:rsidR="00000000" w:rsidRDefault="00100014">
      <w:pPr>
        <w:divId w:val="1256129363"/>
        <w:rPr>
          <w:rFonts w:eastAsia="Times New Roman"/>
        </w:rPr>
      </w:pPr>
      <w:r>
        <w:rPr>
          <w:rFonts w:eastAsia="Times New Roman"/>
          <w:b/>
          <w:bCs/>
          <w:i/>
          <w:iCs/>
          <w:color w:val="000000"/>
          <w:sz w:val="20"/>
          <w:szCs w:val="20"/>
        </w:rPr>
        <w:t>Commitments</w:t>
      </w:r>
    </w:p>
    <w:p w:rsidR="00000000" w:rsidRDefault="00100014">
      <w:pPr>
        <w:jc w:val="both"/>
        <w:divId w:val="414592763"/>
        <w:rPr>
          <w:rFonts w:eastAsia="Times New Roman"/>
        </w:rPr>
      </w:pPr>
      <w:r>
        <w:rPr>
          <w:rFonts w:eastAsia="Times New Roman"/>
          <w:color w:val="000000"/>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rFonts w:eastAsia="Times New Roman"/>
          <w:color w:val="000000"/>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rFonts w:eastAsia="Times New Roman"/>
          <w:color w:val="000000"/>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rFonts w:eastAsia="Times New Roman"/>
          <w:color w:val="000000"/>
          <w:sz w:val="20"/>
          <w:szCs w:val="20"/>
        </w:rPr>
        <w:t>equipment, and real estate.</w:t>
      </w:r>
    </w:p>
    <w:p w:rsidR="00000000" w:rsidRDefault="00100014">
      <w:pPr>
        <w:jc w:val="both"/>
        <w:divId w:val="1640304564"/>
        <w:rPr>
          <w:rFonts w:eastAsia="Times New Roman"/>
        </w:rPr>
      </w:pPr>
      <w:r>
        <w:rPr>
          <w:rFonts w:eastAsia="Times New Roman"/>
          <w:color w:val="000000"/>
          <w:sz w:val="20"/>
          <w:szCs w:val="20"/>
        </w:rPr>
        <w:t>The Company has two types of commitments related to mortgage loans held for sale: interest rate lock commitments and forward loan sale commitments. Interest rate lock commitments are commitments to extend credit to a customer th</w:t>
      </w:r>
      <w:r>
        <w:rPr>
          <w:rFonts w:eastAsia="Times New Roman"/>
          <w:color w:val="000000"/>
          <w:sz w:val="20"/>
          <w:szCs w:val="20"/>
        </w:rPr>
        <w:t>at has an interest rate lock and are considered derivative instruments.</w:t>
      </w:r>
    </w:p>
    <w:p w:rsidR="00000000" w:rsidRDefault="00100014">
      <w:pPr>
        <w:jc w:val="both"/>
        <w:divId w:val="1796438864"/>
        <w:rPr>
          <w:rFonts w:eastAsia="Times New Roman"/>
        </w:rPr>
      </w:pPr>
      <w:r>
        <w:rPr>
          <w:rFonts w:eastAsia="Times New Roman"/>
          <w:color w:val="000000"/>
          <w:sz w:val="20"/>
          <w:szCs w:val="20"/>
        </w:rPr>
        <w:t>Standby letters of credit are conditional commitments issued by the Company to guarantee the performance of a customer to a third party. These standby letters of credit are primarily i</w:t>
      </w:r>
      <w:r>
        <w:rPr>
          <w:rFonts w:eastAsia="Times New Roman"/>
          <w:color w:val="000000"/>
          <w:sz w:val="20"/>
          <w:szCs w:val="20"/>
        </w:rPr>
        <w:t>ssued to support contractual obligations of the Company’s customers. The approximate remaining term of standby letters of credit range from one month to five years at June 30, 2022.</w:t>
      </w:r>
    </w:p>
    <w:p w:rsidR="00000000" w:rsidRDefault="00100014">
      <w:pPr>
        <w:divId w:val="1176965891"/>
        <w:rPr>
          <w:rFonts w:eastAsia="Times New Roman"/>
        </w:rPr>
      </w:pPr>
      <w:r>
        <w:rPr>
          <w:rFonts w:eastAsia="Times New Roman"/>
          <w:b/>
          <w:bCs/>
          <w:i/>
          <w:iCs/>
          <w:color w:val="000000"/>
          <w:sz w:val="20"/>
          <w:szCs w:val="20"/>
        </w:rPr>
        <w:t>Pending Litigation</w:t>
      </w:r>
    </w:p>
    <w:p w:rsidR="00000000" w:rsidRDefault="00100014">
      <w:pPr>
        <w:jc w:val="both"/>
        <w:rPr>
          <w:rFonts w:eastAsia="Times New Roman"/>
        </w:rPr>
      </w:pPr>
      <w:r>
        <w:rPr>
          <w:rFonts w:eastAsia="Times New Roman"/>
          <w:color w:val="000000"/>
          <w:sz w:val="20"/>
          <w:szCs w:val="20"/>
        </w:rPr>
        <w:t>The Company and its subsidiaries are defendants in vari</w:t>
      </w:r>
      <w:r>
        <w:rPr>
          <w:rFonts w:eastAsia="Times New Roman"/>
          <w:color w:val="000000"/>
          <w:sz w:val="20"/>
          <w:szCs w:val="20"/>
        </w:rPr>
        <w:t>ous legal actions incidental to the Company’s past and current business activities. Based on the Company’s analysis, and considering the inherent uncertainties associated with litigation, management does not believe that it is reasonably possible that thes</w:t>
      </w:r>
      <w:r>
        <w:rPr>
          <w:rFonts w:eastAsia="Times New Roman"/>
          <w:color w:val="000000"/>
          <w:sz w:val="20"/>
          <w:szCs w:val="20"/>
        </w:rPr>
        <w:t xml:space="preserve">e legal actions will materially adversely affect the Company’s consolidated financial condition or results of operations in the near term. The Company records a loss accrual for all legal matters for which it deems a loss is probable and can be reasonably </w:t>
      </w:r>
      <w:r>
        <w:rPr>
          <w:rFonts w:eastAsia="Times New Roman"/>
          <w:color w:val="000000"/>
          <w:sz w:val="20"/>
          <w:szCs w:val="20"/>
        </w:rPr>
        <w:t>estimated. Some legal matters, which are at early stages in the legal process, have not yet progressed to the point where a loss is deemed probable or an amount can be estimated.</w:t>
      </w:r>
    </w:p>
    <w:p w:rsidR="00000000" w:rsidRDefault="00100014">
      <w:pPr>
        <w:jc w:val="center"/>
        <w:divId w:val="1622762737"/>
        <w:rPr>
          <w:rFonts w:eastAsia="Times New Roman"/>
        </w:rPr>
      </w:pPr>
      <w:r>
        <w:rPr>
          <w:rFonts w:eastAsia="Times New Roman"/>
          <w:color w:val="000000"/>
          <w:sz w:val="20"/>
          <w:szCs w:val="20"/>
        </w:rPr>
        <w:t>34</w:t>
      </w:r>
    </w:p>
    <w:p w:rsidR="00000000" w:rsidRDefault="00100014">
      <w:pPr>
        <w:rPr>
          <w:rFonts w:eastAsia="Times New Roman"/>
        </w:rPr>
      </w:pPr>
      <w:r>
        <w:rPr>
          <w:rFonts w:eastAsia="Times New Roman"/>
        </w:rPr>
        <w:pict>
          <v:rect id="_x0000_i1058" style="width:0;height:1.5pt" o:hralign="center" o:hrstd="t" o:hr="t" fillcolor="#a0a0a0" stroked="f"/>
        </w:pict>
      </w:r>
    </w:p>
    <w:p w:rsidR="00000000" w:rsidRDefault="00100014">
      <w:pPr>
        <w:divId w:val="1834251784"/>
        <w:rPr>
          <w:rFonts w:eastAsia="Times New Roman"/>
        </w:rPr>
      </w:pPr>
    </w:p>
    <w:p w:rsidR="00000000" w:rsidRDefault="00100014">
      <w:pPr>
        <w:divId w:val="319508673"/>
        <w:rPr>
          <w:rFonts w:eastAsia="Times New Roman"/>
        </w:rPr>
      </w:pPr>
    </w:p>
    <w:p w:rsidR="00000000" w:rsidRDefault="00100014">
      <w:pPr>
        <w:divId w:val="592512887"/>
        <w:rPr>
          <w:rFonts w:eastAsia="Times New Roman"/>
        </w:rPr>
      </w:pPr>
      <w:r>
        <w:rPr>
          <w:rFonts w:eastAsia="Times New Roman"/>
          <w:b/>
          <w:bCs/>
          <w:color w:val="000000"/>
          <w:sz w:val="20"/>
          <w:szCs w:val="20"/>
        </w:rPr>
        <w:t>Item 2 -</w:t>
      </w:r>
      <w:r>
        <w:rPr>
          <w:rFonts w:eastAsia="Times New Roman"/>
          <w:b/>
          <w:bCs/>
          <w:i/>
          <w:iCs/>
          <w:color w:val="000000"/>
          <w:sz w:val="20"/>
          <w:szCs w:val="20"/>
        </w:rPr>
        <w:t xml:space="preserve"> Management’s Discussion and Analysis of Financial Condition and Results of Operations</w:t>
      </w:r>
    </w:p>
    <w:p w:rsidR="00000000" w:rsidRDefault="00100014">
      <w:pPr>
        <w:divId w:val="1976329192"/>
        <w:rPr>
          <w:rFonts w:eastAsia="Times New Roman"/>
        </w:rPr>
      </w:pPr>
    </w:p>
    <w:p w:rsidR="00000000" w:rsidRDefault="00100014">
      <w:pPr>
        <w:divId w:val="1362901635"/>
        <w:rPr>
          <w:rFonts w:eastAsia="Times New Roman"/>
        </w:rPr>
      </w:pPr>
      <w:r>
        <w:rPr>
          <w:rFonts w:eastAsia="Times New Roman"/>
          <w:b/>
          <w:bCs/>
          <w:i/>
          <w:iCs/>
          <w:color w:val="000000"/>
          <w:sz w:val="20"/>
          <w:szCs w:val="20"/>
        </w:rPr>
        <w:t>Forward-Looking Statements</w:t>
      </w:r>
    </w:p>
    <w:p w:rsidR="00000000" w:rsidRDefault="00100014">
      <w:pPr>
        <w:jc w:val="both"/>
        <w:divId w:val="1105269752"/>
        <w:rPr>
          <w:rFonts w:eastAsia="Times New Roman"/>
        </w:rPr>
      </w:pPr>
      <w:r>
        <w:rPr>
          <w:rFonts w:eastAsia="Times New Roman"/>
          <w:color w:val="000000"/>
          <w:sz w:val="20"/>
          <w:szCs w:val="20"/>
        </w:rPr>
        <w:t>This report contains certain forward-looking statements with respect to the financial condition, results of operations, plans, objectives, future performance and business of Hawthorn Bancshares, Inc., and its subsidiaries (collectively, the Company, we, ou</w:t>
      </w:r>
      <w:r>
        <w:rPr>
          <w:rFonts w:eastAsia="Times New Roman"/>
          <w:color w:val="000000"/>
          <w:sz w:val="20"/>
          <w:szCs w:val="20"/>
        </w:rPr>
        <w:t>r, or us), including, without limitation:</w:t>
      </w:r>
    </w:p>
    <w:p w:rsidR="00000000" w:rsidRDefault="00100014">
      <w:pPr>
        <w:ind w:hanging="360"/>
        <w:divId w:val="458646366"/>
        <w:rPr>
          <w:rFonts w:eastAsia="Times New Roman"/>
        </w:rPr>
      </w:pPr>
      <w:r>
        <w:rPr>
          <w:rFonts w:eastAsia="Times New Roman"/>
          <w:color w:val="000000"/>
          <w:sz w:val="20"/>
          <w:szCs w:val="20"/>
        </w:rPr>
        <w:t>•statements that are not historical in nature, and</w:t>
      </w:r>
    </w:p>
    <w:p w:rsidR="00000000" w:rsidRDefault="00100014">
      <w:pPr>
        <w:ind w:hanging="360"/>
        <w:divId w:val="724334737"/>
        <w:rPr>
          <w:rFonts w:eastAsia="Times New Roman"/>
        </w:rPr>
      </w:pPr>
      <w:r>
        <w:rPr>
          <w:rFonts w:eastAsia="Times New Roman"/>
          <w:color w:val="000000"/>
          <w:sz w:val="20"/>
          <w:szCs w:val="20"/>
        </w:rPr>
        <w:t xml:space="preserve">•statements preceded by, followed by or that include the words </w:t>
      </w:r>
      <w:r>
        <w:rPr>
          <w:rFonts w:eastAsia="Times New Roman"/>
          <w:i/>
          <w:iCs/>
          <w:color w:val="000000"/>
          <w:sz w:val="20"/>
          <w:szCs w:val="20"/>
        </w:rPr>
        <w:t>believes</w:t>
      </w:r>
      <w:r>
        <w:rPr>
          <w:rFonts w:eastAsia="Times New Roman"/>
          <w:color w:val="000000"/>
          <w:sz w:val="20"/>
          <w:szCs w:val="20"/>
        </w:rPr>
        <w:t xml:space="preserve">, </w:t>
      </w:r>
      <w:r>
        <w:rPr>
          <w:rFonts w:eastAsia="Times New Roman"/>
          <w:i/>
          <w:iCs/>
          <w:color w:val="000000"/>
          <w:sz w:val="20"/>
          <w:szCs w:val="20"/>
        </w:rPr>
        <w:t>expects, may, will, should, could, anticipates, estimates, intends, plans, hopes</w:t>
      </w:r>
      <w:r>
        <w:rPr>
          <w:rFonts w:eastAsia="Times New Roman"/>
          <w:color w:val="000000"/>
          <w:sz w:val="20"/>
          <w:szCs w:val="20"/>
        </w:rPr>
        <w:t xml:space="preserve"> or simila</w:t>
      </w:r>
      <w:r>
        <w:rPr>
          <w:rFonts w:eastAsia="Times New Roman"/>
          <w:color w:val="000000"/>
          <w:sz w:val="20"/>
          <w:szCs w:val="20"/>
        </w:rPr>
        <w:t>r expressions.</w:t>
      </w:r>
    </w:p>
    <w:p w:rsidR="00000000" w:rsidRDefault="00100014">
      <w:pPr>
        <w:jc w:val="both"/>
        <w:divId w:val="109739284"/>
        <w:rPr>
          <w:rFonts w:eastAsia="Times New Roman"/>
        </w:rPr>
      </w:pPr>
      <w:r>
        <w:rPr>
          <w:rFonts w:eastAsia="Times New Roman"/>
          <w:color w:val="000000"/>
          <w:sz w:val="20"/>
          <w:szCs w:val="20"/>
        </w:rPr>
        <w:t>Forward-looking statements are not guarantees of future performance or results. They involve risks, uncertainties and assumptions. Actual results may differ materially from those contemplated by the forward-looking statements due to, among o</w:t>
      </w:r>
      <w:r>
        <w:rPr>
          <w:rFonts w:eastAsia="Times New Roman"/>
          <w:color w:val="000000"/>
          <w:sz w:val="20"/>
          <w:szCs w:val="20"/>
        </w:rPr>
        <w:t>thers, the following factors:</w:t>
      </w:r>
    </w:p>
    <w:p w:rsidR="00000000" w:rsidRDefault="00100014">
      <w:pPr>
        <w:ind w:hanging="360"/>
        <w:jc w:val="both"/>
        <w:rPr>
          <w:rFonts w:eastAsia="Times New Roman"/>
        </w:rPr>
      </w:pPr>
      <w:r>
        <w:rPr>
          <w:rFonts w:eastAsia="Times New Roman"/>
          <w:color w:val="000000"/>
          <w:sz w:val="20"/>
          <w:szCs w:val="20"/>
        </w:rPr>
        <w:t>•competitive pressures among financial services companies may increase significantly,</w:t>
      </w:r>
    </w:p>
    <w:p w:rsidR="00000000" w:rsidRDefault="00100014">
      <w:pPr>
        <w:ind w:hanging="360"/>
        <w:jc w:val="both"/>
        <w:rPr>
          <w:rFonts w:eastAsia="Times New Roman"/>
        </w:rPr>
      </w:pPr>
      <w:r>
        <w:rPr>
          <w:rFonts w:eastAsia="Times New Roman"/>
          <w:color w:val="000000"/>
          <w:sz w:val="20"/>
          <w:szCs w:val="20"/>
        </w:rPr>
        <w:t>•changes in the interest rate environment may reduce interest margins,</w:t>
      </w:r>
    </w:p>
    <w:p w:rsidR="00000000" w:rsidRDefault="00100014">
      <w:pPr>
        <w:ind w:hanging="360"/>
        <w:jc w:val="both"/>
        <w:rPr>
          <w:rFonts w:eastAsia="Times New Roman"/>
        </w:rPr>
      </w:pPr>
      <w:r>
        <w:rPr>
          <w:rFonts w:eastAsia="Times New Roman"/>
          <w:color w:val="000000"/>
          <w:sz w:val="20"/>
          <w:szCs w:val="20"/>
        </w:rPr>
        <w:t>•general economic conditions, either nationally or in Missouri, may b</w:t>
      </w:r>
      <w:r>
        <w:rPr>
          <w:rFonts w:eastAsia="Times New Roman"/>
          <w:color w:val="000000"/>
          <w:sz w:val="20"/>
          <w:szCs w:val="20"/>
        </w:rPr>
        <w:t>e less favorable than expected and may adversely affect the quality of our loans and other assets,</w:t>
      </w:r>
    </w:p>
    <w:p w:rsidR="00000000" w:rsidRDefault="00100014">
      <w:pPr>
        <w:ind w:hanging="360"/>
        <w:jc w:val="both"/>
        <w:rPr>
          <w:rFonts w:eastAsia="Times New Roman"/>
        </w:rPr>
      </w:pPr>
      <w:r>
        <w:rPr>
          <w:rFonts w:eastAsia="Times New Roman"/>
          <w:color w:val="000000"/>
          <w:sz w:val="20"/>
          <w:szCs w:val="20"/>
        </w:rPr>
        <w:t>•increases in non-performing assets in the Company’s loan portfolios and adverse economic conditions may necessitate increases to our provisions for loan los</w:t>
      </w:r>
      <w:r>
        <w:rPr>
          <w:rFonts w:eastAsia="Times New Roman"/>
          <w:color w:val="000000"/>
          <w:sz w:val="20"/>
          <w:szCs w:val="20"/>
        </w:rPr>
        <w:t>ses,</w:t>
      </w:r>
    </w:p>
    <w:p w:rsidR="00000000" w:rsidRDefault="00100014">
      <w:pPr>
        <w:ind w:hanging="360"/>
        <w:jc w:val="both"/>
        <w:rPr>
          <w:rFonts w:eastAsia="Times New Roman"/>
        </w:rPr>
      </w:pPr>
      <w:r>
        <w:rPr>
          <w:rFonts w:eastAsia="Times New Roman"/>
          <w:color w:val="000000"/>
          <w:sz w:val="20"/>
          <w:szCs w:val="20"/>
        </w:rPr>
        <w:t>•costs or difficulties related to any integration of any business of the Company and its acquisition targets may be greater than expected,</w:t>
      </w:r>
    </w:p>
    <w:p w:rsidR="00000000" w:rsidRDefault="00100014">
      <w:pPr>
        <w:ind w:hanging="360"/>
        <w:jc w:val="both"/>
        <w:rPr>
          <w:rFonts w:eastAsia="Times New Roman"/>
        </w:rPr>
      </w:pPr>
      <w:r>
        <w:rPr>
          <w:rFonts w:eastAsia="Times New Roman"/>
          <w:color w:val="000000"/>
          <w:sz w:val="20"/>
          <w:szCs w:val="20"/>
        </w:rPr>
        <w:t>•legislative, regulatory or tax law changes may adversely affect the business in which the Company and its subsi</w:t>
      </w:r>
      <w:r>
        <w:rPr>
          <w:rFonts w:eastAsia="Times New Roman"/>
          <w:color w:val="000000"/>
          <w:sz w:val="20"/>
          <w:szCs w:val="20"/>
        </w:rPr>
        <w:t xml:space="preserve">diaries are engaged, </w:t>
      </w:r>
    </w:p>
    <w:p w:rsidR="00000000" w:rsidRDefault="00100014">
      <w:pPr>
        <w:ind w:hanging="360"/>
        <w:jc w:val="both"/>
        <w:rPr>
          <w:rFonts w:eastAsia="Times New Roman"/>
        </w:rPr>
      </w:pPr>
      <w:r>
        <w:rPr>
          <w:rFonts w:eastAsia="Times New Roman"/>
          <w:color w:val="000000"/>
          <w:sz w:val="20"/>
          <w:szCs w:val="20"/>
        </w:rPr>
        <w:t>•credit and market risks relating to increasing inflation,</w:t>
      </w:r>
    </w:p>
    <w:p w:rsidR="00000000" w:rsidRDefault="00100014">
      <w:pPr>
        <w:ind w:hanging="360"/>
        <w:jc w:val="both"/>
        <w:rPr>
          <w:rFonts w:eastAsia="Times New Roman"/>
        </w:rPr>
      </w:pPr>
      <w:r>
        <w:rPr>
          <w:rFonts w:eastAsia="Times New Roman"/>
          <w:color w:val="000000"/>
          <w:sz w:val="20"/>
          <w:szCs w:val="20"/>
        </w:rPr>
        <w:t>•changes may occur in the securities markets, and</w:t>
      </w:r>
    </w:p>
    <w:p w:rsidR="00000000" w:rsidRDefault="00100014">
      <w:pPr>
        <w:ind w:hanging="360"/>
        <w:jc w:val="both"/>
        <w:divId w:val="586966307"/>
        <w:rPr>
          <w:rFonts w:eastAsia="Times New Roman"/>
        </w:rPr>
      </w:pPr>
      <w:r>
        <w:rPr>
          <w:rFonts w:eastAsia="Times New Roman"/>
          <w:color w:val="000000"/>
          <w:sz w:val="20"/>
          <w:szCs w:val="20"/>
        </w:rPr>
        <w:t>•the COVID-19 pandemic, or any resurgence thereof, or other external events may adversely affect the Company.</w:t>
      </w:r>
    </w:p>
    <w:p w:rsidR="00000000" w:rsidRDefault="00100014">
      <w:pPr>
        <w:jc w:val="both"/>
        <w:divId w:val="238906995"/>
        <w:rPr>
          <w:rFonts w:eastAsia="Times New Roman"/>
        </w:rPr>
      </w:pPr>
      <w:r>
        <w:rPr>
          <w:rFonts w:eastAsia="Times New Roman"/>
          <w:color w:val="000000"/>
          <w:sz w:val="20"/>
          <w:szCs w:val="20"/>
        </w:rPr>
        <w:t>We have describ</w:t>
      </w:r>
      <w:r>
        <w:rPr>
          <w:rFonts w:eastAsia="Times New Roman"/>
          <w:color w:val="000000"/>
          <w:sz w:val="20"/>
          <w:szCs w:val="20"/>
        </w:rPr>
        <w:t xml:space="preserve">ed additional factors that could cause actual results to be materially different from those described in the forward-looking statements under the caption </w:t>
      </w:r>
      <w:r>
        <w:rPr>
          <w:rFonts w:eastAsia="Times New Roman"/>
          <w:i/>
          <w:iCs/>
          <w:color w:val="000000"/>
          <w:sz w:val="20"/>
          <w:szCs w:val="20"/>
        </w:rPr>
        <w:t>Risk Factors</w:t>
      </w:r>
      <w:r>
        <w:rPr>
          <w:rFonts w:eastAsia="Times New Roman"/>
          <w:color w:val="000000"/>
          <w:sz w:val="20"/>
          <w:szCs w:val="20"/>
        </w:rPr>
        <w:t xml:space="preserve"> in the Company’s Annual Report on Form 10-K for the year ended December 31, 2021, and in </w:t>
      </w:r>
      <w:r>
        <w:rPr>
          <w:rFonts w:eastAsia="Times New Roman"/>
          <w:color w:val="000000"/>
          <w:sz w:val="20"/>
          <w:szCs w:val="20"/>
        </w:rPr>
        <w:t>other reports filed with the SEC from time to time. Other factors that have not been identified in this report could also have this effect. You are cautioned not to put undue reliance on any forward-looking statement, which speak only as of the date they w</w:t>
      </w:r>
      <w:r>
        <w:rPr>
          <w:rFonts w:eastAsia="Times New Roman"/>
          <w:color w:val="000000"/>
          <w:sz w:val="20"/>
          <w:szCs w:val="20"/>
        </w:rPr>
        <w:t xml:space="preserve">ere made. Except as required by law, the Company undertakes no obligation to update or revise forward-looking statements to reflect changed assumptions, the occurrence of unanticipated events, or changes in its business, results of operations or financial </w:t>
      </w:r>
      <w:r>
        <w:rPr>
          <w:rFonts w:eastAsia="Times New Roman"/>
          <w:color w:val="000000"/>
          <w:sz w:val="20"/>
          <w:szCs w:val="20"/>
        </w:rPr>
        <w:t>condition over time.</w:t>
      </w:r>
    </w:p>
    <w:p w:rsidR="00000000" w:rsidRDefault="00100014">
      <w:pPr>
        <w:jc w:val="center"/>
        <w:divId w:val="1734546950"/>
        <w:rPr>
          <w:rFonts w:eastAsia="Times New Roman"/>
        </w:rPr>
      </w:pPr>
      <w:r>
        <w:rPr>
          <w:rFonts w:eastAsia="Times New Roman"/>
          <w:color w:val="000000"/>
          <w:sz w:val="20"/>
          <w:szCs w:val="20"/>
        </w:rPr>
        <w:t>35</w:t>
      </w:r>
    </w:p>
    <w:p w:rsidR="00000000" w:rsidRDefault="00100014">
      <w:pPr>
        <w:rPr>
          <w:rFonts w:eastAsia="Times New Roman"/>
        </w:rPr>
      </w:pPr>
      <w:r>
        <w:rPr>
          <w:rFonts w:eastAsia="Times New Roman"/>
        </w:rPr>
        <w:pict>
          <v:rect id="_x0000_i1059" style="width:0;height:1.5pt" o:hralign="center" o:hrstd="t" o:hr="t" fillcolor="#a0a0a0" stroked="f"/>
        </w:pict>
      </w:r>
    </w:p>
    <w:p w:rsidR="00000000" w:rsidRDefault="00100014">
      <w:pPr>
        <w:divId w:val="845242651"/>
        <w:rPr>
          <w:rFonts w:eastAsia="Times New Roman"/>
        </w:rPr>
      </w:pPr>
    </w:p>
    <w:p w:rsidR="00000000" w:rsidRDefault="00100014">
      <w:pPr>
        <w:divId w:val="757825063"/>
        <w:rPr>
          <w:rFonts w:eastAsia="Times New Roman"/>
        </w:rPr>
      </w:pPr>
      <w:r>
        <w:rPr>
          <w:rFonts w:eastAsia="Times New Roman"/>
          <w:b/>
          <w:bCs/>
          <w:i/>
          <w:iCs/>
          <w:color w:val="000000"/>
          <w:sz w:val="20"/>
          <w:szCs w:val="20"/>
        </w:rPr>
        <w:t>Overview</w:t>
      </w:r>
    </w:p>
    <w:p w:rsidR="00000000" w:rsidRDefault="00100014">
      <w:pPr>
        <w:jc w:val="both"/>
        <w:divId w:val="1391731075"/>
        <w:rPr>
          <w:rFonts w:eastAsia="Times New Roman"/>
        </w:rPr>
      </w:pPr>
      <w:r>
        <w:rPr>
          <w:rFonts w:eastAsia="Times New Roman"/>
          <w:color w:val="000000"/>
          <w:sz w:val="20"/>
          <w:szCs w:val="20"/>
        </w:rPr>
        <w:t xml:space="preserve">Crucial to the Company’s community banking strategy is growth in its commercial banking services, retail mortgage lending and retail banking services. Through the branch network of its </w:t>
      </w:r>
      <w:r>
        <w:rPr>
          <w:rFonts w:eastAsia="Times New Roman"/>
          <w:color w:val="000000"/>
          <w:sz w:val="20"/>
          <w:szCs w:val="20"/>
        </w:rPr>
        <w:t xml:space="preserve">subsidiary bank, Hawthorn Bank (the Bank), the Company, with $1.8 billion in assets at June 30, 2022, provides a broad range of commercial and personal banking services. The Bank’s specialties include commercial banking for small and mid-sized businesses, </w:t>
      </w:r>
      <w:r>
        <w:rPr>
          <w:rFonts w:eastAsia="Times New Roman"/>
          <w:color w:val="000000"/>
          <w:sz w:val="20"/>
          <w:szCs w:val="20"/>
        </w:rPr>
        <w:t>including equipment, operating, commercial real estate, Small Business Administration (SBA) loans, and personal banking services including real estate mortgage lending, installment and consumer loans, certificates of deposit, individual retirement and othe</w:t>
      </w:r>
      <w:r>
        <w:rPr>
          <w:rFonts w:eastAsia="Times New Roman"/>
          <w:color w:val="000000"/>
          <w:sz w:val="20"/>
          <w:szCs w:val="20"/>
        </w:rPr>
        <w:t>r time deposit accounts, checking accounts, savings accounts, and money market accounts. Other financial services that the Company provides include trust services that include estate planning, investment and asset management services and a comprehensive su</w:t>
      </w:r>
      <w:r>
        <w:rPr>
          <w:rFonts w:eastAsia="Times New Roman"/>
          <w:color w:val="000000"/>
          <w:sz w:val="20"/>
          <w:szCs w:val="20"/>
        </w:rPr>
        <w:t>ite of cash management services. The geographic areas in which the Company provides products and services include the Missouri communities in and surrounding Jefferson City, Columbia, Clinton, Warsaw, Springfield, St. Louis, and the greater Kansas City met</w:t>
      </w:r>
      <w:r>
        <w:rPr>
          <w:rFonts w:eastAsia="Times New Roman"/>
          <w:color w:val="000000"/>
          <w:sz w:val="20"/>
          <w:szCs w:val="20"/>
        </w:rPr>
        <w:t>ropolitan area.</w:t>
      </w:r>
    </w:p>
    <w:p w:rsidR="00000000" w:rsidRDefault="00100014">
      <w:pPr>
        <w:jc w:val="both"/>
        <w:divId w:val="908997371"/>
        <w:rPr>
          <w:rFonts w:eastAsia="Times New Roman"/>
        </w:rPr>
      </w:pPr>
      <w:r>
        <w:rPr>
          <w:rFonts w:eastAsia="Times New Roman"/>
          <w:color w:val="000000"/>
          <w:sz w:val="20"/>
          <w:szCs w:val="20"/>
        </w:rPr>
        <w:t>The Company’</w:t>
      </w:r>
      <w:r>
        <w:rPr>
          <w:rFonts w:eastAsia="Times New Roman"/>
          <w:color w:val="000000"/>
          <w:sz w:val="20"/>
          <w:szCs w:val="20"/>
        </w:rPr>
        <w:t>s primary source of revenue is net interest income derived primarily from lending and deposit taking activities. Much of the Company’s business is commercial, commercial real estate development, and residential mortgage lending. The Company’s income from m</w:t>
      </w:r>
      <w:r>
        <w:rPr>
          <w:rFonts w:eastAsia="Times New Roman"/>
          <w:color w:val="000000"/>
          <w:sz w:val="20"/>
          <w:szCs w:val="20"/>
        </w:rPr>
        <w:t>ortgage brokerage activities is directly dependent on mortgage rates and the level of home purchases and refinancing activity.</w:t>
      </w:r>
    </w:p>
    <w:p w:rsidR="00000000" w:rsidRDefault="00100014">
      <w:pPr>
        <w:jc w:val="both"/>
        <w:divId w:val="1335962536"/>
        <w:rPr>
          <w:rFonts w:eastAsia="Times New Roman"/>
        </w:rPr>
      </w:pPr>
      <w:r>
        <w:rPr>
          <w:rFonts w:eastAsia="Times New Roman"/>
          <w:color w:val="000000"/>
          <w:sz w:val="20"/>
          <w:szCs w:val="20"/>
        </w:rPr>
        <w:t>The success of the Company’s growth strategy depends primarily on the ability of the Bank to generate an increasing level of loan</w:t>
      </w:r>
      <w:r>
        <w:rPr>
          <w:rFonts w:eastAsia="Times New Roman"/>
          <w:color w:val="000000"/>
          <w:sz w:val="20"/>
          <w:szCs w:val="20"/>
        </w:rPr>
        <w:t>s and deposits at acceptable risk levels and on acceptable terms without significant increases in non-interest expenses relative to revenues generated. The Company’s financial performance also depends, in part, on its ability to manage various portfolios a</w:t>
      </w:r>
      <w:r>
        <w:rPr>
          <w:rFonts w:eastAsia="Times New Roman"/>
          <w:color w:val="000000"/>
          <w:sz w:val="20"/>
          <w:szCs w:val="20"/>
        </w:rPr>
        <w:t>nd to successfully introduce additional financial products and services by expanding new and existing customer relationships, utilizing improved technology, and enhancing customer satisfaction. Furthermore, the success of the Company’s growth strategy depe</w:t>
      </w:r>
      <w:r>
        <w:rPr>
          <w:rFonts w:eastAsia="Times New Roman"/>
          <w:color w:val="000000"/>
          <w:sz w:val="20"/>
          <w:szCs w:val="20"/>
        </w:rPr>
        <w:t>nds on its ability to maintain sufficient regulatory capital levels during periods in which general economic conditions are unfavorable and despite economic conditions being beyond its control.</w:t>
      </w:r>
    </w:p>
    <w:p w:rsidR="00000000" w:rsidRDefault="00100014">
      <w:pPr>
        <w:jc w:val="both"/>
        <w:divId w:val="1828394933"/>
        <w:rPr>
          <w:rFonts w:eastAsia="Times New Roman"/>
        </w:rPr>
      </w:pPr>
      <w:r>
        <w:rPr>
          <w:rFonts w:eastAsia="Times New Roman"/>
          <w:color w:val="000000"/>
          <w:sz w:val="20"/>
          <w:szCs w:val="20"/>
        </w:rPr>
        <w:t xml:space="preserve">The Bank is a full-service bank that conducts general banking </w:t>
      </w:r>
      <w:r>
        <w:rPr>
          <w:rFonts w:eastAsia="Times New Roman"/>
          <w:color w:val="000000"/>
          <w:sz w:val="20"/>
          <w:szCs w:val="20"/>
        </w:rPr>
        <w:t>business, offering its customers checking and savings accounts, debit cards, certificates of deposit, safety deposit boxes and a wide range of lending services, including commercial and industrial loans, residential real estate loans, single payment person</w:t>
      </w:r>
      <w:r>
        <w:rPr>
          <w:rFonts w:eastAsia="Times New Roman"/>
          <w:color w:val="000000"/>
          <w:sz w:val="20"/>
          <w:szCs w:val="20"/>
        </w:rPr>
        <w:t>al loans, installment loans and credit card accounts. In addition, the Bank provides trust services.</w:t>
      </w:r>
    </w:p>
    <w:p w:rsidR="00000000" w:rsidRDefault="00100014">
      <w:pPr>
        <w:jc w:val="both"/>
        <w:divId w:val="294407701"/>
        <w:rPr>
          <w:rFonts w:eastAsia="Times New Roman"/>
        </w:rPr>
      </w:pPr>
      <w:r>
        <w:rPr>
          <w:rFonts w:eastAsia="Times New Roman"/>
          <w:color w:val="000000"/>
          <w:sz w:val="20"/>
          <w:szCs w:val="20"/>
        </w:rPr>
        <w:t xml:space="preserve">The deposit accounts of the Bank are insured by the Federal Deposit Insurance Corporation (FDIC) to the extent provided by law. The operations of the Bank </w:t>
      </w:r>
      <w:r>
        <w:rPr>
          <w:rFonts w:eastAsia="Times New Roman"/>
          <w:color w:val="000000"/>
          <w:sz w:val="20"/>
          <w:szCs w:val="20"/>
        </w:rPr>
        <w:t>are supervised and regulated by the FDIC and the Missouri Division of Finance. Periodic examinations of the Bank are conducted by representatives of the FDIC and the Missouri Division of Finance. Such regulations, supervision and examinations are principal</w:t>
      </w:r>
      <w:r>
        <w:rPr>
          <w:rFonts w:eastAsia="Times New Roman"/>
          <w:color w:val="000000"/>
          <w:sz w:val="20"/>
          <w:szCs w:val="20"/>
        </w:rPr>
        <w:t>ly for the benefit of depositors, rather than for the benefit of shareholders. The Company is subject to supervision and examination by the Board of Governors of the Federal Reserve System.</w:t>
      </w:r>
    </w:p>
    <w:p w:rsidR="00000000" w:rsidRDefault="00100014">
      <w:pPr>
        <w:jc w:val="both"/>
        <w:divId w:val="506091517"/>
        <w:rPr>
          <w:rFonts w:eastAsia="Times New Roman"/>
        </w:rPr>
      </w:pPr>
      <w:r>
        <w:rPr>
          <w:rFonts w:eastAsia="Times New Roman"/>
          <w:b/>
          <w:bCs/>
          <w:color w:val="000000"/>
          <w:sz w:val="20"/>
          <w:szCs w:val="20"/>
        </w:rPr>
        <w:t>Significant Developments and Transactions</w:t>
      </w:r>
    </w:p>
    <w:p w:rsidR="00000000" w:rsidRDefault="00100014">
      <w:pPr>
        <w:jc w:val="both"/>
        <w:divId w:val="909657127"/>
        <w:rPr>
          <w:rFonts w:eastAsia="Times New Roman"/>
        </w:rPr>
      </w:pPr>
      <w:r>
        <w:rPr>
          <w:rFonts w:eastAsia="Times New Roman"/>
          <w:color w:val="000000"/>
          <w:sz w:val="20"/>
          <w:szCs w:val="20"/>
        </w:rPr>
        <w:t>The item listed below ma</w:t>
      </w:r>
      <w:r>
        <w:rPr>
          <w:rFonts w:eastAsia="Times New Roman"/>
          <w:color w:val="000000"/>
          <w:sz w:val="20"/>
          <w:szCs w:val="20"/>
        </w:rPr>
        <w:t>terially affects the comparability of our results of operations for the three and six months ended June 30, 2022 and 2021, and our financial condition as of June 30, 2022 and December 31, 2021, and may affect the comparability of financial information we r</w:t>
      </w:r>
      <w:r>
        <w:rPr>
          <w:rFonts w:eastAsia="Times New Roman"/>
          <w:color w:val="000000"/>
          <w:sz w:val="20"/>
          <w:szCs w:val="20"/>
        </w:rPr>
        <w:t>eport in future fiscal periods.</w:t>
      </w:r>
    </w:p>
    <w:p w:rsidR="00000000" w:rsidRDefault="00100014">
      <w:pPr>
        <w:jc w:val="both"/>
        <w:divId w:val="913970080"/>
        <w:rPr>
          <w:rFonts w:eastAsia="Times New Roman"/>
        </w:rPr>
      </w:pPr>
      <w:r>
        <w:rPr>
          <w:rFonts w:eastAsia="Times New Roman"/>
          <w:b/>
          <w:bCs/>
          <w:i/>
          <w:iCs/>
          <w:color w:val="000000"/>
          <w:sz w:val="20"/>
          <w:szCs w:val="20"/>
        </w:rPr>
        <w:t>COVID-19 Pandemic</w:t>
      </w:r>
    </w:p>
    <w:p w:rsidR="00000000" w:rsidRDefault="00100014">
      <w:pPr>
        <w:jc w:val="both"/>
        <w:divId w:val="2117943652"/>
        <w:rPr>
          <w:rFonts w:eastAsia="Times New Roman"/>
        </w:rPr>
      </w:pPr>
      <w:r>
        <w:rPr>
          <w:rFonts w:eastAsia="Times New Roman"/>
          <w:color w:val="000000"/>
          <w:sz w:val="20"/>
          <w:szCs w:val="20"/>
        </w:rPr>
        <w:t>The Coronavirus Disease 2019 (COVID-19) pandemic (the pandemic) has impacted the Company and may continue to do so, as uncertainty remains about the duration of the pandemic and the timing and strength of t</w:t>
      </w:r>
      <w:r>
        <w:rPr>
          <w:rFonts w:eastAsia="Times New Roman"/>
          <w:color w:val="000000"/>
          <w:sz w:val="20"/>
          <w:szCs w:val="20"/>
        </w:rPr>
        <w:t>he global and national economic recovery. In conjunction with our efforts to support clients affected by the pandemic, the Company has cumulatively originated $136.0 million in loans under the Paycheck Protection Program (PPP) with amounts outstanding of $</w:t>
      </w:r>
      <w:r>
        <w:rPr>
          <w:rFonts w:eastAsia="Times New Roman"/>
          <w:color w:val="000000"/>
          <w:sz w:val="20"/>
          <w:szCs w:val="20"/>
        </w:rPr>
        <w:t xml:space="preserve">1.1 million and $8.4 million at June 30, 2022 and December 31, 2021, respectively. For more information on PPP loans, see </w:t>
      </w:r>
      <w:r>
        <w:rPr>
          <w:rFonts w:eastAsia="Times New Roman"/>
          <w:i/>
          <w:iCs/>
          <w:color w:val="000000"/>
          <w:sz w:val="20"/>
          <w:szCs w:val="20"/>
        </w:rPr>
        <w:t xml:space="preserve">Note 2 – Loans and Allowance for Loan Losses </w:t>
      </w:r>
      <w:r>
        <w:rPr>
          <w:rFonts w:eastAsia="Times New Roman"/>
          <w:color w:val="000000"/>
          <w:sz w:val="20"/>
          <w:szCs w:val="20"/>
        </w:rPr>
        <w:t xml:space="preserve">in the Notes to Consolidated Financial Statements </w:t>
      </w:r>
      <w:r>
        <w:rPr>
          <w:rFonts w:eastAsia="Times New Roman"/>
          <w:i/>
          <w:iCs/>
          <w:color w:val="000000"/>
          <w:sz w:val="20"/>
          <w:szCs w:val="20"/>
        </w:rPr>
        <w:t>(unaudited)</w:t>
      </w:r>
      <w:r>
        <w:rPr>
          <w:rFonts w:eastAsia="Times New Roman"/>
          <w:color w:val="000000"/>
          <w:sz w:val="20"/>
          <w:szCs w:val="20"/>
        </w:rPr>
        <w:t>. The future direct and indi</w:t>
      </w:r>
      <w:r>
        <w:rPr>
          <w:rFonts w:eastAsia="Times New Roman"/>
          <w:color w:val="000000"/>
          <w:sz w:val="20"/>
          <w:szCs w:val="20"/>
        </w:rPr>
        <w:t>rect impact of the pandemic on our businesses, results of operations and financial condition remains uncertain. Should current economic conditions deteriorate or if the pandemic worsens due to various factors, including through the spread of more easily co</w:t>
      </w:r>
      <w:r>
        <w:rPr>
          <w:rFonts w:eastAsia="Times New Roman"/>
          <w:color w:val="000000"/>
          <w:sz w:val="20"/>
          <w:szCs w:val="20"/>
        </w:rPr>
        <w:t>mmunicable variants of COVID-19, such conditions could have an adverse effect on our businesses and results of operations and could adversely affect our financial condition.</w:t>
      </w:r>
    </w:p>
    <w:p w:rsidR="00000000" w:rsidRDefault="00100014">
      <w:pPr>
        <w:jc w:val="center"/>
        <w:divId w:val="1091002569"/>
        <w:rPr>
          <w:rFonts w:eastAsia="Times New Roman"/>
        </w:rPr>
      </w:pPr>
      <w:r>
        <w:rPr>
          <w:rFonts w:eastAsia="Times New Roman"/>
          <w:color w:val="000000"/>
          <w:sz w:val="20"/>
          <w:szCs w:val="20"/>
        </w:rPr>
        <w:t>36</w:t>
      </w:r>
    </w:p>
    <w:p w:rsidR="00000000" w:rsidRDefault="00100014">
      <w:pPr>
        <w:rPr>
          <w:rFonts w:eastAsia="Times New Roman"/>
        </w:rPr>
      </w:pPr>
      <w:r>
        <w:rPr>
          <w:rFonts w:eastAsia="Times New Roman"/>
        </w:rPr>
        <w:pict>
          <v:rect id="_x0000_i1060" style="width:0;height:1.5pt" o:hralign="center" o:hrstd="t" o:hr="t" fillcolor="#a0a0a0" stroked="f"/>
        </w:pict>
      </w:r>
    </w:p>
    <w:p w:rsidR="00000000" w:rsidRDefault="00100014">
      <w:pPr>
        <w:divId w:val="2008051129"/>
        <w:rPr>
          <w:rFonts w:eastAsia="Times New Roman"/>
        </w:rPr>
      </w:pPr>
    </w:p>
    <w:p w:rsidR="00000000" w:rsidRDefault="00100014">
      <w:pPr>
        <w:jc w:val="both"/>
        <w:divId w:val="736128947"/>
        <w:rPr>
          <w:rFonts w:eastAsia="Times New Roman"/>
        </w:rPr>
      </w:pPr>
      <w:r>
        <w:rPr>
          <w:rFonts w:eastAsia="Times New Roman"/>
          <w:color w:val="000000"/>
          <w:sz w:val="20"/>
          <w:szCs w:val="20"/>
        </w:rPr>
        <w:t>CRITICAL ACCOUNTING POLICIES</w:t>
      </w:r>
    </w:p>
    <w:p w:rsidR="00000000" w:rsidRDefault="00100014">
      <w:pPr>
        <w:jc w:val="both"/>
        <w:divId w:val="1181748326"/>
        <w:rPr>
          <w:rFonts w:eastAsia="Times New Roman"/>
        </w:rPr>
      </w:pPr>
      <w:r>
        <w:rPr>
          <w:rFonts w:eastAsia="Times New Roman"/>
          <w:color w:val="000000"/>
          <w:sz w:val="20"/>
          <w:szCs w:val="20"/>
        </w:rPr>
        <w:t>The following accounting policies are considered most critical to the understanding of the Company’s financial condition and results of operations. These critical accounting policies require management’s most difficult, subject</w:t>
      </w:r>
      <w:r>
        <w:rPr>
          <w:rFonts w:eastAsia="Times New Roman"/>
          <w:color w:val="000000"/>
          <w:sz w:val="20"/>
          <w:szCs w:val="20"/>
        </w:rPr>
        <w:t>ive and complex judgments about matters that are inherently uncertain. Because these estimates and judgments are based on current circumstances, they may change over time or prove to be inaccurate based on actual experiences. In the event that different as</w:t>
      </w:r>
      <w:r>
        <w:rPr>
          <w:rFonts w:eastAsia="Times New Roman"/>
          <w:color w:val="000000"/>
          <w:sz w:val="20"/>
          <w:szCs w:val="20"/>
        </w:rPr>
        <w:t>sumptions or conditions were to prevail, and depending upon the severity of such changes, the possibility of a materially different financial condition and/or results of operations could reasonably be expected. The impact and any associated risks related t</w:t>
      </w:r>
      <w:r>
        <w:rPr>
          <w:rFonts w:eastAsia="Times New Roman"/>
          <w:color w:val="000000"/>
          <w:sz w:val="20"/>
          <w:szCs w:val="20"/>
        </w:rPr>
        <w:t xml:space="preserve">o the critical accounting policies on the business operations are discussed throughout </w:t>
      </w:r>
      <w:r>
        <w:rPr>
          <w:rFonts w:eastAsia="Times New Roman"/>
          <w:i/>
          <w:iCs/>
          <w:color w:val="000000"/>
          <w:sz w:val="20"/>
          <w:szCs w:val="20"/>
        </w:rPr>
        <w:t>Management’s Discussion and Analysis of Financial Condition and Results of Operations</w:t>
      </w:r>
      <w:r>
        <w:rPr>
          <w:rFonts w:eastAsia="Times New Roman"/>
          <w:color w:val="000000"/>
          <w:sz w:val="20"/>
          <w:szCs w:val="20"/>
        </w:rPr>
        <w:t>, where such policies affect the reported and expected financial results.</w:t>
      </w:r>
    </w:p>
    <w:p w:rsidR="00000000" w:rsidRDefault="00100014">
      <w:pPr>
        <w:divId w:val="614142650"/>
        <w:rPr>
          <w:rFonts w:eastAsia="Times New Roman"/>
        </w:rPr>
      </w:pPr>
      <w:r>
        <w:rPr>
          <w:rFonts w:eastAsia="Times New Roman"/>
          <w:b/>
          <w:bCs/>
          <w:i/>
          <w:iCs/>
          <w:color w:val="000000"/>
          <w:sz w:val="20"/>
          <w:szCs w:val="20"/>
        </w:rPr>
        <w:t xml:space="preserve">Allowance </w:t>
      </w:r>
      <w:r>
        <w:rPr>
          <w:rFonts w:eastAsia="Times New Roman"/>
          <w:b/>
          <w:bCs/>
          <w:i/>
          <w:iCs/>
          <w:color w:val="000000"/>
          <w:sz w:val="20"/>
          <w:szCs w:val="20"/>
        </w:rPr>
        <w:t>for Loan Losses</w:t>
      </w:r>
    </w:p>
    <w:p w:rsidR="00000000" w:rsidRDefault="00100014">
      <w:pPr>
        <w:jc w:val="both"/>
        <w:rPr>
          <w:rFonts w:eastAsia="Times New Roman"/>
        </w:rPr>
      </w:pPr>
      <w:r>
        <w:rPr>
          <w:rFonts w:eastAsia="Times New Roman"/>
          <w:color w:val="000000"/>
          <w:sz w:val="20"/>
          <w:szCs w:val="20"/>
        </w:rPr>
        <w:t>Management has identified the accounting policy related to the allowance for loan losses as critical to the understanding of the Company’s results of operations, since the application of this policy requires significant management assumptio</w:t>
      </w:r>
      <w:r>
        <w:rPr>
          <w:rFonts w:eastAsia="Times New Roman"/>
          <w:color w:val="000000"/>
          <w:sz w:val="20"/>
          <w:szCs w:val="20"/>
        </w:rPr>
        <w:t>ns and estimates that could result in materially different amounts to be reported if conditions or underlying circumstances were to change. Further discussion of the methodology used in establishing the allowance and the impact of any associated risks rela</w:t>
      </w:r>
      <w:r>
        <w:rPr>
          <w:rFonts w:eastAsia="Times New Roman"/>
          <w:color w:val="000000"/>
          <w:sz w:val="20"/>
          <w:szCs w:val="20"/>
        </w:rPr>
        <w:t xml:space="preserve">ted to these policies on the Company’s business operations is provided in </w:t>
      </w:r>
      <w:r>
        <w:rPr>
          <w:rFonts w:eastAsia="Times New Roman"/>
          <w:i/>
          <w:iCs/>
          <w:color w:val="000000"/>
          <w:sz w:val="20"/>
          <w:szCs w:val="20"/>
        </w:rPr>
        <w:t xml:space="preserve">Note 1 - Summary of Significant Accounting Policies </w:t>
      </w:r>
      <w:r>
        <w:rPr>
          <w:rFonts w:eastAsia="Times New Roman"/>
          <w:color w:val="000000"/>
          <w:sz w:val="20"/>
          <w:szCs w:val="20"/>
        </w:rPr>
        <w:t xml:space="preserve">and is also discussed in the </w:t>
      </w:r>
      <w:r>
        <w:rPr>
          <w:rFonts w:eastAsia="Times New Roman"/>
          <w:i/>
          <w:iCs/>
          <w:color w:val="000000"/>
          <w:sz w:val="20"/>
          <w:szCs w:val="20"/>
        </w:rPr>
        <w:t>Lending and Credit Management</w:t>
      </w:r>
      <w:r>
        <w:rPr>
          <w:rFonts w:eastAsia="Times New Roman"/>
          <w:color w:val="000000"/>
          <w:sz w:val="20"/>
          <w:szCs w:val="20"/>
        </w:rPr>
        <w:t xml:space="preserve"> section below. Many of the loans are deemed collateral dependent for pu</w:t>
      </w:r>
      <w:r>
        <w:rPr>
          <w:rFonts w:eastAsia="Times New Roman"/>
          <w:color w:val="000000"/>
          <w:sz w:val="20"/>
          <w:szCs w:val="20"/>
        </w:rPr>
        <w:t xml:space="preserve">rposes of the measurement of the impairment loss, thus the fair value of the underlying collateral and sensitivity of such fair values due to changing market conditions, supply and demand, condition of the collateral and other factors can be volatile over </w:t>
      </w:r>
      <w:r>
        <w:rPr>
          <w:rFonts w:eastAsia="Times New Roman"/>
          <w:color w:val="000000"/>
          <w:sz w:val="20"/>
          <w:szCs w:val="20"/>
        </w:rPr>
        <w:t>periods of time. Such volatility can have an impact on the financial performance of the Company.</w:t>
      </w:r>
    </w:p>
    <w:p w:rsidR="00000000" w:rsidRDefault="00100014">
      <w:pPr>
        <w:jc w:val="center"/>
        <w:divId w:val="2710938"/>
        <w:rPr>
          <w:rFonts w:eastAsia="Times New Roman"/>
        </w:rPr>
      </w:pPr>
      <w:r>
        <w:rPr>
          <w:rFonts w:eastAsia="Times New Roman"/>
          <w:color w:val="000000"/>
          <w:sz w:val="20"/>
          <w:szCs w:val="20"/>
        </w:rPr>
        <w:t>37</w:t>
      </w:r>
    </w:p>
    <w:p w:rsidR="00000000" w:rsidRDefault="00100014">
      <w:pPr>
        <w:rPr>
          <w:rFonts w:eastAsia="Times New Roman"/>
        </w:rPr>
      </w:pPr>
      <w:r>
        <w:rPr>
          <w:rFonts w:eastAsia="Times New Roman"/>
        </w:rPr>
        <w:pict>
          <v:rect id="_x0000_i1061" style="width:0;height:1.5pt" o:hralign="center" o:hrstd="t" o:hr="t" fillcolor="#a0a0a0" stroked="f"/>
        </w:pict>
      </w:r>
    </w:p>
    <w:p w:rsidR="00000000" w:rsidRDefault="00100014">
      <w:pPr>
        <w:divId w:val="1693457660"/>
        <w:rPr>
          <w:rFonts w:eastAsia="Times New Roman"/>
        </w:rPr>
      </w:pPr>
    </w:p>
    <w:p w:rsidR="00000000" w:rsidRDefault="00100014">
      <w:pPr>
        <w:divId w:val="746149602"/>
        <w:rPr>
          <w:rFonts w:eastAsia="Times New Roman"/>
        </w:rPr>
      </w:pPr>
      <w:r>
        <w:rPr>
          <w:rFonts w:eastAsia="Times New Roman"/>
          <w:b/>
          <w:bCs/>
          <w:color w:val="000000"/>
          <w:sz w:val="20"/>
          <w:szCs w:val="20"/>
        </w:rPr>
        <w:t>Executive Summary</w:t>
      </w:r>
    </w:p>
    <w:p w:rsidR="00000000" w:rsidRDefault="00100014">
      <w:pPr>
        <w:jc w:val="both"/>
        <w:divId w:val="1048141731"/>
        <w:rPr>
          <w:rFonts w:eastAsia="Times New Roman"/>
        </w:rPr>
      </w:pPr>
      <w:r>
        <w:rPr>
          <w:rFonts w:eastAsia="Times New Roman"/>
          <w:color w:val="000000"/>
          <w:sz w:val="20"/>
          <w:szCs w:val="20"/>
        </w:rPr>
        <w:t xml:space="preserve">The Company has prepared all of the consolidated financial information in this report in accordance </w:t>
      </w:r>
      <w:r>
        <w:rPr>
          <w:rFonts w:eastAsia="Times New Roman"/>
          <w:color w:val="000000"/>
          <w:sz w:val="20"/>
          <w:szCs w:val="20"/>
        </w:rPr>
        <w:t>with U.S. GAAP. In preparing the consolidated financial statements in accordance with U.S. GAAP, the Company makes estimates and assumptions that affect the reported amount of assets and liabilities, disclosure of contingent assets and liabilities at the d</w:t>
      </w:r>
      <w:r>
        <w:rPr>
          <w:rFonts w:eastAsia="Times New Roman"/>
          <w:color w:val="000000"/>
          <w:sz w:val="20"/>
          <w:szCs w:val="20"/>
        </w:rPr>
        <w:t>ate of the financial statements, and the reported amounts of revenue and expenses during the reporting period. There can be no assurances that actual results will not differ from those estimates.</w:t>
      </w:r>
    </w:p>
    <w:tbl>
      <w:tblPr>
        <w:tblW w:w="5000" w:type="pct"/>
        <w:tblCellMar>
          <w:top w:w="15" w:type="dxa"/>
          <w:left w:w="15" w:type="dxa"/>
          <w:bottom w:w="15" w:type="dxa"/>
          <w:right w:w="15" w:type="dxa"/>
        </w:tblCellMar>
        <w:tblLook w:val="04A0" w:firstRow="1" w:lastRow="0" w:firstColumn="1" w:lastColumn="0" w:noHBand="0" w:noVBand="1"/>
      </w:tblPr>
      <w:tblGrid>
        <w:gridCol w:w="38"/>
        <w:gridCol w:w="4745"/>
        <w:gridCol w:w="37"/>
        <w:gridCol w:w="36"/>
        <w:gridCol w:w="113"/>
        <w:gridCol w:w="113"/>
        <w:gridCol w:w="113"/>
        <w:gridCol w:w="113"/>
        <w:gridCol w:w="113"/>
        <w:gridCol w:w="36"/>
        <w:gridCol w:w="36"/>
        <w:gridCol w:w="36"/>
        <w:gridCol w:w="110"/>
        <w:gridCol w:w="701"/>
        <w:gridCol w:w="36"/>
        <w:gridCol w:w="36"/>
        <w:gridCol w:w="36"/>
        <w:gridCol w:w="36"/>
        <w:gridCol w:w="110"/>
        <w:gridCol w:w="770"/>
        <w:gridCol w:w="36"/>
        <w:gridCol w:w="36"/>
        <w:gridCol w:w="36"/>
        <w:gridCol w:w="36"/>
        <w:gridCol w:w="110"/>
        <w:gridCol w:w="652"/>
        <w:gridCol w:w="36"/>
      </w:tblGrid>
      <w:tr w:rsidR="00000000">
        <w:trPr>
          <w:divId w:val="1194416237"/>
        </w:trPr>
        <w:tc>
          <w:tcPr>
            <w:tcW w:w="50" w:type="pct"/>
            <w:vAlign w:val="center"/>
            <w:hideMark/>
          </w:tcPr>
          <w:p w:rsidR="00000000" w:rsidRDefault="00100014">
            <w:pPr>
              <w:jc w:val="both"/>
              <w:rPr>
                <w:rFonts w:eastAsia="Times New Roman"/>
              </w:rPr>
            </w:pPr>
          </w:p>
        </w:tc>
        <w:tc>
          <w:tcPr>
            <w:tcW w:w="317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4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w:t>
            </w: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2021</w:t>
            </w:r>
          </w:p>
        </w:tc>
      </w:tr>
      <w:tr w:rsidR="00000000">
        <w:trPr>
          <w:divId w:val="1194416237"/>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14,561 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14,145 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13,671 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Provision for (release of) loan losses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400</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3,648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3,726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4,661</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Investment securities (losses) gains, net</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11,540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12,227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11,841</w:t>
            </w:r>
          </w:p>
        </w:tc>
      </w:tr>
      <w:tr w:rsidR="00000000">
        <w:trPr>
          <w:divId w:val="119441623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Income before income taxes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5,460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8,140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6,091</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Income tax expense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971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1,531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1,199</w:t>
            </w:r>
          </w:p>
        </w:tc>
      </w:tr>
      <w:tr w:rsidR="00000000">
        <w:trPr>
          <w:divId w:val="119441623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Net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4,489 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6,609 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4,892 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9441623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Basic earnings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0.66</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0.97</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0.71</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Diluted earnings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0.66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0.97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0.71</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Efficiency ratio (1)</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63.38%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68.42%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64.59%</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spread</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3.47%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3.36%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3.24%</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margin</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3.64%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3.40%</w:t>
            </w:r>
          </w:p>
        </w:tc>
      </w:tr>
      <w:tr w:rsidR="00000000">
        <w:trPr>
          <w:divId w:val="1194416237"/>
          <w:trHeight w:val="180"/>
        </w:trPr>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w:t>
            </w:r>
            <w:r>
              <w:rPr>
                <w:rFonts w:eastAsia="Times New Roman"/>
                <w:b/>
                <w:bCs/>
                <w:color w:val="000000"/>
                <w:sz w:val="16"/>
                <w:szCs w:val="16"/>
              </w:rPr>
              <w:br/>
              <w:t>June 30,</w:t>
            </w:r>
          </w:p>
        </w:tc>
      </w:tr>
      <w:tr w:rsidR="00000000">
        <w:trPr>
          <w:divId w:val="1194416237"/>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 except per share data)</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194416237"/>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28,706 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28,062 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(Release of) provision for loan losses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400</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Non-interest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7,374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9,233</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Investment securities (losses) gains, net</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15</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Non-interest expense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23,767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23,622</w:t>
            </w:r>
          </w:p>
        </w:tc>
      </w:tr>
      <w:tr w:rsidR="00000000">
        <w:trPr>
          <w:divId w:val="119441623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Income before income taxes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13,600</w:t>
            </w: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13,288</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Income tax expense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2,502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2,557</w:t>
            </w:r>
          </w:p>
        </w:tc>
      </w:tr>
      <w:tr w:rsidR="00000000">
        <w:trPr>
          <w:divId w:val="1194416237"/>
        </w:trPr>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Net income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11,098 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10,731 </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94416237"/>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Basic earnings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7"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1.63</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doub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1.56</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Diluted earnings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7"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1.56</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Efficiency ratio (1)</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7"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65.87%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63.34%</w:t>
            </w:r>
          </w:p>
        </w:tc>
      </w:tr>
      <w:tr w:rsidR="00000000">
        <w:trPr>
          <w:divId w:val="1194416237"/>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spread</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3.34%</w:t>
            </w:r>
          </w:p>
        </w:tc>
      </w:tr>
      <w:tr w:rsidR="00000000">
        <w:trPr>
          <w:divId w:val="1194416237"/>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 interest margin</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3.57%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3.51%</w:t>
            </w:r>
          </w:p>
        </w:tc>
      </w:tr>
      <w:tr w:rsidR="00000000">
        <w:trPr>
          <w:divId w:val="1194416237"/>
        </w:trPr>
        <w:tc>
          <w:tcPr>
            <w:tcW w:w="0" w:type="auto"/>
            <w:gridSpan w:val="3"/>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94416237"/>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ind w:hanging="450"/>
        <w:jc w:val="both"/>
        <w:divId w:val="1900751229"/>
        <w:rPr>
          <w:rFonts w:eastAsia="Times New Roman"/>
        </w:rPr>
      </w:pPr>
      <w:r>
        <w:rPr>
          <w:rFonts w:eastAsia="Times New Roman"/>
          <w:color w:val="000000"/>
          <w:sz w:val="16"/>
          <w:szCs w:val="16"/>
        </w:rPr>
        <w:t>(1)</w:t>
      </w:r>
      <w:r>
        <w:rPr>
          <w:rFonts w:eastAsia="Times New Roman"/>
          <w:color w:val="000000"/>
          <w:sz w:val="16"/>
          <w:szCs w:val="16"/>
        </w:rPr>
        <w:t>Efficiency ratio is calculated as non-interest expense as a percentage of revenue. Total revenue is calculated as net interest income plus non-interest income.</w:t>
      </w:r>
    </w:p>
    <w:p w:rsidR="00000000" w:rsidRDefault="00100014">
      <w:pPr>
        <w:jc w:val="center"/>
        <w:divId w:val="1024748834"/>
        <w:rPr>
          <w:rFonts w:eastAsia="Times New Roman"/>
        </w:rPr>
      </w:pPr>
      <w:r>
        <w:rPr>
          <w:rFonts w:eastAsia="Times New Roman"/>
          <w:color w:val="000000"/>
          <w:sz w:val="20"/>
          <w:szCs w:val="20"/>
        </w:rPr>
        <w:t>38</w:t>
      </w:r>
    </w:p>
    <w:p w:rsidR="00000000" w:rsidRDefault="00100014">
      <w:pPr>
        <w:rPr>
          <w:rFonts w:eastAsia="Times New Roman"/>
        </w:rPr>
      </w:pPr>
      <w:r>
        <w:rPr>
          <w:rFonts w:eastAsia="Times New Roman"/>
        </w:rPr>
        <w:pict>
          <v:rect id="_x0000_i1062" style="width:0;height:1.5pt" o:hralign="center" o:hrstd="t" o:hr="t" fillcolor="#a0a0a0" stroked="f"/>
        </w:pict>
      </w:r>
    </w:p>
    <w:p w:rsidR="00000000" w:rsidRDefault="00100014">
      <w:pPr>
        <w:divId w:val="70590998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047"/>
        <w:gridCol w:w="38"/>
        <w:gridCol w:w="36"/>
        <w:gridCol w:w="36"/>
        <w:gridCol w:w="36"/>
        <w:gridCol w:w="36"/>
        <w:gridCol w:w="36"/>
        <w:gridCol w:w="36"/>
        <w:gridCol w:w="36"/>
        <w:gridCol w:w="110"/>
        <w:gridCol w:w="749"/>
        <w:gridCol w:w="36"/>
        <w:gridCol w:w="36"/>
        <w:gridCol w:w="36"/>
        <w:gridCol w:w="36"/>
        <w:gridCol w:w="110"/>
        <w:gridCol w:w="822"/>
        <w:gridCol w:w="36"/>
        <w:gridCol w:w="36"/>
        <w:gridCol w:w="36"/>
        <w:gridCol w:w="36"/>
        <w:gridCol w:w="110"/>
        <w:gridCol w:w="705"/>
        <w:gridCol w:w="36"/>
      </w:tblGrid>
      <w:tr w:rsidR="00000000">
        <w:trPr>
          <w:divId w:val="1202821"/>
        </w:trPr>
        <w:tc>
          <w:tcPr>
            <w:tcW w:w="50" w:type="pct"/>
            <w:vAlign w:val="center"/>
            <w:hideMark/>
          </w:tcPr>
          <w:p w:rsidR="00000000" w:rsidRDefault="00100014">
            <w:pPr>
              <w:rPr>
                <w:rFonts w:eastAsia="Times New Roman"/>
              </w:rPr>
            </w:pPr>
          </w:p>
        </w:tc>
        <w:tc>
          <w:tcPr>
            <w:tcW w:w="317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4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20282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As of and for the Three and Six Months Ended</w:t>
            </w:r>
          </w:p>
        </w:tc>
      </w:tr>
      <w:tr w:rsidR="00000000">
        <w:trPr>
          <w:divId w:val="1202821"/>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2021</w:t>
            </w:r>
          </w:p>
        </w:tc>
      </w:tr>
      <w:tr w:rsidR="00000000">
        <w:trPr>
          <w:divId w:val="12028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Key financial ratios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Book value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18.20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19.58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19.85</w:t>
            </w: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Market price per share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25.49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24.31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22.05</w:t>
            </w: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8"/>
                <w:szCs w:val="18"/>
              </w:rPr>
              <w:t>Quarter</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Cash dividends paid on common stock</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990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993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828</w:t>
            </w:r>
          </w:p>
        </w:tc>
      </w:tr>
      <w:tr w:rsidR="00000000">
        <w:trPr>
          <w:divId w:val="1202821"/>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Return on total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1.14%</w:t>
            </w:r>
          </w:p>
        </w:tc>
      </w:tr>
      <w:tr w:rsidR="00000000">
        <w:trPr>
          <w:divId w:val="1202821"/>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Return on stockholders' equity</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14.00%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18.41%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14.64%</w:t>
            </w:r>
          </w:p>
        </w:tc>
      </w:tr>
      <w:tr w:rsidR="00000000">
        <w:trPr>
          <w:divId w:val="1202821"/>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Average stockholders' equity to total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7.40%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8.22%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7.76%</w:t>
            </w: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i/>
                <w:iCs/>
                <w:color w:val="000000"/>
                <w:sz w:val="18"/>
                <w:szCs w:val="18"/>
              </w:rPr>
              <w:t>Year-to-date</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Cash dividends paid on common stock</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1,983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993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1,670</w:t>
            </w:r>
          </w:p>
        </w:tc>
      </w:tr>
      <w:tr w:rsidR="00000000">
        <w:trPr>
          <w:divId w:val="1202821"/>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Return on total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1.26%</w:t>
            </w:r>
          </w:p>
        </w:tc>
      </w:tr>
      <w:tr w:rsidR="00000000">
        <w:trPr>
          <w:divId w:val="1202821"/>
        </w:trPr>
        <w:tc>
          <w:tcPr>
            <w:tcW w:w="0" w:type="auto"/>
            <w:gridSpan w:val="3"/>
            <w:shd w:val="clear" w:color="auto" w:fill="FFFF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Return on stockholders' equity</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16.33%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18.41%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16.31%</w:t>
            </w:r>
          </w:p>
        </w:tc>
      </w:tr>
      <w:tr w:rsidR="00000000">
        <w:trPr>
          <w:divId w:val="1202821"/>
        </w:trPr>
        <w:tc>
          <w:tcPr>
            <w:tcW w:w="0" w:type="auto"/>
            <w:gridSpan w:val="3"/>
            <w:shd w:val="clear" w:color="auto" w:fill="CCEEFF"/>
            <w:tcMar>
              <w:top w:w="30" w:type="dxa"/>
              <w:left w:w="14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Average stockholders' equity to total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8.22%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7.70%</w:t>
            </w:r>
          </w:p>
        </w:tc>
      </w:tr>
      <w:tr w:rsidR="00000000">
        <w:trPr>
          <w:divId w:val="1202821"/>
          <w:trHeight w:val="180"/>
        </w:trPr>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Capital Ratios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Stockholders' equity to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6.93%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7.74%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7.99%</w:t>
            </w: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Total risk-based capital ratio</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13.97%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14.66%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14.66%</w:t>
            </w: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Tier 1 risk-based capital ratio</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12.53%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13.44%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13.20%</w:t>
            </w: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Common equity Tier 1 capital</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10.36%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9.91%</w:t>
            </w: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Tier 1 leverage ratio (1)</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10.98%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10.99%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10.49%</w:t>
            </w:r>
          </w:p>
        </w:tc>
      </w:tr>
      <w:tr w:rsidR="00000000">
        <w:trPr>
          <w:divId w:val="1202821"/>
          <w:trHeight w:val="180"/>
        </w:trPr>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Asset Quality</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Net-charge-offs (recoveries) (Qtr)</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Net-charge-offs (recoveries) (Ytd)</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Non-performing loans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17,817 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17,099 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33,788 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Classified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99,200 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104,073 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136,599 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Non-performing loans to total loans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2.61%</w:t>
            </w:r>
          </w:p>
        </w:tc>
      </w:tr>
      <w:tr w:rsidR="00000000">
        <w:trPr>
          <w:divId w:val="120282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Non-performing assets to total assets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2.68%</w:t>
            </w:r>
          </w:p>
        </w:tc>
      </w:tr>
      <w:tr w:rsidR="00000000">
        <w:trPr>
          <w:divId w:val="12028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Allowance for loan losses to total loans</w:t>
            </w:r>
          </w:p>
        </w:tc>
        <w:tc>
          <w:tcPr>
            <w:tcW w:w="0" w:type="auto"/>
            <w:vAlign w:val="center"/>
            <w:hideMark/>
          </w:tcPr>
          <w:p w:rsidR="00000000" w:rsidRDefault="00100014">
            <w:pPr>
              <w:spacing w:after="100"/>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1.45%</w:t>
            </w:r>
          </w:p>
        </w:tc>
      </w:tr>
      <w:tr w:rsidR="00000000">
        <w:trPr>
          <w:divId w:val="1202821"/>
        </w:trPr>
        <w:tc>
          <w:tcPr>
            <w:tcW w:w="0" w:type="auto"/>
            <w:gridSpan w:val="3"/>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02821"/>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02821"/>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202821"/>
        </w:trPr>
        <w:tc>
          <w:tcPr>
            <w:tcW w:w="0" w:type="auto"/>
            <w:gridSpan w:val="3"/>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bl>
    <w:p w:rsidR="00000000" w:rsidRDefault="00100014">
      <w:pPr>
        <w:ind w:hanging="450"/>
        <w:divId w:val="1308363674"/>
        <w:rPr>
          <w:rFonts w:eastAsia="Times New Roman"/>
        </w:rPr>
      </w:pPr>
      <w:r>
        <w:rPr>
          <w:rFonts w:eastAsia="Times New Roman"/>
          <w:color w:val="000000"/>
          <w:sz w:val="16"/>
          <w:szCs w:val="16"/>
        </w:rPr>
        <w:t>(1)</w:t>
      </w:r>
      <w:r>
        <w:rPr>
          <w:rFonts w:eastAsia="Times New Roman"/>
          <w:color w:val="000000"/>
          <w:sz w:val="16"/>
          <w:szCs w:val="16"/>
        </w:rPr>
        <w:t>Tier 1 leverage ratio is calculated by dividing Tier 1 capital by average total consolidated assets</w:t>
      </w:r>
    </w:p>
    <w:p w:rsidR="00000000" w:rsidRDefault="00100014">
      <w:pPr>
        <w:jc w:val="both"/>
        <w:divId w:val="760568530"/>
        <w:rPr>
          <w:rFonts w:eastAsia="Times New Roman"/>
        </w:rPr>
      </w:pPr>
      <w:r>
        <w:rPr>
          <w:rFonts w:eastAsia="Times New Roman"/>
          <w:b/>
          <w:bCs/>
          <w:i/>
          <w:iCs/>
          <w:color w:val="000000"/>
          <w:sz w:val="20"/>
          <w:szCs w:val="20"/>
        </w:rPr>
        <w:t>Results of Operations Highlights:</w:t>
      </w:r>
    </w:p>
    <w:p w:rsidR="00000000" w:rsidRDefault="00100014">
      <w:pPr>
        <w:jc w:val="both"/>
        <w:divId w:val="1097285158"/>
        <w:rPr>
          <w:rFonts w:eastAsia="Times New Roman"/>
        </w:rPr>
      </w:pPr>
      <w:r>
        <w:rPr>
          <w:rFonts w:eastAsia="Times New Roman"/>
          <w:b/>
          <w:bCs/>
          <w:i/>
          <w:iCs/>
          <w:color w:val="000000"/>
          <w:sz w:val="20"/>
          <w:szCs w:val="20"/>
        </w:rPr>
        <w:t>Consolidated net income</w:t>
      </w:r>
      <w:r>
        <w:rPr>
          <w:rFonts w:eastAsia="Times New Roman"/>
          <w:color w:val="000000"/>
          <w:sz w:val="20"/>
          <w:szCs w:val="20"/>
        </w:rPr>
        <w:t xml:space="preserve"> </w:t>
      </w:r>
      <w:r>
        <w:rPr>
          <w:rFonts w:eastAsia="Times New Roman"/>
          <w:color w:val="000000"/>
          <w:sz w:val="20"/>
          <w:szCs w:val="20"/>
        </w:rPr>
        <w:t>of $4.5 million for the second quarter 2022 decreased $2.1 million compared to the first quarter 2022 ("linked quarter") and decreased $0.4 million from the second quarter 2021 (the "prior year quarter"). Earnings per diluted share were $0.66 for the secon</w:t>
      </w:r>
      <w:r>
        <w:rPr>
          <w:rFonts w:eastAsia="Times New Roman"/>
          <w:color w:val="000000"/>
          <w:sz w:val="20"/>
          <w:szCs w:val="20"/>
        </w:rPr>
        <w:t>d quarter 2022 compared to $0.97 and $0.71 for the linked quarter and prior year quarter, respectively. For the second quarter 2022, the return on average assets was 1.04%, the return on average stockholders’ equity was 14.00%, and the efficiency ratio was</w:t>
      </w:r>
      <w:r>
        <w:rPr>
          <w:rFonts w:eastAsia="Times New Roman"/>
          <w:color w:val="000000"/>
          <w:sz w:val="20"/>
          <w:szCs w:val="20"/>
        </w:rPr>
        <w:t xml:space="preserve"> 63.4%. </w:t>
      </w:r>
    </w:p>
    <w:p w:rsidR="00000000" w:rsidRDefault="00100014">
      <w:pPr>
        <w:jc w:val="both"/>
        <w:divId w:val="1323000032"/>
        <w:rPr>
          <w:rFonts w:eastAsia="Times New Roman"/>
        </w:rPr>
      </w:pPr>
      <w:r>
        <w:rPr>
          <w:rFonts w:eastAsia="Times New Roman"/>
          <w:i/>
          <w:iCs/>
          <w:color w:val="000000"/>
          <w:sz w:val="20"/>
          <w:szCs w:val="20"/>
        </w:rPr>
        <w:t>Consolidated net income</w:t>
      </w:r>
      <w:r>
        <w:rPr>
          <w:rFonts w:eastAsia="Times New Roman"/>
          <w:b/>
          <w:bCs/>
          <w:i/>
          <w:iCs/>
          <w:color w:val="000000"/>
          <w:sz w:val="20"/>
          <w:szCs w:val="20"/>
        </w:rPr>
        <w:t xml:space="preserve"> </w:t>
      </w:r>
      <w:r>
        <w:rPr>
          <w:rFonts w:eastAsia="Times New Roman"/>
          <w:color w:val="000000"/>
          <w:sz w:val="20"/>
          <w:szCs w:val="20"/>
        </w:rPr>
        <w:t>of $11.1 million, or $1.63 per diluted share, for the six months ended June 30, 2022 increased $0.4 million compared to $10.7 million, or $1.56 per diluted share, for the six months ended June 30, 2021. For the six months e</w:t>
      </w:r>
      <w:r>
        <w:rPr>
          <w:rFonts w:eastAsia="Times New Roman"/>
          <w:color w:val="000000"/>
          <w:sz w:val="20"/>
          <w:szCs w:val="20"/>
        </w:rPr>
        <w:t>nded June 30, 2022, the return on average assets was 1.28%, the return on average stockholders’ equity was 16.33%, and the efficiency ratio was 65.9%.</w:t>
      </w:r>
    </w:p>
    <w:p w:rsidR="00000000" w:rsidRDefault="00100014">
      <w:pPr>
        <w:jc w:val="both"/>
        <w:divId w:val="157234201"/>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of $14.6 million for the second quarter 2022, increased $0.4 million from the linked </w:t>
      </w:r>
      <w:r>
        <w:rPr>
          <w:rFonts w:eastAsia="Times New Roman"/>
          <w:color w:val="000000"/>
          <w:sz w:val="20"/>
          <w:szCs w:val="20"/>
        </w:rPr>
        <w:t>quarter, and increased $0.9 million from the prior year quarter. Net interest margin, on a fully taxable equivalent basis ("FTE") basis, was 3.64% for the second quarter, an increase from 3.50% for the linked quarter, and an increase from 3.40% for the pri</w:t>
      </w:r>
      <w:r>
        <w:rPr>
          <w:rFonts w:eastAsia="Times New Roman"/>
          <w:color w:val="000000"/>
          <w:sz w:val="20"/>
          <w:szCs w:val="20"/>
        </w:rPr>
        <w:t xml:space="preserve">or year quarter. </w:t>
      </w:r>
    </w:p>
    <w:p w:rsidR="00000000" w:rsidRDefault="00100014">
      <w:pPr>
        <w:jc w:val="center"/>
        <w:divId w:val="1224095883"/>
        <w:rPr>
          <w:rFonts w:eastAsia="Times New Roman"/>
        </w:rPr>
      </w:pPr>
      <w:r>
        <w:rPr>
          <w:rFonts w:eastAsia="Times New Roman"/>
          <w:color w:val="000000"/>
          <w:sz w:val="20"/>
          <w:szCs w:val="20"/>
        </w:rPr>
        <w:t>39</w:t>
      </w:r>
    </w:p>
    <w:p w:rsidR="00000000" w:rsidRDefault="00100014">
      <w:pPr>
        <w:rPr>
          <w:rFonts w:eastAsia="Times New Roman"/>
        </w:rPr>
      </w:pPr>
      <w:r>
        <w:rPr>
          <w:rFonts w:eastAsia="Times New Roman"/>
        </w:rPr>
        <w:pict>
          <v:rect id="_x0000_i1063" style="width:0;height:1.5pt" o:hralign="center" o:hrstd="t" o:hr="t" fillcolor="#a0a0a0" stroked="f"/>
        </w:pict>
      </w:r>
    </w:p>
    <w:p w:rsidR="00000000" w:rsidRDefault="00100014">
      <w:pPr>
        <w:divId w:val="144783534"/>
        <w:rPr>
          <w:rFonts w:eastAsia="Times New Roman"/>
        </w:rPr>
      </w:pPr>
    </w:p>
    <w:p w:rsidR="00000000" w:rsidRDefault="00100014">
      <w:pPr>
        <w:jc w:val="both"/>
        <w:divId w:val="968588063"/>
        <w:rPr>
          <w:rFonts w:eastAsia="Times New Roman"/>
        </w:rPr>
      </w:pPr>
      <w:r>
        <w:rPr>
          <w:rFonts w:eastAsia="Times New Roman"/>
          <w:i/>
          <w:iCs/>
          <w:color w:val="000000"/>
          <w:sz w:val="20"/>
          <w:szCs w:val="20"/>
        </w:rPr>
        <w:t>Net interest income</w:t>
      </w:r>
      <w:r>
        <w:rPr>
          <w:rFonts w:eastAsia="Times New Roman"/>
          <w:b/>
          <w:bCs/>
          <w:i/>
          <w:iCs/>
          <w:color w:val="000000"/>
          <w:sz w:val="20"/>
          <w:szCs w:val="20"/>
        </w:rPr>
        <w:t xml:space="preserve"> </w:t>
      </w:r>
      <w:r>
        <w:rPr>
          <w:rFonts w:eastAsia="Times New Roman"/>
          <w:color w:val="000000"/>
          <w:sz w:val="20"/>
          <w:szCs w:val="20"/>
        </w:rPr>
        <w:t>of $28.7 million, for the six months ended June 30, 2022, increased $0.6 million compared to $28.1 million for the six months ended June 30, 2021. Net interest margin, on a ful</w:t>
      </w:r>
      <w:r>
        <w:rPr>
          <w:rFonts w:eastAsia="Times New Roman"/>
          <w:color w:val="000000"/>
          <w:sz w:val="20"/>
          <w:szCs w:val="20"/>
        </w:rPr>
        <w:t xml:space="preserve">ly taxable equivalent basis ("FTE") basis, was 3.57% for the six months ended June 30, 2022, an increase from 3.51% for the six months ended June 30, 2021. These changes are discussed in greater detail under the </w:t>
      </w:r>
      <w:r>
        <w:rPr>
          <w:rFonts w:eastAsia="Times New Roman"/>
          <w:i/>
          <w:iCs/>
          <w:color w:val="000000"/>
          <w:sz w:val="20"/>
          <w:szCs w:val="20"/>
        </w:rPr>
        <w:t>Average Balance Sheet Data and Rate and Volu</w:t>
      </w:r>
      <w:r>
        <w:rPr>
          <w:rFonts w:eastAsia="Times New Roman"/>
          <w:i/>
          <w:iCs/>
          <w:color w:val="000000"/>
          <w:sz w:val="20"/>
          <w:szCs w:val="20"/>
        </w:rPr>
        <w:t>me Analysis</w:t>
      </w:r>
      <w:r>
        <w:rPr>
          <w:rFonts w:eastAsia="Times New Roman"/>
          <w:color w:val="000000"/>
          <w:sz w:val="20"/>
          <w:szCs w:val="20"/>
        </w:rPr>
        <w:t xml:space="preserve"> section below.</w:t>
      </w:r>
    </w:p>
    <w:p w:rsidR="00000000" w:rsidRDefault="00100014">
      <w:pPr>
        <w:jc w:val="both"/>
        <w:divId w:val="281421837"/>
        <w:rPr>
          <w:rFonts w:eastAsia="Times New Roman"/>
        </w:rPr>
      </w:pPr>
      <w:r>
        <w:rPr>
          <w:rFonts w:eastAsia="Times New Roman"/>
          <w:b/>
          <w:bCs/>
          <w:i/>
          <w:iCs/>
          <w:color w:val="000000"/>
          <w:sz w:val="20"/>
          <w:szCs w:val="20"/>
        </w:rPr>
        <w:t>Non-interest income</w:t>
      </w:r>
      <w:r>
        <w:rPr>
          <w:rFonts w:eastAsia="Times New Roman"/>
          <w:color w:val="000000"/>
          <w:sz w:val="20"/>
          <w:szCs w:val="20"/>
        </w:rPr>
        <w:t xml:space="preserve"> for the second quarter 2022 was $3.6 million, a decrease of $0.1 million, or 2.1%, from the linked quarter, and a decrease of $1.0 million, or 21.7%, from the prior year quarter. The change in the current quar</w:t>
      </w:r>
      <w:r>
        <w:rPr>
          <w:rFonts w:eastAsia="Times New Roman"/>
          <w:color w:val="000000"/>
          <w:sz w:val="20"/>
          <w:szCs w:val="20"/>
        </w:rPr>
        <w:t xml:space="preserve">ter compared to the prior year quarter is primarily due to the decrease in the gain on sale of real estate mortgages of $1.2 million, or 60.5%. </w:t>
      </w:r>
    </w:p>
    <w:p w:rsidR="00000000" w:rsidRDefault="00100014">
      <w:pPr>
        <w:jc w:val="both"/>
        <w:divId w:val="23756340"/>
        <w:rPr>
          <w:rFonts w:eastAsia="Times New Roman"/>
        </w:rPr>
      </w:pPr>
      <w:r>
        <w:rPr>
          <w:rFonts w:eastAsia="Times New Roman"/>
          <w:i/>
          <w:iCs/>
          <w:color w:val="000000"/>
          <w:sz w:val="20"/>
          <w:szCs w:val="20"/>
        </w:rPr>
        <w:t>Non-interest income</w:t>
      </w:r>
      <w:r>
        <w:rPr>
          <w:rFonts w:eastAsia="Times New Roman"/>
          <w:b/>
          <w:bCs/>
          <w:i/>
          <w:iCs/>
          <w:color w:val="000000"/>
          <w:sz w:val="20"/>
          <w:szCs w:val="20"/>
        </w:rPr>
        <w:t xml:space="preserve"> </w:t>
      </w:r>
      <w:r>
        <w:rPr>
          <w:rFonts w:eastAsia="Times New Roman"/>
          <w:color w:val="000000"/>
          <w:sz w:val="20"/>
          <w:szCs w:val="20"/>
        </w:rPr>
        <w:t>of $7.4 million, for the six months ended June 30, 2022 decreased $1.9 million, or 20.1%, c</w:t>
      </w:r>
      <w:r>
        <w:rPr>
          <w:rFonts w:eastAsia="Times New Roman"/>
          <w:color w:val="000000"/>
          <w:sz w:val="20"/>
          <w:szCs w:val="20"/>
        </w:rPr>
        <w:t xml:space="preserve">ompared to $9.2 million for the six months ended June 30, 2021. The change was primarily due to the decrease in the gain on sale of real estate mortgages of $2.8 million, or 62.4%. These changes are discussed in greater detail under the </w:t>
      </w:r>
      <w:r>
        <w:rPr>
          <w:rFonts w:eastAsia="Times New Roman"/>
          <w:i/>
          <w:iCs/>
          <w:color w:val="000000"/>
          <w:sz w:val="20"/>
          <w:szCs w:val="20"/>
        </w:rPr>
        <w:t>Non-interest Income</w:t>
      </w:r>
      <w:r>
        <w:rPr>
          <w:rFonts w:eastAsia="Times New Roman"/>
          <w:i/>
          <w:iCs/>
          <w:color w:val="000000"/>
          <w:sz w:val="20"/>
          <w:szCs w:val="20"/>
        </w:rPr>
        <w:t xml:space="preserve"> and Expense</w:t>
      </w:r>
      <w:r>
        <w:rPr>
          <w:rFonts w:eastAsia="Times New Roman"/>
          <w:color w:val="000000"/>
          <w:sz w:val="20"/>
          <w:szCs w:val="20"/>
        </w:rPr>
        <w:t xml:space="preserve"> section below.</w:t>
      </w:r>
    </w:p>
    <w:p w:rsidR="00000000" w:rsidRDefault="00100014">
      <w:pPr>
        <w:jc w:val="both"/>
        <w:divId w:val="1072966570"/>
        <w:rPr>
          <w:rFonts w:eastAsia="Times New Roman"/>
        </w:rPr>
      </w:pPr>
      <w:r>
        <w:rPr>
          <w:rFonts w:eastAsia="Times New Roman"/>
          <w:b/>
          <w:bCs/>
          <w:i/>
          <w:iCs/>
          <w:color w:val="000000"/>
          <w:sz w:val="20"/>
          <w:szCs w:val="20"/>
        </w:rPr>
        <w:t>Non-interest expense</w:t>
      </w:r>
      <w:r>
        <w:rPr>
          <w:rFonts w:eastAsia="Times New Roman"/>
          <w:color w:val="000000"/>
          <w:sz w:val="20"/>
          <w:szCs w:val="20"/>
        </w:rPr>
        <w:t xml:space="preserve"> for the second quarter 2022, was $11.5 million, a decrease of $0.7 million, or 5.6%, from the linked quarter, and a decrease of $0.3 million, or 2.5%, from the prior year quarter. The change in the current q</w:t>
      </w:r>
      <w:r>
        <w:rPr>
          <w:rFonts w:eastAsia="Times New Roman"/>
          <w:color w:val="000000"/>
          <w:sz w:val="20"/>
          <w:szCs w:val="20"/>
        </w:rPr>
        <w:t xml:space="preserve">uarter compared to the linked quarter is primarily due to the decrease in salary and benefits expenses and the change in the fair value adjustment for mortgage banking derivative liabilities. </w:t>
      </w:r>
    </w:p>
    <w:p w:rsidR="00000000" w:rsidRDefault="00100014">
      <w:pPr>
        <w:jc w:val="both"/>
        <w:divId w:val="518742641"/>
        <w:rPr>
          <w:rFonts w:eastAsia="Times New Roman"/>
        </w:rPr>
      </w:pPr>
      <w:r>
        <w:rPr>
          <w:rFonts w:eastAsia="Times New Roman"/>
          <w:i/>
          <w:iCs/>
          <w:color w:val="000000"/>
          <w:sz w:val="20"/>
          <w:szCs w:val="20"/>
        </w:rPr>
        <w:t>Non-interest expense</w:t>
      </w:r>
      <w:r>
        <w:rPr>
          <w:rFonts w:eastAsia="Times New Roman"/>
          <w:color w:val="000000"/>
          <w:sz w:val="20"/>
          <w:szCs w:val="20"/>
        </w:rPr>
        <w:t xml:space="preserve"> for the six months ended June 30, 2022 was</w:t>
      </w:r>
      <w:r>
        <w:rPr>
          <w:rFonts w:eastAsia="Times New Roman"/>
          <w:color w:val="000000"/>
          <w:sz w:val="20"/>
          <w:szCs w:val="20"/>
        </w:rPr>
        <w:t xml:space="preserve"> $23.8 million, an increase of $0.1 million, or 0.6%, from the six months ended June 30, 2021. The change was primarily due to the new software maintenance agreements and the change in the fair value adjustment for mortgage banking derivatives, partially o</w:t>
      </w:r>
      <w:r>
        <w:rPr>
          <w:rFonts w:eastAsia="Times New Roman"/>
          <w:color w:val="000000"/>
          <w:sz w:val="20"/>
          <w:szCs w:val="20"/>
        </w:rPr>
        <w:t xml:space="preserve">ffset by a decrease in salary and benefits. These changes are discussed in greater detail under the </w:t>
      </w:r>
      <w:r>
        <w:rPr>
          <w:rFonts w:eastAsia="Times New Roman"/>
          <w:i/>
          <w:iCs/>
          <w:color w:val="000000"/>
          <w:sz w:val="20"/>
          <w:szCs w:val="20"/>
        </w:rPr>
        <w:t>Non-interest Income and Expense</w:t>
      </w:r>
      <w:r>
        <w:rPr>
          <w:rFonts w:eastAsia="Times New Roman"/>
          <w:color w:val="000000"/>
          <w:sz w:val="20"/>
          <w:szCs w:val="20"/>
        </w:rPr>
        <w:t xml:space="preserve"> section below. </w:t>
      </w:r>
    </w:p>
    <w:p w:rsidR="00000000" w:rsidRDefault="00100014">
      <w:pPr>
        <w:jc w:val="both"/>
        <w:divId w:val="747459371"/>
        <w:rPr>
          <w:rFonts w:eastAsia="Times New Roman"/>
        </w:rPr>
      </w:pPr>
      <w:r>
        <w:rPr>
          <w:rFonts w:eastAsia="Times New Roman"/>
          <w:b/>
          <w:bCs/>
          <w:i/>
          <w:iCs/>
          <w:color w:val="000000"/>
          <w:sz w:val="20"/>
          <w:szCs w:val="20"/>
        </w:rPr>
        <w:t>Balance Sheet Highlights:</w:t>
      </w:r>
    </w:p>
    <w:p w:rsidR="00000000" w:rsidRDefault="00100014">
      <w:pPr>
        <w:jc w:val="both"/>
        <w:divId w:val="673873347"/>
        <w:rPr>
          <w:rFonts w:eastAsia="Times New Roman"/>
        </w:rPr>
      </w:pPr>
      <w:r>
        <w:rPr>
          <w:rFonts w:eastAsia="Times New Roman"/>
          <w:b/>
          <w:bCs/>
          <w:i/>
          <w:iCs/>
          <w:color w:val="000000"/>
          <w:sz w:val="20"/>
          <w:szCs w:val="20"/>
        </w:rPr>
        <w:t>Loans</w:t>
      </w:r>
      <w:r>
        <w:rPr>
          <w:rFonts w:eastAsia="Times New Roman"/>
          <w:color w:val="000000"/>
          <w:sz w:val="20"/>
          <w:szCs w:val="20"/>
        </w:rPr>
        <w:t xml:space="preserve"> – Loans held for investment increased by $93.9 million, or 7.0%, equal to $1</w:t>
      </w:r>
      <w:r>
        <w:rPr>
          <w:rFonts w:eastAsia="Times New Roman"/>
          <w:color w:val="000000"/>
          <w:sz w:val="20"/>
          <w:szCs w:val="20"/>
        </w:rPr>
        <w:t>.4 billion as of June 30, 2022 as compared to the end of the linked quarter. Year-over-year, loans held for investment grew $133.9 million, or 10.4%, from $1.3 billion as of June 30, 2021.</w:t>
      </w:r>
    </w:p>
    <w:p w:rsidR="00000000" w:rsidRDefault="00100014">
      <w:pPr>
        <w:jc w:val="both"/>
        <w:divId w:val="1069692116"/>
        <w:rPr>
          <w:rFonts w:eastAsia="Times New Roman"/>
        </w:rPr>
      </w:pPr>
      <w:r>
        <w:rPr>
          <w:rFonts w:eastAsia="Times New Roman"/>
          <w:b/>
          <w:bCs/>
          <w:i/>
          <w:iCs/>
          <w:color w:val="000000"/>
          <w:sz w:val="20"/>
          <w:szCs w:val="20"/>
        </w:rPr>
        <w:t>Asset quality</w:t>
      </w:r>
      <w:r>
        <w:rPr>
          <w:rFonts w:eastAsia="Times New Roman"/>
          <w:color w:val="000000"/>
          <w:sz w:val="20"/>
          <w:szCs w:val="20"/>
        </w:rPr>
        <w:t xml:space="preserve"> – Non-performing loans totaled $17.8 million at June </w:t>
      </w:r>
      <w:r>
        <w:rPr>
          <w:rFonts w:eastAsia="Times New Roman"/>
          <w:color w:val="000000"/>
          <w:sz w:val="20"/>
          <w:szCs w:val="20"/>
        </w:rPr>
        <w:t xml:space="preserve">30, 2022, an increase of $0.7 million from $17.1 million at the end of the linked quarter, and a decrease of $16.0 million from $33.8 million at the end of the prior year quarter. The reduction in non-performing loans in the current quarter as compared to </w:t>
      </w:r>
      <w:r>
        <w:rPr>
          <w:rFonts w:eastAsia="Times New Roman"/>
          <w:color w:val="000000"/>
          <w:sz w:val="20"/>
          <w:szCs w:val="20"/>
        </w:rPr>
        <w:t>the prior year quarter was primarily due to several large non-accrual loans returning to accrual status. The allowance for loan losses to total loans was 1.08% at June 30, 2022, compared to 1.30% at December 31, 2021 and 1.45% at June 30, 2021. These chang</w:t>
      </w:r>
      <w:r>
        <w:rPr>
          <w:rFonts w:eastAsia="Times New Roman"/>
          <w:color w:val="000000"/>
          <w:sz w:val="20"/>
          <w:szCs w:val="20"/>
        </w:rPr>
        <w:t xml:space="preserve">es are discussed in greater detail under the </w:t>
      </w:r>
      <w:r>
        <w:rPr>
          <w:rFonts w:eastAsia="Times New Roman"/>
          <w:i/>
          <w:iCs/>
          <w:color w:val="000000"/>
          <w:sz w:val="20"/>
          <w:szCs w:val="20"/>
        </w:rPr>
        <w:t>Lending and Credit Management</w:t>
      </w:r>
      <w:r>
        <w:rPr>
          <w:rFonts w:eastAsia="Times New Roman"/>
          <w:color w:val="000000"/>
          <w:sz w:val="20"/>
          <w:szCs w:val="20"/>
        </w:rPr>
        <w:t xml:space="preserve"> section below.</w:t>
      </w:r>
    </w:p>
    <w:p w:rsidR="00000000" w:rsidRDefault="00100014">
      <w:pPr>
        <w:jc w:val="both"/>
        <w:divId w:val="1286473152"/>
        <w:rPr>
          <w:rFonts w:eastAsia="Times New Roman"/>
        </w:rPr>
      </w:pPr>
      <w:r>
        <w:rPr>
          <w:rFonts w:eastAsia="Times New Roman"/>
          <w:b/>
          <w:bCs/>
          <w:i/>
          <w:iCs/>
          <w:color w:val="000000"/>
          <w:sz w:val="20"/>
          <w:szCs w:val="20"/>
        </w:rPr>
        <w:t>Deposit</w:t>
      </w:r>
      <w:r>
        <w:rPr>
          <w:rFonts w:eastAsia="Times New Roman"/>
          <w:b/>
          <w:bCs/>
          <w:color w:val="000000"/>
          <w:sz w:val="20"/>
          <w:szCs w:val="20"/>
        </w:rPr>
        <w:t>s</w:t>
      </w:r>
      <w:r>
        <w:rPr>
          <w:rFonts w:eastAsia="Times New Roman"/>
          <w:color w:val="000000"/>
          <w:sz w:val="20"/>
          <w:szCs w:val="20"/>
        </w:rPr>
        <w:t xml:space="preserve"> – Total deposits increased by $74.7 million, or 5.1%, equal to $1.5 billion as of June 30, 2022 as compared to the end of the linked quarter. Year-over-year </w:t>
      </w:r>
      <w:r>
        <w:rPr>
          <w:rFonts w:eastAsia="Times New Roman"/>
          <w:color w:val="000000"/>
          <w:sz w:val="20"/>
          <w:szCs w:val="20"/>
        </w:rPr>
        <w:t>deposits grew $149.8 million, or 10.8%, from $1.4 billion as of June 30, 2021.</w:t>
      </w:r>
    </w:p>
    <w:p w:rsidR="00000000" w:rsidRDefault="00100014">
      <w:pPr>
        <w:jc w:val="both"/>
        <w:divId w:val="669331264"/>
        <w:rPr>
          <w:rFonts w:eastAsia="Times New Roman"/>
        </w:rPr>
      </w:pPr>
      <w:r>
        <w:rPr>
          <w:rFonts w:eastAsia="Times New Roman"/>
          <w:b/>
          <w:bCs/>
          <w:i/>
          <w:iCs/>
          <w:color w:val="000000"/>
          <w:sz w:val="20"/>
          <w:szCs w:val="20"/>
        </w:rPr>
        <w:t>Capital</w:t>
      </w:r>
      <w:r>
        <w:rPr>
          <w:rFonts w:eastAsia="Times New Roman"/>
          <w:color w:val="000000"/>
          <w:sz w:val="20"/>
          <w:szCs w:val="20"/>
        </w:rPr>
        <w:t xml:space="preserve"> – Total shareholder’</w:t>
      </w:r>
      <w:r>
        <w:rPr>
          <w:rFonts w:eastAsia="Times New Roman"/>
          <w:color w:val="000000"/>
          <w:sz w:val="20"/>
          <w:szCs w:val="20"/>
        </w:rPr>
        <w:t>s equity was $124.1 million and the common equity to assets ratio was 6.93% at June 30, 2022 as compared to 7.74% and 7.99% at the end of the linked quarter and the prior year quarter, respectively. Regulatory capital ratios remain “well-capitalized,” with</w:t>
      </w:r>
      <w:r>
        <w:rPr>
          <w:rFonts w:eastAsia="Times New Roman"/>
          <w:color w:val="000000"/>
          <w:sz w:val="20"/>
          <w:szCs w:val="20"/>
        </w:rPr>
        <w:t xml:space="preserve"> tier 1 leverage ratio of 10.98% and a total risk-based capital ratio of 13.97% at June 30, 2022. </w:t>
      </w:r>
    </w:p>
    <w:p w:rsidR="00000000" w:rsidRDefault="00100014">
      <w:pPr>
        <w:jc w:val="both"/>
        <w:divId w:val="1183129910"/>
        <w:rPr>
          <w:rFonts w:eastAsia="Times New Roman"/>
        </w:rPr>
      </w:pPr>
      <w:r>
        <w:rPr>
          <w:rFonts w:eastAsia="Times New Roman"/>
          <w:b/>
          <w:bCs/>
          <w:i/>
          <w:iCs/>
          <w:color w:val="000000"/>
          <w:sz w:val="20"/>
          <w:szCs w:val="20"/>
        </w:rPr>
        <w:t>Average Balance Sheet Data</w:t>
      </w:r>
    </w:p>
    <w:p w:rsidR="00000000" w:rsidRDefault="00100014">
      <w:pPr>
        <w:jc w:val="both"/>
        <w:rPr>
          <w:rFonts w:eastAsia="Times New Roman"/>
        </w:rPr>
      </w:pPr>
      <w:r>
        <w:rPr>
          <w:rFonts w:eastAsia="Times New Roman"/>
          <w:b/>
          <w:bCs/>
          <w:i/>
          <w:iCs/>
          <w:color w:val="000000"/>
          <w:sz w:val="20"/>
          <w:szCs w:val="20"/>
        </w:rPr>
        <w:t>Net interest income</w:t>
      </w:r>
      <w:r>
        <w:rPr>
          <w:rFonts w:eastAsia="Times New Roman"/>
          <w:color w:val="000000"/>
          <w:sz w:val="20"/>
          <w:szCs w:val="20"/>
        </w:rPr>
        <w:t xml:space="preserve"> is the largest source of revenue resulting from the Company’s lending, investing, borrowing, and deposit gathe</w:t>
      </w:r>
      <w:r>
        <w:rPr>
          <w:rFonts w:eastAsia="Times New Roman"/>
          <w:color w:val="000000"/>
          <w:sz w:val="20"/>
          <w:szCs w:val="20"/>
        </w:rPr>
        <w:t>ring activities. It is affected both by changes in the level of interest rates and changes in the amounts and mix of interest earning assets and interest-bearing liabilities. The following table presents average balance sheet data, net interest income, ave</w:t>
      </w:r>
      <w:r>
        <w:rPr>
          <w:rFonts w:eastAsia="Times New Roman"/>
          <w:color w:val="000000"/>
          <w:sz w:val="20"/>
          <w:szCs w:val="20"/>
        </w:rPr>
        <w:t>rage yields of earning assets, average costs of interest-bearing liabilities, net interest spread and net interest margin on a fully taxable equivalent basis for each of the three and six month periods ended June 30, 2022 and 2021, respectively. The averag</w:t>
      </w:r>
      <w:r>
        <w:rPr>
          <w:rFonts w:eastAsia="Times New Roman"/>
          <w:color w:val="000000"/>
          <w:sz w:val="20"/>
          <w:szCs w:val="20"/>
        </w:rPr>
        <w:t>e balances used in this table and other statistical data were calculated using average daily balances.</w:t>
      </w:r>
    </w:p>
    <w:p w:rsidR="00000000" w:rsidRDefault="00100014">
      <w:pPr>
        <w:divId w:val="378021345"/>
        <w:rPr>
          <w:rFonts w:eastAsia="Times New Roman"/>
        </w:rPr>
      </w:pPr>
    </w:p>
    <w:p w:rsidR="00000000" w:rsidRDefault="00100014">
      <w:pPr>
        <w:jc w:val="center"/>
        <w:divId w:val="695928576"/>
        <w:rPr>
          <w:rFonts w:eastAsia="Times New Roman"/>
        </w:rPr>
      </w:pPr>
      <w:r>
        <w:rPr>
          <w:rFonts w:eastAsia="Times New Roman"/>
          <w:color w:val="000000"/>
          <w:sz w:val="20"/>
          <w:szCs w:val="20"/>
        </w:rPr>
        <w:t>40</w:t>
      </w:r>
    </w:p>
    <w:p w:rsidR="00000000" w:rsidRDefault="00100014">
      <w:pPr>
        <w:rPr>
          <w:rFonts w:eastAsia="Times New Roman"/>
        </w:rPr>
      </w:pPr>
      <w:r>
        <w:rPr>
          <w:rFonts w:eastAsia="Times New Roman"/>
        </w:rPr>
        <w:pict>
          <v:rect id="_x0000_i1064" style="width:0;height:1.5pt" o:hralign="center" o:hrstd="t" o:hr="t" fillcolor="#a0a0a0" stroked="f"/>
        </w:pict>
      </w:r>
    </w:p>
    <w:p w:rsidR="00000000" w:rsidRDefault="00100014">
      <w:pPr>
        <w:divId w:val="1360204310"/>
        <w:rPr>
          <w:rFonts w:eastAsia="Times New Roman"/>
        </w:rPr>
      </w:pPr>
    </w:p>
    <w:tbl>
      <w:tblPr>
        <w:tblW w:w="4977" w:type="pct"/>
        <w:tblCellMar>
          <w:top w:w="15" w:type="dxa"/>
          <w:left w:w="15" w:type="dxa"/>
          <w:bottom w:w="15" w:type="dxa"/>
          <w:right w:w="15" w:type="dxa"/>
        </w:tblCellMar>
        <w:tblLook w:val="04A0" w:firstRow="1" w:lastRow="0" w:firstColumn="1" w:lastColumn="0" w:noHBand="0" w:noVBand="1"/>
      </w:tblPr>
      <w:tblGrid>
        <w:gridCol w:w="48"/>
        <w:gridCol w:w="3236"/>
        <w:gridCol w:w="38"/>
        <w:gridCol w:w="101"/>
        <w:gridCol w:w="666"/>
        <w:gridCol w:w="37"/>
        <w:gridCol w:w="36"/>
        <w:gridCol w:w="36"/>
        <w:gridCol w:w="36"/>
        <w:gridCol w:w="101"/>
        <w:gridCol w:w="641"/>
        <w:gridCol w:w="36"/>
        <w:gridCol w:w="36"/>
        <w:gridCol w:w="36"/>
        <w:gridCol w:w="36"/>
        <w:gridCol w:w="69"/>
        <w:gridCol w:w="544"/>
        <w:gridCol w:w="36"/>
        <w:gridCol w:w="101"/>
        <w:gridCol w:w="666"/>
        <w:gridCol w:w="37"/>
        <w:gridCol w:w="36"/>
        <w:gridCol w:w="36"/>
        <w:gridCol w:w="36"/>
        <w:gridCol w:w="101"/>
        <w:gridCol w:w="641"/>
        <w:gridCol w:w="36"/>
        <w:gridCol w:w="36"/>
        <w:gridCol w:w="36"/>
        <w:gridCol w:w="36"/>
        <w:gridCol w:w="64"/>
        <w:gridCol w:w="601"/>
        <w:gridCol w:w="36"/>
      </w:tblGrid>
      <w:tr w:rsidR="00000000">
        <w:trPr>
          <w:divId w:val="248781901"/>
        </w:trPr>
        <w:tc>
          <w:tcPr>
            <w:tcW w:w="50" w:type="pct"/>
            <w:vAlign w:val="center"/>
            <w:hideMark/>
          </w:tcPr>
          <w:p w:rsidR="00000000" w:rsidRDefault="00100014">
            <w:pPr>
              <w:rPr>
                <w:rFonts w:eastAsia="Times New Roman"/>
              </w:rPr>
            </w:pPr>
          </w:p>
        </w:tc>
        <w:tc>
          <w:tcPr>
            <w:tcW w:w="197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7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0"/>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 2022</w:t>
            </w:r>
          </w:p>
        </w:tc>
      </w:tr>
      <w:tr w:rsidR="00000000">
        <w:trPr>
          <w:divId w:val="248781901"/>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24878190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xml:space="preserve">Rate Earned/ Paid (1) </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Rate Earned/ Paid (1)</w:t>
            </w:r>
          </w:p>
        </w:tc>
      </w:tr>
      <w:tr w:rsidR="00000000">
        <w:trPr>
          <w:divId w:val="24878190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(2) (3)</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Commercial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232,187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4.86%</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256,557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2,999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4.69%</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construction - residential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23,167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276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4.78</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35,005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4.89</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construction - commercial</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107,744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4.34</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77,726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912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4.71</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residential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296,119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3,048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4.13</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263,477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4.33</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commercial</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681,926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7,208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4.24</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618,126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6,620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4.30</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22,865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24,794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3.93</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1,364,008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14,715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1,275,685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14,044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4.42%</w:t>
            </w: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held for sale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1,682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6.20</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2.76</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Investment securities:</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Treasury</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4,135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1.07</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3,039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1.06</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government and federal agency obligations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25,917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1.44</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22,729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1.76</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Obligations of states and political subdivisions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117,103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1,091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3.74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88,153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670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3.05</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Mortgage-backed securities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118,113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501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1.70</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131,134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1.27</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debt securities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13,012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4.90</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12,887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4.89</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investment securities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278,280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1,855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2.67</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257,942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1,351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2.10</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5,446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4.86</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6,070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5.35</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645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2.49</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5,980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0.07</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bearing deposits in other financial institutions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16,953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1.02</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110,674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0.32</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earning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1,667,014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16,709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4.02%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1,660,573</w:t>
            </w:r>
          </w:p>
        </w:tc>
        <w:tc>
          <w:tcPr>
            <w:tcW w:w="0" w:type="auto"/>
            <w:gridSpan w:val="3"/>
            <w:tcBorders>
              <w:top w:val="single" w:sz="8" w:space="0" w:color="000000"/>
            </w:tcBorders>
            <w:shd w:val="clear" w:color="auto" w:fill="CCEEFF"/>
            <w:tcMar>
              <w:top w:w="0" w:type="dxa"/>
              <w:left w:w="20" w:type="dxa"/>
              <w:bottom w:w="0" w:type="dxa"/>
              <w:right w:w="27"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15,593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3.77%</w:t>
            </w: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All other assets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86,474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85,372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Allowance for loan losses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(14,383)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(18,467)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1,739,105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1,727,478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Savings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180,781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156,943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0.04%</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NOW accounts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267,441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0.54</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227,179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0.24</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checking</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25,823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0.84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41,336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0.46</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Money market</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293,251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0.20</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281,832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0.12</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247,511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324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0.53</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246,862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504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0.82</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bearing deposits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1,014,807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902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0.36%</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954,152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0.33%</w:t>
            </w: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6,548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0.55</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45,261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0.23</w:t>
            </w:r>
          </w:p>
        </w:tc>
      </w:tr>
      <w:tr w:rsidR="00000000">
        <w:trPr>
          <w:divId w:val="24878190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76,198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1.31</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94,823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1.63</w:t>
            </w: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Subordinated notes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3.42</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2.49</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borrowings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132,232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679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2.06</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189,570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718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1.52</w:t>
            </w: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bearing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1,147,039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1,581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0.55%</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1,143,722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1,498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0.53%</w:t>
            </w: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Demand deposits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453,348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433,878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liabilities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10,110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15,878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1,610,497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1,593,478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Stockholders' equity</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128,608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134,000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1,739,105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1,727,478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income (FTE)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15,128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14,095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48781901"/>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spread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3.47%</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3.24%</w:t>
            </w:r>
          </w:p>
        </w:tc>
      </w:tr>
      <w:tr w:rsidR="00000000">
        <w:trPr>
          <w:divId w:val="248781901"/>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margin</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3.64%</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3.40%</w:t>
            </w:r>
          </w:p>
        </w:tc>
      </w:tr>
    </w:tbl>
    <w:p w:rsidR="00000000" w:rsidRDefault="00100014">
      <w:pPr>
        <w:ind w:hanging="450"/>
        <w:divId w:val="1435445251"/>
        <w:rPr>
          <w:rFonts w:eastAsia="Times New Roman"/>
        </w:rPr>
      </w:pPr>
      <w:r>
        <w:rPr>
          <w:rFonts w:eastAsia="Times New Roman"/>
          <w:color w:val="000000"/>
          <w:sz w:val="14"/>
          <w:szCs w:val="14"/>
        </w:rPr>
        <w:t>(1)Interest income and yields are presented on a fully taxable equivalent basis using the federal statutory income tax rate of 21%, net of nondeductible interest expense, for the three months ended June 30, 2022 and 2021. Such adjustments totaled $0.6 mill</w:t>
      </w:r>
      <w:r>
        <w:rPr>
          <w:rFonts w:eastAsia="Times New Roman"/>
          <w:color w:val="000000"/>
          <w:sz w:val="14"/>
          <w:szCs w:val="14"/>
        </w:rPr>
        <w:t>ion and $0.4 million for the three months ended June 30, 2022 and 2021, respectively.</w:t>
      </w:r>
    </w:p>
    <w:p w:rsidR="00000000" w:rsidRDefault="00100014">
      <w:pPr>
        <w:ind w:hanging="450"/>
        <w:divId w:val="253903684"/>
        <w:rPr>
          <w:rFonts w:eastAsia="Times New Roman"/>
        </w:rPr>
      </w:pPr>
      <w:r>
        <w:rPr>
          <w:rFonts w:eastAsia="Times New Roman"/>
          <w:color w:val="000000"/>
          <w:sz w:val="14"/>
          <w:szCs w:val="14"/>
        </w:rPr>
        <w:t>(2)Non-accruing loans are included in the average amounts outstanding.</w:t>
      </w:r>
    </w:p>
    <w:p w:rsidR="00000000" w:rsidRDefault="00100014">
      <w:pPr>
        <w:ind w:hanging="450"/>
        <w:divId w:val="824249680"/>
        <w:rPr>
          <w:rFonts w:eastAsia="Times New Roman"/>
        </w:rPr>
      </w:pPr>
      <w:r>
        <w:rPr>
          <w:rFonts w:eastAsia="Times New Roman"/>
          <w:color w:val="000000"/>
          <w:sz w:val="14"/>
          <w:szCs w:val="14"/>
        </w:rPr>
        <w:t>(3)Fees and costs on loans are included in interest income ($0.1 million and $0.5 million of PPP fe</w:t>
      </w:r>
      <w:r>
        <w:rPr>
          <w:rFonts w:eastAsia="Times New Roman"/>
          <w:color w:val="000000"/>
          <w:sz w:val="14"/>
          <w:szCs w:val="14"/>
        </w:rPr>
        <w:t>es were included in commercial loan income for the three months ended June 30, 2022 and 2021, respectively)</w:t>
      </w:r>
    </w:p>
    <w:p w:rsidR="00000000" w:rsidRDefault="00100014">
      <w:pPr>
        <w:jc w:val="center"/>
        <w:divId w:val="1372605746"/>
        <w:rPr>
          <w:rFonts w:eastAsia="Times New Roman"/>
        </w:rPr>
      </w:pPr>
      <w:r>
        <w:rPr>
          <w:rFonts w:eastAsia="Times New Roman"/>
          <w:color w:val="000000"/>
          <w:sz w:val="20"/>
          <w:szCs w:val="20"/>
        </w:rPr>
        <w:t>41</w:t>
      </w:r>
    </w:p>
    <w:p w:rsidR="00000000" w:rsidRDefault="00100014">
      <w:pPr>
        <w:rPr>
          <w:rFonts w:eastAsia="Times New Roman"/>
        </w:rPr>
      </w:pPr>
      <w:r>
        <w:rPr>
          <w:rFonts w:eastAsia="Times New Roman"/>
        </w:rPr>
        <w:pict>
          <v:rect id="_x0000_i1065" style="width:0;height:1.5pt" o:hralign="center" o:hrstd="t" o:hr="t" fillcolor="#a0a0a0" stroked="f"/>
        </w:pict>
      </w:r>
    </w:p>
    <w:p w:rsidR="00000000" w:rsidRDefault="00100014">
      <w:pPr>
        <w:divId w:val="37292622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3375"/>
        <w:gridCol w:w="38"/>
        <w:gridCol w:w="101"/>
        <w:gridCol w:w="666"/>
        <w:gridCol w:w="37"/>
        <w:gridCol w:w="36"/>
        <w:gridCol w:w="36"/>
        <w:gridCol w:w="36"/>
        <w:gridCol w:w="101"/>
        <w:gridCol w:w="640"/>
        <w:gridCol w:w="36"/>
        <w:gridCol w:w="36"/>
        <w:gridCol w:w="36"/>
        <w:gridCol w:w="36"/>
        <w:gridCol w:w="80"/>
        <w:gridCol w:w="505"/>
        <w:gridCol w:w="36"/>
        <w:gridCol w:w="101"/>
        <w:gridCol w:w="660"/>
        <w:gridCol w:w="37"/>
        <w:gridCol w:w="36"/>
        <w:gridCol w:w="36"/>
        <w:gridCol w:w="36"/>
        <w:gridCol w:w="101"/>
        <w:gridCol w:w="574"/>
        <w:gridCol w:w="36"/>
        <w:gridCol w:w="36"/>
        <w:gridCol w:w="36"/>
        <w:gridCol w:w="36"/>
        <w:gridCol w:w="65"/>
        <w:gridCol w:w="601"/>
        <w:gridCol w:w="36"/>
      </w:tblGrid>
      <w:tr w:rsidR="00000000">
        <w:trPr>
          <w:divId w:val="633290794"/>
        </w:trPr>
        <w:tc>
          <w:tcPr>
            <w:tcW w:w="50" w:type="pct"/>
            <w:vAlign w:val="center"/>
            <w:hideMark/>
          </w:tcPr>
          <w:p w:rsidR="00000000" w:rsidRDefault="00100014">
            <w:pPr>
              <w:rPr>
                <w:rFonts w:eastAsia="Times New Roman"/>
              </w:rPr>
            </w:pPr>
          </w:p>
        </w:tc>
        <w:tc>
          <w:tcPr>
            <w:tcW w:w="20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1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0"/>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 2022</w:t>
            </w:r>
          </w:p>
        </w:tc>
      </w:tr>
      <w:tr w:rsidR="00000000">
        <w:trPr>
          <w:divId w:val="633290794"/>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15"/>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633290794"/>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xml:space="preserve">Rate Earned/ Paid (1) </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Balance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Interest Income/ Expense (1)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Rate Earned/ Paid (1)</w:t>
            </w:r>
          </w:p>
        </w:tc>
      </w:tr>
      <w:tr w:rsidR="00000000">
        <w:trPr>
          <w:divId w:val="63329079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ASSETS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(2) (3)</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Commercial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226,569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5,648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5.03%</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257,087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7,156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5.61%</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construction - residential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23,311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532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4.60</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34,252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4.84</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construction - commercial</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101,872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2,161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4.28</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78,150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1,791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4.62</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residential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289,011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5,880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4.10</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261,768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5,684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4.38</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mortgage - commercial</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676,350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14,146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4.22</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619,991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13,219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4.30</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Installment and other consumer</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22,605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408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25,390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508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4.03</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1,339,718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28,775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4.33%</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1,276,638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29,180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4.61%</w:t>
            </w: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Loans held for sale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1,983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4.68</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4,857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2.24</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Investment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Treasury</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4,073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0.79</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3,023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1.07</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U.S. government and federal agency obligations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26,640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1.39</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23,473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201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1.73</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Obligations of states and political subdivisions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121,814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2,113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3.50</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74,878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1,121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3.02</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Mortgage-backed securities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125,476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1.62</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123,351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798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1.30</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debt securities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13,233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313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4.77</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12,216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4.99</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investment securities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291,236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3,636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2.52</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236,941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2,438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2.07</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investment securities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5,429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5.24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6,026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5.52</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sold</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3,423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0.29</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13,089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0.08</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bearing deposits in other financial institutions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43,740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0.47</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119,811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0.31</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earning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1,685,529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32,705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3.91%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1,657,362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32,027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3.90%</w:t>
            </w: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All other assets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84,893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84,893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Allowance for loan losses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(15,648)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(18,467)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1,754,774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1,723,788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LIABILITIES AND STOCKHOLDERS' EQUITY</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Savings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178,726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149,879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0.03%</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NOW accounts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266,497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0.42</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229,234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272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0.24</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Interest checking</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27,601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81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0.59</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51,373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0.48</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Money market</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291,207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232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0.16</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280,539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0.12</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Time deposits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254,033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714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0.57</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256,899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1,176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0.92</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bearing deposits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1,018,064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1,607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0.32%</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967,924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1,760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0.37%</w:t>
            </w: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funds purchased and securities sold under agreements to repurchase</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10,149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0.38</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43,394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0.24</w:t>
            </w:r>
          </w:p>
        </w:tc>
      </w:tr>
      <w:tr w:rsidR="00000000">
        <w:trPr>
          <w:divId w:val="63329079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Federal Home Loan Bank advances and other borrowings</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76,795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501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1.32</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96,479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781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1.63</w:t>
            </w: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Subordinated notes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745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3.04</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49,486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617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2.51</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borrowings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136,430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1,265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1.87</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189,359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1,450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1.54</w:t>
            </w: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interest bearing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1,154,494</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2,872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0.50%</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1,157,283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3,210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0.56%</w:t>
            </w: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Demand deposits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451,273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416,749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 liabilities</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11,969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17,070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1,617,736</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1,591,102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Stockholders' equity</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137,038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132,686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liabilities and stockholders'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1,754,774</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1,723,788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income (FTE)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29,833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28,817</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633290794"/>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spread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3.41%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3.34%</w:t>
            </w:r>
          </w:p>
        </w:tc>
      </w:tr>
      <w:tr w:rsidR="00000000">
        <w:trPr>
          <w:divId w:val="633290794"/>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Net interest margin</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3.57%</w:t>
            </w: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6"/>
                <w:szCs w:val="16"/>
              </w:rPr>
              <w:t>3.51%</w:t>
            </w:r>
          </w:p>
        </w:tc>
      </w:tr>
    </w:tbl>
    <w:p w:rsidR="00000000" w:rsidRDefault="00100014">
      <w:pPr>
        <w:ind w:hanging="450"/>
        <w:divId w:val="835069402"/>
        <w:rPr>
          <w:rFonts w:eastAsia="Times New Roman"/>
        </w:rPr>
      </w:pPr>
      <w:r>
        <w:rPr>
          <w:rFonts w:eastAsia="Times New Roman"/>
          <w:color w:val="000000"/>
          <w:sz w:val="14"/>
          <w:szCs w:val="14"/>
        </w:rPr>
        <w:t>(1)Interest income and yields are presented on a fully taxable equivalent basis using the federal statutory income tax rate of 21%, net of nondeductible interest expense, for the six months ended June 30, 2022 and 2021. Such adjustments totaled $1.1 millio</w:t>
      </w:r>
      <w:r>
        <w:rPr>
          <w:rFonts w:eastAsia="Times New Roman"/>
          <w:color w:val="000000"/>
          <w:sz w:val="14"/>
          <w:szCs w:val="14"/>
        </w:rPr>
        <w:t>n and $0.8 million for the six months ended June 30, 2022 and 2021, respectively.</w:t>
      </w:r>
    </w:p>
    <w:p w:rsidR="00000000" w:rsidRDefault="00100014">
      <w:pPr>
        <w:ind w:hanging="450"/>
        <w:divId w:val="1015350089"/>
        <w:rPr>
          <w:rFonts w:eastAsia="Times New Roman"/>
        </w:rPr>
      </w:pPr>
      <w:r>
        <w:rPr>
          <w:rFonts w:eastAsia="Times New Roman"/>
          <w:color w:val="000000"/>
          <w:sz w:val="14"/>
          <w:szCs w:val="14"/>
        </w:rPr>
        <w:t>(2)Non-accruing loans are included in the average amounts outstanding.</w:t>
      </w:r>
    </w:p>
    <w:p w:rsidR="00000000" w:rsidRDefault="00100014">
      <w:pPr>
        <w:ind w:hanging="450"/>
        <w:divId w:val="147750048"/>
        <w:rPr>
          <w:rFonts w:eastAsia="Times New Roman"/>
        </w:rPr>
      </w:pPr>
      <w:r>
        <w:rPr>
          <w:rFonts w:eastAsia="Times New Roman"/>
          <w:color w:val="000000"/>
          <w:sz w:val="14"/>
          <w:szCs w:val="14"/>
        </w:rPr>
        <w:t>(3)Fees and costs on loans are included in interest income ($0.3 million and $2.0 million of PPP fees w</w:t>
      </w:r>
      <w:r>
        <w:rPr>
          <w:rFonts w:eastAsia="Times New Roman"/>
          <w:color w:val="000000"/>
          <w:sz w:val="14"/>
          <w:szCs w:val="14"/>
        </w:rPr>
        <w:t>ere included in commercial loan income for the six months ended June 30, 2022 and 2021, respectively).</w:t>
      </w:r>
    </w:p>
    <w:p w:rsidR="00000000" w:rsidRDefault="00100014">
      <w:pPr>
        <w:jc w:val="center"/>
        <w:divId w:val="1007053870"/>
        <w:rPr>
          <w:rFonts w:eastAsia="Times New Roman"/>
        </w:rPr>
      </w:pPr>
      <w:r>
        <w:rPr>
          <w:rFonts w:eastAsia="Times New Roman"/>
          <w:color w:val="000000"/>
          <w:sz w:val="20"/>
          <w:szCs w:val="20"/>
        </w:rPr>
        <w:t>42</w:t>
      </w:r>
    </w:p>
    <w:p w:rsidR="00000000" w:rsidRDefault="00100014">
      <w:pPr>
        <w:rPr>
          <w:rFonts w:eastAsia="Times New Roman"/>
        </w:rPr>
      </w:pPr>
      <w:r>
        <w:rPr>
          <w:rFonts w:eastAsia="Times New Roman"/>
        </w:rPr>
        <w:pict>
          <v:rect id="_x0000_i1066" style="width:0;height:1.5pt" o:hralign="center" o:hrstd="t" o:hr="t" fillcolor="#a0a0a0" stroked="f"/>
        </w:pict>
      </w:r>
    </w:p>
    <w:p w:rsidR="00000000" w:rsidRDefault="00100014">
      <w:pPr>
        <w:divId w:val="1478230815"/>
        <w:rPr>
          <w:rFonts w:eastAsia="Times New Roman"/>
        </w:rPr>
      </w:pPr>
    </w:p>
    <w:p w:rsidR="00000000" w:rsidRDefault="00100014">
      <w:pPr>
        <w:divId w:val="1580601834"/>
        <w:rPr>
          <w:rFonts w:eastAsia="Times New Roman"/>
        </w:rPr>
      </w:pPr>
      <w:r>
        <w:rPr>
          <w:rFonts w:eastAsia="Times New Roman"/>
          <w:b/>
          <w:bCs/>
          <w:i/>
          <w:iCs/>
          <w:color w:val="000000"/>
          <w:sz w:val="20"/>
          <w:szCs w:val="20"/>
        </w:rPr>
        <w:t>Rate and Volume Analysis</w:t>
      </w:r>
    </w:p>
    <w:p w:rsidR="00000000" w:rsidRDefault="00100014">
      <w:pPr>
        <w:jc w:val="both"/>
        <w:divId w:val="1439372495"/>
        <w:rPr>
          <w:rFonts w:eastAsia="Times New Roman"/>
        </w:rPr>
      </w:pPr>
      <w:r>
        <w:rPr>
          <w:rFonts w:eastAsia="Times New Roman"/>
          <w:color w:val="000000"/>
          <w:sz w:val="20"/>
          <w:szCs w:val="20"/>
        </w:rPr>
        <w:t>The following table summarizes the changes in net interest income on a fully taxable equivalent basis, by major category of interest earning assets and interest-bearing liabilities, identifying changes related to volumes and rates for the three and six mon</w:t>
      </w:r>
      <w:r>
        <w:rPr>
          <w:rFonts w:eastAsia="Times New Roman"/>
          <w:color w:val="000000"/>
          <w:sz w:val="20"/>
          <w:szCs w:val="20"/>
        </w:rPr>
        <w:t>ths ended June 30, 2022 compared to the three and six months ended June 30, 2021. The change in interest due to the combined rate/volume variance has been allocated to rate and volume changes in proportion to the absolute dollar amounts of change in each.</w:t>
      </w:r>
    </w:p>
    <w:tbl>
      <w:tblPr>
        <w:tblW w:w="5000" w:type="pct"/>
        <w:tblCellMar>
          <w:top w:w="15" w:type="dxa"/>
          <w:left w:w="15" w:type="dxa"/>
          <w:bottom w:w="15" w:type="dxa"/>
          <w:right w:w="15" w:type="dxa"/>
        </w:tblCellMar>
        <w:tblLook w:val="04A0" w:firstRow="1" w:lastRow="0" w:firstColumn="1" w:lastColumn="0" w:noHBand="0" w:noVBand="1"/>
      </w:tblPr>
      <w:tblGrid>
        <w:gridCol w:w="40"/>
        <w:gridCol w:w="3608"/>
        <w:gridCol w:w="39"/>
        <w:gridCol w:w="110"/>
        <w:gridCol w:w="513"/>
        <w:gridCol w:w="36"/>
        <w:gridCol w:w="36"/>
        <w:gridCol w:w="36"/>
        <w:gridCol w:w="36"/>
        <w:gridCol w:w="111"/>
        <w:gridCol w:w="527"/>
        <w:gridCol w:w="37"/>
        <w:gridCol w:w="36"/>
        <w:gridCol w:w="36"/>
        <w:gridCol w:w="36"/>
        <w:gridCol w:w="111"/>
        <w:gridCol w:w="534"/>
        <w:gridCol w:w="36"/>
        <w:gridCol w:w="36"/>
        <w:gridCol w:w="36"/>
        <w:gridCol w:w="36"/>
        <w:gridCol w:w="110"/>
        <w:gridCol w:w="573"/>
        <w:gridCol w:w="36"/>
        <w:gridCol w:w="36"/>
        <w:gridCol w:w="36"/>
        <w:gridCol w:w="36"/>
        <w:gridCol w:w="111"/>
        <w:gridCol w:w="527"/>
        <w:gridCol w:w="36"/>
        <w:gridCol w:w="36"/>
        <w:gridCol w:w="36"/>
        <w:gridCol w:w="36"/>
        <w:gridCol w:w="110"/>
        <w:gridCol w:w="525"/>
        <w:gridCol w:w="36"/>
      </w:tblGrid>
      <w:tr w:rsidR="00000000">
        <w:trPr>
          <w:divId w:val="258951444"/>
        </w:trPr>
        <w:tc>
          <w:tcPr>
            <w:tcW w:w="50" w:type="pct"/>
            <w:vAlign w:val="center"/>
            <w:hideMark/>
          </w:tcPr>
          <w:p w:rsidR="00000000" w:rsidRDefault="00100014">
            <w:pPr>
              <w:jc w:val="both"/>
              <w:rPr>
                <w:rFonts w:eastAsia="Times New Roman"/>
              </w:rPr>
            </w:pPr>
          </w:p>
        </w:tc>
        <w:tc>
          <w:tcPr>
            <w:tcW w:w="220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3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5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5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58951444"/>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258951444"/>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 vs. 2021</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 vs. 2021</w:t>
            </w:r>
          </w:p>
        </w:tc>
      </w:tr>
      <w:tr w:rsidR="00000000">
        <w:trPr>
          <w:divId w:val="258951444"/>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Change due to</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Change due to</w:t>
            </w:r>
          </w:p>
        </w:tc>
      </w:tr>
      <w:tr w:rsidR="00000000">
        <w:trPr>
          <w:divId w:val="25895144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Rate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Volume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Rate</w:t>
            </w:r>
          </w:p>
        </w:tc>
      </w:tr>
      <w:tr w:rsidR="00000000">
        <w:trPr>
          <w:divId w:val="25895144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Interest income on a fully taxable equivalent basis: (1)</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Loans: (2) (3)</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 </w:t>
            </w: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Commercial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(183)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(292)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(1,508)</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(802)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(706)</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Real estate construction -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(151)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(290)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(251)</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Real estate construction -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370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511 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Real estate mortgage - residential</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205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568 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(372)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Real estate mortgage - commercial</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588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676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927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1183 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(256)</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Installment and other consumer</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(100)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(47)</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Loans held for sale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(44)</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 xml:space="preserve">Investment securities: </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U.S. Treasury</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U.S. government and federal agency obligations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Obligations of states and political subdivisions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250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171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992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792 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Mortgage-backed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212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198 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Other debt securities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 xml:space="preserve">Other investment securities </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Federal funds sold</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Interest bearing deposits in other financial institutions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(120)</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(83)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(150)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 interest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Interest 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Savings</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NOW accounts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229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201 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278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Interest checking</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(65)</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Money market</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65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68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Time deposits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(180)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(181)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(462)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(449)</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Federal funds purchased and securities sold under agreements to repurchase</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(33)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20</w:t>
            </w:r>
          </w:p>
        </w:tc>
      </w:tr>
      <w:tr w:rsidR="00000000">
        <w:trPr>
          <w:divId w:val="258951444"/>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Federal Home Loan Bank advances and other borrowings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(68)</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(69)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(280)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(143)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(137)</w:t>
            </w:r>
          </w:p>
        </w:tc>
      </w:tr>
      <w:tr w:rsidR="00000000">
        <w:trPr>
          <w:divId w:val="258951444"/>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Subordinated notes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115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128</w:t>
            </w:r>
          </w:p>
        </w:tc>
      </w:tr>
      <w:tr w:rsidR="00000000">
        <w:trPr>
          <w:divId w:val="258951444"/>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 interest expense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58951444"/>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Net interest income on a fully taxable equivalent basis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2,013 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ind w:hanging="450"/>
        <w:divId w:val="496574428"/>
        <w:rPr>
          <w:rFonts w:eastAsia="Times New Roman"/>
        </w:rPr>
      </w:pPr>
      <w:r>
        <w:rPr>
          <w:rFonts w:eastAsia="Times New Roman"/>
          <w:color w:val="000000"/>
          <w:sz w:val="16"/>
          <w:szCs w:val="16"/>
        </w:rPr>
        <w:t>(1)Interest income a</w:t>
      </w:r>
      <w:r>
        <w:rPr>
          <w:rFonts w:eastAsia="Times New Roman"/>
          <w:color w:val="000000"/>
          <w:sz w:val="16"/>
          <w:szCs w:val="16"/>
        </w:rPr>
        <w:t>nd yields are presented on a fully taxable equivalent basis using the federal statutory income tax rate of 21%, net of nondeductible interest expense, for the six months ended June 30, 2022 and 2021. Such adjustments totaled $1.1 million and $0.8 million f</w:t>
      </w:r>
      <w:r>
        <w:rPr>
          <w:rFonts w:eastAsia="Times New Roman"/>
          <w:color w:val="000000"/>
          <w:sz w:val="16"/>
          <w:szCs w:val="16"/>
        </w:rPr>
        <w:t>or the six months ended June 30, 2022 and 2021, respectively.</w:t>
      </w:r>
    </w:p>
    <w:p w:rsidR="00000000" w:rsidRDefault="00100014">
      <w:pPr>
        <w:ind w:hanging="450"/>
        <w:divId w:val="1063141750"/>
        <w:rPr>
          <w:rFonts w:eastAsia="Times New Roman"/>
        </w:rPr>
      </w:pPr>
      <w:r>
        <w:rPr>
          <w:rFonts w:eastAsia="Times New Roman"/>
          <w:color w:val="000000"/>
          <w:sz w:val="16"/>
          <w:szCs w:val="16"/>
        </w:rPr>
        <w:t>(2)Non-accruing loans are included in the average amounts outstanding.</w:t>
      </w:r>
    </w:p>
    <w:p w:rsidR="00000000" w:rsidRDefault="00100014">
      <w:pPr>
        <w:ind w:hanging="450"/>
        <w:divId w:val="1508715604"/>
        <w:rPr>
          <w:rFonts w:eastAsia="Times New Roman"/>
        </w:rPr>
      </w:pPr>
      <w:r>
        <w:rPr>
          <w:rFonts w:eastAsia="Times New Roman"/>
          <w:color w:val="000000"/>
          <w:sz w:val="16"/>
          <w:szCs w:val="16"/>
        </w:rPr>
        <w:t>(3)Fees and costs on loans are included in interest income ($0.3 million and $2.0 million of PPP fees were included in comm</w:t>
      </w:r>
      <w:r>
        <w:rPr>
          <w:rFonts w:eastAsia="Times New Roman"/>
          <w:color w:val="000000"/>
          <w:sz w:val="16"/>
          <w:szCs w:val="16"/>
        </w:rPr>
        <w:t>ercial loan income for the six months ended June 30, 2022 and 2021, respectively).</w:t>
      </w:r>
    </w:p>
    <w:p w:rsidR="00000000" w:rsidRDefault="00100014">
      <w:pPr>
        <w:jc w:val="both"/>
        <w:divId w:val="922569526"/>
        <w:rPr>
          <w:rFonts w:eastAsia="Times New Roman"/>
        </w:rPr>
      </w:pPr>
    </w:p>
    <w:p w:rsidR="00000000" w:rsidRDefault="00100014">
      <w:pPr>
        <w:jc w:val="center"/>
        <w:divId w:val="1875649359"/>
        <w:rPr>
          <w:rFonts w:eastAsia="Times New Roman"/>
        </w:rPr>
      </w:pPr>
      <w:r>
        <w:rPr>
          <w:rFonts w:eastAsia="Times New Roman"/>
          <w:color w:val="000000"/>
          <w:sz w:val="20"/>
          <w:szCs w:val="20"/>
        </w:rPr>
        <w:t>43</w:t>
      </w:r>
    </w:p>
    <w:p w:rsidR="00000000" w:rsidRDefault="00100014">
      <w:pPr>
        <w:rPr>
          <w:rFonts w:eastAsia="Times New Roman"/>
        </w:rPr>
      </w:pPr>
      <w:r>
        <w:rPr>
          <w:rFonts w:eastAsia="Times New Roman"/>
        </w:rPr>
        <w:pict>
          <v:rect id="_x0000_i1067" style="width:0;height:1.5pt" o:hralign="center" o:hrstd="t" o:hr="t" fillcolor="#a0a0a0" stroked="f"/>
        </w:pict>
      </w:r>
    </w:p>
    <w:p w:rsidR="00000000" w:rsidRDefault="00100014">
      <w:pPr>
        <w:divId w:val="1697727949"/>
        <w:rPr>
          <w:rFonts w:eastAsia="Times New Roman"/>
        </w:rPr>
      </w:pPr>
    </w:p>
    <w:p w:rsidR="00000000" w:rsidRDefault="00100014">
      <w:pPr>
        <w:jc w:val="both"/>
        <w:divId w:val="599724690"/>
        <w:rPr>
          <w:rFonts w:eastAsia="Times New Roman"/>
        </w:rPr>
      </w:pPr>
    </w:p>
    <w:p w:rsidR="00000000" w:rsidRDefault="00100014">
      <w:pPr>
        <w:jc w:val="both"/>
        <w:divId w:val="1778940532"/>
        <w:rPr>
          <w:rFonts w:eastAsia="Times New Roman"/>
        </w:rPr>
      </w:pPr>
      <w:r>
        <w:rPr>
          <w:rFonts w:eastAsia="Times New Roman"/>
          <w:color w:val="000000"/>
          <w:sz w:val="20"/>
          <w:szCs w:val="20"/>
        </w:rPr>
        <w:t>Financial results for the quarter ended June 30, 2022 compared to the quarter ended June 30, 2021 reflected an increase in net i</w:t>
      </w:r>
      <w:r>
        <w:rPr>
          <w:rFonts w:eastAsia="Times New Roman"/>
          <w:color w:val="000000"/>
          <w:sz w:val="20"/>
          <w:szCs w:val="20"/>
        </w:rPr>
        <w:t>nterest income, on a tax equivalent basis, of $1.0 million, or 7.3%, and the financial results for the six months ended June 30, 2022 compared to the six months ended June 30, 2021 reflected an increase of $1.0 million, or 3.5%. Measured as a percentage of</w:t>
      </w:r>
      <w:r>
        <w:rPr>
          <w:rFonts w:eastAsia="Times New Roman"/>
          <w:color w:val="000000"/>
          <w:sz w:val="20"/>
          <w:szCs w:val="20"/>
        </w:rPr>
        <w:t xml:space="preserve"> average earning assets, the net interest margin (expressed on a fully taxable equivalent basis) increased to 3.64% for the quarter ended June 30, 2022 compared to 3.40% for the quarter ended June 30, 2021, and increased to 3.57% for the six months ended J</w:t>
      </w:r>
      <w:r>
        <w:rPr>
          <w:rFonts w:eastAsia="Times New Roman"/>
          <w:color w:val="000000"/>
          <w:sz w:val="20"/>
          <w:szCs w:val="20"/>
        </w:rPr>
        <w:t xml:space="preserve">une 30, 2022 compared to 3.51% for the six months ended June 30, 2021. Driving the increase in net interest income in the quarter compared to the prior year quarter was higher interest income, resulting from growth in both loans and investments securities </w:t>
      </w:r>
      <w:r>
        <w:rPr>
          <w:rFonts w:eastAsia="Times New Roman"/>
          <w:color w:val="000000"/>
          <w:sz w:val="20"/>
          <w:szCs w:val="20"/>
        </w:rPr>
        <w:t xml:space="preserve">of 6.9% and 7.9%, respectively. The increase in net interest income for the current year verses the prior year, on a year-to-date basis was higher interest income resulting from growth in both the balance and yield for the investment securities portfolio, </w:t>
      </w:r>
      <w:r>
        <w:rPr>
          <w:rFonts w:eastAsia="Times New Roman"/>
          <w:color w:val="000000"/>
          <w:sz w:val="20"/>
          <w:szCs w:val="20"/>
        </w:rPr>
        <w:t>in addition to lower interest expense for interest bearing liabilities.</w:t>
      </w:r>
    </w:p>
    <w:p w:rsidR="00000000" w:rsidRDefault="00100014">
      <w:pPr>
        <w:jc w:val="both"/>
        <w:divId w:val="1827472208"/>
        <w:rPr>
          <w:rFonts w:eastAsia="Times New Roman"/>
        </w:rPr>
      </w:pPr>
      <w:r>
        <w:rPr>
          <w:rFonts w:eastAsia="Times New Roman"/>
          <w:color w:val="000000"/>
          <w:sz w:val="20"/>
          <w:szCs w:val="20"/>
        </w:rPr>
        <w:t>Average interest-earning assets increased $6.4 million, or 0.4%, to $1.67 billion for the quarter ended June 30, 2022 compared to $1.66 billion for the quarter ended June 30, 2021, and</w:t>
      </w:r>
      <w:r>
        <w:rPr>
          <w:rFonts w:eastAsia="Times New Roman"/>
          <w:color w:val="000000"/>
          <w:sz w:val="20"/>
          <w:szCs w:val="20"/>
        </w:rPr>
        <w:t xml:space="preserve"> average interest-bearing liabilities increased $3.3 million, or 0.3%, to $1.15 billion for the quarter ended June 30, 2022 compared to $1.14 billion for the quarter ended June 30, 2021.</w:t>
      </w:r>
    </w:p>
    <w:p w:rsidR="00000000" w:rsidRDefault="00100014">
      <w:pPr>
        <w:jc w:val="both"/>
        <w:divId w:val="487861389"/>
        <w:rPr>
          <w:rFonts w:eastAsia="Times New Roman"/>
        </w:rPr>
      </w:pPr>
      <w:r>
        <w:rPr>
          <w:rFonts w:eastAsia="Times New Roman"/>
          <w:color w:val="000000"/>
          <w:sz w:val="20"/>
          <w:szCs w:val="20"/>
        </w:rPr>
        <w:t xml:space="preserve">Average interest-earning assets increased $28.2 million, or 1.7%, to </w:t>
      </w:r>
      <w:r>
        <w:rPr>
          <w:rFonts w:eastAsia="Times New Roman"/>
          <w:color w:val="000000"/>
          <w:sz w:val="20"/>
          <w:szCs w:val="20"/>
        </w:rPr>
        <w:t>$1.69 billion for the six months ended June 30, 2022 compared to $1.66 billion for the six months ended June 30, 2021, and average interest-bearing liabilities decreased $2.8 million, or 0.2%, to $1.15 billion for the six months ended June 30, 2022 compare</w:t>
      </w:r>
      <w:r>
        <w:rPr>
          <w:rFonts w:eastAsia="Times New Roman"/>
          <w:color w:val="000000"/>
          <w:sz w:val="20"/>
          <w:szCs w:val="20"/>
        </w:rPr>
        <w:t>d to $1.16 billion for the six months ended June 30, 2021.</w:t>
      </w:r>
    </w:p>
    <w:p w:rsidR="00000000" w:rsidRDefault="00100014">
      <w:pPr>
        <w:jc w:val="both"/>
        <w:divId w:val="1019891166"/>
        <w:rPr>
          <w:rFonts w:eastAsia="Times New Roman"/>
        </w:rPr>
      </w:pPr>
      <w:r>
        <w:rPr>
          <w:rFonts w:eastAsia="Times New Roman"/>
          <w:b/>
          <w:bCs/>
          <w:i/>
          <w:iCs/>
          <w:color w:val="000000"/>
          <w:sz w:val="20"/>
          <w:szCs w:val="20"/>
        </w:rPr>
        <w:t>Total interest income</w:t>
      </w:r>
      <w:r>
        <w:rPr>
          <w:rFonts w:eastAsia="Times New Roman"/>
          <w:color w:val="000000"/>
          <w:sz w:val="20"/>
          <w:szCs w:val="20"/>
        </w:rPr>
        <w:t xml:space="preserve"> (expressed on a fully taxable equivalent basis) was $16.7 million and $32.7 million for the three and six months ended June 30, 2022, respectively, compared to $15.6 million a</w:t>
      </w:r>
      <w:r>
        <w:rPr>
          <w:rFonts w:eastAsia="Times New Roman"/>
          <w:color w:val="000000"/>
          <w:sz w:val="20"/>
          <w:szCs w:val="20"/>
        </w:rPr>
        <w:t xml:space="preserve">nd $32.0 million for the three and six months ended June 30, 2021, respectively. The Company’s rates earned on interest earning assets were 4.02% and 3.91% for the three and six months ended June 30, 2022, respectively, compared to 3.77% and 3.90% for the </w:t>
      </w:r>
      <w:r>
        <w:rPr>
          <w:rFonts w:eastAsia="Times New Roman"/>
          <w:color w:val="000000"/>
          <w:sz w:val="20"/>
          <w:szCs w:val="20"/>
        </w:rPr>
        <w:t>three and six months ended June 30, 2021, respectively.</w:t>
      </w:r>
    </w:p>
    <w:p w:rsidR="00000000" w:rsidRDefault="00100014">
      <w:pPr>
        <w:jc w:val="both"/>
        <w:divId w:val="1638099055"/>
        <w:rPr>
          <w:rFonts w:eastAsia="Times New Roman"/>
        </w:rPr>
      </w:pPr>
      <w:r>
        <w:rPr>
          <w:rFonts w:eastAsia="Times New Roman"/>
          <w:b/>
          <w:bCs/>
          <w:i/>
          <w:iCs/>
          <w:color w:val="000000"/>
          <w:sz w:val="20"/>
          <w:szCs w:val="20"/>
        </w:rPr>
        <w:t>Interest income on loans held for investment</w:t>
      </w:r>
      <w:r>
        <w:rPr>
          <w:rFonts w:eastAsia="Times New Roman"/>
          <w:color w:val="000000"/>
          <w:sz w:val="20"/>
          <w:szCs w:val="20"/>
        </w:rPr>
        <w:t xml:space="preserve"> was $14.7 million and $28.8 million for the three and six months ended June 30, 2022, respectively, compared to $14.0 million and $29.2 million for the thr</w:t>
      </w:r>
      <w:r>
        <w:rPr>
          <w:rFonts w:eastAsia="Times New Roman"/>
          <w:color w:val="000000"/>
          <w:sz w:val="20"/>
          <w:szCs w:val="20"/>
        </w:rPr>
        <w:t>ee and six months ended June 30, 2021, respectively.</w:t>
      </w:r>
    </w:p>
    <w:p w:rsidR="00000000" w:rsidRDefault="00100014">
      <w:pPr>
        <w:jc w:val="both"/>
        <w:divId w:val="140583678"/>
        <w:rPr>
          <w:rFonts w:eastAsia="Times New Roman"/>
        </w:rPr>
      </w:pPr>
      <w:r>
        <w:rPr>
          <w:rFonts w:eastAsia="Times New Roman"/>
          <w:color w:val="000000"/>
          <w:sz w:val="20"/>
          <w:szCs w:val="20"/>
        </w:rPr>
        <w:t xml:space="preserve">Average loans outstanding increased $88.3 million, or 6.9%, to $1.36 billion for the quarter ended June 30, 2022 compared to $1.28 billion for the quarter ended June 30, 2021. The average yield on loans </w:t>
      </w:r>
      <w:r>
        <w:rPr>
          <w:rFonts w:eastAsia="Times New Roman"/>
          <w:color w:val="000000"/>
          <w:sz w:val="20"/>
          <w:szCs w:val="20"/>
        </w:rPr>
        <w:t>decreased to 4.33% for the quarter ended June 30, 2022 compared to 4.42% for the quarter ended June 30, 2021.</w:t>
      </w:r>
    </w:p>
    <w:p w:rsidR="00000000" w:rsidRDefault="00100014">
      <w:pPr>
        <w:jc w:val="both"/>
        <w:divId w:val="202600339"/>
        <w:rPr>
          <w:rFonts w:eastAsia="Times New Roman"/>
        </w:rPr>
      </w:pPr>
      <w:r>
        <w:rPr>
          <w:rFonts w:eastAsia="Times New Roman"/>
          <w:color w:val="000000"/>
          <w:sz w:val="20"/>
          <w:szCs w:val="20"/>
        </w:rPr>
        <w:t xml:space="preserve">Average loans outstanding increased $63.1 million, or 4.9%, to $1.34 billion for the six months ended June 30, 2022 compared to $1.28 billion for </w:t>
      </w:r>
      <w:r>
        <w:rPr>
          <w:rFonts w:eastAsia="Times New Roman"/>
          <w:color w:val="000000"/>
          <w:sz w:val="20"/>
          <w:szCs w:val="20"/>
        </w:rPr>
        <w:t xml:space="preserve">the six months ended June 30, 2021. The average yield on loans decreased to 4.33% for the six months ended June 30, 2022 compared to 4.61% for the six months ended June 30, 2021. See the </w:t>
      </w:r>
      <w:r>
        <w:rPr>
          <w:rFonts w:eastAsia="Times New Roman"/>
          <w:i/>
          <w:iCs/>
          <w:color w:val="000000"/>
          <w:sz w:val="20"/>
          <w:szCs w:val="20"/>
        </w:rPr>
        <w:t>Lending and Credit Management</w:t>
      </w:r>
      <w:r>
        <w:rPr>
          <w:rFonts w:eastAsia="Times New Roman"/>
          <w:color w:val="000000"/>
          <w:sz w:val="20"/>
          <w:szCs w:val="20"/>
        </w:rPr>
        <w:t xml:space="preserve"> section for further discussion of chang</w:t>
      </w:r>
      <w:r>
        <w:rPr>
          <w:rFonts w:eastAsia="Times New Roman"/>
          <w:color w:val="000000"/>
          <w:sz w:val="20"/>
          <w:szCs w:val="20"/>
        </w:rPr>
        <w:t>es in the composition of the lending portfolio.</w:t>
      </w:r>
    </w:p>
    <w:p w:rsidR="00000000" w:rsidRDefault="00100014">
      <w:pPr>
        <w:jc w:val="both"/>
        <w:divId w:val="13045935"/>
        <w:rPr>
          <w:rFonts w:eastAsia="Times New Roman"/>
        </w:rPr>
      </w:pPr>
      <w:r>
        <w:rPr>
          <w:rFonts w:eastAsia="Times New Roman"/>
          <w:b/>
          <w:bCs/>
          <w:i/>
          <w:iCs/>
          <w:color w:val="000000"/>
          <w:sz w:val="20"/>
          <w:szCs w:val="20"/>
        </w:rPr>
        <w:t xml:space="preserve">Interest income on available-for-sale securities </w:t>
      </w:r>
      <w:r>
        <w:rPr>
          <w:rFonts w:eastAsia="Times New Roman"/>
          <w:color w:val="000000"/>
          <w:sz w:val="20"/>
          <w:szCs w:val="20"/>
        </w:rPr>
        <w:t>was $1.9 million and $3.6 million for the three and six months ended June </w:t>
      </w:r>
      <w:r>
        <w:rPr>
          <w:rFonts w:eastAsia="Times New Roman"/>
          <w:color w:val="000000"/>
          <w:sz w:val="20"/>
          <w:szCs w:val="20"/>
        </w:rPr>
        <w:t>30, 2022, respectively, compared to $1.4 million and $2.4 million for the three and six months ended June 30, 2021, respectively.</w:t>
      </w:r>
    </w:p>
    <w:p w:rsidR="00000000" w:rsidRDefault="00100014">
      <w:pPr>
        <w:jc w:val="both"/>
        <w:divId w:val="445540170"/>
        <w:rPr>
          <w:rFonts w:eastAsia="Times New Roman"/>
        </w:rPr>
      </w:pPr>
      <w:r>
        <w:rPr>
          <w:rFonts w:eastAsia="Times New Roman"/>
          <w:color w:val="000000"/>
          <w:sz w:val="20"/>
          <w:szCs w:val="20"/>
        </w:rPr>
        <w:t xml:space="preserve">Average securities increased $20.3 million, or 7.9%, to $278.3 million for the quarter ended June 30, 2022 compared to $257.9 </w:t>
      </w:r>
      <w:r>
        <w:rPr>
          <w:rFonts w:eastAsia="Times New Roman"/>
          <w:color w:val="000000"/>
          <w:sz w:val="20"/>
          <w:szCs w:val="20"/>
        </w:rPr>
        <w:t xml:space="preserve">million for the quarter ended June 30, 2021. The average yield on securities increased to 2.67% for the quarter ended June 30, 2022 compared to 2.10% for the quarter ended June 30, 2021. See the </w:t>
      </w:r>
      <w:r>
        <w:rPr>
          <w:rFonts w:eastAsia="Times New Roman"/>
          <w:i/>
          <w:iCs/>
          <w:color w:val="000000"/>
          <w:sz w:val="20"/>
          <w:szCs w:val="20"/>
        </w:rPr>
        <w:t xml:space="preserve">Liquidity Management </w:t>
      </w:r>
      <w:r>
        <w:rPr>
          <w:rFonts w:eastAsia="Times New Roman"/>
          <w:color w:val="000000"/>
          <w:sz w:val="20"/>
          <w:szCs w:val="20"/>
        </w:rPr>
        <w:t>section for further discussion.</w:t>
      </w:r>
    </w:p>
    <w:p w:rsidR="00000000" w:rsidRDefault="00100014">
      <w:pPr>
        <w:jc w:val="both"/>
        <w:divId w:val="845512210"/>
        <w:rPr>
          <w:rFonts w:eastAsia="Times New Roman"/>
        </w:rPr>
      </w:pPr>
      <w:r>
        <w:rPr>
          <w:rFonts w:eastAsia="Times New Roman"/>
          <w:color w:val="000000"/>
          <w:sz w:val="20"/>
          <w:szCs w:val="20"/>
        </w:rPr>
        <w:t xml:space="preserve">Average </w:t>
      </w:r>
      <w:r>
        <w:rPr>
          <w:rFonts w:eastAsia="Times New Roman"/>
          <w:color w:val="000000"/>
          <w:sz w:val="20"/>
          <w:szCs w:val="20"/>
        </w:rPr>
        <w:t>securities increased $54.3 million, or 22.9%, to $291.2 million for the six months ended June 30, 2022 compared to $236.9 million for the six months ended June 30, 2021. The average yield on securities increased to 2.52% for the six months ended June 30, 2</w:t>
      </w:r>
      <w:r>
        <w:rPr>
          <w:rFonts w:eastAsia="Times New Roman"/>
          <w:color w:val="000000"/>
          <w:sz w:val="20"/>
          <w:szCs w:val="20"/>
        </w:rPr>
        <w:t xml:space="preserve">022 compared to 2.07% for the six months ended June 30, 2021. See the </w:t>
      </w:r>
      <w:r>
        <w:rPr>
          <w:rFonts w:eastAsia="Times New Roman"/>
          <w:i/>
          <w:iCs/>
          <w:color w:val="000000"/>
          <w:sz w:val="20"/>
          <w:szCs w:val="20"/>
        </w:rPr>
        <w:t xml:space="preserve">Liquidity Management </w:t>
      </w:r>
      <w:r>
        <w:rPr>
          <w:rFonts w:eastAsia="Times New Roman"/>
          <w:color w:val="000000"/>
          <w:sz w:val="20"/>
          <w:szCs w:val="20"/>
        </w:rPr>
        <w:t>section for further discussion.</w:t>
      </w:r>
    </w:p>
    <w:p w:rsidR="00000000" w:rsidRDefault="00100014">
      <w:pPr>
        <w:jc w:val="both"/>
        <w:divId w:val="925454821"/>
        <w:rPr>
          <w:rFonts w:eastAsia="Times New Roman"/>
        </w:rPr>
      </w:pPr>
      <w:r>
        <w:rPr>
          <w:rFonts w:eastAsia="Times New Roman"/>
          <w:b/>
          <w:bCs/>
          <w:i/>
          <w:iCs/>
          <w:color w:val="000000"/>
          <w:sz w:val="20"/>
          <w:szCs w:val="20"/>
        </w:rPr>
        <w:t>Total interest expense</w:t>
      </w:r>
      <w:r>
        <w:rPr>
          <w:rFonts w:eastAsia="Times New Roman"/>
          <w:color w:val="000000"/>
          <w:sz w:val="20"/>
          <w:szCs w:val="20"/>
        </w:rPr>
        <w:t xml:space="preserve"> increased to $1.6 million for the quarter ended June 30, 2022 compared to $1.5 million for the quarter ended J</w:t>
      </w:r>
      <w:r>
        <w:rPr>
          <w:rFonts w:eastAsia="Times New Roman"/>
          <w:color w:val="000000"/>
          <w:sz w:val="20"/>
          <w:szCs w:val="20"/>
        </w:rPr>
        <w:t xml:space="preserve">une 30, 2021, and decreased to $2.9 million for the six months ended June 30, 2022 compared to $3.2 million for the six months ended June 30, 2021. The Company’s rates paid on interest bearing liabilities were 0.55% and </w:t>
      </w:r>
    </w:p>
    <w:p w:rsidR="00000000" w:rsidRDefault="00100014">
      <w:pPr>
        <w:jc w:val="center"/>
        <w:divId w:val="1604875608"/>
        <w:rPr>
          <w:rFonts w:eastAsia="Times New Roman"/>
        </w:rPr>
      </w:pPr>
      <w:r>
        <w:rPr>
          <w:rFonts w:eastAsia="Times New Roman"/>
          <w:color w:val="000000"/>
          <w:sz w:val="20"/>
          <w:szCs w:val="20"/>
        </w:rPr>
        <w:t>44</w:t>
      </w:r>
    </w:p>
    <w:p w:rsidR="00000000" w:rsidRDefault="00100014">
      <w:pPr>
        <w:rPr>
          <w:rFonts w:eastAsia="Times New Roman"/>
        </w:rPr>
      </w:pPr>
      <w:r>
        <w:rPr>
          <w:rFonts w:eastAsia="Times New Roman"/>
        </w:rPr>
        <w:pict>
          <v:rect id="_x0000_i1068" style="width:0;height:1.5pt" o:hralign="center" o:hrstd="t" o:hr="t" fillcolor="#a0a0a0" stroked="f"/>
        </w:pict>
      </w:r>
    </w:p>
    <w:p w:rsidR="00000000" w:rsidRDefault="00100014">
      <w:pPr>
        <w:divId w:val="2112629369"/>
        <w:rPr>
          <w:rFonts w:eastAsia="Times New Roman"/>
        </w:rPr>
      </w:pPr>
    </w:p>
    <w:p w:rsidR="00000000" w:rsidRDefault="00100014">
      <w:pPr>
        <w:jc w:val="both"/>
        <w:divId w:val="1363287334"/>
        <w:rPr>
          <w:rFonts w:eastAsia="Times New Roman"/>
        </w:rPr>
      </w:pPr>
      <w:r>
        <w:rPr>
          <w:rFonts w:eastAsia="Times New Roman"/>
          <w:color w:val="000000"/>
          <w:sz w:val="20"/>
          <w:szCs w:val="20"/>
        </w:rPr>
        <w:t xml:space="preserve">0.50% for the three and six months ended June 30, 2022, respectively, compared to 0.53% and 0.56% for the three and six months ended June 30, 2021, respectively. See the </w:t>
      </w:r>
      <w:r>
        <w:rPr>
          <w:rFonts w:eastAsia="Times New Roman"/>
          <w:i/>
          <w:iCs/>
          <w:color w:val="000000"/>
          <w:sz w:val="20"/>
          <w:szCs w:val="20"/>
        </w:rPr>
        <w:t>Liquidity Management</w:t>
      </w:r>
      <w:r>
        <w:rPr>
          <w:rFonts w:eastAsia="Times New Roman"/>
          <w:color w:val="000000"/>
          <w:sz w:val="20"/>
          <w:szCs w:val="20"/>
        </w:rPr>
        <w:t xml:space="preserve"> section for further discussion.</w:t>
      </w:r>
    </w:p>
    <w:p w:rsidR="00000000" w:rsidRDefault="00100014">
      <w:pPr>
        <w:jc w:val="both"/>
        <w:divId w:val="1376352402"/>
        <w:rPr>
          <w:rFonts w:eastAsia="Times New Roman"/>
        </w:rPr>
      </w:pPr>
      <w:r>
        <w:rPr>
          <w:rFonts w:eastAsia="Times New Roman"/>
          <w:b/>
          <w:bCs/>
          <w:i/>
          <w:iCs/>
          <w:color w:val="000000"/>
          <w:sz w:val="20"/>
          <w:szCs w:val="20"/>
        </w:rPr>
        <w:t>Interest expense on deposit</w:t>
      </w:r>
      <w:r>
        <w:rPr>
          <w:rFonts w:eastAsia="Times New Roman"/>
          <w:b/>
          <w:bCs/>
          <w:i/>
          <w:iCs/>
          <w:color w:val="000000"/>
          <w:sz w:val="20"/>
          <w:szCs w:val="20"/>
        </w:rPr>
        <w:t>s</w:t>
      </w:r>
      <w:r>
        <w:rPr>
          <w:rFonts w:eastAsia="Times New Roman"/>
          <w:color w:val="000000"/>
          <w:sz w:val="20"/>
          <w:szCs w:val="20"/>
        </w:rPr>
        <w:t xml:space="preserve"> increased to $0.9 million for the quarter ended June 30, 2022 compared to $0.8 million for the quarter ended June 30, 2021, and decreased to $1.6 million for the six months ended June 30, 2022 compared to $1.8 million for the six months ended June 30, 20</w:t>
      </w:r>
      <w:r>
        <w:rPr>
          <w:rFonts w:eastAsia="Times New Roman"/>
          <w:color w:val="000000"/>
          <w:sz w:val="20"/>
          <w:szCs w:val="20"/>
        </w:rPr>
        <w:t>21.</w:t>
      </w:r>
    </w:p>
    <w:p w:rsidR="00000000" w:rsidRDefault="00100014">
      <w:pPr>
        <w:jc w:val="both"/>
        <w:divId w:val="507913308"/>
        <w:rPr>
          <w:rFonts w:eastAsia="Times New Roman"/>
        </w:rPr>
      </w:pPr>
      <w:r>
        <w:rPr>
          <w:rFonts w:eastAsia="Times New Roman"/>
          <w:color w:val="000000"/>
          <w:sz w:val="20"/>
          <w:szCs w:val="20"/>
        </w:rPr>
        <w:t>Average interest-bearing deposits increased $60.7 million, or 6.4%, to $1.01 billion for the quarter ended June 30, 2022 compared to $0.95 billion for the quarter ended June 30, 2021. The average cost of deposits increased to 0.36% for the quarter ende</w:t>
      </w:r>
      <w:r>
        <w:rPr>
          <w:rFonts w:eastAsia="Times New Roman"/>
          <w:color w:val="000000"/>
          <w:sz w:val="20"/>
          <w:szCs w:val="20"/>
        </w:rPr>
        <w:t xml:space="preserve">d June 30, 2022 compared to 0.33% for the quarter ended June 30, 2021. </w:t>
      </w:r>
    </w:p>
    <w:p w:rsidR="00000000" w:rsidRDefault="00100014">
      <w:pPr>
        <w:jc w:val="both"/>
        <w:divId w:val="27610560"/>
        <w:rPr>
          <w:rFonts w:eastAsia="Times New Roman"/>
        </w:rPr>
      </w:pPr>
      <w:r>
        <w:rPr>
          <w:rFonts w:eastAsia="Times New Roman"/>
          <w:color w:val="000000"/>
          <w:sz w:val="20"/>
          <w:szCs w:val="20"/>
        </w:rPr>
        <w:t>Average interest-bearing deposits increased $50.1 million, or 5.2%, to $1.02 billion for the six months ended June 30, 2022 compared to $0.97 billion for the six months ended June 30, 2021. The average cost of deposits decreased to 0.32% for the six months</w:t>
      </w:r>
      <w:r>
        <w:rPr>
          <w:rFonts w:eastAsia="Times New Roman"/>
          <w:color w:val="000000"/>
          <w:sz w:val="20"/>
          <w:szCs w:val="20"/>
        </w:rPr>
        <w:t xml:space="preserve"> ended June 30, 2022 compared to 0.37% for the six months ended June 30, 2021. </w:t>
      </w:r>
    </w:p>
    <w:p w:rsidR="00000000" w:rsidRDefault="00100014">
      <w:pPr>
        <w:jc w:val="both"/>
        <w:divId w:val="1411346989"/>
        <w:rPr>
          <w:rFonts w:eastAsia="Times New Roman"/>
        </w:rPr>
      </w:pPr>
      <w:r>
        <w:rPr>
          <w:rFonts w:eastAsia="Times New Roman"/>
          <w:b/>
          <w:bCs/>
          <w:i/>
          <w:iCs/>
          <w:color w:val="000000"/>
          <w:sz w:val="20"/>
          <w:szCs w:val="20"/>
        </w:rPr>
        <w:t>Interest expense on borrowings</w:t>
      </w:r>
      <w:r>
        <w:rPr>
          <w:rFonts w:eastAsia="Times New Roman"/>
          <w:color w:val="000000"/>
          <w:sz w:val="20"/>
          <w:szCs w:val="20"/>
        </w:rPr>
        <w:t xml:space="preserve"> decreased to $0.7 million and $1.3 million for the three and six months ended June 30, 2022, respectively, compared to $0.7 million and $1.5 mill</w:t>
      </w:r>
      <w:r>
        <w:rPr>
          <w:rFonts w:eastAsia="Times New Roman"/>
          <w:color w:val="000000"/>
          <w:sz w:val="20"/>
          <w:szCs w:val="20"/>
        </w:rPr>
        <w:t>ion for the three and six months ended June 30, 2021, respectively.</w:t>
      </w:r>
    </w:p>
    <w:p w:rsidR="00000000" w:rsidRDefault="00100014">
      <w:pPr>
        <w:jc w:val="both"/>
        <w:divId w:val="1173422515"/>
        <w:rPr>
          <w:rFonts w:eastAsia="Times New Roman"/>
        </w:rPr>
      </w:pPr>
      <w:r>
        <w:rPr>
          <w:rFonts w:eastAsia="Times New Roman"/>
          <w:color w:val="000000"/>
          <w:sz w:val="20"/>
          <w:szCs w:val="20"/>
        </w:rPr>
        <w:t xml:space="preserve">Average borrowings decreased to $132.2 million for the quarter ended June 30, 2022 compared to $189.6 million for the quarter ended June 30, 2021. The average cost of borrowings increased </w:t>
      </w:r>
      <w:r>
        <w:rPr>
          <w:rFonts w:eastAsia="Times New Roman"/>
          <w:color w:val="000000"/>
          <w:sz w:val="20"/>
          <w:szCs w:val="20"/>
        </w:rPr>
        <w:t>to 2.06% for the quarter ended June 30, 2022 compared to 1.52% for the quarter ended June 30, 2021. The increase in cost of funds primarily resulted from higher market interest rates.</w:t>
      </w:r>
    </w:p>
    <w:p w:rsidR="00000000" w:rsidRDefault="00100014">
      <w:pPr>
        <w:jc w:val="both"/>
        <w:divId w:val="916134477"/>
        <w:rPr>
          <w:rFonts w:eastAsia="Times New Roman"/>
        </w:rPr>
      </w:pPr>
      <w:r>
        <w:rPr>
          <w:rFonts w:eastAsia="Times New Roman"/>
          <w:color w:val="000000"/>
          <w:sz w:val="20"/>
          <w:szCs w:val="20"/>
        </w:rPr>
        <w:t xml:space="preserve">Average borrowings decreased to $136.4 million for the six months ended </w:t>
      </w:r>
      <w:r>
        <w:rPr>
          <w:rFonts w:eastAsia="Times New Roman"/>
          <w:color w:val="000000"/>
          <w:sz w:val="20"/>
          <w:szCs w:val="20"/>
        </w:rPr>
        <w:t>June 30, 2022 compared to $189.4 million for the six months ended June 30, 2021. The average cost of borrowings increased to 1.87% for the six months ended June 30, 2022 compared to 1.54% for the six months ended June 30, 2021. The increase in cost of fund</w:t>
      </w:r>
      <w:r>
        <w:rPr>
          <w:rFonts w:eastAsia="Times New Roman"/>
          <w:color w:val="000000"/>
          <w:sz w:val="20"/>
          <w:szCs w:val="20"/>
        </w:rPr>
        <w:t>s primarily resulted from higher market interest rates.</w:t>
      </w:r>
    </w:p>
    <w:p w:rsidR="00000000" w:rsidRDefault="00100014">
      <w:pPr>
        <w:jc w:val="both"/>
        <w:divId w:val="339506444"/>
        <w:rPr>
          <w:rFonts w:eastAsia="Times New Roman"/>
        </w:rPr>
      </w:pPr>
    </w:p>
    <w:p w:rsidR="00000000" w:rsidRDefault="00100014">
      <w:pPr>
        <w:divId w:val="1999264797"/>
        <w:rPr>
          <w:rFonts w:eastAsia="Times New Roman"/>
        </w:rPr>
      </w:pPr>
      <w:r>
        <w:rPr>
          <w:rFonts w:eastAsia="Times New Roman"/>
          <w:b/>
          <w:bCs/>
          <w:i/>
          <w:iCs/>
          <w:color w:val="000000"/>
          <w:sz w:val="20"/>
          <w:szCs w:val="20"/>
        </w:rPr>
        <w:t>Non-interest Income and Expense</w:t>
      </w:r>
    </w:p>
    <w:p w:rsidR="00000000" w:rsidRDefault="00100014">
      <w:pPr>
        <w:divId w:val="1689328566"/>
        <w:rPr>
          <w:rFonts w:eastAsia="Times New Roman"/>
        </w:rPr>
      </w:pPr>
      <w:r>
        <w:rPr>
          <w:rFonts w:eastAsia="Times New Roman"/>
          <w:b/>
          <w:bCs/>
          <w:color w:val="000000"/>
          <w:sz w:val="20"/>
          <w:szCs w:val="20"/>
        </w:rPr>
        <w:t>Non-interest income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521"/>
        <w:gridCol w:w="36"/>
        <w:gridCol w:w="100"/>
        <w:gridCol w:w="400"/>
        <w:gridCol w:w="154"/>
        <w:gridCol w:w="100"/>
        <w:gridCol w:w="400"/>
        <w:gridCol w:w="154"/>
        <w:gridCol w:w="101"/>
        <w:gridCol w:w="591"/>
        <w:gridCol w:w="36"/>
        <w:gridCol w:w="36"/>
        <w:gridCol w:w="36"/>
        <w:gridCol w:w="36"/>
        <w:gridCol w:w="71"/>
        <w:gridCol w:w="487"/>
        <w:gridCol w:w="154"/>
        <w:gridCol w:w="100"/>
        <w:gridCol w:w="400"/>
        <w:gridCol w:w="154"/>
        <w:gridCol w:w="100"/>
        <w:gridCol w:w="400"/>
        <w:gridCol w:w="154"/>
        <w:gridCol w:w="101"/>
        <w:gridCol w:w="591"/>
        <w:gridCol w:w="36"/>
        <w:gridCol w:w="36"/>
        <w:gridCol w:w="36"/>
        <w:gridCol w:w="36"/>
        <w:gridCol w:w="71"/>
        <w:gridCol w:w="487"/>
        <w:gridCol w:w="154"/>
      </w:tblGrid>
      <w:tr w:rsidR="00000000">
        <w:trPr>
          <w:divId w:val="1919098099"/>
        </w:trPr>
        <w:tc>
          <w:tcPr>
            <w:tcW w:w="50" w:type="pct"/>
            <w:vAlign w:val="center"/>
            <w:hideMark/>
          </w:tcPr>
          <w:p w:rsidR="00000000" w:rsidRDefault="00100014">
            <w:pPr>
              <w:rPr>
                <w:rFonts w:eastAsia="Times New Roman"/>
              </w:rPr>
            </w:pPr>
          </w:p>
        </w:tc>
        <w:tc>
          <w:tcPr>
            <w:tcW w:w="165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91909809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191909809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xml:space="preserve">% Change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r>
      <w:tr w:rsidR="00000000">
        <w:trPr>
          <w:divId w:val="1919098099"/>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Non-interest income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1909809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Service charges and other fees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835 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765 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100014">
            <w:pPr>
              <w:spacing w:after="100"/>
              <w:jc w:val="right"/>
              <w:rPr>
                <w:rFonts w:eastAsia="Times New Roman"/>
              </w:rPr>
            </w:pPr>
            <w:r>
              <w:rPr>
                <w:rFonts w:eastAsia="Times New Roman"/>
                <w:color w:val="000000"/>
                <w:sz w:val="16"/>
                <w:szCs w:val="16"/>
              </w:rPr>
              <w:t>9.2 </w:t>
            </w:r>
          </w:p>
        </w:tc>
        <w:tc>
          <w:tcPr>
            <w:tcW w:w="0" w:type="auto"/>
            <w:shd w:val="clear" w:color="auto" w:fill="FFFFFF"/>
            <w:tcMar>
              <w:top w:w="30" w:type="dxa"/>
              <w:left w:w="0" w:type="dxa"/>
              <w:bottom w:w="30" w:type="dxa"/>
              <w:right w:w="20" w:type="dxa"/>
            </w:tcMar>
            <w:hideMark/>
          </w:tcPr>
          <w:p w:rsidR="00000000" w:rsidRDefault="00100014">
            <w:pPr>
              <w:spacing w:after="100"/>
              <w:jc w:val="right"/>
              <w:rPr>
                <w:rFonts w:eastAsia="Times New Roman"/>
              </w:rPr>
            </w:pPr>
            <w:r>
              <w:rPr>
                <w:rFonts w:eastAsia="Times New Roman"/>
                <w:color w:val="000000"/>
                <w:sz w:val="16"/>
                <w:szCs w:val="16"/>
              </w:rPr>
              <w:t>%</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1,628 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1,504 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 card income and fees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1,063 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1,022 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100014">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1,882 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Trust department income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rsidR="00000000" w:rsidRDefault="00100014">
            <w:pPr>
              <w:spacing w:after="100"/>
              <w:jc w:val="right"/>
              <w:rPr>
                <w:rFonts w:eastAsia="Times New Roman"/>
              </w:rPr>
            </w:pPr>
            <w:r>
              <w:rPr>
                <w:rFonts w:eastAsia="Times New Roman"/>
                <w:color w:val="000000"/>
                <w:sz w:val="16"/>
                <w:szCs w:val="16"/>
              </w:rPr>
              <w:t>(3.9)</w:t>
            </w:r>
          </w:p>
        </w:tc>
        <w:tc>
          <w:tcPr>
            <w:tcW w:w="0" w:type="auto"/>
            <w:shd w:val="clear" w:color="auto" w:fill="FFFFFF"/>
            <w:tcMar>
              <w:top w:w="30" w:type="dxa"/>
              <w:left w:w="0" w:type="dxa"/>
              <w:bottom w:w="30" w:type="dxa"/>
              <w:right w:w="20" w:type="dxa"/>
            </w:tcMar>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636 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Real estate servicing fees, net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351 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(103)</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100014">
            <w:pPr>
              <w:spacing w:after="100"/>
              <w:jc w:val="right"/>
              <w:rPr>
                <w:rFonts w:eastAsia="Times New Roman"/>
              </w:rPr>
            </w:pPr>
            <w:r>
              <w:rPr>
                <w:rFonts w:eastAsia="Times New Roman"/>
                <w:color w:val="000000"/>
                <w:sz w:val="16"/>
                <w:szCs w:val="16"/>
              </w:rPr>
              <w:t>(29.3)</w:t>
            </w:r>
          </w:p>
        </w:tc>
        <w:tc>
          <w:tcPr>
            <w:tcW w:w="0" w:type="auto"/>
            <w:shd w:val="clear" w:color="auto" w:fill="CCEEFF"/>
            <w:tcMar>
              <w:top w:w="30" w:type="dxa"/>
              <w:left w:w="0" w:type="dxa"/>
              <w:bottom w:w="30" w:type="dxa"/>
              <w:right w:w="20" w:type="dxa"/>
            </w:tcMar>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478 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Gain on sales of mortgage loans, net</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2,041 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(1,235)</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(60.5)</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1,695 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4,511 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(2,816)</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(62.4)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174 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rsidR="00000000" w:rsidRDefault="00100014">
            <w:pPr>
              <w:spacing w:after="100"/>
              <w:jc w:val="right"/>
              <w:rPr>
                <w:rFonts w:eastAsia="Times New Roman"/>
              </w:rPr>
            </w:pPr>
            <w:r>
              <w:rPr>
                <w:rFonts w:eastAsia="Times New Roman"/>
                <w:color w:val="000000"/>
                <w:sz w:val="16"/>
                <w:szCs w:val="16"/>
              </w:rPr>
              <w:t>129.9 </w:t>
            </w:r>
          </w:p>
        </w:tc>
        <w:tc>
          <w:tcPr>
            <w:tcW w:w="0" w:type="auto"/>
            <w:shd w:val="clear" w:color="auto" w:fill="CCEEFF"/>
            <w:tcMar>
              <w:top w:w="30" w:type="dxa"/>
              <w:left w:w="0" w:type="dxa"/>
              <w:bottom w:w="30" w:type="dxa"/>
              <w:right w:w="20" w:type="dxa"/>
            </w:tcMar>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913 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310 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194.5 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non-interest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4,661 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(1,013)</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19098099"/>
        </w:trPr>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Non-interest income as a % of total revenue *</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20.0 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25.4 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bottom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20.4 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bottom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24.8 </w:t>
            </w:r>
          </w:p>
        </w:tc>
        <w:tc>
          <w:tcPr>
            <w:tcW w:w="0" w:type="auto"/>
            <w:tcBorders>
              <w:top w:val="double" w:sz="6" w:space="0" w:color="000000"/>
              <w:bottom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bottom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450"/>
        <w:divId w:val="480973081"/>
        <w:rPr>
          <w:rFonts w:eastAsia="Times New Roman"/>
        </w:rPr>
      </w:pPr>
      <w:r>
        <w:rPr>
          <w:rFonts w:eastAsia="Times New Roman"/>
          <w:color w:val="000000"/>
          <w:sz w:val="16"/>
          <w:szCs w:val="16"/>
        </w:rPr>
        <w:t>*Total revenue is calculated as net interest income plus non-interest income.</w:t>
      </w:r>
    </w:p>
    <w:p w:rsidR="00000000" w:rsidRDefault="00100014">
      <w:pPr>
        <w:jc w:val="both"/>
        <w:divId w:val="129830871"/>
        <w:rPr>
          <w:rFonts w:eastAsia="Times New Roman"/>
        </w:rPr>
      </w:pPr>
      <w:r>
        <w:rPr>
          <w:rFonts w:eastAsia="Times New Roman"/>
          <w:b/>
          <w:bCs/>
          <w:i/>
          <w:iCs/>
          <w:color w:val="000000"/>
          <w:sz w:val="20"/>
          <w:szCs w:val="20"/>
        </w:rPr>
        <w:t>Total non-interest income</w:t>
      </w:r>
      <w:r>
        <w:rPr>
          <w:rFonts w:eastAsia="Times New Roman"/>
          <w:color w:val="000000"/>
          <w:sz w:val="20"/>
          <w:szCs w:val="20"/>
        </w:rPr>
        <w:t xml:space="preserve"> decreased $1.0 million,</w:t>
      </w:r>
      <w:r>
        <w:rPr>
          <w:rFonts w:eastAsia="Times New Roman"/>
          <w:color w:val="000000"/>
          <w:sz w:val="20"/>
          <w:szCs w:val="20"/>
        </w:rPr>
        <w:t xml:space="preserve"> or 21.7%, to $3.6 million for the second quarter ended June 30, 2022 compared to $4.7 million for the second quarter ended June 30, 2021, and decreased $1.9 million, or 20.1%, to $7.4 million for the six months ended June 30, 2022 compared to $9.2 million</w:t>
      </w:r>
      <w:r>
        <w:rPr>
          <w:rFonts w:eastAsia="Times New Roman"/>
          <w:color w:val="000000"/>
          <w:sz w:val="20"/>
          <w:szCs w:val="20"/>
        </w:rPr>
        <w:t xml:space="preserve"> for the six months ended June 30, 2021. The decrease was primarily due to the decrease in gain on sale of real estate mortgages due to lower volumes of real estate mortgage loans sold as further discussed below. </w:t>
      </w:r>
    </w:p>
    <w:p w:rsidR="00000000" w:rsidRDefault="00100014">
      <w:pPr>
        <w:jc w:val="both"/>
        <w:divId w:val="722025759"/>
        <w:rPr>
          <w:rFonts w:eastAsia="Times New Roman"/>
        </w:rPr>
      </w:pPr>
      <w:r>
        <w:rPr>
          <w:rFonts w:eastAsia="Times New Roman"/>
          <w:b/>
          <w:bCs/>
          <w:i/>
          <w:iCs/>
          <w:color w:val="000000"/>
          <w:sz w:val="20"/>
          <w:szCs w:val="20"/>
        </w:rPr>
        <w:t>Real estate servicing fees, net</w:t>
      </w:r>
      <w:r>
        <w:rPr>
          <w:rFonts w:eastAsia="Times New Roman"/>
          <w:color w:val="000000"/>
          <w:sz w:val="20"/>
          <w:szCs w:val="20"/>
        </w:rPr>
        <w:t xml:space="preserve"> of the cha</w:t>
      </w:r>
      <w:r>
        <w:rPr>
          <w:rFonts w:eastAsia="Times New Roman"/>
          <w:color w:val="000000"/>
          <w:sz w:val="20"/>
          <w:szCs w:val="20"/>
        </w:rPr>
        <w:t>nge in valuation of mortgage servicing rights (MSRs) decreased to $0.2 million for the quarter ended June 30, 2022 compared to $0.4 million for the quarter ended June 30, 2021, and increased to $0.5 million for the six months ended June 30, 2022 compared t</w:t>
      </w:r>
      <w:r>
        <w:rPr>
          <w:rFonts w:eastAsia="Times New Roman"/>
          <w:color w:val="000000"/>
          <w:sz w:val="20"/>
          <w:szCs w:val="20"/>
        </w:rPr>
        <w:t>o $0.4 million for the six months ended June 30, 2021.</w:t>
      </w:r>
    </w:p>
    <w:p w:rsidR="00000000" w:rsidRDefault="00100014">
      <w:pPr>
        <w:jc w:val="center"/>
        <w:divId w:val="1971209064"/>
        <w:rPr>
          <w:rFonts w:eastAsia="Times New Roman"/>
        </w:rPr>
      </w:pPr>
      <w:r>
        <w:rPr>
          <w:rFonts w:eastAsia="Times New Roman"/>
          <w:color w:val="000000"/>
          <w:sz w:val="20"/>
          <w:szCs w:val="20"/>
        </w:rPr>
        <w:t>45</w:t>
      </w:r>
    </w:p>
    <w:p w:rsidR="00000000" w:rsidRDefault="00100014">
      <w:pPr>
        <w:rPr>
          <w:rFonts w:eastAsia="Times New Roman"/>
        </w:rPr>
      </w:pPr>
      <w:r>
        <w:rPr>
          <w:rFonts w:eastAsia="Times New Roman"/>
        </w:rPr>
        <w:pict>
          <v:rect id="_x0000_i1069" style="width:0;height:1.5pt" o:hralign="center" o:hrstd="t" o:hr="t" fillcolor="#a0a0a0" stroked="f"/>
        </w:pict>
      </w:r>
    </w:p>
    <w:p w:rsidR="00000000" w:rsidRDefault="00100014">
      <w:pPr>
        <w:divId w:val="1599366313"/>
        <w:rPr>
          <w:rFonts w:eastAsia="Times New Roman"/>
        </w:rPr>
      </w:pPr>
    </w:p>
    <w:p w:rsidR="00000000" w:rsidRDefault="00100014">
      <w:pPr>
        <w:jc w:val="both"/>
        <w:divId w:val="826702636"/>
        <w:rPr>
          <w:rFonts w:eastAsia="Times New Roman"/>
        </w:rPr>
      </w:pPr>
      <w:r>
        <w:rPr>
          <w:rFonts w:eastAsia="Times New Roman"/>
          <w:color w:val="000000"/>
          <w:sz w:val="20"/>
          <w:szCs w:val="20"/>
        </w:rPr>
        <w:t>Mortgage loan servicing fees earned on loans sold were $0.2 million and $0.4 million for the three and six months ended June 30, 2022, respectively, compared to</w:t>
      </w:r>
      <w:r>
        <w:rPr>
          <w:rFonts w:eastAsia="Times New Roman"/>
          <w:color w:val="000000"/>
          <w:sz w:val="20"/>
          <w:szCs w:val="20"/>
        </w:rPr>
        <w:t xml:space="preserve"> $0.2 million and $0.4 million for the three and six months ended June 30, 2021, respectively. The current quarter's MSR valuation increased $160,000 and $190,000 from the linked quarter and December 31, 2021, respectively, primarily due to an increase in </w:t>
      </w:r>
      <w:r>
        <w:rPr>
          <w:rFonts w:eastAsia="Times New Roman"/>
          <w:color w:val="000000"/>
          <w:sz w:val="20"/>
          <w:szCs w:val="20"/>
        </w:rPr>
        <w:t>market rates. The Company was servicing $252.3 million of mortgage loans at June 30, 2022 compared to $270.0 million and $286.6 million at December 31, 2021 and June 30, 2021, respectively.</w:t>
      </w:r>
    </w:p>
    <w:p w:rsidR="00000000" w:rsidRDefault="00100014">
      <w:pPr>
        <w:jc w:val="both"/>
        <w:divId w:val="31660144"/>
        <w:rPr>
          <w:rFonts w:eastAsia="Times New Roman"/>
        </w:rPr>
      </w:pPr>
      <w:r>
        <w:rPr>
          <w:rFonts w:eastAsia="Times New Roman"/>
          <w:b/>
          <w:bCs/>
          <w:i/>
          <w:iCs/>
          <w:color w:val="000000"/>
          <w:sz w:val="20"/>
          <w:szCs w:val="20"/>
        </w:rPr>
        <w:t>Gain on sales of mortgage loans</w:t>
      </w:r>
      <w:r>
        <w:rPr>
          <w:rFonts w:eastAsia="Times New Roman"/>
          <w:color w:val="000000"/>
          <w:sz w:val="20"/>
          <w:szCs w:val="20"/>
        </w:rPr>
        <w:t xml:space="preserve"> decreased $1.2 million to $0.8 mil</w:t>
      </w:r>
      <w:r>
        <w:rPr>
          <w:rFonts w:eastAsia="Times New Roman"/>
          <w:color w:val="000000"/>
          <w:sz w:val="20"/>
          <w:szCs w:val="20"/>
        </w:rPr>
        <w:t>lion for the second quarter ended June 30, 2022 compared to $2.0 million for the second quarter ended June 30, 2021, and decreased $2.8 million to $1.7 million for the six months ended June 30, 2022 compared to $4.5 million for the six months ended June 30</w:t>
      </w:r>
      <w:r>
        <w:rPr>
          <w:rFonts w:eastAsia="Times New Roman"/>
          <w:color w:val="000000"/>
          <w:sz w:val="20"/>
          <w:szCs w:val="20"/>
        </w:rPr>
        <w:t xml:space="preserve">, 2021. </w:t>
      </w:r>
    </w:p>
    <w:p w:rsidR="00000000" w:rsidRDefault="00100014">
      <w:pPr>
        <w:jc w:val="both"/>
        <w:divId w:val="2108571537"/>
        <w:rPr>
          <w:rFonts w:eastAsia="Times New Roman"/>
        </w:rPr>
      </w:pPr>
      <w:r>
        <w:rPr>
          <w:rFonts w:eastAsia="Times New Roman"/>
          <w:color w:val="000000"/>
          <w:sz w:val="20"/>
          <w:szCs w:val="20"/>
        </w:rPr>
        <w:t>The Company sold $25.7 million and $54.7 million of loans for the three and six months ended June 30, 2022, respectively, compared to $62.1 million and $128.2 million for the three and six months ended June 30, 2021, respectively. Loans sold to th</w:t>
      </w:r>
      <w:r>
        <w:rPr>
          <w:rFonts w:eastAsia="Times New Roman"/>
          <w:color w:val="000000"/>
          <w:sz w:val="20"/>
          <w:szCs w:val="20"/>
        </w:rPr>
        <w:t>e secondary market slowed after strong sales during the first six months of 2021.</w:t>
      </w:r>
    </w:p>
    <w:p w:rsidR="00000000" w:rsidRDefault="00100014">
      <w:pPr>
        <w:jc w:val="both"/>
        <w:divId w:val="661079716"/>
        <w:rPr>
          <w:rFonts w:eastAsia="Times New Roman"/>
        </w:rPr>
      </w:pPr>
      <w:r>
        <w:rPr>
          <w:rFonts w:eastAsia="Times New Roman"/>
          <w:b/>
          <w:bCs/>
          <w:i/>
          <w:iCs/>
          <w:color w:val="000000"/>
          <w:sz w:val="20"/>
          <w:szCs w:val="20"/>
        </w:rPr>
        <w:t>Other Income</w:t>
      </w:r>
      <w:r>
        <w:rPr>
          <w:rFonts w:eastAsia="Times New Roman"/>
          <w:color w:val="000000"/>
          <w:sz w:val="20"/>
          <w:szCs w:val="20"/>
        </w:rPr>
        <w:t xml:space="preserve"> increased $0.2 million to $0.4 million for the quarter ended June 30, 2022 compared to $0.2 million for the quarter ended June 30, 2021, and increased $0.6 milli</w:t>
      </w:r>
      <w:r>
        <w:rPr>
          <w:rFonts w:eastAsia="Times New Roman"/>
          <w:color w:val="000000"/>
          <w:sz w:val="20"/>
          <w:szCs w:val="20"/>
        </w:rPr>
        <w:t xml:space="preserve">on to $0.9 million for the six months ended June 30, 2022 compared to $0.3 million for the six months ended June 30, 2021. The increase primarily resulted from mortgage banking derivative income, interest component of net pension cost, net gain on sale of </w:t>
      </w:r>
      <w:r>
        <w:rPr>
          <w:rFonts w:eastAsia="Times New Roman"/>
          <w:color w:val="000000"/>
          <w:sz w:val="20"/>
          <w:szCs w:val="20"/>
        </w:rPr>
        <w:t>property in other real estate owned, and income received from the Missouri Department of Transportation related to a land easement. During the fourth quarter of 2021, the Company elected to record the fair value of derivatives related to interest rate lock</w:t>
      </w:r>
      <w:r>
        <w:rPr>
          <w:rFonts w:eastAsia="Times New Roman"/>
          <w:color w:val="000000"/>
          <w:sz w:val="20"/>
          <w:szCs w:val="20"/>
        </w:rPr>
        <w:t xml:space="preserve"> commitments and mandatory commitments and the related changes due to volume and rates through non-interest income and non-interest expense. </w:t>
      </w:r>
    </w:p>
    <w:p w:rsidR="00000000" w:rsidRDefault="00100014">
      <w:pPr>
        <w:jc w:val="both"/>
        <w:divId w:val="241912150"/>
        <w:rPr>
          <w:rFonts w:eastAsia="Times New Roman"/>
        </w:rPr>
      </w:pPr>
      <w:r>
        <w:rPr>
          <w:rFonts w:eastAsia="Times New Roman"/>
          <w:color w:val="000000"/>
          <w:sz w:val="20"/>
          <w:szCs w:val="20"/>
        </w:rPr>
        <w:t>The following table presents the gross realized gains and losses from sales and calls of available-for-sale securi</w:t>
      </w:r>
      <w:r>
        <w:rPr>
          <w:rFonts w:eastAsia="Times New Roman"/>
          <w:color w:val="000000"/>
          <w:sz w:val="20"/>
          <w:szCs w:val="20"/>
        </w:rPr>
        <w:t>ties, as well as gains and losses on equity securities from fair value adjustments which have been recognized in earnings:</w:t>
      </w:r>
    </w:p>
    <w:tbl>
      <w:tblPr>
        <w:tblW w:w="5000" w:type="pct"/>
        <w:tblCellMar>
          <w:top w:w="15" w:type="dxa"/>
          <w:left w:w="15" w:type="dxa"/>
          <w:bottom w:w="15" w:type="dxa"/>
          <w:right w:w="15" w:type="dxa"/>
        </w:tblCellMar>
        <w:tblLook w:val="04A0" w:firstRow="1" w:lastRow="0" w:firstColumn="1" w:lastColumn="0" w:noHBand="0" w:noVBand="1"/>
      </w:tblPr>
      <w:tblGrid>
        <w:gridCol w:w="38"/>
        <w:gridCol w:w="3298"/>
        <w:gridCol w:w="37"/>
        <w:gridCol w:w="111"/>
        <w:gridCol w:w="1033"/>
        <w:gridCol w:w="37"/>
        <w:gridCol w:w="37"/>
        <w:gridCol w:w="36"/>
        <w:gridCol w:w="36"/>
        <w:gridCol w:w="110"/>
        <w:gridCol w:w="995"/>
        <w:gridCol w:w="36"/>
        <w:gridCol w:w="36"/>
        <w:gridCol w:w="36"/>
        <w:gridCol w:w="36"/>
        <w:gridCol w:w="111"/>
        <w:gridCol w:w="995"/>
        <w:gridCol w:w="38"/>
        <w:gridCol w:w="37"/>
        <w:gridCol w:w="36"/>
        <w:gridCol w:w="36"/>
        <w:gridCol w:w="110"/>
        <w:gridCol w:w="995"/>
        <w:gridCol w:w="36"/>
      </w:tblGrid>
      <w:tr w:rsidR="00000000">
        <w:trPr>
          <w:divId w:val="838891211"/>
        </w:trPr>
        <w:tc>
          <w:tcPr>
            <w:tcW w:w="50" w:type="pct"/>
            <w:vAlign w:val="center"/>
            <w:hideMark/>
          </w:tcPr>
          <w:p w:rsidR="00000000" w:rsidRDefault="00100014">
            <w:pPr>
              <w:jc w:val="both"/>
              <w:rPr>
                <w:rFonts w:eastAsia="Times New Roman"/>
              </w:rPr>
            </w:pPr>
          </w:p>
        </w:tc>
        <w:tc>
          <w:tcPr>
            <w:tcW w:w="201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83889121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Six Months Ended June 30,</w:t>
            </w:r>
          </w:p>
        </w:tc>
      </w:tr>
      <w:tr w:rsidR="00000000">
        <w:trPr>
          <w:divId w:val="838891211"/>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8"/>
                <w:szCs w:val="18"/>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2021</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2022</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8"/>
                <w:szCs w:val="18"/>
              </w:rPr>
              <w:t>2021</w:t>
            </w:r>
          </w:p>
        </w:tc>
      </w:tr>
      <w:tr w:rsidR="00000000">
        <w:trPr>
          <w:divId w:val="83889121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Investment securities (losses) gains, net</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3889121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Available-for-sale securities:</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3889121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Gross realized gains</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w:t>
            </w:r>
          </w:p>
        </w:tc>
      </w:tr>
      <w:tr w:rsidR="00000000">
        <w:trPr>
          <w:divId w:val="83889121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Gross realized losses</w:t>
            </w: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83889121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Other-than-temporary impairment recognized</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83889121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Other investment securities: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83889121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Fair value adjustments, net</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r>
      <w:tr w:rsidR="00000000">
        <w:trPr>
          <w:divId w:val="838891211"/>
        </w:trPr>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Investment securities (losses) gains, net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(9)</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15</w:t>
            </w:r>
          </w:p>
        </w:tc>
      </w:tr>
    </w:tbl>
    <w:p w:rsidR="00000000" w:rsidRDefault="00100014">
      <w:pPr>
        <w:jc w:val="center"/>
        <w:divId w:val="1872188432"/>
        <w:rPr>
          <w:rFonts w:eastAsia="Times New Roman"/>
        </w:rPr>
      </w:pPr>
      <w:r>
        <w:rPr>
          <w:rFonts w:eastAsia="Times New Roman"/>
          <w:color w:val="000000"/>
          <w:sz w:val="20"/>
          <w:szCs w:val="20"/>
        </w:rPr>
        <w:t>46</w:t>
      </w:r>
    </w:p>
    <w:p w:rsidR="00000000" w:rsidRDefault="00100014">
      <w:pPr>
        <w:rPr>
          <w:rFonts w:eastAsia="Times New Roman"/>
        </w:rPr>
      </w:pPr>
      <w:r>
        <w:rPr>
          <w:rFonts w:eastAsia="Times New Roman"/>
        </w:rPr>
        <w:pict>
          <v:rect id="_x0000_i1070" style="width:0;height:1.5pt" o:hralign="center" o:hrstd="t" o:hr="t" fillcolor="#a0a0a0" stroked="f"/>
        </w:pict>
      </w:r>
    </w:p>
    <w:p w:rsidR="00000000" w:rsidRDefault="00100014">
      <w:pPr>
        <w:divId w:val="579558277"/>
        <w:rPr>
          <w:rFonts w:eastAsia="Times New Roman"/>
        </w:rPr>
      </w:pPr>
    </w:p>
    <w:p w:rsidR="00000000" w:rsidRDefault="00100014">
      <w:pPr>
        <w:divId w:val="1778676201"/>
        <w:rPr>
          <w:rFonts w:eastAsia="Times New Roman"/>
        </w:rPr>
      </w:pPr>
      <w:r>
        <w:rPr>
          <w:rFonts w:eastAsia="Times New Roman"/>
          <w:b/>
          <w:bCs/>
          <w:color w:val="000000"/>
          <w:sz w:val="20"/>
          <w:szCs w:val="20"/>
        </w:rPr>
        <w:t>Non-interest expense for the periods indicated was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2266"/>
        <w:gridCol w:w="37"/>
        <w:gridCol w:w="100"/>
        <w:gridCol w:w="480"/>
        <w:gridCol w:w="154"/>
        <w:gridCol w:w="100"/>
        <w:gridCol w:w="480"/>
        <w:gridCol w:w="154"/>
        <w:gridCol w:w="101"/>
        <w:gridCol w:w="594"/>
        <w:gridCol w:w="36"/>
        <w:gridCol w:w="36"/>
        <w:gridCol w:w="36"/>
        <w:gridCol w:w="36"/>
        <w:gridCol w:w="71"/>
        <w:gridCol w:w="487"/>
        <w:gridCol w:w="36"/>
        <w:gridCol w:w="36"/>
        <w:gridCol w:w="36"/>
        <w:gridCol w:w="36"/>
        <w:gridCol w:w="100"/>
        <w:gridCol w:w="480"/>
        <w:gridCol w:w="154"/>
        <w:gridCol w:w="100"/>
        <w:gridCol w:w="535"/>
        <w:gridCol w:w="154"/>
        <w:gridCol w:w="101"/>
        <w:gridCol w:w="594"/>
        <w:gridCol w:w="36"/>
        <w:gridCol w:w="36"/>
        <w:gridCol w:w="36"/>
        <w:gridCol w:w="36"/>
        <w:gridCol w:w="71"/>
        <w:gridCol w:w="487"/>
        <w:gridCol w:w="36"/>
      </w:tblGrid>
      <w:tr w:rsidR="00000000">
        <w:trPr>
          <w:divId w:val="781925612"/>
        </w:trPr>
        <w:tc>
          <w:tcPr>
            <w:tcW w:w="50" w:type="pct"/>
            <w:vAlign w:val="center"/>
            <w:hideMark/>
          </w:tcPr>
          <w:p w:rsidR="00000000" w:rsidRDefault="00100014">
            <w:pPr>
              <w:rPr>
                <w:rFonts w:eastAsia="Times New Roman"/>
              </w:rPr>
            </w:pPr>
          </w:p>
        </w:tc>
        <w:tc>
          <w:tcPr>
            <w:tcW w:w="143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3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3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6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2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6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4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781925612"/>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rPr>
          <w:divId w:val="781925612"/>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xml:space="preserve">% Change </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w:t>
            </w:r>
          </w:p>
        </w:tc>
      </w:tr>
      <w:tr w:rsidR="00000000">
        <w:trPr>
          <w:divId w:val="78192561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Non-interest expense</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78192561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Salaries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5,008 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5,151 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10,163 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10,493 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(3.1)%</w:t>
            </w:r>
          </w:p>
        </w:tc>
      </w:tr>
      <w:tr w:rsidR="00000000">
        <w:trPr>
          <w:divId w:val="78192561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Employee benefits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1,608 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1,804 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(196)</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(10.8)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3,339 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3,608 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(269)</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(7.5)</w:t>
            </w:r>
          </w:p>
        </w:tc>
      </w:tr>
      <w:tr w:rsidR="00000000">
        <w:trPr>
          <w:divId w:val="78192561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Occupancy expense, net</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765 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719 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6.4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1,550 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1,490 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4.0</w:t>
            </w:r>
          </w:p>
        </w:tc>
      </w:tr>
      <w:tr w:rsidR="00000000">
        <w:trPr>
          <w:divId w:val="78192561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Furniture and equipment expense</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771 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753 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1,497 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1.9</w:t>
            </w:r>
          </w:p>
        </w:tc>
      </w:tr>
      <w:tr w:rsidR="00000000">
        <w:trPr>
          <w:divId w:val="78192561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Processing, network and bank card expense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1,142 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1,224 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(6.7)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2,284 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2,232 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2.3</w:t>
            </w:r>
          </w:p>
        </w:tc>
      </w:tr>
      <w:tr w:rsidR="00000000">
        <w:trPr>
          <w:divId w:val="78192561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Legal, examination, and professional fees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375 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385 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815 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789 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3.3</w:t>
            </w:r>
          </w:p>
        </w:tc>
      </w:tr>
      <w:tr w:rsidR="00000000">
        <w:trPr>
          <w:divId w:val="78192561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Advertising and promotion</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597 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8.2</w:t>
            </w:r>
          </w:p>
        </w:tc>
      </w:tr>
      <w:tr w:rsidR="00000000">
        <w:trPr>
          <w:divId w:val="78192561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Postage, printing, and supplies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186 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21.5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416 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390 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6.7</w:t>
            </w:r>
          </w:p>
        </w:tc>
      </w:tr>
      <w:tr w:rsidR="00000000">
        <w:trPr>
          <w:divId w:val="78192561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Loan expense</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229 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(31.4)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(24.8)</w:t>
            </w:r>
          </w:p>
        </w:tc>
      </w:tr>
      <w:tr w:rsidR="00000000">
        <w:trPr>
          <w:divId w:val="78192561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Other</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1,184 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1,081 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9.5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2,774 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2,168 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606 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28.0</w:t>
            </w:r>
          </w:p>
        </w:tc>
      </w:tr>
      <w:tr w:rsidR="00000000">
        <w:trPr>
          <w:divId w:val="781925612"/>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non-interest expense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11,540 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(301)</w:t>
            </w:r>
          </w:p>
        </w:tc>
        <w:tc>
          <w:tcPr>
            <w:tcW w:w="0" w:type="auto"/>
            <w:tcBorders>
              <w:top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(2.5)%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23,622 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16"/>
                <w:szCs w:val="16"/>
              </w:rPr>
              <w:t>0.6%</w:t>
            </w:r>
          </w:p>
        </w:tc>
      </w:tr>
      <w:tr w:rsidR="00000000">
        <w:trPr>
          <w:divId w:val="781925612"/>
        </w:trPr>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Efficiency ratio*</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64.6 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65.9 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781925612"/>
        </w:trPr>
        <w:tc>
          <w:tcPr>
            <w:tcW w:w="0" w:type="auto"/>
            <w:gridSpan w:val="3"/>
            <w:tcBorders>
              <w:bottom w:val="sing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Number of full-time equivalent employees</w:t>
            </w: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300 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306 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300 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bottom w:val="single" w:sz="6"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306 </w:t>
            </w:r>
          </w:p>
        </w:tc>
        <w:tc>
          <w:tcPr>
            <w:tcW w:w="0" w:type="auto"/>
            <w:tcBorders>
              <w:bottom w:val="sing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bottom w:val="sing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bl>
    <w:p w:rsidR="00000000" w:rsidRDefault="00100014">
      <w:pPr>
        <w:ind w:hanging="450"/>
        <w:divId w:val="1154640670"/>
        <w:rPr>
          <w:rFonts w:eastAsia="Times New Roman"/>
        </w:rPr>
      </w:pPr>
      <w:r>
        <w:rPr>
          <w:rFonts w:eastAsia="Times New Roman"/>
          <w:color w:val="000000"/>
          <w:sz w:val="16"/>
          <w:szCs w:val="16"/>
        </w:rPr>
        <w:t>*Efficiency ratio is calculated as non-interest expense as a percent of revenue. Total revenue is calculated as net inter</w:t>
      </w:r>
      <w:r>
        <w:rPr>
          <w:rFonts w:eastAsia="Times New Roman"/>
          <w:color w:val="000000"/>
          <w:sz w:val="16"/>
          <w:szCs w:val="16"/>
        </w:rPr>
        <w:t>est income plus non-interest income.</w:t>
      </w:r>
    </w:p>
    <w:p w:rsidR="00000000" w:rsidRDefault="00100014">
      <w:pPr>
        <w:jc w:val="both"/>
        <w:divId w:val="1928952705"/>
        <w:rPr>
          <w:rFonts w:eastAsia="Times New Roman"/>
        </w:rPr>
      </w:pPr>
      <w:r>
        <w:rPr>
          <w:rFonts w:eastAsia="Times New Roman"/>
          <w:b/>
          <w:bCs/>
          <w:i/>
          <w:iCs/>
          <w:color w:val="000000"/>
          <w:sz w:val="20"/>
          <w:szCs w:val="20"/>
        </w:rPr>
        <w:t>Total non-interest expense</w:t>
      </w:r>
      <w:r>
        <w:rPr>
          <w:rFonts w:eastAsia="Times New Roman"/>
          <w:color w:val="000000"/>
          <w:sz w:val="20"/>
          <w:szCs w:val="20"/>
        </w:rPr>
        <w:t xml:space="preserve"> decreased $0.3 million to $11.5 million for the quarter ended June 30, 2022 compared to $11.8 million for the quarter ended June </w:t>
      </w:r>
      <w:r>
        <w:rPr>
          <w:rFonts w:eastAsia="Times New Roman"/>
          <w:color w:val="000000"/>
          <w:sz w:val="20"/>
          <w:szCs w:val="20"/>
        </w:rPr>
        <w:t>30, 2021, and increased $0.1 million to $23.8 million for the six months ended June 30, 2022 compared to $23.6 million for the six months ended June 30, 2021.</w:t>
      </w:r>
    </w:p>
    <w:p w:rsidR="00000000" w:rsidRDefault="00100014">
      <w:pPr>
        <w:jc w:val="both"/>
        <w:divId w:val="1034581585"/>
        <w:rPr>
          <w:rFonts w:eastAsia="Times New Roman"/>
        </w:rPr>
      </w:pPr>
      <w:r>
        <w:rPr>
          <w:rFonts w:eastAsia="Times New Roman"/>
          <w:b/>
          <w:bCs/>
          <w:i/>
          <w:iCs/>
          <w:color w:val="000000"/>
          <w:sz w:val="20"/>
          <w:szCs w:val="20"/>
        </w:rPr>
        <w:t>Salaries</w:t>
      </w:r>
      <w:r>
        <w:rPr>
          <w:rFonts w:eastAsia="Times New Roman"/>
          <w:color w:val="000000"/>
          <w:sz w:val="20"/>
          <w:szCs w:val="20"/>
        </w:rPr>
        <w:t xml:space="preserve"> decreased $0.1 million, or 2.8%, to $5.0 million for the quarter ended June 30, 2022 com</w:t>
      </w:r>
      <w:r>
        <w:rPr>
          <w:rFonts w:eastAsia="Times New Roman"/>
          <w:color w:val="000000"/>
          <w:sz w:val="20"/>
          <w:szCs w:val="20"/>
        </w:rPr>
        <w:t>pared to $5.2 million for the quarter ended June 30, 2021, and decreased $0.3 million, or 3.1%, to $10.2 million for the six months ended June 30, 2022 compared to $10.5 million for the six months ended June 30, 2021. The decreases were primarily due to re</w:t>
      </w:r>
      <w:r>
        <w:rPr>
          <w:rFonts w:eastAsia="Times New Roman"/>
          <w:color w:val="000000"/>
          <w:sz w:val="20"/>
          <w:szCs w:val="20"/>
        </w:rPr>
        <w:t xml:space="preserve">duced commissions based on lower loan volume. See </w:t>
      </w:r>
      <w:r>
        <w:rPr>
          <w:rFonts w:eastAsia="Times New Roman"/>
          <w:i/>
          <w:iCs/>
          <w:color w:val="000000"/>
          <w:sz w:val="20"/>
          <w:szCs w:val="20"/>
        </w:rPr>
        <w:t>Gains on sales of mortgage loans</w:t>
      </w:r>
      <w:r>
        <w:rPr>
          <w:rFonts w:eastAsia="Times New Roman"/>
          <w:color w:val="000000"/>
          <w:sz w:val="20"/>
          <w:szCs w:val="20"/>
        </w:rPr>
        <w:t xml:space="preserve"> discussion above.</w:t>
      </w:r>
    </w:p>
    <w:p w:rsidR="00000000" w:rsidRDefault="00100014">
      <w:pPr>
        <w:jc w:val="both"/>
        <w:divId w:val="822501150"/>
        <w:rPr>
          <w:rFonts w:eastAsia="Times New Roman"/>
        </w:rPr>
      </w:pPr>
      <w:r>
        <w:rPr>
          <w:rFonts w:eastAsia="Times New Roman"/>
          <w:b/>
          <w:bCs/>
          <w:i/>
          <w:iCs/>
          <w:color w:val="000000"/>
          <w:sz w:val="20"/>
          <w:szCs w:val="20"/>
        </w:rPr>
        <w:t>Employee benefits</w:t>
      </w:r>
      <w:r>
        <w:rPr>
          <w:rFonts w:eastAsia="Times New Roman"/>
          <w:color w:val="000000"/>
          <w:sz w:val="20"/>
          <w:szCs w:val="20"/>
        </w:rPr>
        <w:t xml:space="preserve"> decreased $0.2 million, or 10.8%, to $1.6 million for the quarter ended June 30, 2022 compared to $1.8 million for the quarter ended June</w:t>
      </w:r>
      <w:r>
        <w:rPr>
          <w:rFonts w:eastAsia="Times New Roman"/>
          <w:color w:val="000000"/>
          <w:sz w:val="20"/>
          <w:szCs w:val="20"/>
        </w:rPr>
        <w:t> 30, 2021, and decreased $0.3 million, or 7.5%, to $3.3 million for the six months ended June 30, 2022 compared to $3.6 million for the six months ended June 30, 2021. The decreases were primarily due to a decrease in 401(k) plan contributions, medical pre</w:t>
      </w:r>
      <w:r>
        <w:rPr>
          <w:rFonts w:eastAsia="Times New Roman"/>
          <w:color w:val="000000"/>
          <w:sz w:val="20"/>
          <w:szCs w:val="20"/>
        </w:rPr>
        <w:t>miums, and pension cost due to lower annual discount rate assumptions compared to the prior year's annual assumptions.</w:t>
      </w:r>
    </w:p>
    <w:p w:rsidR="00000000" w:rsidRDefault="00100014">
      <w:pPr>
        <w:jc w:val="both"/>
        <w:divId w:val="320475354"/>
        <w:rPr>
          <w:rFonts w:eastAsia="Times New Roman"/>
        </w:rPr>
      </w:pPr>
      <w:r>
        <w:rPr>
          <w:rFonts w:eastAsia="Times New Roman"/>
          <w:b/>
          <w:bCs/>
          <w:i/>
          <w:iCs/>
          <w:color w:val="000000"/>
          <w:sz w:val="20"/>
          <w:szCs w:val="20"/>
        </w:rPr>
        <w:t>Other non-interest expense</w:t>
      </w:r>
      <w:r>
        <w:rPr>
          <w:rFonts w:eastAsia="Times New Roman"/>
          <w:color w:val="000000"/>
          <w:sz w:val="20"/>
          <w:szCs w:val="20"/>
        </w:rPr>
        <w:t xml:space="preserve"> increased $0.1 million, or 9.5%, to $1.2 million for the quarter ended June 30, 2022 compared to $1.1 million </w:t>
      </w:r>
      <w:r>
        <w:rPr>
          <w:rFonts w:eastAsia="Times New Roman"/>
          <w:color w:val="000000"/>
          <w:sz w:val="20"/>
          <w:szCs w:val="20"/>
        </w:rPr>
        <w:t>for the quarter ended June 30, 2021, and increased $0.6 million, or 28.0%, to $2.8 million for the six months ended June 30, 2022 compared to $2.2 million for the six months ended June 30, 2021. The increases were primarily related to the change in the fai</w:t>
      </w:r>
      <w:r>
        <w:rPr>
          <w:rFonts w:eastAsia="Times New Roman"/>
          <w:color w:val="000000"/>
          <w:sz w:val="20"/>
          <w:szCs w:val="20"/>
        </w:rPr>
        <w:t>r value adjustment for mortgage banking derivatives, telephone and software expense related to network upgrades and maintenance agreements. During the fourth quarter of 2021, the Company elected to record the fair value of derivatives related to interest r</w:t>
      </w:r>
      <w:r>
        <w:rPr>
          <w:rFonts w:eastAsia="Times New Roman"/>
          <w:color w:val="000000"/>
          <w:sz w:val="20"/>
          <w:szCs w:val="20"/>
        </w:rPr>
        <w:t>ate lock commitments and mandatory commitments and the related changes due to volume and rates through non-interest income and non-interest expense.</w:t>
      </w:r>
    </w:p>
    <w:p w:rsidR="00000000" w:rsidRDefault="00100014">
      <w:pPr>
        <w:divId w:val="444928200"/>
        <w:rPr>
          <w:rFonts w:eastAsia="Times New Roman"/>
        </w:rPr>
      </w:pPr>
      <w:r>
        <w:rPr>
          <w:rFonts w:eastAsia="Times New Roman"/>
          <w:b/>
          <w:bCs/>
          <w:i/>
          <w:iCs/>
          <w:color w:val="000000"/>
          <w:sz w:val="20"/>
          <w:szCs w:val="20"/>
        </w:rPr>
        <w:t>Income taxes</w:t>
      </w:r>
    </w:p>
    <w:p w:rsidR="00000000" w:rsidRDefault="00100014">
      <w:pPr>
        <w:jc w:val="both"/>
        <w:divId w:val="1213034768"/>
        <w:rPr>
          <w:rFonts w:eastAsia="Times New Roman"/>
        </w:rPr>
      </w:pPr>
      <w:r>
        <w:rPr>
          <w:rFonts w:eastAsia="Times New Roman"/>
          <w:color w:val="000000"/>
          <w:sz w:val="20"/>
          <w:szCs w:val="20"/>
        </w:rPr>
        <w:t>Income taxes as a percentage of earnings before income taxes as reported in the consolidated f</w:t>
      </w:r>
      <w:r>
        <w:rPr>
          <w:rFonts w:eastAsia="Times New Roman"/>
          <w:color w:val="000000"/>
          <w:sz w:val="20"/>
          <w:szCs w:val="20"/>
        </w:rPr>
        <w:t xml:space="preserve">inancial statements were 17.8% and 18.4% for the three and six months ended June 30, 2022, respectively, compared to 19.7% and 19.2% for the three and six months ended June 30, 2021, respectively. </w:t>
      </w:r>
    </w:p>
    <w:p w:rsidR="00000000" w:rsidRDefault="00100014">
      <w:pPr>
        <w:jc w:val="both"/>
        <w:divId w:val="360982993"/>
        <w:rPr>
          <w:rFonts w:eastAsia="Times New Roman"/>
        </w:rPr>
      </w:pPr>
      <w:r>
        <w:rPr>
          <w:rFonts w:eastAsia="Times New Roman"/>
          <w:color w:val="000000"/>
          <w:sz w:val="20"/>
          <w:szCs w:val="20"/>
        </w:rPr>
        <w:t>The decrease in the effective tax rate for the three month</w:t>
      </w:r>
      <w:r>
        <w:rPr>
          <w:rFonts w:eastAsia="Times New Roman"/>
          <w:color w:val="000000"/>
          <w:sz w:val="20"/>
          <w:szCs w:val="20"/>
        </w:rPr>
        <w:t xml:space="preserve">s ended June 30, 2022 compared to the three months ended June 30, 2021 was primarily attributable to the decrease in earnings and the benefit recorded pertaining to the historical tax credit. The decrease in the effective tax rate for the six months ended </w:t>
      </w:r>
      <w:r>
        <w:rPr>
          <w:rFonts w:eastAsia="Times New Roman"/>
          <w:color w:val="000000"/>
          <w:sz w:val="20"/>
          <w:szCs w:val="20"/>
        </w:rPr>
        <w:t>June 30, 2022 compared to the six months ended June 30, 2021 was primarily attributable to the increase in earnings and an increase in state taxes attributed to elevated earnings partially offset by the benefit recorded pertaining to the historical tax cre</w:t>
      </w:r>
      <w:r>
        <w:rPr>
          <w:rFonts w:eastAsia="Times New Roman"/>
          <w:color w:val="000000"/>
          <w:sz w:val="20"/>
          <w:szCs w:val="20"/>
        </w:rPr>
        <w:t>dit. The effective tax rate for each of the three and six months ended June 30, 2022 and 2021, respectively, is lower than the U.S. federal statutory rate of 21% primarily due to tax-free revenues.</w:t>
      </w:r>
    </w:p>
    <w:p w:rsidR="00000000" w:rsidRDefault="00100014">
      <w:pPr>
        <w:jc w:val="center"/>
        <w:divId w:val="1415054243"/>
        <w:rPr>
          <w:rFonts w:eastAsia="Times New Roman"/>
        </w:rPr>
      </w:pPr>
      <w:r>
        <w:rPr>
          <w:rFonts w:eastAsia="Times New Roman"/>
          <w:color w:val="000000"/>
          <w:sz w:val="20"/>
          <w:szCs w:val="20"/>
        </w:rPr>
        <w:t>47</w:t>
      </w:r>
    </w:p>
    <w:p w:rsidR="00000000" w:rsidRDefault="00100014">
      <w:pPr>
        <w:rPr>
          <w:rFonts w:eastAsia="Times New Roman"/>
        </w:rPr>
      </w:pPr>
      <w:r>
        <w:rPr>
          <w:rFonts w:eastAsia="Times New Roman"/>
        </w:rPr>
        <w:pict>
          <v:rect id="_x0000_i1071" style="width:0;height:1.5pt" o:hralign="center" o:hrstd="t" o:hr="t" fillcolor="#a0a0a0" stroked="f"/>
        </w:pict>
      </w:r>
    </w:p>
    <w:p w:rsidR="00000000" w:rsidRDefault="00100014">
      <w:pPr>
        <w:divId w:val="903687840"/>
        <w:rPr>
          <w:rFonts w:eastAsia="Times New Roman"/>
        </w:rPr>
      </w:pPr>
    </w:p>
    <w:p w:rsidR="00000000" w:rsidRDefault="00100014">
      <w:pPr>
        <w:jc w:val="both"/>
        <w:divId w:val="2036536852"/>
        <w:rPr>
          <w:rFonts w:eastAsia="Times New Roman"/>
        </w:rPr>
      </w:pPr>
      <w:r>
        <w:rPr>
          <w:rFonts w:eastAsia="Times New Roman"/>
          <w:color w:val="000000"/>
          <w:sz w:val="20"/>
          <w:szCs w:val="20"/>
        </w:rPr>
        <w:t xml:space="preserve">Included in the </w:t>
      </w:r>
      <w:r>
        <w:rPr>
          <w:rFonts w:eastAsia="Times New Roman"/>
          <w:color w:val="000000"/>
          <w:sz w:val="20"/>
          <w:szCs w:val="20"/>
        </w:rPr>
        <w:t xml:space="preserve">effective tax rate is a $14,000 and $27,000 benefit associated with a historic tax credit investment for the three and six months ended June 30, 2022, respectively. The investment is expected to generate a $331,000 tax benefit over the life of the project </w:t>
      </w:r>
      <w:r>
        <w:rPr>
          <w:rFonts w:eastAsia="Times New Roman"/>
          <w:color w:val="000000"/>
          <w:sz w:val="20"/>
          <w:szCs w:val="20"/>
        </w:rPr>
        <w:t xml:space="preserve">and is being recognized under the deferral method of accounting. </w:t>
      </w:r>
    </w:p>
    <w:p w:rsidR="00000000" w:rsidRDefault="00100014">
      <w:pPr>
        <w:divId w:val="133261357"/>
        <w:rPr>
          <w:rFonts w:eastAsia="Times New Roman"/>
        </w:rPr>
      </w:pPr>
      <w:r>
        <w:rPr>
          <w:rFonts w:eastAsia="Times New Roman"/>
          <w:b/>
          <w:bCs/>
          <w:color w:val="000000"/>
          <w:sz w:val="20"/>
          <w:szCs w:val="20"/>
        </w:rPr>
        <w:t>Lending and Credit Management</w:t>
      </w:r>
    </w:p>
    <w:p w:rsidR="00000000" w:rsidRDefault="00100014">
      <w:pPr>
        <w:jc w:val="both"/>
        <w:divId w:val="618099752"/>
        <w:rPr>
          <w:rFonts w:eastAsia="Times New Roman"/>
        </w:rPr>
      </w:pPr>
      <w:r>
        <w:rPr>
          <w:rFonts w:eastAsia="Times New Roman"/>
          <w:color w:val="000000"/>
          <w:sz w:val="20"/>
          <w:szCs w:val="20"/>
        </w:rPr>
        <w:t>Interest earned on the loan portfolio is a primary source of interest income for the Company. Net loans represented 78.9% of total assets as of June 30, 2022 co</w:t>
      </w:r>
      <w:r>
        <w:rPr>
          <w:rFonts w:eastAsia="Times New Roman"/>
          <w:color w:val="000000"/>
          <w:sz w:val="20"/>
          <w:szCs w:val="20"/>
        </w:rPr>
        <w:t>mpared to 70.2% as of December 31, 2021.</w:t>
      </w:r>
    </w:p>
    <w:p w:rsidR="00000000" w:rsidRDefault="00100014">
      <w:pPr>
        <w:jc w:val="both"/>
        <w:divId w:val="985622866"/>
        <w:rPr>
          <w:rFonts w:eastAsia="Times New Roman"/>
        </w:rPr>
      </w:pPr>
      <w:r>
        <w:rPr>
          <w:rFonts w:eastAsia="Times New Roman"/>
          <w:color w:val="000000"/>
          <w:sz w:val="20"/>
          <w:szCs w:val="20"/>
        </w:rPr>
        <w:t>Lending activities are conducted pursuant to an established loan policy approved by the Bank’s Board of Directors. The Bank’s credit review process is overseen by regional loan committees with established loan appro</w:t>
      </w:r>
      <w:r>
        <w:rPr>
          <w:rFonts w:eastAsia="Times New Roman"/>
          <w:color w:val="000000"/>
          <w:sz w:val="20"/>
          <w:szCs w:val="20"/>
        </w:rPr>
        <w:t>val limits. In addition, a senior loan committee reviews all credit relationships in aggregate over an established dollar amount. The senior loan committee meets weekly and is comprised of senior managers of the Bank.</w:t>
      </w:r>
    </w:p>
    <w:p w:rsidR="00000000" w:rsidRDefault="00100014">
      <w:pPr>
        <w:jc w:val="both"/>
        <w:divId w:val="574517180"/>
        <w:rPr>
          <w:rFonts w:eastAsia="Times New Roman"/>
        </w:rPr>
      </w:pPr>
      <w:r>
        <w:rPr>
          <w:rFonts w:eastAsia="Times New Roman"/>
          <w:color w:val="000000"/>
          <w:sz w:val="20"/>
          <w:szCs w:val="20"/>
        </w:rPr>
        <w:t>Major classifications within the Compa</w:t>
      </w:r>
      <w:r>
        <w:rPr>
          <w:rFonts w:eastAsia="Times New Roman"/>
          <w:color w:val="000000"/>
          <w:sz w:val="20"/>
          <w:szCs w:val="20"/>
        </w:rPr>
        <w:t>ny’s held for investment loan portfolio as of the dates indicated is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389"/>
        <w:gridCol w:w="37"/>
        <w:gridCol w:w="120"/>
        <w:gridCol w:w="1016"/>
        <w:gridCol w:w="36"/>
        <w:gridCol w:w="38"/>
        <w:gridCol w:w="997"/>
        <w:gridCol w:w="187"/>
        <w:gridCol w:w="36"/>
        <w:gridCol w:w="36"/>
        <w:gridCol w:w="36"/>
        <w:gridCol w:w="120"/>
        <w:gridCol w:w="961"/>
        <w:gridCol w:w="36"/>
        <w:gridCol w:w="38"/>
        <w:gridCol w:w="998"/>
        <w:gridCol w:w="187"/>
      </w:tblGrid>
      <w:tr w:rsidR="00000000">
        <w:trPr>
          <w:divId w:val="480125672"/>
        </w:trPr>
        <w:tc>
          <w:tcPr>
            <w:tcW w:w="50" w:type="pct"/>
            <w:vAlign w:val="center"/>
            <w:hideMark/>
          </w:tcPr>
          <w:p w:rsidR="00000000" w:rsidRDefault="00100014">
            <w:pPr>
              <w:jc w:val="both"/>
              <w:rPr>
                <w:rFonts w:eastAsia="Times New Roman"/>
              </w:rPr>
            </w:pPr>
          </w:p>
        </w:tc>
        <w:tc>
          <w:tcPr>
            <w:tcW w:w="208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480125672"/>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4801256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of Loans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of Loans</w:t>
            </w:r>
          </w:p>
        </w:tc>
      </w:tr>
      <w:tr w:rsidR="00000000">
        <w:trPr>
          <w:divId w:val="4801256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 (a)</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242,701 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17.0 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217,214 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16.7 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48012567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782067613"/>
              <w:rPr>
                <w:rFonts w:eastAsia="Times New Roman"/>
              </w:rPr>
            </w:pPr>
            <w:r>
              <w:rPr>
                <w:rFonts w:eastAsia="Times New Roman"/>
                <w:color w:val="000000"/>
                <w:sz w:val="20"/>
                <w:szCs w:val="20"/>
              </w:rPr>
              <w:t xml:space="preserve">Real estate construction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23,629 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27,920 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801256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590314322"/>
              <w:rPr>
                <w:rFonts w:eastAsia="Times New Roman"/>
              </w:rPr>
            </w:pPr>
            <w:r>
              <w:rPr>
                <w:rFonts w:eastAsia="Times New Roman"/>
                <w:color w:val="000000"/>
                <w:sz w:val="20"/>
                <w:szCs w:val="20"/>
                <w:shd w:val="clear" w:color="auto" w:fill="CCEEFF"/>
              </w:rPr>
              <w:t xml:space="preserve">Real estate construction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119,079 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91,369 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8012567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927347487"/>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312,086 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279,346 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80125672"/>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1235512088"/>
              <w:rPr>
                <w:rFonts w:eastAsia="Times New Roman"/>
              </w:rPr>
            </w:pPr>
            <w:r>
              <w:rPr>
                <w:rFonts w:eastAsia="Times New Roman"/>
                <w:color w:val="000000"/>
                <w:sz w:val="20"/>
                <w:szCs w:val="20"/>
                <w:shd w:val="clear" w:color="auto" w:fill="CCEEFF"/>
              </w:rPr>
              <w:t xml:space="preserve">Real estate mortgage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706,700 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49.5 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663,256 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50.9 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80125672"/>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23,633 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23,028 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480125672"/>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loans held for investment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1,427,828 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1,302,133 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bl>
    <w:p w:rsidR="00000000" w:rsidRDefault="00100014">
      <w:pPr>
        <w:ind w:hanging="450"/>
        <w:divId w:val="759258507"/>
        <w:rPr>
          <w:rFonts w:eastAsia="Times New Roman"/>
        </w:rPr>
      </w:pPr>
      <w:r>
        <w:rPr>
          <w:rFonts w:eastAsia="Times New Roman"/>
          <w:color w:val="000000"/>
          <w:sz w:val="16"/>
          <w:szCs w:val="16"/>
        </w:rPr>
        <w:t>(a)Includes $1.1 million and $8.4 million of SBA PPP loans, net as of June 30, 2022 and December 31, 2021, respectively.</w:t>
      </w:r>
    </w:p>
    <w:p w:rsidR="00000000" w:rsidRDefault="00100014">
      <w:pPr>
        <w:jc w:val="both"/>
        <w:divId w:val="1136067861"/>
        <w:rPr>
          <w:rFonts w:eastAsia="Times New Roman"/>
        </w:rPr>
      </w:pPr>
      <w:r>
        <w:rPr>
          <w:rFonts w:eastAsia="Times New Roman"/>
          <w:color w:val="000000"/>
          <w:sz w:val="20"/>
          <w:szCs w:val="20"/>
        </w:rPr>
        <w:t>The Company extends credit to its local community markets through traditional real estate mo</w:t>
      </w:r>
      <w:r>
        <w:rPr>
          <w:rFonts w:eastAsia="Times New Roman"/>
          <w:color w:val="000000"/>
          <w:sz w:val="20"/>
          <w:szCs w:val="20"/>
        </w:rPr>
        <w:t>rtgage products. The Company does not participate in credit extensions to sub-prime residential real estate markets. The Company does not lend funds for transactions defined as “highly leveraged” by bank regulatory authorities or for foreign loans. Additio</w:t>
      </w:r>
      <w:r>
        <w:rPr>
          <w:rFonts w:eastAsia="Times New Roman"/>
          <w:color w:val="000000"/>
          <w:sz w:val="20"/>
          <w:szCs w:val="20"/>
        </w:rPr>
        <w:t>nally, the Company does not have any concentrations of loans exceeding 10% of total loans that are not otherwise disclosed in the loan portfolio composition table. The Company does not have any interest-earning assets that would have been included in non-a</w:t>
      </w:r>
      <w:r>
        <w:rPr>
          <w:rFonts w:eastAsia="Times New Roman"/>
          <w:color w:val="000000"/>
          <w:sz w:val="20"/>
          <w:szCs w:val="20"/>
        </w:rPr>
        <w:t>ccrual, past due, or restructured loans if such assets were loans.</w:t>
      </w:r>
    </w:p>
    <w:p w:rsidR="00000000" w:rsidRDefault="00100014">
      <w:pPr>
        <w:jc w:val="both"/>
        <w:divId w:val="221215396"/>
        <w:rPr>
          <w:rFonts w:eastAsia="Times New Roman"/>
        </w:rPr>
      </w:pPr>
      <w:r>
        <w:rPr>
          <w:rFonts w:eastAsia="Times New Roman"/>
          <w:color w:val="000000"/>
          <w:sz w:val="20"/>
          <w:szCs w:val="20"/>
        </w:rPr>
        <w:t xml:space="preserve">The Company generally does not retain long-term fixed rate residential mortgage loans in its portfolio. Fixed rate loans conforming to standards required by the secondary market are offered to qualified borrowers but are not funded until the Company has a </w:t>
      </w:r>
      <w:r>
        <w:rPr>
          <w:rFonts w:eastAsia="Times New Roman"/>
          <w:color w:val="000000"/>
          <w:sz w:val="20"/>
          <w:szCs w:val="20"/>
        </w:rPr>
        <w:t xml:space="preserve">non-recourse purchase commitment from the secondary market at a predetermined price. During the six months ended June 30, 2022, the Company sold approximately $54.7 million of loans to investors compared to $128.2 million for the six months ended June 30, </w:t>
      </w:r>
      <w:r>
        <w:rPr>
          <w:rFonts w:eastAsia="Times New Roman"/>
          <w:color w:val="000000"/>
          <w:sz w:val="20"/>
          <w:szCs w:val="20"/>
        </w:rPr>
        <w:t>2021. At June 30, 2022, the Company was servicing approximately $252.3 million of loans sold to the secondary market compared to $270.0 million at December 31, 2021, and $286.6 million at June 30, 2021.</w:t>
      </w:r>
    </w:p>
    <w:p w:rsidR="00000000" w:rsidRDefault="00100014">
      <w:pPr>
        <w:divId w:val="249003707"/>
        <w:rPr>
          <w:rFonts w:eastAsia="Times New Roman"/>
        </w:rPr>
      </w:pPr>
      <w:r>
        <w:rPr>
          <w:rFonts w:eastAsia="Times New Roman"/>
          <w:i/>
          <w:iCs/>
          <w:color w:val="000000"/>
          <w:sz w:val="20"/>
          <w:szCs w:val="20"/>
        </w:rPr>
        <w:t>Risk Elements of the Loan Portfolio</w:t>
      </w:r>
    </w:p>
    <w:p w:rsidR="00000000" w:rsidRDefault="00100014">
      <w:pPr>
        <w:jc w:val="both"/>
        <w:divId w:val="2111780957"/>
        <w:rPr>
          <w:rFonts w:eastAsia="Times New Roman"/>
        </w:rPr>
      </w:pPr>
      <w:r>
        <w:rPr>
          <w:rFonts w:eastAsia="Times New Roman"/>
          <w:color w:val="000000"/>
          <w:sz w:val="20"/>
          <w:szCs w:val="20"/>
        </w:rPr>
        <w:t>Management, the s</w:t>
      </w:r>
      <w:r>
        <w:rPr>
          <w:rFonts w:eastAsia="Times New Roman"/>
          <w:color w:val="000000"/>
          <w:sz w:val="20"/>
          <w:szCs w:val="20"/>
        </w:rPr>
        <w:t>enior loan committee, and internal loan review, formally review all loans in excess of certain dollar amounts (periodically established) at least annually. Loans in excess of $2.0 million in aggregate and all adversely classified credits identified by mana</w:t>
      </w:r>
      <w:r>
        <w:rPr>
          <w:rFonts w:eastAsia="Times New Roman"/>
          <w:color w:val="000000"/>
          <w:sz w:val="20"/>
          <w:szCs w:val="20"/>
        </w:rPr>
        <w:t>gement are reviewed by the senior loan committee. In addition, all other loans are reviewed on a risk weighted selection process. The senior loan committee reviews and reports to the Board of Directors, at scheduled meetings: past due, classified, and watc</w:t>
      </w:r>
      <w:r>
        <w:rPr>
          <w:rFonts w:eastAsia="Times New Roman"/>
          <w:color w:val="000000"/>
          <w:sz w:val="20"/>
          <w:szCs w:val="20"/>
        </w:rPr>
        <w:t>h list loans in order to classify or reclassify loans as loans requiring attention, substandard, doubtful, or loss. During this review, management also determines which loans should be considered impaired. Management follows the guidance provided in the Fi</w:t>
      </w:r>
      <w:r>
        <w:rPr>
          <w:rFonts w:eastAsia="Times New Roman"/>
          <w:color w:val="000000"/>
          <w:sz w:val="20"/>
          <w:szCs w:val="20"/>
        </w:rPr>
        <w:t xml:space="preserve">nancial Accounting Standards Board's (FASB) ASC Topic 310-10-35 in identifying and measuring loan impairment. If management determines that it is probable that all amounts due on a loan will not be collected under the original terms of the loan agreement, </w:t>
      </w:r>
      <w:r>
        <w:rPr>
          <w:rFonts w:eastAsia="Times New Roman"/>
          <w:color w:val="000000"/>
          <w:sz w:val="20"/>
          <w:szCs w:val="20"/>
        </w:rPr>
        <w:t>the loan is considered impaired. These loans are evaluated individually for impairment, and in conjunction with current economic conditions and loss experience, specific reserves are estimated as further discussed below. Loans not individually evaluated ar</w:t>
      </w:r>
      <w:r>
        <w:rPr>
          <w:rFonts w:eastAsia="Times New Roman"/>
          <w:color w:val="000000"/>
          <w:sz w:val="20"/>
          <w:szCs w:val="20"/>
        </w:rPr>
        <w:t xml:space="preserve">e aggregated and reserves are recorded using a consistent methodology that considers historical loan loss experience by loan type, </w:t>
      </w:r>
    </w:p>
    <w:p w:rsidR="00000000" w:rsidRDefault="00100014">
      <w:pPr>
        <w:jc w:val="center"/>
        <w:divId w:val="1873106779"/>
        <w:rPr>
          <w:rFonts w:eastAsia="Times New Roman"/>
        </w:rPr>
      </w:pPr>
      <w:r>
        <w:rPr>
          <w:rFonts w:eastAsia="Times New Roman"/>
          <w:color w:val="000000"/>
          <w:sz w:val="20"/>
          <w:szCs w:val="20"/>
        </w:rPr>
        <w:t>48</w:t>
      </w:r>
    </w:p>
    <w:p w:rsidR="00000000" w:rsidRDefault="00100014">
      <w:pPr>
        <w:rPr>
          <w:rFonts w:eastAsia="Times New Roman"/>
        </w:rPr>
      </w:pPr>
      <w:r>
        <w:rPr>
          <w:rFonts w:eastAsia="Times New Roman"/>
        </w:rPr>
        <w:pict>
          <v:rect id="_x0000_i1072" style="width:0;height:1.5pt" o:hralign="center" o:hrstd="t" o:hr="t" fillcolor="#a0a0a0" stroked="f"/>
        </w:pict>
      </w:r>
    </w:p>
    <w:p w:rsidR="00000000" w:rsidRDefault="00100014">
      <w:pPr>
        <w:divId w:val="2016805133"/>
        <w:rPr>
          <w:rFonts w:eastAsia="Times New Roman"/>
        </w:rPr>
      </w:pPr>
    </w:p>
    <w:p w:rsidR="00000000" w:rsidRDefault="00100014">
      <w:pPr>
        <w:jc w:val="both"/>
        <w:divId w:val="1363826531"/>
        <w:rPr>
          <w:rFonts w:eastAsia="Times New Roman"/>
        </w:rPr>
      </w:pPr>
      <w:r>
        <w:rPr>
          <w:rFonts w:eastAsia="Times New Roman"/>
          <w:color w:val="000000"/>
          <w:sz w:val="20"/>
          <w:szCs w:val="20"/>
        </w:rPr>
        <w:t>delinquencies, current economic conditions, loan risk ratings and industry concent</w:t>
      </w:r>
      <w:r>
        <w:rPr>
          <w:rFonts w:eastAsia="Times New Roman"/>
          <w:color w:val="000000"/>
          <w:sz w:val="20"/>
          <w:szCs w:val="20"/>
        </w:rPr>
        <w:t>ration. Management believes, but there can be no assurance, that these procedures keep management informed of potential problem loans. Based upon these procedures, both the allowance and provision for loan losses are adjusted to maintain the allowance at a</w:t>
      </w:r>
      <w:r>
        <w:rPr>
          <w:rFonts w:eastAsia="Times New Roman"/>
          <w:color w:val="000000"/>
          <w:sz w:val="20"/>
          <w:szCs w:val="20"/>
        </w:rPr>
        <w:t xml:space="preserve"> level considered necessary by management to provide for probable losses inherent in the loan portfolio.</w:t>
      </w:r>
    </w:p>
    <w:p w:rsidR="00000000" w:rsidRDefault="00100014">
      <w:pPr>
        <w:divId w:val="118765702"/>
        <w:rPr>
          <w:rFonts w:eastAsia="Times New Roman"/>
        </w:rPr>
      </w:pPr>
      <w:r>
        <w:rPr>
          <w:rFonts w:eastAsia="Times New Roman"/>
          <w:i/>
          <w:iCs/>
          <w:color w:val="000000"/>
          <w:sz w:val="20"/>
          <w:szCs w:val="20"/>
        </w:rPr>
        <w:t>Non-performing Assets</w:t>
      </w:r>
    </w:p>
    <w:p w:rsidR="00000000" w:rsidRDefault="00100014">
      <w:pPr>
        <w:jc w:val="both"/>
        <w:divId w:val="2136679687"/>
        <w:rPr>
          <w:rFonts w:eastAsia="Times New Roman"/>
        </w:rPr>
      </w:pPr>
      <w:r>
        <w:rPr>
          <w:rFonts w:eastAsia="Times New Roman"/>
          <w:color w:val="000000"/>
          <w:sz w:val="20"/>
          <w:szCs w:val="20"/>
        </w:rPr>
        <w:t>The following table summarizes non-performing assets at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609"/>
        <w:gridCol w:w="37"/>
        <w:gridCol w:w="122"/>
        <w:gridCol w:w="948"/>
        <w:gridCol w:w="187"/>
        <w:gridCol w:w="36"/>
        <w:gridCol w:w="36"/>
        <w:gridCol w:w="36"/>
        <w:gridCol w:w="121"/>
        <w:gridCol w:w="949"/>
        <w:gridCol w:w="187"/>
      </w:tblGrid>
      <w:tr w:rsidR="00000000">
        <w:trPr>
          <w:divId w:val="1741058668"/>
        </w:trPr>
        <w:tc>
          <w:tcPr>
            <w:tcW w:w="50" w:type="pct"/>
            <w:vAlign w:val="center"/>
            <w:hideMark/>
          </w:tcPr>
          <w:p w:rsidR="00000000" w:rsidRDefault="00100014">
            <w:pPr>
              <w:jc w:val="both"/>
              <w:rPr>
                <w:rFonts w:eastAsia="Times New Roman"/>
              </w:rPr>
            </w:pPr>
          </w:p>
        </w:tc>
        <w:tc>
          <w:tcPr>
            <w:tcW w:w="350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w:t>
            </w:r>
          </w:p>
        </w:tc>
      </w:tr>
      <w:tr w:rsidR="00000000">
        <w:trPr>
          <w:divId w:val="174105866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1741058668"/>
        </w:trPr>
        <w:tc>
          <w:tcPr>
            <w:tcW w:w="0" w:type="auto"/>
            <w:gridSpan w:val="3"/>
            <w:vAlign w:val="center"/>
            <w:hideMark/>
          </w:tcPr>
          <w:p w:rsidR="00000000" w:rsidRDefault="00100014">
            <w:pPr>
              <w:spacing w:after="100"/>
              <w:jc w:val="center"/>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tcBorders>
              <w:top w:val="single" w:sz="8" w:space="0" w:color="000000"/>
            </w:tcBorders>
            <w:shd w:val="clear" w:color="auto" w:fill="FFFFFF"/>
            <w:tcMar>
              <w:top w:w="30" w:type="dxa"/>
              <w:left w:w="8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Non-accrual loans: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131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153</w:t>
            </w:r>
          </w:p>
        </w:tc>
      </w:tr>
      <w:tr w:rsidR="00000000">
        <w:trPr>
          <w:divId w:val="1741058668"/>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96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105</w:t>
            </w:r>
          </w:p>
        </w:tc>
      </w:tr>
      <w:tr w:rsidR="00000000">
        <w:trPr>
          <w:divId w:val="1741058668"/>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rPr>
              <w:t>residential</w:t>
            </w: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1,129</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1,129</w:t>
            </w:r>
          </w:p>
        </w:tc>
      </w:tr>
      <w:tr w:rsidR="00000000">
        <w:trPr>
          <w:divId w:val="1741058668"/>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16,097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24,029</w:t>
            </w:r>
          </w:p>
        </w:tc>
      </w:tr>
      <w:tr w:rsidR="00000000">
        <w:trPr>
          <w:divId w:val="1741058668"/>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195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43</w:t>
            </w:r>
          </w:p>
        </w:tc>
      </w:tr>
      <w:tr w:rsidR="00000000">
        <w:trPr>
          <w:divId w:val="174105866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17,648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25,459</w:t>
            </w:r>
          </w:p>
        </w:tc>
      </w:tr>
      <w:tr w:rsidR="00000000">
        <w:trPr>
          <w:divId w:val="17410586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Loans contractually past - due 90 days or more and still accruing:</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167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14</w:t>
            </w:r>
          </w:p>
        </w:tc>
      </w:tr>
      <w:tr w:rsidR="00000000">
        <w:trPr>
          <w:divId w:val="1741058668"/>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169</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14</w:t>
            </w:r>
          </w:p>
        </w:tc>
      </w:tr>
      <w:tr w:rsidR="00000000">
        <w:trPr>
          <w:divId w:val="17410586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non-performing loans (a)</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17,817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25,473</w:t>
            </w:r>
          </w:p>
        </w:tc>
      </w:tr>
      <w:tr w:rsidR="00000000">
        <w:trPr>
          <w:divId w:val="174105866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Other real estate owned and repossessed assets</w:t>
            </w: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9,155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10,525</w:t>
            </w:r>
          </w:p>
        </w:tc>
      </w:tr>
      <w:tr w:rsidR="00000000">
        <w:trPr>
          <w:divId w:val="174105866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non-performing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26,972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35,998</w:t>
            </w:r>
          </w:p>
        </w:tc>
      </w:tr>
      <w:tr w:rsidR="00000000">
        <w:trPr>
          <w:divId w:val="1741058668"/>
          <w:trHeight w:val="180"/>
        </w:trPr>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741058668"/>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Loans held for investment</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1,427,828</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20"/>
                <w:szCs w:val="20"/>
              </w:rPr>
              <w:t>1,302,133</w:t>
            </w:r>
          </w:p>
        </w:tc>
      </w:tr>
      <w:tr w:rsidR="00000000">
        <w:trPr>
          <w:divId w:val="1741058668"/>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Allowance for loan losses to loans</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shd w:val="clear" w:color="auto" w:fill="CCEE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Non-accrual loans to total loans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shd w:val="clear" w:color="auto" w:fill="FFFF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Non-performing loans to loans (a)</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shd w:val="clear" w:color="auto" w:fill="CCEE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Non-performing assets to loans (b)</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shd w:val="clear" w:color="auto" w:fill="FFFF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Non-performing assets to assets (b)</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1.97 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shd w:val="clear" w:color="auto" w:fill="CCEE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Allowance for loan losses to non-accrual loans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87.00 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66.39 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1741058668"/>
        </w:trPr>
        <w:tc>
          <w:tcPr>
            <w:tcW w:w="0" w:type="auto"/>
            <w:gridSpan w:val="3"/>
            <w:tcBorders>
              <w:bottom w:val="single" w:sz="8" w:space="0" w:color="000000"/>
            </w:tcBorders>
            <w:shd w:val="clear" w:color="auto" w:fill="FFFFFF"/>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Allowance for loan losses to non-performing loans</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86.17 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bottom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66.36 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bl>
    <w:p w:rsidR="00000000" w:rsidRDefault="00100014">
      <w:pPr>
        <w:ind w:hanging="450"/>
        <w:divId w:val="934556783"/>
        <w:rPr>
          <w:rFonts w:eastAsia="Times New Roman"/>
        </w:rPr>
      </w:pPr>
      <w:r>
        <w:rPr>
          <w:rFonts w:eastAsia="Times New Roman"/>
          <w:color w:val="000000"/>
          <w:sz w:val="16"/>
          <w:szCs w:val="16"/>
        </w:rPr>
        <w:t>(a)</w:t>
      </w:r>
      <w:r>
        <w:rPr>
          <w:rFonts w:eastAsia="Times New Roman"/>
          <w:color w:val="000000"/>
          <w:sz w:val="16"/>
          <w:szCs w:val="16"/>
        </w:rPr>
        <w:t>Non-performing loans include loans 90 days past due and accruing, non-accrual loans, and non-performing TDRs included in non-accrual loans and 90 days past due.</w:t>
      </w:r>
    </w:p>
    <w:p w:rsidR="00000000" w:rsidRDefault="00100014">
      <w:pPr>
        <w:ind w:hanging="450"/>
        <w:divId w:val="288165061"/>
        <w:rPr>
          <w:rFonts w:eastAsia="Times New Roman"/>
        </w:rPr>
      </w:pPr>
      <w:r>
        <w:rPr>
          <w:rFonts w:eastAsia="Times New Roman"/>
          <w:color w:val="000000"/>
          <w:sz w:val="16"/>
          <w:szCs w:val="16"/>
        </w:rPr>
        <w:t>(b)Non-performing assets include non-performing loans and other real estate owned and repossess</w:t>
      </w:r>
      <w:r>
        <w:rPr>
          <w:rFonts w:eastAsia="Times New Roman"/>
          <w:color w:val="000000"/>
          <w:sz w:val="16"/>
          <w:szCs w:val="16"/>
        </w:rPr>
        <w:t>ed assets.</w:t>
      </w:r>
    </w:p>
    <w:p w:rsidR="00000000" w:rsidRDefault="00100014">
      <w:pPr>
        <w:jc w:val="both"/>
        <w:divId w:val="1867870811"/>
        <w:rPr>
          <w:rFonts w:eastAsia="Times New Roman"/>
        </w:rPr>
      </w:pPr>
      <w:r>
        <w:rPr>
          <w:rFonts w:eastAsia="Times New Roman"/>
          <w:color w:val="000000"/>
          <w:sz w:val="20"/>
          <w:szCs w:val="20"/>
        </w:rPr>
        <w:t xml:space="preserve">Total non-performing assets were $27.0 million, or 1.89% of total loans, at June 30, 2022 compared to $36.0 million, or 2.76% of total loans, at December 31, 2021. </w:t>
      </w:r>
    </w:p>
    <w:p w:rsidR="00000000" w:rsidRDefault="00100014">
      <w:pPr>
        <w:jc w:val="both"/>
        <w:divId w:val="1242058038"/>
        <w:rPr>
          <w:rFonts w:eastAsia="Times New Roman"/>
        </w:rPr>
      </w:pPr>
      <w:r>
        <w:rPr>
          <w:rFonts w:eastAsia="Times New Roman"/>
          <w:color w:val="000000"/>
          <w:sz w:val="20"/>
          <w:szCs w:val="20"/>
        </w:rPr>
        <w:t>Total non-accrual loans at June 30, 2022 decreased $7.8 million, or 30.7%, to $1</w:t>
      </w:r>
      <w:r>
        <w:rPr>
          <w:rFonts w:eastAsia="Times New Roman"/>
          <w:color w:val="000000"/>
          <w:sz w:val="20"/>
          <w:szCs w:val="20"/>
        </w:rPr>
        <w:t xml:space="preserve">7.6 million compared to $25.5 million at December 31, 2021. There were $169,000 in loans past due 90 days and still accruing interest at June 30, 2022 compared to $14,000 at December 31, 2021. Other real estate and repossessed assets were $9.2 million and </w:t>
      </w:r>
      <w:r>
        <w:rPr>
          <w:rFonts w:eastAsia="Times New Roman"/>
          <w:color w:val="000000"/>
          <w:sz w:val="20"/>
          <w:szCs w:val="20"/>
        </w:rPr>
        <w:t>$10.5 million at June 30, 2022 and December 31, 2021, respectively. During the six months ended June 30, 2022, there were no additions to other real estate owned compared to $30,000 of non-accrual loans, net of charge-offs taken, during the six months ende</w:t>
      </w:r>
      <w:r>
        <w:rPr>
          <w:rFonts w:eastAsia="Times New Roman"/>
          <w:color w:val="000000"/>
          <w:sz w:val="20"/>
          <w:szCs w:val="20"/>
        </w:rPr>
        <w:t>d June 30, 2021. During the first quarter ended June 30, 2022, an additional $52,000 charge-off was recorded related to a property that moved into other real estate owned at the end of the fourth quarter of 2021.</w:t>
      </w:r>
    </w:p>
    <w:p w:rsidR="00000000" w:rsidRDefault="00100014">
      <w:pPr>
        <w:jc w:val="both"/>
        <w:divId w:val="574123735"/>
        <w:rPr>
          <w:rFonts w:eastAsia="Times New Roman"/>
        </w:rPr>
      </w:pPr>
      <w:r>
        <w:rPr>
          <w:rFonts w:eastAsia="Times New Roman"/>
          <w:color w:val="000000"/>
          <w:sz w:val="20"/>
          <w:szCs w:val="20"/>
        </w:rPr>
        <w:t>As of June 30, 2022, approximately $13.2 mi</w:t>
      </w:r>
      <w:r>
        <w:rPr>
          <w:rFonts w:eastAsia="Times New Roman"/>
          <w:color w:val="000000"/>
          <w:sz w:val="20"/>
          <w:szCs w:val="20"/>
        </w:rPr>
        <w:t xml:space="preserve">llion of loans classified as substandard, which include performing TDRs, and were not included in the non-performing asset table, were identified as potential problem loans having more than normal risk which raised doubts as to the ability of the borrower </w:t>
      </w:r>
      <w:r>
        <w:rPr>
          <w:rFonts w:eastAsia="Times New Roman"/>
          <w:color w:val="000000"/>
          <w:sz w:val="20"/>
          <w:szCs w:val="20"/>
        </w:rPr>
        <w:t xml:space="preserve">to comply with present loan repayment terms, compared to $13.8 </w:t>
      </w:r>
    </w:p>
    <w:p w:rsidR="00000000" w:rsidRDefault="00100014">
      <w:pPr>
        <w:jc w:val="center"/>
        <w:divId w:val="1198815023"/>
        <w:rPr>
          <w:rFonts w:eastAsia="Times New Roman"/>
        </w:rPr>
      </w:pPr>
      <w:r>
        <w:rPr>
          <w:rFonts w:eastAsia="Times New Roman"/>
          <w:color w:val="000000"/>
          <w:sz w:val="20"/>
          <w:szCs w:val="20"/>
        </w:rPr>
        <w:t>49</w:t>
      </w:r>
    </w:p>
    <w:p w:rsidR="00000000" w:rsidRDefault="00100014">
      <w:pPr>
        <w:rPr>
          <w:rFonts w:eastAsia="Times New Roman"/>
        </w:rPr>
      </w:pPr>
      <w:r>
        <w:rPr>
          <w:rFonts w:eastAsia="Times New Roman"/>
        </w:rPr>
        <w:pict>
          <v:rect id="_x0000_i1073" style="width:0;height:1.5pt" o:hralign="center" o:hrstd="t" o:hr="t" fillcolor="#a0a0a0" stroked="f"/>
        </w:pict>
      </w:r>
    </w:p>
    <w:p w:rsidR="00000000" w:rsidRDefault="00100014">
      <w:pPr>
        <w:divId w:val="1838879217"/>
        <w:rPr>
          <w:rFonts w:eastAsia="Times New Roman"/>
        </w:rPr>
      </w:pPr>
    </w:p>
    <w:p w:rsidR="00000000" w:rsidRDefault="00100014">
      <w:pPr>
        <w:jc w:val="both"/>
        <w:divId w:val="24792433"/>
        <w:rPr>
          <w:rFonts w:eastAsia="Times New Roman"/>
        </w:rPr>
      </w:pPr>
      <w:r>
        <w:rPr>
          <w:rFonts w:eastAsia="Times New Roman"/>
          <w:color w:val="000000"/>
          <w:sz w:val="20"/>
          <w:szCs w:val="20"/>
        </w:rPr>
        <w:t>million at December </w:t>
      </w:r>
      <w:r>
        <w:rPr>
          <w:rFonts w:eastAsia="Times New Roman"/>
          <w:color w:val="000000"/>
          <w:sz w:val="20"/>
          <w:szCs w:val="20"/>
        </w:rPr>
        <w:t>31, 2021. Management believes the allowance for loan losses was sufficient to cover the risks and probable losses related to such loans at June 30, 2022 and December 31, 2021, respectively.</w:t>
      </w:r>
    </w:p>
    <w:p w:rsidR="00000000" w:rsidRDefault="00100014">
      <w:pPr>
        <w:jc w:val="both"/>
        <w:divId w:val="418598547"/>
        <w:rPr>
          <w:rFonts w:eastAsia="Times New Roman"/>
        </w:rPr>
      </w:pPr>
      <w:r>
        <w:rPr>
          <w:rFonts w:eastAsia="Times New Roman"/>
          <w:color w:val="000000"/>
          <w:sz w:val="20"/>
          <w:szCs w:val="20"/>
        </w:rPr>
        <w:t>The following table summarizes the Company’s TDRs at the dates ind</w:t>
      </w:r>
      <w:r>
        <w:rPr>
          <w:rFonts w:eastAsia="Times New Roman"/>
          <w:color w:val="000000"/>
          <w:sz w:val="20"/>
          <w:szCs w:val="20"/>
        </w:rPr>
        <w:t>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853"/>
        <w:gridCol w:w="38"/>
        <w:gridCol w:w="64"/>
        <w:gridCol w:w="726"/>
        <w:gridCol w:w="36"/>
        <w:gridCol w:w="36"/>
        <w:gridCol w:w="36"/>
        <w:gridCol w:w="36"/>
        <w:gridCol w:w="121"/>
        <w:gridCol w:w="727"/>
        <w:gridCol w:w="36"/>
        <w:gridCol w:w="36"/>
        <w:gridCol w:w="36"/>
        <w:gridCol w:w="36"/>
        <w:gridCol w:w="121"/>
        <w:gridCol w:w="565"/>
        <w:gridCol w:w="36"/>
        <w:gridCol w:w="36"/>
        <w:gridCol w:w="36"/>
        <w:gridCol w:w="36"/>
        <w:gridCol w:w="64"/>
        <w:gridCol w:w="693"/>
        <w:gridCol w:w="37"/>
        <w:gridCol w:w="37"/>
        <w:gridCol w:w="37"/>
        <w:gridCol w:w="36"/>
        <w:gridCol w:w="121"/>
        <w:gridCol w:w="726"/>
        <w:gridCol w:w="36"/>
        <w:gridCol w:w="36"/>
        <w:gridCol w:w="36"/>
        <w:gridCol w:w="36"/>
        <w:gridCol w:w="121"/>
        <w:gridCol w:w="566"/>
        <w:gridCol w:w="36"/>
      </w:tblGrid>
      <w:tr w:rsidR="00000000">
        <w:trPr>
          <w:divId w:val="1901819776"/>
        </w:trPr>
        <w:tc>
          <w:tcPr>
            <w:tcW w:w="50" w:type="pct"/>
            <w:vAlign w:val="center"/>
            <w:hideMark/>
          </w:tcPr>
          <w:p w:rsidR="00000000" w:rsidRDefault="00100014">
            <w:pPr>
              <w:jc w:val="both"/>
              <w:rPr>
                <w:rFonts w:eastAsia="Times New Roman"/>
              </w:rPr>
            </w:pPr>
          </w:p>
        </w:tc>
        <w:tc>
          <w:tcPr>
            <w:tcW w:w="174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8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901819776"/>
        </w:trPr>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Specific Reserves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Number of contracts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Recorded Investment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Specific Reserves</w:t>
            </w:r>
          </w:p>
        </w:tc>
      </w:tr>
      <w:tr w:rsidR="00000000">
        <w:trPr>
          <w:divId w:val="190181977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Performing TDRs</w:t>
            </w:r>
          </w:p>
        </w:tc>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182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188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24</w:t>
            </w:r>
          </w:p>
        </w:tc>
      </w:tr>
      <w:tr w:rsidR="00000000">
        <w:trPr>
          <w:divId w:val="1901819776"/>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2030377574"/>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1,154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1,262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56</w:t>
            </w:r>
          </w:p>
        </w:tc>
      </w:tr>
      <w:tr w:rsidR="00000000">
        <w:trPr>
          <w:divId w:val="1901819776"/>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1277449107"/>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commercial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316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37</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328</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38</w:t>
            </w:r>
          </w:p>
        </w:tc>
      </w:tr>
      <w:tr w:rsidR="00000000">
        <w:trPr>
          <w:divId w:val="1901819776"/>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17</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w:t>
            </w:r>
          </w:p>
        </w:tc>
      </w:tr>
      <w:tr w:rsidR="00000000">
        <w:trPr>
          <w:divId w:val="1901819776"/>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performing TDRs</w:t>
            </w: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1,666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108</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1,795</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120</w:t>
            </w:r>
          </w:p>
        </w:tc>
      </w:tr>
      <w:tr w:rsidR="00000000">
        <w:trPr>
          <w:divId w:val="19018197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Non-performing TDRs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1639258405"/>
              <w:rPr>
                <w:rFonts w:eastAsia="Times New Roman"/>
              </w:rPr>
            </w:pPr>
            <w:r>
              <w:rPr>
                <w:rFonts w:eastAsia="Times New Roman"/>
                <w:color w:val="000000"/>
                <w:sz w:val="20"/>
                <w:szCs w:val="20"/>
              </w:rPr>
              <w:t xml:space="preserve">Real estate mortgage </w:t>
            </w:r>
            <w:r>
              <w:rPr>
                <w:rFonts w:ascii="Calibri" w:eastAsia="Times New Roman" w:hAnsi="Calibri" w:cs="Calibri"/>
                <w:color w:val="000000"/>
                <w:sz w:val="20"/>
                <w:szCs w:val="20"/>
              </w:rPr>
              <w:t>−</w:t>
            </w:r>
            <w:r>
              <w:rPr>
                <w:rFonts w:eastAsia="Times New Roman"/>
                <w:color w:val="000000"/>
                <w:sz w:val="20"/>
                <w:szCs w:val="20"/>
              </w:rPr>
              <w:t xml:space="preserve"> residential</w:t>
            </w: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462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561</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39</w:t>
            </w:r>
          </w:p>
        </w:tc>
      </w:tr>
      <w:tr w:rsidR="00000000">
        <w:trPr>
          <w:divId w:val="1901819776"/>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90181977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non-performing TDRs</w:t>
            </w: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462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59</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561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39</w:t>
            </w:r>
          </w:p>
        </w:tc>
      </w:tr>
      <w:tr w:rsidR="00000000">
        <w:trPr>
          <w:divId w:val="190181977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TDRs</w:t>
            </w: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2,128</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167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17</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2,356</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159</w:t>
            </w:r>
          </w:p>
        </w:tc>
      </w:tr>
    </w:tbl>
    <w:p w:rsidR="00000000" w:rsidRDefault="00100014">
      <w:pPr>
        <w:jc w:val="both"/>
        <w:divId w:val="275648997"/>
        <w:rPr>
          <w:rFonts w:eastAsia="Times New Roman"/>
        </w:rPr>
      </w:pPr>
      <w:r>
        <w:rPr>
          <w:rFonts w:eastAsia="Times New Roman"/>
          <w:color w:val="000000"/>
          <w:sz w:val="20"/>
          <w:szCs w:val="20"/>
        </w:rPr>
        <w:t>At June 30, 2022, loans classified as TDRs totaled $2.1 million, with $0.2 million of sp</w:t>
      </w:r>
      <w:r>
        <w:rPr>
          <w:rFonts w:eastAsia="Times New Roman"/>
          <w:color w:val="000000"/>
          <w:sz w:val="20"/>
          <w:szCs w:val="20"/>
        </w:rPr>
        <w:t>ecific reserves, compared to $2.4 million of loans classified as TDRs, with $0.2 million of specific reserves, at December 31, 2021. Non-performing loans, included $0.5 million of loans classified as TDRs at June 30, 2022 compared to $0.6 million at Decemb</w:t>
      </w:r>
      <w:r>
        <w:rPr>
          <w:rFonts w:eastAsia="Times New Roman"/>
          <w:color w:val="000000"/>
          <w:sz w:val="20"/>
          <w:szCs w:val="20"/>
        </w:rPr>
        <w:t>er 31, 2021. Both performing and non-performing TDRs are considered impaired loans. When an individual loan is determined to be a TDR, the amount of impairment is based upon the present value of expected future cash flows discounted at the loan’s effective</w:t>
      </w:r>
      <w:r>
        <w:rPr>
          <w:rFonts w:eastAsia="Times New Roman"/>
          <w:color w:val="000000"/>
          <w:sz w:val="20"/>
          <w:szCs w:val="20"/>
        </w:rPr>
        <w:t xml:space="preserve"> interest rate or the fair value of the underlying collateral less applicable selling costs if the loan is collateral dependent. The net decrease in total TDRs from December 31, 2021 to June 30, 2022 was primarily due to $229,000 of payments received on TD</w:t>
      </w:r>
      <w:r>
        <w:rPr>
          <w:rFonts w:eastAsia="Times New Roman"/>
          <w:color w:val="000000"/>
          <w:sz w:val="20"/>
          <w:szCs w:val="20"/>
        </w:rPr>
        <w:t xml:space="preserve">Rs. </w:t>
      </w:r>
    </w:p>
    <w:p w:rsidR="00000000" w:rsidRDefault="00100014">
      <w:pPr>
        <w:divId w:val="218902808"/>
        <w:rPr>
          <w:rFonts w:eastAsia="Times New Roman"/>
        </w:rPr>
      </w:pPr>
      <w:r>
        <w:rPr>
          <w:rFonts w:eastAsia="Times New Roman"/>
          <w:b/>
          <w:bCs/>
          <w:color w:val="000000"/>
          <w:sz w:val="20"/>
          <w:szCs w:val="20"/>
        </w:rPr>
        <w:t>Allowance for Loan Losses and Provision</w:t>
      </w:r>
    </w:p>
    <w:p w:rsidR="00000000" w:rsidRDefault="00100014">
      <w:pPr>
        <w:divId w:val="202520603"/>
        <w:rPr>
          <w:rFonts w:eastAsia="Times New Roman"/>
        </w:rPr>
      </w:pPr>
      <w:r>
        <w:rPr>
          <w:rFonts w:eastAsia="Times New Roman"/>
          <w:i/>
          <w:iCs/>
          <w:color w:val="000000"/>
          <w:sz w:val="20"/>
          <w:szCs w:val="20"/>
        </w:rPr>
        <w:t>Allowance for Loan Losses</w:t>
      </w:r>
    </w:p>
    <w:p w:rsidR="00000000" w:rsidRDefault="00100014">
      <w:pPr>
        <w:jc w:val="both"/>
        <w:divId w:val="161311276"/>
        <w:rPr>
          <w:rFonts w:eastAsia="Times New Roman"/>
        </w:rPr>
      </w:pPr>
      <w:r>
        <w:rPr>
          <w:rFonts w:eastAsia="Times New Roman"/>
          <w:color w:val="000000"/>
          <w:sz w:val="20"/>
          <w:szCs w:val="20"/>
        </w:rPr>
        <w:t>The following table is a summary of the allocation of the allowance for loan losses:</w:t>
      </w:r>
    </w:p>
    <w:tbl>
      <w:tblPr>
        <w:tblW w:w="5000" w:type="pct"/>
        <w:tblCellMar>
          <w:top w:w="15" w:type="dxa"/>
          <w:left w:w="15" w:type="dxa"/>
          <w:bottom w:w="15" w:type="dxa"/>
          <w:right w:w="15" w:type="dxa"/>
        </w:tblCellMar>
        <w:tblLook w:val="04A0" w:firstRow="1" w:lastRow="0" w:firstColumn="1" w:lastColumn="0" w:noHBand="0" w:noVBand="1"/>
      </w:tblPr>
      <w:tblGrid>
        <w:gridCol w:w="39"/>
        <w:gridCol w:w="4245"/>
        <w:gridCol w:w="38"/>
        <w:gridCol w:w="120"/>
        <w:gridCol w:w="819"/>
        <w:gridCol w:w="36"/>
        <w:gridCol w:w="62"/>
        <w:gridCol w:w="605"/>
        <w:gridCol w:w="187"/>
        <w:gridCol w:w="36"/>
        <w:gridCol w:w="36"/>
        <w:gridCol w:w="36"/>
        <w:gridCol w:w="120"/>
        <w:gridCol w:w="820"/>
        <w:gridCol w:w="36"/>
        <w:gridCol w:w="62"/>
        <w:gridCol w:w="606"/>
        <w:gridCol w:w="187"/>
        <w:gridCol w:w="36"/>
        <w:gridCol w:w="36"/>
        <w:gridCol w:w="36"/>
        <w:gridCol w:w="36"/>
        <w:gridCol w:w="36"/>
        <w:gridCol w:w="36"/>
      </w:tblGrid>
      <w:tr w:rsidR="00000000">
        <w:trPr>
          <w:divId w:val="1601328004"/>
        </w:trPr>
        <w:tc>
          <w:tcPr>
            <w:tcW w:w="50" w:type="pct"/>
            <w:vAlign w:val="center"/>
            <w:hideMark/>
          </w:tcPr>
          <w:p w:rsidR="00000000" w:rsidRDefault="00100014">
            <w:pPr>
              <w:jc w:val="both"/>
              <w:rPr>
                <w:rFonts w:eastAsia="Times New Roman"/>
              </w:rPr>
            </w:pPr>
          </w:p>
        </w:tc>
        <w:tc>
          <w:tcPr>
            <w:tcW w:w="268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5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c>
          <w:tcPr>
            <w:tcW w:w="0" w:type="auto"/>
            <w:vAlign w:val="center"/>
            <w:hideMark/>
          </w:tcPr>
          <w:p w:rsidR="00000000" w:rsidRDefault="00100014">
            <w:pPr>
              <w:spacing w:after="100"/>
              <w:jc w:val="center"/>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of loans in each category to total loans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of loans in each category to total loans</w:t>
            </w:r>
          </w:p>
        </w:tc>
        <w:tc>
          <w:tcPr>
            <w:tcW w:w="0" w:type="auto"/>
            <w:vAlign w:val="center"/>
            <w:hideMark/>
          </w:tcPr>
          <w:p w:rsidR="00000000" w:rsidRDefault="00100014">
            <w:pPr>
              <w:spacing w:after="100"/>
              <w:jc w:val="center"/>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Allocation of allowance for loan losses at end of period:</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Commercial, financial, and agricultural</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3,005 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construction </w:t>
            </w:r>
            <w:r>
              <w:rPr>
                <w:rFonts w:eastAsia="Times New Roman"/>
                <w:color w:val="000000"/>
                <w:sz w:val="20"/>
                <w:szCs w:val="20"/>
              </w:rPr>
              <w:t>−</w:t>
            </w:r>
            <w:r>
              <w:rPr>
                <w:rFonts w:eastAsia="Times New Roman"/>
                <w:color w:val="000000"/>
                <w:sz w:val="20"/>
                <w:szCs w:val="20"/>
              </w:rPr>
              <w:t xml:space="preserve"> commercial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762 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588 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residential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2,747 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2,482 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 xml:space="preserve">Real estate mortgage </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rPr>
              <w:t>commercial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8,410 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49.5 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10,662 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50.9 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Installment and other consumer</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256 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shd w:val="clear" w:color="auto" w:fill="FFFF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Unallocated</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vAlign w:val="center"/>
            <w:hideMark/>
          </w:tcPr>
          <w:p w:rsidR="00000000" w:rsidRDefault="00100014">
            <w:pPr>
              <w:spacing w:after="100"/>
              <w:jc w:val="right"/>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r w:rsidR="00000000">
        <w:trPr>
          <w:divId w:val="1601328004"/>
        </w:trPr>
        <w:tc>
          <w:tcPr>
            <w:tcW w:w="0" w:type="auto"/>
            <w:gridSpan w:val="3"/>
            <w:tcBorders>
              <w:top w:val="single" w:sz="8" w:space="0" w:color="000000"/>
              <w:bottom w:val="double" w:sz="6" w:space="0" w:color="000000"/>
            </w:tcBorders>
            <w:shd w:val="clear" w:color="auto" w:fill="CCEEFF"/>
            <w:tcMar>
              <w:top w:w="30" w:type="dxa"/>
              <w:left w:w="20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15,353 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100014">
            <w:pPr>
              <w:spacing w:after="100"/>
              <w:jc w:val="right"/>
              <w:rPr>
                <w:rFonts w:eastAsia="Times New Roman"/>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c>
          <w:tcPr>
            <w:tcW w:w="0" w:type="auto"/>
            <w:vAlign w:val="center"/>
            <w:hideMark/>
          </w:tcPr>
          <w:p w:rsidR="00000000" w:rsidRDefault="00100014">
            <w:pPr>
              <w:spacing w:after="100"/>
              <w:rPr>
                <w:rFonts w:eastAsia="Times New Roman"/>
                <w:sz w:val="20"/>
                <w:szCs w:val="20"/>
              </w:rPr>
            </w:pPr>
          </w:p>
        </w:tc>
      </w:tr>
    </w:tbl>
    <w:p w:rsidR="00000000" w:rsidRDefault="00100014">
      <w:pPr>
        <w:jc w:val="both"/>
        <w:divId w:val="569998186"/>
        <w:rPr>
          <w:rFonts w:eastAsia="Times New Roman"/>
        </w:rPr>
      </w:pPr>
      <w:r>
        <w:rPr>
          <w:rFonts w:eastAsia="Times New Roman"/>
          <w:color w:val="000000"/>
          <w:sz w:val="20"/>
          <w:szCs w:val="20"/>
        </w:rPr>
        <w:t>The allowance for loan losses was $15.4 million, or 1.08%, of loans outstanding</w:t>
      </w:r>
      <w:r>
        <w:rPr>
          <w:rFonts w:eastAsia="Times New Roman"/>
          <w:color w:val="000000"/>
          <w:sz w:val="20"/>
          <w:szCs w:val="20"/>
        </w:rPr>
        <w:t xml:space="preserve"> at June 30, 2022 compared to $16.9 million, or 1.30%, of loans outstanding at December 31, 2021. The ratio of the allowance for loan losses to non-performing loans was 86.17% at June 30, 2022, compared to 66.36% at December 31, 2021.</w:t>
      </w:r>
    </w:p>
    <w:p w:rsidR="00000000" w:rsidRDefault="00100014">
      <w:pPr>
        <w:jc w:val="center"/>
        <w:divId w:val="1024281602"/>
        <w:rPr>
          <w:rFonts w:eastAsia="Times New Roman"/>
        </w:rPr>
      </w:pPr>
      <w:r>
        <w:rPr>
          <w:rFonts w:eastAsia="Times New Roman"/>
          <w:color w:val="000000"/>
          <w:sz w:val="20"/>
          <w:szCs w:val="20"/>
        </w:rPr>
        <w:t>50</w:t>
      </w:r>
    </w:p>
    <w:p w:rsidR="00000000" w:rsidRDefault="00100014">
      <w:pPr>
        <w:rPr>
          <w:rFonts w:eastAsia="Times New Roman"/>
        </w:rPr>
      </w:pPr>
      <w:r>
        <w:rPr>
          <w:rFonts w:eastAsia="Times New Roman"/>
        </w:rPr>
        <w:pict>
          <v:rect id="_x0000_i1074" style="width:0;height:1.5pt" o:hralign="center" o:hrstd="t" o:hr="t" fillcolor="#a0a0a0" stroked="f"/>
        </w:pict>
      </w:r>
    </w:p>
    <w:p w:rsidR="00000000" w:rsidRDefault="00100014">
      <w:pPr>
        <w:divId w:val="1810321185"/>
        <w:rPr>
          <w:rFonts w:eastAsia="Times New Roman"/>
        </w:rPr>
      </w:pPr>
    </w:p>
    <w:p w:rsidR="00000000" w:rsidRDefault="00100014">
      <w:pPr>
        <w:jc w:val="both"/>
        <w:divId w:val="1204756178"/>
        <w:rPr>
          <w:rFonts w:eastAsia="Times New Roman"/>
        </w:rPr>
      </w:pPr>
      <w:r>
        <w:rPr>
          <w:rFonts w:eastAsia="Times New Roman"/>
          <w:color w:val="000000"/>
          <w:sz w:val="20"/>
          <w:szCs w:val="20"/>
        </w:rPr>
        <w:t>The following table is a summary of the general and specific allocations of the allowance for loan losses:</w:t>
      </w:r>
    </w:p>
    <w:tbl>
      <w:tblPr>
        <w:tblW w:w="4863" w:type="pct"/>
        <w:tblCellMar>
          <w:top w:w="15" w:type="dxa"/>
          <w:left w:w="15" w:type="dxa"/>
          <w:bottom w:w="15" w:type="dxa"/>
          <w:right w:w="15" w:type="dxa"/>
        </w:tblCellMar>
        <w:tblLook w:val="04A0" w:firstRow="1" w:lastRow="0" w:firstColumn="1" w:lastColumn="0" w:noHBand="0" w:noVBand="1"/>
      </w:tblPr>
      <w:tblGrid>
        <w:gridCol w:w="39"/>
        <w:gridCol w:w="5794"/>
        <w:gridCol w:w="38"/>
        <w:gridCol w:w="120"/>
        <w:gridCol w:w="759"/>
        <w:gridCol w:w="36"/>
        <w:gridCol w:w="36"/>
        <w:gridCol w:w="36"/>
        <w:gridCol w:w="36"/>
        <w:gridCol w:w="120"/>
        <w:gridCol w:w="1028"/>
        <w:gridCol w:w="36"/>
      </w:tblGrid>
      <w:tr w:rsidR="00000000">
        <w:trPr>
          <w:divId w:val="1979607856"/>
        </w:trPr>
        <w:tc>
          <w:tcPr>
            <w:tcW w:w="50" w:type="pct"/>
            <w:vAlign w:val="center"/>
            <w:hideMark/>
          </w:tcPr>
          <w:p w:rsidR="00000000" w:rsidRDefault="00100014">
            <w:pPr>
              <w:jc w:val="both"/>
              <w:rPr>
                <w:rFonts w:eastAsia="Times New Roman"/>
              </w:rPr>
            </w:pPr>
          </w:p>
        </w:tc>
        <w:tc>
          <w:tcPr>
            <w:tcW w:w="361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979607856"/>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979607856"/>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Allocation of allowance for loan losses: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79607856"/>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1553803847"/>
              <w:rPr>
                <w:rFonts w:eastAsia="Times New Roman"/>
              </w:rPr>
            </w:pPr>
            <w:r>
              <w:rPr>
                <w:rFonts w:eastAsia="Times New Roman"/>
                <w:color w:val="000000"/>
                <w:sz w:val="20"/>
                <w:szCs w:val="20"/>
              </w:rPr>
              <w:t xml:space="preserve">Individually evaluated for impairment </w:t>
            </w:r>
            <w:r>
              <w:rPr>
                <w:rFonts w:ascii="Calibri" w:eastAsia="Times New Roman" w:hAnsi="Calibri" w:cs="Calibri"/>
                <w:color w:val="000000"/>
                <w:sz w:val="20"/>
                <w:szCs w:val="20"/>
              </w:rPr>
              <w:t>−</w:t>
            </w:r>
            <w:r>
              <w:rPr>
                <w:rFonts w:eastAsia="Times New Roman"/>
                <w:color w:val="000000"/>
                <w:sz w:val="20"/>
                <w:szCs w:val="20"/>
              </w:rPr>
              <w:t xml:space="preserve"> specific reserves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3,044 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979607856"/>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1961524182"/>
              <w:rPr>
                <w:rFonts w:eastAsia="Times New Roman"/>
              </w:rPr>
            </w:pPr>
            <w:r>
              <w:rPr>
                <w:rFonts w:eastAsia="Times New Roman"/>
                <w:color w:val="000000"/>
                <w:sz w:val="20"/>
                <w:szCs w:val="20"/>
                <w:shd w:val="clear" w:color="auto" w:fill="CCEEFF"/>
              </w:rPr>
              <w:t xml:space="preserve">Collectively evaluated for impairment </w:t>
            </w:r>
            <w:r>
              <w:rPr>
                <w:rFonts w:ascii="Calibri" w:eastAsia="Times New Roman" w:hAnsi="Calibri" w:cs="Calibri"/>
                <w:color w:val="000000"/>
                <w:sz w:val="20"/>
                <w:szCs w:val="20"/>
                <w:shd w:val="clear" w:color="auto" w:fill="CCEEFF"/>
              </w:rPr>
              <w:t>−</w:t>
            </w:r>
            <w:r>
              <w:rPr>
                <w:rFonts w:eastAsia="Times New Roman"/>
                <w:color w:val="000000"/>
                <w:sz w:val="20"/>
                <w:szCs w:val="20"/>
                <w:shd w:val="clear" w:color="auto" w:fill="CCEEFF"/>
              </w:rPr>
              <w:t xml:space="preserve"> general reserves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15,046 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13,859 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979607856"/>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15,353 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16,903 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971709292"/>
        <w:rPr>
          <w:rFonts w:eastAsia="Times New Roman"/>
        </w:rPr>
      </w:pPr>
      <w:r>
        <w:rPr>
          <w:rFonts w:eastAsia="Times New Roman"/>
          <w:color w:val="000000"/>
          <w:sz w:val="20"/>
          <w:szCs w:val="20"/>
        </w:rPr>
        <w:t xml:space="preserve">The </w:t>
      </w:r>
      <w:r>
        <w:rPr>
          <w:rFonts w:eastAsia="Times New Roman"/>
          <w:i/>
          <w:iCs/>
          <w:color w:val="000000"/>
          <w:sz w:val="20"/>
          <w:szCs w:val="20"/>
        </w:rPr>
        <w:t>specific reserve component</w:t>
      </w:r>
      <w:r>
        <w:rPr>
          <w:rFonts w:eastAsia="Times New Roman"/>
          <w:color w:val="000000"/>
          <w:sz w:val="20"/>
          <w:szCs w:val="20"/>
        </w:rPr>
        <w:t xml:space="preserve"> </w:t>
      </w:r>
      <w:r>
        <w:rPr>
          <w:rFonts w:eastAsia="Times New Roman"/>
          <w:color w:val="000000"/>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rFonts w:eastAsia="Times New Roman"/>
          <w:color w:val="000000"/>
          <w:sz w:val="20"/>
          <w:szCs w:val="20"/>
        </w:rPr>
        <w:t xml:space="preserve">uture cash flows. Once the impairment amount is calculated, a specific reserve allocation is recorded. At June 30, 2022, $0.3 million of the Company’s ALL was allocated to impaired loans totaling approximately $19.3 million compared to $3.0 million of the </w:t>
      </w:r>
      <w:r>
        <w:rPr>
          <w:rFonts w:eastAsia="Times New Roman"/>
          <w:color w:val="000000"/>
          <w:sz w:val="20"/>
          <w:szCs w:val="20"/>
        </w:rPr>
        <w:t>Company’s ALL allocated to impaired loans totaling approximately $27.3 million at December 31, 2021. Management determined that $16.0 million, or 83%, of total impaired loans required no reserve allocation at June 30, 2022 compared to $16.6 million, or 61%</w:t>
      </w:r>
      <w:r>
        <w:rPr>
          <w:rFonts w:eastAsia="Times New Roman"/>
          <w:color w:val="000000"/>
          <w:sz w:val="20"/>
          <w:szCs w:val="20"/>
        </w:rPr>
        <w:t>, at December 31, 2021, primarily due to adequate collateral values</w:t>
      </w:r>
      <w:r>
        <w:rPr>
          <w:rFonts w:eastAsia="Times New Roman"/>
          <w:color w:val="1F497D"/>
          <w:sz w:val="20"/>
          <w:szCs w:val="20"/>
        </w:rPr>
        <w:t>,</w:t>
      </w:r>
      <w:r>
        <w:rPr>
          <w:rFonts w:eastAsia="Times New Roman"/>
          <w:color w:val="000000"/>
          <w:sz w:val="20"/>
          <w:szCs w:val="20"/>
        </w:rPr>
        <w:t xml:space="preserve"> acceptable payment history and adequate cash flow ability.</w:t>
      </w:r>
    </w:p>
    <w:p w:rsidR="00000000" w:rsidRDefault="00100014">
      <w:pPr>
        <w:jc w:val="both"/>
        <w:divId w:val="29499545"/>
        <w:rPr>
          <w:rFonts w:eastAsia="Times New Roman"/>
        </w:rPr>
      </w:pPr>
      <w:r>
        <w:rPr>
          <w:rFonts w:eastAsia="Times New Roman"/>
          <w:color w:val="000000"/>
          <w:sz w:val="20"/>
          <w:szCs w:val="20"/>
        </w:rPr>
        <w:t xml:space="preserve">The </w:t>
      </w:r>
      <w:r>
        <w:rPr>
          <w:rFonts w:eastAsia="Times New Roman"/>
          <w:i/>
          <w:iCs/>
          <w:color w:val="000000"/>
          <w:sz w:val="20"/>
          <w:szCs w:val="20"/>
        </w:rPr>
        <w:t>incurred loss component</w:t>
      </w:r>
      <w:r>
        <w:rPr>
          <w:rFonts w:eastAsia="Times New Roman"/>
          <w:color w:val="000000"/>
          <w:sz w:val="20"/>
          <w:szCs w:val="20"/>
        </w:rPr>
        <w:t xml:space="preserve"> of the general reserve, or loans collectively evaluated for impairment, is determined by applying lo</w:t>
      </w:r>
      <w:r>
        <w:rPr>
          <w:rFonts w:eastAsia="Times New Roman"/>
          <w:color w:val="000000"/>
          <w:sz w:val="20"/>
          <w:szCs w:val="20"/>
        </w:rPr>
        <w:t>ss rates to pools of loans by asset type. Loans not individually evaluated are aggregated by risk characteristics and reserves are recorded using a consistent methodology that considers historical loan loss experience by loan type. The look-back period beg</w:t>
      </w:r>
      <w:r>
        <w:rPr>
          <w:rFonts w:eastAsia="Times New Roman"/>
          <w:color w:val="000000"/>
          <w:sz w:val="20"/>
          <w:szCs w:val="20"/>
        </w:rPr>
        <w:t>ins with loss history in the first quarter 2012 as the starting point through the current quarter and it will continue to include this starting point going forward. Management determined that the look-back period should be expanded until a loss producing d</w:t>
      </w:r>
      <w:r>
        <w:rPr>
          <w:rFonts w:eastAsia="Times New Roman"/>
          <w:color w:val="000000"/>
          <w:sz w:val="20"/>
          <w:szCs w:val="20"/>
        </w:rPr>
        <w:t>ownturn is recognized. This would be accomplished by allowing the look-back period to shift forward by eliminating the earliest loss period and replenishing it with losses from the most recent period. The look-back period is consistently evaluated for rele</w:t>
      </w:r>
      <w:r>
        <w:rPr>
          <w:rFonts w:eastAsia="Times New Roman"/>
          <w:color w:val="000000"/>
          <w:sz w:val="20"/>
          <w:szCs w:val="20"/>
        </w:rPr>
        <w:t xml:space="preserve">vance given the current facts and circumstances. </w:t>
      </w:r>
    </w:p>
    <w:p w:rsidR="00000000" w:rsidRDefault="00100014">
      <w:pPr>
        <w:jc w:val="both"/>
        <w:divId w:val="626814436"/>
        <w:rPr>
          <w:rFonts w:eastAsia="Times New Roman"/>
        </w:rPr>
      </w:pPr>
      <w:r>
        <w:rPr>
          <w:rFonts w:eastAsia="Times New Roman"/>
          <w:color w:val="000000"/>
          <w:sz w:val="20"/>
          <w:szCs w:val="20"/>
        </w:rPr>
        <w:t>These historical loss rates for each risk group are used as the starting point to determine loss rates for measurement purposes. The historical loan loss rates are multiplied by loss emergence periods (LEP)</w:t>
      </w:r>
      <w:r>
        <w:rPr>
          <w:rFonts w:eastAsia="Times New Roman"/>
          <w:color w:val="000000"/>
          <w:sz w:val="20"/>
          <w:szCs w:val="20"/>
        </w:rPr>
        <w:t xml:space="preserve"> which represent the estimated time period between a borrower first experiencing financial difficulty and the recognition of a loss.</w:t>
      </w:r>
    </w:p>
    <w:p w:rsidR="00000000" w:rsidRDefault="00100014">
      <w:pPr>
        <w:jc w:val="both"/>
        <w:divId w:val="1825537875"/>
        <w:rPr>
          <w:rFonts w:eastAsia="Times New Roman"/>
        </w:rPr>
      </w:pPr>
      <w:r>
        <w:rPr>
          <w:rFonts w:eastAsia="Times New Roman"/>
          <w:color w:val="000000"/>
          <w:sz w:val="20"/>
          <w:szCs w:val="20"/>
        </w:rPr>
        <w:t>The Company’</w:t>
      </w:r>
      <w:r>
        <w:rPr>
          <w:rFonts w:eastAsia="Times New Roman"/>
          <w:color w:val="000000"/>
          <w:sz w:val="20"/>
          <w:szCs w:val="20"/>
        </w:rPr>
        <w:t>s methodology includes qualitative risk factors that allow management to adjust its estimates of losses based on the most recent information available and to address other limitations in the quantitative component that is based on historical loss rates. Su</w:t>
      </w:r>
      <w:r>
        <w:rPr>
          <w:rFonts w:eastAsia="Times New Roman"/>
          <w:color w:val="000000"/>
          <w:sz w:val="20"/>
          <w:szCs w:val="20"/>
        </w:rPr>
        <w:t>ch risk factors are generally reviewed and updated quarterly, as appropriate, and are adjusted to reflect changes in national and local economic conditions and developments, the nature, volume and terms of loans in the portfolio, including changes in volum</w:t>
      </w:r>
      <w:r>
        <w:rPr>
          <w:rFonts w:eastAsia="Times New Roman"/>
          <w:color w:val="000000"/>
          <w:sz w:val="20"/>
          <w:szCs w:val="20"/>
        </w:rPr>
        <w:t>e and severity of past due loans, the volume of non-accrual loans, and the volume and severity of adversely classified or graded loans, loan concentrations, assessment of trends in collateral values, assessment of changes in the quality of the Company’s in</w:t>
      </w:r>
      <w:r>
        <w:rPr>
          <w:rFonts w:eastAsia="Times New Roman"/>
          <w:color w:val="000000"/>
          <w:sz w:val="20"/>
          <w:szCs w:val="20"/>
        </w:rPr>
        <w:t>ternal loan review department, and changes in lending policies and procedures, including underwriting standards and collections, charge-off and recovery practices.</w:t>
      </w:r>
    </w:p>
    <w:p w:rsidR="00000000" w:rsidRDefault="00100014">
      <w:pPr>
        <w:jc w:val="both"/>
        <w:divId w:val="1023437274"/>
        <w:rPr>
          <w:rFonts w:eastAsia="Times New Roman"/>
        </w:rPr>
      </w:pPr>
      <w:r>
        <w:rPr>
          <w:rFonts w:eastAsia="Times New Roman"/>
          <w:color w:val="000000"/>
          <w:sz w:val="20"/>
          <w:szCs w:val="20"/>
        </w:rPr>
        <w:t>The specific and general reserve allocations represent management’s best estimate of probabl</w:t>
      </w:r>
      <w:r>
        <w:rPr>
          <w:rFonts w:eastAsia="Times New Roman"/>
          <w:color w:val="000000"/>
          <w:sz w:val="20"/>
          <w:szCs w:val="20"/>
        </w:rPr>
        <w:t>e losses inherent in the loan portfolio at the evaluation date. Although the ALL is comprised of specific and general allocations, the entire ALL is available to absorb any credit losses.</w:t>
      </w:r>
    </w:p>
    <w:p w:rsidR="00000000" w:rsidRDefault="00100014">
      <w:pPr>
        <w:jc w:val="both"/>
        <w:divId w:val="1858545246"/>
        <w:rPr>
          <w:rFonts w:eastAsia="Times New Roman"/>
        </w:rPr>
      </w:pPr>
      <w:r>
        <w:rPr>
          <w:rFonts w:eastAsia="Times New Roman"/>
          <w:color w:val="000000"/>
          <w:sz w:val="20"/>
          <w:szCs w:val="20"/>
        </w:rPr>
        <w:t>The decrease in the allowance for loan losses from December 31, 2021</w:t>
      </w:r>
      <w:r>
        <w:rPr>
          <w:rFonts w:eastAsia="Times New Roman"/>
          <w:color w:val="000000"/>
          <w:sz w:val="20"/>
          <w:szCs w:val="20"/>
        </w:rPr>
        <w:t xml:space="preserve"> as compared to June 30, 2022 primarily resulted from transitioning loans impacted by COVID-19 from non-accrual status back to performing status. This transition was made according to the Company’s established internal loan policies regarding loan performa</w:t>
      </w:r>
      <w:r>
        <w:rPr>
          <w:rFonts w:eastAsia="Times New Roman"/>
          <w:color w:val="000000"/>
          <w:sz w:val="20"/>
          <w:szCs w:val="20"/>
        </w:rPr>
        <w:t xml:space="preserve">nce as well as consultation with industry experts. This transition back to performing status also reduced specific reserves based on the attributes of the individual loan collateral, to the general allocations method described above. The Company continues </w:t>
      </w:r>
      <w:r>
        <w:rPr>
          <w:rFonts w:eastAsia="Times New Roman"/>
          <w:color w:val="000000"/>
          <w:sz w:val="20"/>
          <w:szCs w:val="20"/>
        </w:rPr>
        <w:t>to monitor the risks associated with its non-performing loans. Partially offsetting this decrease in the allowance for loan losses was an increase in the reserve due to the significant loan growth that occurred during the first six months of 2022.</w:t>
      </w:r>
    </w:p>
    <w:p w:rsidR="00000000" w:rsidRDefault="00100014">
      <w:pPr>
        <w:divId w:val="1923367149"/>
        <w:rPr>
          <w:rFonts w:eastAsia="Times New Roman"/>
        </w:rPr>
      </w:pPr>
      <w:r>
        <w:rPr>
          <w:rFonts w:eastAsia="Times New Roman"/>
          <w:i/>
          <w:iCs/>
          <w:color w:val="000000"/>
          <w:sz w:val="20"/>
          <w:szCs w:val="20"/>
        </w:rPr>
        <w:t>Provisio</w:t>
      </w:r>
      <w:r>
        <w:rPr>
          <w:rFonts w:eastAsia="Times New Roman"/>
          <w:i/>
          <w:iCs/>
          <w:color w:val="000000"/>
          <w:sz w:val="20"/>
          <w:szCs w:val="20"/>
        </w:rPr>
        <w:t>n</w:t>
      </w:r>
    </w:p>
    <w:p w:rsidR="00000000" w:rsidRDefault="00100014">
      <w:pPr>
        <w:jc w:val="both"/>
        <w:divId w:val="1515726518"/>
        <w:rPr>
          <w:rFonts w:eastAsia="Times New Roman"/>
        </w:rPr>
      </w:pPr>
      <w:r>
        <w:rPr>
          <w:rFonts w:eastAsia="Times New Roman"/>
          <w:color w:val="000000"/>
          <w:sz w:val="20"/>
          <w:szCs w:val="20"/>
        </w:rPr>
        <w:t>The Company recognized a provision expense and a negative provision expense for loan losses of $1.2 million and $1.3 million for the three and six months ended June 30, 2022, respectively, compared to $0.4 million provision expense for both the three and</w:t>
      </w:r>
      <w:r>
        <w:rPr>
          <w:rFonts w:eastAsia="Times New Roman"/>
          <w:color w:val="000000"/>
          <w:sz w:val="20"/>
          <w:szCs w:val="20"/>
        </w:rPr>
        <w:t xml:space="preserve"> six months ended June 30, 2021, respectively. The negative provision expense primarily resulted </w:t>
      </w:r>
    </w:p>
    <w:p w:rsidR="00000000" w:rsidRDefault="00100014">
      <w:pPr>
        <w:jc w:val="center"/>
        <w:divId w:val="927347490"/>
        <w:rPr>
          <w:rFonts w:eastAsia="Times New Roman"/>
        </w:rPr>
      </w:pPr>
      <w:r>
        <w:rPr>
          <w:rFonts w:eastAsia="Times New Roman"/>
          <w:color w:val="000000"/>
          <w:sz w:val="20"/>
          <w:szCs w:val="20"/>
        </w:rPr>
        <w:t>51</w:t>
      </w:r>
    </w:p>
    <w:p w:rsidR="00000000" w:rsidRDefault="00100014">
      <w:pPr>
        <w:rPr>
          <w:rFonts w:eastAsia="Times New Roman"/>
        </w:rPr>
      </w:pPr>
      <w:r>
        <w:rPr>
          <w:rFonts w:eastAsia="Times New Roman"/>
        </w:rPr>
        <w:pict>
          <v:rect id="_x0000_i1075" style="width:0;height:1.5pt" o:hralign="center" o:hrstd="t" o:hr="t" fillcolor="#a0a0a0" stroked="f"/>
        </w:pict>
      </w:r>
    </w:p>
    <w:p w:rsidR="00000000" w:rsidRDefault="00100014">
      <w:pPr>
        <w:divId w:val="1994017631"/>
        <w:rPr>
          <w:rFonts w:eastAsia="Times New Roman"/>
        </w:rPr>
      </w:pPr>
    </w:p>
    <w:p w:rsidR="00000000" w:rsidRDefault="00100014">
      <w:pPr>
        <w:jc w:val="both"/>
        <w:divId w:val="304164889"/>
        <w:rPr>
          <w:rFonts w:eastAsia="Times New Roman"/>
        </w:rPr>
      </w:pPr>
      <w:r>
        <w:rPr>
          <w:rFonts w:eastAsia="Times New Roman"/>
          <w:color w:val="000000"/>
          <w:sz w:val="20"/>
          <w:szCs w:val="20"/>
        </w:rPr>
        <w:t>from the release of specific reserves totaling $2.8 million in the first quarter of 2022 due to returning significan</w:t>
      </w:r>
      <w:r>
        <w:rPr>
          <w:rFonts w:eastAsia="Times New Roman"/>
          <w:color w:val="000000"/>
          <w:sz w:val="20"/>
          <w:szCs w:val="20"/>
        </w:rPr>
        <w:t xml:space="preserve">t loan balances to accrual from non-accrual status or other collateral valuation adjustments. </w:t>
      </w:r>
    </w:p>
    <w:p w:rsidR="00000000" w:rsidRDefault="00100014">
      <w:pPr>
        <w:jc w:val="both"/>
        <w:divId w:val="975110215"/>
        <w:rPr>
          <w:rFonts w:eastAsia="Times New Roman"/>
        </w:rPr>
      </w:pPr>
      <w:r>
        <w:rPr>
          <w:rFonts w:eastAsia="Times New Roman"/>
          <w:color w:val="000000"/>
          <w:sz w:val="20"/>
          <w:szCs w:val="20"/>
        </w:rPr>
        <w:t>The following table summarizes loan loss experience for the periods indicated:</w:t>
      </w:r>
    </w:p>
    <w:tbl>
      <w:tblPr>
        <w:tblW w:w="4954" w:type="pct"/>
        <w:tblCellMar>
          <w:top w:w="15" w:type="dxa"/>
          <w:left w:w="15" w:type="dxa"/>
          <w:bottom w:w="15" w:type="dxa"/>
          <w:right w:w="15" w:type="dxa"/>
        </w:tblCellMar>
        <w:tblLook w:val="04A0" w:firstRow="1" w:lastRow="0" w:firstColumn="1" w:lastColumn="0" w:noHBand="0" w:noVBand="1"/>
      </w:tblPr>
      <w:tblGrid>
        <w:gridCol w:w="38"/>
        <w:gridCol w:w="1454"/>
        <w:gridCol w:w="37"/>
        <w:gridCol w:w="111"/>
        <w:gridCol w:w="789"/>
        <w:gridCol w:w="36"/>
        <w:gridCol w:w="37"/>
        <w:gridCol w:w="111"/>
        <w:gridCol w:w="36"/>
        <w:gridCol w:w="110"/>
        <w:gridCol w:w="765"/>
        <w:gridCol w:w="36"/>
        <w:gridCol w:w="37"/>
        <w:gridCol w:w="111"/>
        <w:gridCol w:w="36"/>
        <w:gridCol w:w="87"/>
        <w:gridCol w:w="789"/>
        <w:gridCol w:w="170"/>
        <w:gridCol w:w="37"/>
        <w:gridCol w:w="111"/>
        <w:gridCol w:w="36"/>
        <w:gridCol w:w="111"/>
        <w:gridCol w:w="784"/>
        <w:gridCol w:w="36"/>
        <w:gridCol w:w="37"/>
        <w:gridCol w:w="111"/>
        <w:gridCol w:w="36"/>
        <w:gridCol w:w="110"/>
        <w:gridCol w:w="765"/>
        <w:gridCol w:w="36"/>
        <w:gridCol w:w="37"/>
        <w:gridCol w:w="111"/>
        <w:gridCol w:w="36"/>
        <w:gridCol w:w="87"/>
        <w:gridCol w:w="789"/>
        <w:gridCol w:w="170"/>
      </w:tblGrid>
      <w:tr w:rsidR="00000000">
        <w:trPr>
          <w:divId w:val="664867469"/>
        </w:trPr>
        <w:tc>
          <w:tcPr>
            <w:tcW w:w="50" w:type="pct"/>
            <w:vAlign w:val="center"/>
            <w:hideMark/>
          </w:tcPr>
          <w:p w:rsidR="00000000" w:rsidRDefault="00100014">
            <w:pPr>
              <w:jc w:val="both"/>
              <w:rPr>
                <w:rFonts w:eastAsia="Times New Roman"/>
              </w:rPr>
            </w:pPr>
          </w:p>
        </w:tc>
        <w:tc>
          <w:tcPr>
            <w:tcW w:w="16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4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1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66486746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Three Months Ended June 30, 2022</w:t>
            </w:r>
          </w:p>
        </w:tc>
      </w:tr>
      <w:tr w:rsidR="00000000">
        <w:trPr>
          <w:divId w:val="664867469"/>
        </w:trPr>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664867469"/>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(Recoveries) Charge-offs / Average Loans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(Recoveries) Charge-offs / Average Loans</w:t>
            </w:r>
          </w:p>
        </w:tc>
      </w:tr>
      <w:tr w:rsidR="00000000">
        <w:trPr>
          <w:divId w:val="66486746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Commercial, financial, and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232,187 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256,557 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rPr>
          <w:divId w:val="66486746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828836238"/>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w:t>
            </w:r>
            <w:r>
              <w:rPr>
                <w:rFonts w:eastAsia="Times New Roman"/>
                <w:color w:val="000000"/>
                <w:sz w:val="18"/>
                <w:szCs w:val="18"/>
              </w:rPr>
              <w:t>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23,167 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35,005 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486746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349258093"/>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107,744 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77,726 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486746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530267966"/>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(20)</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296,119 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263,477 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486746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1193766388"/>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681,926 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618,126 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4867469"/>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22,865 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0.15 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24,794 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4867469"/>
        </w:trPr>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18"/>
                <w:szCs w:val="18"/>
              </w:rPr>
              <w:t>126</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1,364,008 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14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18"/>
                <w:szCs w:val="18"/>
              </w:rPr>
              <w:t>26</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1,275,685 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14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bl>
    <w:tbl>
      <w:tblPr>
        <w:tblW w:w="4962" w:type="pct"/>
        <w:tblCellMar>
          <w:top w:w="15" w:type="dxa"/>
          <w:left w:w="15" w:type="dxa"/>
          <w:bottom w:w="15" w:type="dxa"/>
          <w:right w:w="15" w:type="dxa"/>
        </w:tblCellMar>
        <w:tblLook w:val="04A0" w:firstRow="1" w:lastRow="0" w:firstColumn="1" w:lastColumn="0" w:noHBand="0" w:noVBand="1"/>
      </w:tblPr>
      <w:tblGrid>
        <w:gridCol w:w="144"/>
        <w:gridCol w:w="2764"/>
        <w:gridCol w:w="144"/>
        <w:gridCol w:w="144"/>
        <w:gridCol w:w="751"/>
        <w:gridCol w:w="144"/>
        <w:gridCol w:w="144"/>
        <w:gridCol w:w="144"/>
        <w:gridCol w:w="144"/>
        <w:gridCol w:w="144"/>
        <w:gridCol w:w="764"/>
        <w:gridCol w:w="144"/>
        <w:gridCol w:w="144"/>
        <w:gridCol w:w="144"/>
        <w:gridCol w:w="144"/>
        <w:gridCol w:w="144"/>
        <w:gridCol w:w="751"/>
        <w:gridCol w:w="144"/>
        <w:gridCol w:w="144"/>
        <w:gridCol w:w="144"/>
        <w:gridCol w:w="144"/>
        <w:gridCol w:w="144"/>
        <w:gridCol w:w="713"/>
        <w:gridCol w:w="144"/>
        <w:gridCol w:w="144"/>
        <w:gridCol w:w="144"/>
        <w:gridCol w:w="144"/>
        <w:gridCol w:w="144"/>
        <w:gridCol w:w="852"/>
        <w:gridCol w:w="144"/>
        <w:gridCol w:w="144"/>
        <w:gridCol w:w="144"/>
        <w:gridCol w:w="144"/>
        <w:gridCol w:w="144"/>
        <w:gridCol w:w="751"/>
        <w:gridCol w:w="144"/>
      </w:tblGrid>
      <w:tr w:rsidR="00000000">
        <w:tc>
          <w:tcPr>
            <w:tcW w:w="50" w:type="pct"/>
            <w:vAlign w:val="center"/>
            <w:hideMark/>
          </w:tcPr>
          <w:p w:rsidR="00000000" w:rsidRDefault="00100014">
            <w:pPr>
              <w:jc w:val="both"/>
              <w:rPr>
                <w:rFonts w:eastAsia="Times New Roman"/>
              </w:rPr>
            </w:pPr>
          </w:p>
        </w:tc>
        <w:tc>
          <w:tcPr>
            <w:tcW w:w="167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6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3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1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5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Six Months Ended June 30,</w:t>
            </w:r>
          </w:p>
        </w:tc>
      </w:tr>
      <w:tr w:rsidR="00000000">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(Recoveries) Charge-offs / Average Loans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Charge-offs (Recoveries)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Average Loans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Net (Recoveries) Charge-offs / Average Loans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Commercial, financial, and agricultural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226,569 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257,087 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764229933"/>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23,311 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34,252 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(0.04)</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2033071555"/>
              <w:rPr>
                <w:rFonts w:eastAsia="Times New Roman"/>
              </w:rPr>
            </w:pPr>
            <w:r>
              <w:rPr>
                <w:rFonts w:eastAsia="Times New Roman"/>
                <w:color w:val="000000"/>
                <w:sz w:val="18"/>
                <w:szCs w:val="18"/>
              </w:rPr>
              <w:t xml:space="preserve">Real estate construction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101,872 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78,150 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divId w:val="138151289"/>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residential</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289,011 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(0.01)</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(172)</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261,768 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(0.07)</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divId w:val="2144076283"/>
              <w:rPr>
                <w:rFonts w:eastAsia="Times New Roman"/>
              </w:rPr>
            </w:pPr>
            <w:r>
              <w:rPr>
                <w:rFonts w:eastAsia="Times New Roman"/>
                <w:color w:val="000000"/>
                <w:sz w:val="18"/>
                <w:szCs w:val="18"/>
              </w:rPr>
              <w:t xml:space="preserve">Real estate mortgage </w:t>
            </w:r>
            <w:r>
              <w:rPr>
                <w:rFonts w:eastAsia="Times New Roman"/>
                <w:color w:val="000000"/>
                <w:sz w:val="18"/>
                <w:szCs w:val="18"/>
              </w:rPr>
              <w:t>−</w:t>
            </w:r>
            <w:r>
              <w:rPr>
                <w:rFonts w:eastAsia="Times New Roman"/>
                <w:color w:val="000000"/>
                <w:sz w:val="18"/>
                <w:szCs w:val="18"/>
              </w:rPr>
              <w:t xml:space="preserve"> commercial</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175 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676,350 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619,991 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Installment and other consumer</w:t>
            </w: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74 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22,605 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0.33 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25,390 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0.26 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c>
          <w:tcPr>
            <w:tcW w:w="0" w:type="auto"/>
            <w:gridSpan w:val="3"/>
            <w:tcBorders>
              <w:top w:val="single" w:sz="8" w:space="0" w:color="000000"/>
              <w:bottom w:val="doub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18"/>
                <w:szCs w:val="18"/>
              </w:rPr>
              <w:t>250</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1,339,718 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140" w:type="dxa"/>
            </w:tcMar>
            <w:vAlign w:val="bottom"/>
            <w:hideMark/>
          </w:tcPr>
          <w:p w:rsidR="00000000" w:rsidRDefault="00100014">
            <w:pPr>
              <w:spacing w:after="100"/>
              <w:jc w:val="right"/>
              <w:rPr>
                <w:rFonts w:eastAsia="Times New Roman"/>
              </w:rPr>
            </w:pPr>
            <w:r>
              <w:rPr>
                <w:rFonts w:eastAsia="Times New Roman"/>
                <w:color w:val="000000"/>
                <w:sz w:val="18"/>
                <w:szCs w:val="18"/>
              </w:rPr>
              <w:t>(222)</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1,276,638 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(0.02)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r>
    </w:tbl>
    <w:p w:rsidR="00000000" w:rsidRDefault="00100014">
      <w:pPr>
        <w:divId w:val="570386010"/>
        <w:rPr>
          <w:rFonts w:eastAsia="Times New Roman"/>
        </w:rPr>
      </w:pPr>
      <w:r>
        <w:rPr>
          <w:rFonts w:eastAsia="Times New Roman"/>
          <w:i/>
          <w:iCs/>
          <w:color w:val="000000"/>
          <w:sz w:val="20"/>
          <w:szCs w:val="20"/>
        </w:rPr>
        <w:t>Net Loan Charge-offs (recoveries)</w:t>
      </w:r>
    </w:p>
    <w:p w:rsidR="00000000" w:rsidRDefault="00100014">
      <w:pPr>
        <w:jc w:val="both"/>
        <w:divId w:val="523637505"/>
        <w:rPr>
          <w:rFonts w:eastAsia="Times New Roman"/>
        </w:rPr>
      </w:pPr>
      <w:r>
        <w:rPr>
          <w:rFonts w:eastAsia="Times New Roman"/>
          <w:color w:val="000000"/>
          <w:sz w:val="20"/>
          <w:szCs w:val="20"/>
        </w:rPr>
        <w:t xml:space="preserve">The Company’s net charge-offs were $0.1 million, or 0.01% </w:t>
      </w:r>
      <w:r>
        <w:rPr>
          <w:rFonts w:eastAsia="Times New Roman"/>
          <w:color w:val="000000"/>
          <w:sz w:val="20"/>
          <w:szCs w:val="20"/>
        </w:rPr>
        <w:t>of average loans, for the quarter ended June 30, 2022 compared to $26,000, or approximately 0.00% of average loans, for the quarter ended June 30, 2021, and net charge-offs were $0.3 million, or 0.02% of average loans, for the six months ended June 30, 202</w:t>
      </w:r>
      <w:r>
        <w:rPr>
          <w:rFonts w:eastAsia="Times New Roman"/>
          <w:color w:val="000000"/>
          <w:sz w:val="20"/>
          <w:szCs w:val="20"/>
        </w:rPr>
        <w:t xml:space="preserve">2 compared to net recoveries of $0.2 million, or (0.02)% of average loans, for the six months ended June 30, 2021. </w:t>
      </w:r>
    </w:p>
    <w:p w:rsidR="00000000" w:rsidRDefault="00100014">
      <w:pPr>
        <w:divId w:val="482310931"/>
        <w:rPr>
          <w:rFonts w:eastAsia="Times New Roman"/>
        </w:rPr>
      </w:pPr>
      <w:r>
        <w:rPr>
          <w:rFonts w:eastAsia="Times New Roman"/>
          <w:i/>
          <w:iCs/>
          <w:color w:val="000000"/>
          <w:sz w:val="20"/>
          <w:szCs w:val="20"/>
        </w:rPr>
        <w:t>Loans Held For Sale</w:t>
      </w:r>
    </w:p>
    <w:p w:rsidR="00000000" w:rsidRDefault="00100014">
      <w:pPr>
        <w:jc w:val="both"/>
        <w:divId w:val="575090505"/>
        <w:rPr>
          <w:rFonts w:eastAsia="Times New Roman"/>
        </w:rPr>
      </w:pPr>
      <w:r>
        <w:rPr>
          <w:rFonts w:eastAsia="Times New Roman"/>
          <w:color w:val="000000"/>
          <w:sz w:val="20"/>
          <w:szCs w:val="20"/>
        </w:rPr>
        <w:t>The Company designates certain long-term fixed rate personal real estate loans as held for sale. In the fourth quarter of 2021, the Company elected the fair value option for all newly originated long-term personal real estate loans held for sale. As of Dec</w:t>
      </w:r>
      <w:r>
        <w:rPr>
          <w:rFonts w:eastAsia="Times New Roman"/>
          <w:color w:val="000000"/>
          <w:sz w:val="20"/>
          <w:szCs w:val="20"/>
        </w:rPr>
        <w:t>ember 31, 2021, all loans held for sale were carried at fair value. The loans are primarily sold to Freddie Mac, Fannie Mae, and PennyMac and other various secondary market investors. At June 30, 2022, the carrying amount of these loans was $1.7 million co</w:t>
      </w:r>
      <w:r>
        <w:rPr>
          <w:rFonts w:eastAsia="Times New Roman"/>
          <w:color w:val="000000"/>
          <w:sz w:val="20"/>
          <w:szCs w:val="20"/>
        </w:rPr>
        <w:t xml:space="preserve">mpared to $2.2 million at December 31, 2021. </w:t>
      </w:r>
    </w:p>
    <w:p w:rsidR="00000000" w:rsidRDefault="00100014">
      <w:pPr>
        <w:jc w:val="center"/>
        <w:divId w:val="320307043"/>
        <w:rPr>
          <w:rFonts w:eastAsia="Times New Roman"/>
        </w:rPr>
      </w:pPr>
      <w:r>
        <w:rPr>
          <w:rFonts w:eastAsia="Times New Roman"/>
          <w:color w:val="000000"/>
          <w:sz w:val="20"/>
          <w:szCs w:val="20"/>
        </w:rPr>
        <w:t>52</w:t>
      </w:r>
    </w:p>
    <w:p w:rsidR="00000000" w:rsidRDefault="00100014">
      <w:pPr>
        <w:rPr>
          <w:rFonts w:eastAsia="Times New Roman"/>
        </w:rPr>
      </w:pPr>
      <w:r>
        <w:rPr>
          <w:rFonts w:eastAsia="Times New Roman"/>
        </w:rPr>
        <w:pict>
          <v:rect id="_x0000_i1076" style="width:0;height:1.5pt" o:hralign="center" o:hrstd="t" o:hr="t" fillcolor="#a0a0a0" stroked="f"/>
        </w:pict>
      </w:r>
    </w:p>
    <w:p w:rsidR="00000000" w:rsidRDefault="00100014">
      <w:pPr>
        <w:divId w:val="142158488"/>
        <w:rPr>
          <w:rFonts w:eastAsia="Times New Roman"/>
        </w:rPr>
      </w:pPr>
    </w:p>
    <w:p w:rsidR="00000000" w:rsidRDefault="00100014">
      <w:pPr>
        <w:divId w:val="758527206"/>
        <w:rPr>
          <w:rFonts w:eastAsia="Times New Roman"/>
        </w:rPr>
      </w:pPr>
      <w:r>
        <w:rPr>
          <w:rFonts w:eastAsia="Times New Roman"/>
          <w:b/>
          <w:bCs/>
          <w:i/>
          <w:iCs/>
          <w:color w:val="000000"/>
          <w:sz w:val="20"/>
          <w:szCs w:val="20"/>
        </w:rPr>
        <w:t>Liquidity and Capital Resources</w:t>
      </w:r>
    </w:p>
    <w:p w:rsidR="00000000" w:rsidRDefault="00100014">
      <w:pPr>
        <w:divId w:val="2058771290"/>
        <w:rPr>
          <w:rFonts w:eastAsia="Times New Roman"/>
        </w:rPr>
      </w:pPr>
      <w:r>
        <w:rPr>
          <w:rFonts w:eastAsia="Times New Roman"/>
          <w:b/>
          <w:bCs/>
          <w:color w:val="000000"/>
          <w:sz w:val="20"/>
          <w:szCs w:val="20"/>
        </w:rPr>
        <w:t>Liquidity Management</w:t>
      </w:r>
    </w:p>
    <w:p w:rsidR="00000000" w:rsidRDefault="00100014">
      <w:pPr>
        <w:jc w:val="both"/>
        <w:divId w:val="591397992"/>
        <w:rPr>
          <w:rFonts w:eastAsia="Times New Roman"/>
        </w:rPr>
      </w:pPr>
      <w:r>
        <w:rPr>
          <w:rFonts w:eastAsia="Times New Roman"/>
          <w:color w:val="000000"/>
          <w:sz w:val="20"/>
          <w:szCs w:val="20"/>
        </w:rPr>
        <w:t>The role of liquidity management is to ensure funds are available to meet depositors’ withdrawal and borrowers’ cre</w:t>
      </w:r>
      <w:r>
        <w:rPr>
          <w:rFonts w:eastAsia="Times New Roman"/>
          <w:color w:val="000000"/>
          <w:sz w:val="20"/>
          <w:szCs w:val="20"/>
        </w:rPr>
        <w:t>dit demands while at the same time maximizing profitability. This is accomplished by balancing changes in demand for funds with changes in the supply of those funds. Liquidity to meet these demands is provided by maturing assets, short-term liquid assets t</w:t>
      </w:r>
      <w:r>
        <w:rPr>
          <w:rFonts w:eastAsia="Times New Roman"/>
          <w:color w:val="000000"/>
          <w:sz w:val="20"/>
          <w:szCs w:val="20"/>
        </w:rPr>
        <w:t>hat can be converted to cash and the ability to attract funds from external sources, principally depositors. Due to the nature of services offered by the Company, management prefers to focus on transaction accounts and full service relationships with custo</w:t>
      </w:r>
      <w:r>
        <w:rPr>
          <w:rFonts w:eastAsia="Times New Roman"/>
          <w:color w:val="000000"/>
          <w:sz w:val="20"/>
          <w:szCs w:val="20"/>
        </w:rPr>
        <w:t>mers as the primary sources of funding.</w:t>
      </w:r>
    </w:p>
    <w:p w:rsidR="00000000" w:rsidRDefault="00100014">
      <w:pPr>
        <w:jc w:val="both"/>
        <w:divId w:val="559480870"/>
        <w:rPr>
          <w:rFonts w:eastAsia="Times New Roman"/>
        </w:rPr>
      </w:pPr>
      <w:r>
        <w:rPr>
          <w:rFonts w:eastAsia="Times New Roman"/>
          <w:color w:val="000000"/>
          <w:sz w:val="20"/>
          <w:szCs w:val="20"/>
        </w:rPr>
        <w:t>The Company’s Asset/Liability Committee (ALCO), primarily made up of senior management, has direct oversight responsibility for the Company’s liquidity position and profile. A combination of daily, weekly, and monthl</w:t>
      </w:r>
      <w:r>
        <w:rPr>
          <w:rFonts w:eastAsia="Times New Roman"/>
          <w:color w:val="000000"/>
          <w:sz w:val="20"/>
          <w:szCs w:val="20"/>
        </w:rPr>
        <w:t>y reports provided to management detail the following: internal liquidity metrics, composition and level of the liquid asset portfolio, timing differences in short-term cash flow obligations, available pricing and market access to the financial markets for</w:t>
      </w:r>
      <w:r>
        <w:rPr>
          <w:rFonts w:eastAsia="Times New Roman"/>
          <w:color w:val="000000"/>
          <w:sz w:val="20"/>
          <w:szCs w:val="20"/>
        </w:rPr>
        <w:t xml:space="preserve"> capital, and exposure to contingent draws on the Company’s liquidity.</w:t>
      </w:r>
    </w:p>
    <w:p w:rsidR="00000000" w:rsidRDefault="00100014">
      <w:pPr>
        <w:jc w:val="both"/>
        <w:divId w:val="1225948178"/>
        <w:rPr>
          <w:rFonts w:eastAsia="Times New Roman"/>
        </w:rPr>
      </w:pPr>
      <w:r>
        <w:rPr>
          <w:rFonts w:eastAsia="Times New Roman"/>
          <w:color w:val="000000"/>
          <w:sz w:val="20"/>
          <w:szCs w:val="20"/>
        </w:rPr>
        <w:t>The Company has a number of sources of funds to meet liquidity needs on a daily basis. The Company’s most liquid assets are comprised of available-for-sale investment securities, not in</w:t>
      </w:r>
      <w:r>
        <w:rPr>
          <w:rFonts w:eastAsia="Times New Roman"/>
          <w:color w:val="000000"/>
          <w:sz w:val="20"/>
          <w:szCs w:val="20"/>
        </w:rPr>
        <w:t>cluding other debt securities, federal funds sold, and excess reserves held at the Federal Reserve.</w:t>
      </w:r>
    </w:p>
    <w:tbl>
      <w:tblPr>
        <w:tblW w:w="4924" w:type="pct"/>
        <w:tblCellMar>
          <w:top w:w="15" w:type="dxa"/>
          <w:left w:w="15" w:type="dxa"/>
          <w:bottom w:w="15" w:type="dxa"/>
          <w:right w:w="15" w:type="dxa"/>
        </w:tblCellMar>
        <w:tblLook w:val="04A0" w:firstRow="1" w:lastRow="0" w:firstColumn="1" w:lastColumn="0" w:noHBand="0" w:noVBand="1"/>
      </w:tblPr>
      <w:tblGrid>
        <w:gridCol w:w="39"/>
        <w:gridCol w:w="5895"/>
        <w:gridCol w:w="38"/>
        <w:gridCol w:w="120"/>
        <w:gridCol w:w="760"/>
        <w:gridCol w:w="36"/>
        <w:gridCol w:w="36"/>
        <w:gridCol w:w="36"/>
        <w:gridCol w:w="36"/>
        <w:gridCol w:w="120"/>
        <w:gridCol w:w="1028"/>
        <w:gridCol w:w="36"/>
      </w:tblGrid>
      <w:tr w:rsidR="00000000">
        <w:trPr>
          <w:divId w:val="1733850864"/>
        </w:trPr>
        <w:tc>
          <w:tcPr>
            <w:tcW w:w="50" w:type="pct"/>
            <w:vAlign w:val="center"/>
            <w:hideMark/>
          </w:tcPr>
          <w:p w:rsidR="00000000" w:rsidRDefault="00100014">
            <w:pPr>
              <w:jc w:val="both"/>
              <w:rPr>
                <w:rFonts w:eastAsia="Times New Roman"/>
              </w:rPr>
            </w:pPr>
          </w:p>
        </w:tc>
        <w:tc>
          <w:tcPr>
            <w:tcW w:w="362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733850864"/>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733850864"/>
        </w:trPr>
        <w:tc>
          <w:tcPr>
            <w:tcW w:w="0" w:type="auto"/>
            <w:gridSpan w:val="3"/>
            <w:tcBorders>
              <w:top w:val="sing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sold</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45 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7,122 </w:t>
            </w:r>
          </w:p>
        </w:tc>
        <w:tc>
          <w:tcPr>
            <w:tcW w:w="0" w:type="auto"/>
            <w:tcBorders>
              <w:top w:val="sing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33850864"/>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interest-bearing deposits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8,159</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135,500</w:t>
            </w:r>
          </w:p>
        </w:tc>
      </w:tr>
      <w:tr w:rsidR="00000000">
        <w:trPr>
          <w:divId w:val="1733850864"/>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Certificates of deposit in other banks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4,201 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5,193 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33850864"/>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Available-for-sale investment securities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267,274</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310,870</w:t>
            </w:r>
          </w:p>
        </w:tc>
      </w:tr>
      <w:tr w:rsidR="00000000">
        <w:trPr>
          <w:divId w:val="1733850864"/>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279,679 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458,685 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295718266"/>
        <w:rPr>
          <w:rFonts w:eastAsia="Times New Roman"/>
        </w:rPr>
      </w:pPr>
      <w:r>
        <w:rPr>
          <w:rFonts w:eastAsia="Times New Roman"/>
          <w:color w:val="000000"/>
          <w:sz w:val="20"/>
          <w:szCs w:val="20"/>
        </w:rPr>
        <w:t xml:space="preserve">Federal funds sold and resale agreements normally have overnight maturities and are used for general daily liquidity purposes. The fair value of the available-for-sale investment portfolio was $267.3 million at June 30, 2022 and included an unrealized net </w:t>
      </w:r>
      <w:r>
        <w:rPr>
          <w:rFonts w:eastAsia="Times New Roman"/>
          <w:color w:val="000000"/>
          <w:sz w:val="20"/>
          <w:szCs w:val="20"/>
        </w:rPr>
        <w:t>loss of $38.8 million. The portfolio includes projected maturities and mortgage-backed securities pay-downs of approximately $5.0 million over the next twelve months, which offer resources to meet either new loan demand or reductions in the Company’s borro</w:t>
      </w:r>
      <w:r>
        <w:rPr>
          <w:rFonts w:eastAsia="Times New Roman"/>
          <w:color w:val="000000"/>
          <w:sz w:val="20"/>
          <w:szCs w:val="20"/>
        </w:rPr>
        <w:t>wings.</w:t>
      </w:r>
    </w:p>
    <w:p w:rsidR="00000000" w:rsidRDefault="00100014">
      <w:pPr>
        <w:jc w:val="both"/>
        <w:divId w:val="1644964302"/>
        <w:rPr>
          <w:rFonts w:eastAsia="Times New Roman"/>
        </w:rPr>
      </w:pPr>
      <w:r>
        <w:rPr>
          <w:rFonts w:eastAsia="Times New Roman"/>
          <w:color w:val="000000"/>
          <w:sz w:val="20"/>
          <w:szCs w:val="20"/>
        </w:rPr>
        <w:t xml:space="preserve">The Company pledges portions of its investment securities portfolio to secure public fund deposits, federal funds purchase lines, securities sold under agreements to repurchase, borrowing capacity at the Federal Reserve Bank, and for other purposes </w:t>
      </w:r>
      <w:r>
        <w:rPr>
          <w:rFonts w:eastAsia="Times New Roman"/>
          <w:color w:val="000000"/>
          <w:sz w:val="20"/>
          <w:szCs w:val="20"/>
        </w:rPr>
        <w:t>as required or permitted by law. At June 30, 2022 and December 31, 2021, the Company’s unpledged securities in the available-for-sale portfolio totaled approximately $46.9 million and $35.5 million, respectively.</w:t>
      </w:r>
    </w:p>
    <w:p w:rsidR="00000000" w:rsidRDefault="00100014">
      <w:pPr>
        <w:jc w:val="both"/>
        <w:divId w:val="1301879177"/>
        <w:rPr>
          <w:rFonts w:eastAsia="Times New Roman"/>
        </w:rPr>
      </w:pPr>
      <w:r>
        <w:rPr>
          <w:rFonts w:eastAsia="Times New Roman"/>
          <w:color w:val="000000"/>
          <w:sz w:val="20"/>
          <w:szCs w:val="20"/>
        </w:rPr>
        <w:t>Total investment securities pledged for the</w:t>
      </w:r>
      <w:r>
        <w:rPr>
          <w:rFonts w:eastAsia="Times New Roman"/>
          <w:color w:val="000000"/>
          <w:sz w:val="20"/>
          <w:szCs w:val="20"/>
        </w:rPr>
        <w:t>se purposes were as follows:</w:t>
      </w:r>
    </w:p>
    <w:tbl>
      <w:tblPr>
        <w:tblW w:w="4939" w:type="pct"/>
        <w:tblCellMar>
          <w:top w:w="15" w:type="dxa"/>
          <w:left w:w="15" w:type="dxa"/>
          <w:bottom w:w="15" w:type="dxa"/>
          <w:right w:w="15" w:type="dxa"/>
        </w:tblCellMar>
        <w:tblLook w:val="04A0" w:firstRow="1" w:lastRow="0" w:firstColumn="1" w:lastColumn="0" w:noHBand="0" w:noVBand="1"/>
      </w:tblPr>
      <w:tblGrid>
        <w:gridCol w:w="39"/>
        <w:gridCol w:w="5870"/>
        <w:gridCol w:w="37"/>
        <w:gridCol w:w="120"/>
        <w:gridCol w:w="810"/>
        <w:gridCol w:w="36"/>
        <w:gridCol w:w="36"/>
        <w:gridCol w:w="36"/>
        <w:gridCol w:w="36"/>
        <w:gridCol w:w="120"/>
        <w:gridCol w:w="1029"/>
        <w:gridCol w:w="36"/>
      </w:tblGrid>
      <w:tr w:rsidR="00000000">
        <w:trPr>
          <w:divId w:val="277564742"/>
        </w:trPr>
        <w:tc>
          <w:tcPr>
            <w:tcW w:w="50" w:type="pct"/>
            <w:vAlign w:val="center"/>
            <w:hideMark/>
          </w:tcPr>
          <w:p w:rsidR="00000000" w:rsidRDefault="00100014">
            <w:pPr>
              <w:jc w:val="both"/>
              <w:rPr>
                <w:rFonts w:eastAsia="Times New Roman"/>
              </w:rPr>
            </w:pPr>
          </w:p>
        </w:tc>
        <w:tc>
          <w:tcPr>
            <w:tcW w:w="360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5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7756474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27756474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Investment securities pledged for the purpose of securing:</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277564742"/>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Reserve Bank borrowings</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8,799 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10,778 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277564742"/>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9,000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28,769</w:t>
            </w:r>
          </w:p>
        </w:tc>
      </w:tr>
      <w:tr w:rsidR="00000000">
        <w:trPr>
          <w:divId w:val="277564742"/>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deposits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202,586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235,829</w:t>
            </w:r>
          </w:p>
        </w:tc>
      </w:tr>
      <w:tr w:rsidR="00000000">
        <w:trPr>
          <w:divId w:val="277564742"/>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 pledged,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220,385 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275,376 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347874807"/>
        <w:rPr>
          <w:rFonts w:eastAsia="Times New Roman"/>
        </w:rPr>
      </w:pPr>
      <w:r>
        <w:rPr>
          <w:rFonts w:eastAsia="Times New Roman"/>
          <w:color w:val="000000"/>
          <w:sz w:val="20"/>
          <w:szCs w:val="20"/>
        </w:rPr>
        <w:t xml:space="preserve">Liquidity is available from the Company’s base of core customer deposits, defined as demand, interest checking, savings, money market deposit accounts, and time deposits less than $250,000, less all brokered deposits under $250,000. At June 30, 2022, such </w:t>
      </w:r>
      <w:r>
        <w:rPr>
          <w:rFonts w:eastAsia="Times New Roman"/>
          <w:color w:val="000000"/>
          <w:sz w:val="20"/>
          <w:szCs w:val="20"/>
        </w:rPr>
        <w:t xml:space="preserve">deposits totaled $1.4 billion and represented 91.2% of the Company’s total deposits. These core deposits are normally less volatile and are often tied to other products of the Company through long lasting relationships. </w:t>
      </w:r>
    </w:p>
    <w:p w:rsidR="00000000" w:rsidRDefault="00100014">
      <w:pPr>
        <w:jc w:val="center"/>
        <w:divId w:val="368530437"/>
        <w:rPr>
          <w:rFonts w:eastAsia="Times New Roman"/>
        </w:rPr>
      </w:pPr>
      <w:r>
        <w:rPr>
          <w:rFonts w:eastAsia="Times New Roman"/>
          <w:color w:val="000000"/>
          <w:sz w:val="20"/>
          <w:szCs w:val="20"/>
        </w:rPr>
        <w:t>53</w:t>
      </w:r>
    </w:p>
    <w:p w:rsidR="00000000" w:rsidRDefault="00100014">
      <w:pPr>
        <w:rPr>
          <w:rFonts w:eastAsia="Times New Roman"/>
        </w:rPr>
      </w:pPr>
      <w:r>
        <w:rPr>
          <w:rFonts w:eastAsia="Times New Roman"/>
        </w:rPr>
        <w:pict>
          <v:rect id="_x0000_i1077" style="width:0;height:1.5pt" o:hralign="center" o:hrstd="t" o:hr="t" fillcolor="#a0a0a0" stroked="f"/>
        </w:pict>
      </w:r>
    </w:p>
    <w:p w:rsidR="00000000" w:rsidRDefault="00100014">
      <w:pPr>
        <w:divId w:val="43220496"/>
        <w:rPr>
          <w:rFonts w:eastAsia="Times New Roman"/>
        </w:rPr>
      </w:pPr>
    </w:p>
    <w:p w:rsidR="00000000" w:rsidRDefault="00100014">
      <w:pPr>
        <w:jc w:val="both"/>
        <w:divId w:val="637035687"/>
        <w:rPr>
          <w:rFonts w:eastAsia="Times New Roman"/>
        </w:rPr>
      </w:pPr>
      <w:r>
        <w:rPr>
          <w:rFonts w:eastAsia="Times New Roman"/>
          <w:color w:val="000000"/>
          <w:sz w:val="20"/>
          <w:szCs w:val="20"/>
        </w:rPr>
        <w:t>Core deposits at June 30, 2022 and December 31, 2021 were as follows:</w:t>
      </w:r>
    </w:p>
    <w:tbl>
      <w:tblPr>
        <w:tblW w:w="4939" w:type="pct"/>
        <w:tblCellMar>
          <w:top w:w="15" w:type="dxa"/>
          <w:left w:w="15" w:type="dxa"/>
          <w:bottom w:w="15" w:type="dxa"/>
          <w:right w:w="15" w:type="dxa"/>
        </w:tblCellMar>
        <w:tblLook w:val="04A0" w:firstRow="1" w:lastRow="0" w:firstColumn="1" w:lastColumn="0" w:noHBand="0" w:noVBand="1"/>
      </w:tblPr>
      <w:tblGrid>
        <w:gridCol w:w="39"/>
        <w:gridCol w:w="5874"/>
        <w:gridCol w:w="38"/>
        <w:gridCol w:w="120"/>
        <w:gridCol w:w="850"/>
        <w:gridCol w:w="36"/>
        <w:gridCol w:w="36"/>
        <w:gridCol w:w="36"/>
        <w:gridCol w:w="36"/>
        <w:gridCol w:w="120"/>
        <w:gridCol w:w="984"/>
        <w:gridCol w:w="36"/>
      </w:tblGrid>
      <w:tr w:rsidR="00000000">
        <w:trPr>
          <w:divId w:val="1713069172"/>
        </w:trPr>
        <w:tc>
          <w:tcPr>
            <w:tcW w:w="50" w:type="pct"/>
            <w:vAlign w:val="center"/>
            <w:hideMark/>
          </w:tcPr>
          <w:p w:rsidR="00000000" w:rsidRDefault="00100014">
            <w:pPr>
              <w:jc w:val="both"/>
              <w:rPr>
                <w:rFonts w:eastAsia="Times New Roman"/>
              </w:rPr>
            </w:pPr>
          </w:p>
        </w:tc>
        <w:tc>
          <w:tcPr>
            <w:tcW w:w="363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8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713069172"/>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713069172"/>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Core deposit base:</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713069172"/>
        </w:trPr>
        <w:tc>
          <w:tcPr>
            <w:tcW w:w="0" w:type="auto"/>
            <w:gridSpan w:val="3"/>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Non-interest bearing demand</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471,762 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453,066 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13069172"/>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Interest checking</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314,772 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357,825 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13069172"/>
        </w:trPr>
        <w:tc>
          <w:tcPr>
            <w:tcW w:w="0" w:type="auto"/>
            <w:gridSpan w:val="3"/>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Savings and money market</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447,264 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440,331 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13069172"/>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Other time deposits</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162,859 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175,827 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713069172"/>
        </w:trPr>
        <w:tc>
          <w:tcPr>
            <w:tcW w:w="0" w:type="auto"/>
            <w:gridSpan w:val="3"/>
            <w:tcBorders>
              <w:top w:val="single" w:sz="8" w:space="0" w:color="000000"/>
              <w:bottom w:val="double" w:sz="6" w:space="0" w:color="000000"/>
            </w:tcBorders>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1,396,657 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1,427,049 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63720673"/>
        <w:rPr>
          <w:rFonts w:eastAsia="Times New Roman"/>
        </w:rPr>
      </w:pPr>
      <w:r>
        <w:rPr>
          <w:rFonts w:eastAsia="Times New Roman"/>
          <w:color w:val="000000"/>
          <w:sz w:val="20"/>
          <w:szCs w:val="20"/>
        </w:rPr>
        <w:t>Estimated uninsured deposits totaled $503.5 million, including $99.9 million of certificates of deposit, at June 30, 2022, compared to $513.5 million, including $69.1 million of certificates of deposit, at December 31, 2021. The Company had brokered deposi</w:t>
      </w:r>
      <w:r>
        <w:rPr>
          <w:rFonts w:eastAsia="Times New Roman"/>
          <w:color w:val="000000"/>
          <w:sz w:val="20"/>
          <w:szCs w:val="20"/>
        </w:rPr>
        <w:t>ts totaling $34.0 million and $20.2 million at June 30, 2022 and December 31, 2021, respectively.</w:t>
      </w:r>
    </w:p>
    <w:p w:rsidR="00000000" w:rsidRDefault="00100014">
      <w:pPr>
        <w:jc w:val="both"/>
        <w:divId w:val="91899009"/>
        <w:rPr>
          <w:rFonts w:eastAsia="Times New Roman"/>
        </w:rPr>
      </w:pPr>
      <w:r>
        <w:rPr>
          <w:rFonts w:eastAsia="Times New Roman"/>
          <w:color w:val="000000"/>
          <w:sz w:val="20"/>
          <w:szCs w:val="20"/>
        </w:rPr>
        <w:t>Other components of liquidity are the level of borrowings from third-party sources and the availability of future credit. The Company’s outside borrowings are</w:t>
      </w:r>
      <w:r>
        <w:rPr>
          <w:rFonts w:eastAsia="Times New Roman"/>
          <w:color w:val="000000"/>
          <w:sz w:val="20"/>
          <w:szCs w:val="20"/>
        </w:rPr>
        <w:t xml:space="preserve"> comprised of securities sold under agreements to repurchase, Federal Home Loan Bank advances, and subordinated notes. Federal funds purchased are overnight borrowings obtained mainly from upstream correspondent banks with which the Company maintains appro</w:t>
      </w:r>
      <w:r>
        <w:rPr>
          <w:rFonts w:eastAsia="Times New Roman"/>
          <w:color w:val="000000"/>
          <w:sz w:val="20"/>
          <w:szCs w:val="20"/>
        </w:rPr>
        <w:t xml:space="preserve">ved credit lines. As of June 30, 2022, under agreements with these unaffiliated banks, the Bank may borrow up to $60.0 million in federal funds on an unsecured basis and $8.3 million on a secured basis. There were no federal funds purchased outstanding at </w:t>
      </w:r>
      <w:r>
        <w:rPr>
          <w:rFonts w:eastAsia="Times New Roman"/>
          <w:color w:val="000000"/>
          <w:sz w:val="20"/>
          <w:szCs w:val="20"/>
        </w:rPr>
        <w:t>June 30, 2022. Securities sold under agreements to repurchase are generally borrowed overnight and are secured by a portion of the Company’s investment portfolio. At June 30, 2022, there were $6.9 million in repurchase agreements. The Company may periodica</w:t>
      </w:r>
      <w:r>
        <w:rPr>
          <w:rFonts w:eastAsia="Times New Roman"/>
          <w:color w:val="000000"/>
          <w:sz w:val="20"/>
          <w:szCs w:val="20"/>
        </w:rPr>
        <w:t>lly borrow additional short-term funds from the Federal Reserve Bank through the discount window, although no such borrowings were outstanding at June 30, 2022.</w:t>
      </w:r>
    </w:p>
    <w:p w:rsidR="00000000" w:rsidRDefault="00100014">
      <w:pPr>
        <w:jc w:val="both"/>
        <w:divId w:val="719134560"/>
        <w:rPr>
          <w:rFonts w:eastAsia="Times New Roman"/>
        </w:rPr>
      </w:pPr>
      <w:r>
        <w:rPr>
          <w:rFonts w:eastAsia="Times New Roman"/>
          <w:color w:val="000000"/>
          <w:sz w:val="20"/>
          <w:szCs w:val="20"/>
        </w:rPr>
        <w:t>The Bank is a member of the Federal Home Loan Bank of Des Moines (FHLB) and has access to credi</w:t>
      </w:r>
      <w:r>
        <w:rPr>
          <w:rFonts w:eastAsia="Times New Roman"/>
          <w:color w:val="000000"/>
          <w:sz w:val="20"/>
          <w:szCs w:val="20"/>
        </w:rPr>
        <w:t>t products of the FHLB. As of June 30, 2022, the Bank had $68.0 million in outstanding borrowings with the FHLB. In addition, the Company has $49.5 million in outstanding subordinated notes issued to wholly-owned grantor trusts, funded by preferred securit</w:t>
      </w:r>
      <w:r>
        <w:rPr>
          <w:rFonts w:eastAsia="Times New Roman"/>
          <w:color w:val="000000"/>
          <w:sz w:val="20"/>
          <w:szCs w:val="20"/>
        </w:rPr>
        <w:t>ies issued by the trusts.</w:t>
      </w:r>
    </w:p>
    <w:p w:rsidR="00000000" w:rsidRDefault="00100014">
      <w:pPr>
        <w:jc w:val="both"/>
        <w:divId w:val="1134759323"/>
        <w:rPr>
          <w:rFonts w:eastAsia="Times New Roman"/>
        </w:rPr>
      </w:pPr>
      <w:r>
        <w:rPr>
          <w:rFonts w:eastAsia="Times New Roman"/>
          <w:color w:val="000000"/>
          <w:sz w:val="20"/>
          <w:szCs w:val="20"/>
        </w:rPr>
        <w:t>Borrowings outstanding at June 30, 2022 and December 31, 2021 were as follows:</w:t>
      </w:r>
    </w:p>
    <w:tbl>
      <w:tblPr>
        <w:tblW w:w="4946" w:type="pct"/>
        <w:tblCellMar>
          <w:top w:w="15" w:type="dxa"/>
          <w:left w:w="15" w:type="dxa"/>
          <w:bottom w:w="15" w:type="dxa"/>
          <w:right w:w="15" w:type="dxa"/>
        </w:tblCellMar>
        <w:tblLook w:val="04A0" w:firstRow="1" w:lastRow="0" w:firstColumn="1" w:lastColumn="0" w:noHBand="0" w:noVBand="1"/>
      </w:tblPr>
      <w:tblGrid>
        <w:gridCol w:w="40"/>
        <w:gridCol w:w="5919"/>
        <w:gridCol w:w="37"/>
        <w:gridCol w:w="120"/>
        <w:gridCol w:w="772"/>
        <w:gridCol w:w="36"/>
        <w:gridCol w:w="36"/>
        <w:gridCol w:w="36"/>
        <w:gridCol w:w="36"/>
        <w:gridCol w:w="120"/>
        <w:gridCol w:w="1028"/>
        <w:gridCol w:w="36"/>
      </w:tblGrid>
      <w:tr w:rsidR="00000000">
        <w:trPr>
          <w:divId w:val="1199975993"/>
        </w:trPr>
        <w:tc>
          <w:tcPr>
            <w:tcW w:w="50" w:type="pct"/>
            <w:vAlign w:val="center"/>
            <w:hideMark/>
          </w:tcPr>
          <w:p w:rsidR="00000000" w:rsidRDefault="00100014">
            <w:pPr>
              <w:jc w:val="both"/>
              <w:rPr>
                <w:rFonts w:eastAsia="Times New Roman"/>
              </w:rPr>
            </w:pPr>
          </w:p>
        </w:tc>
        <w:tc>
          <w:tcPr>
            <w:tcW w:w="36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72"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199975993"/>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1199975993"/>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Borrowings:</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199975993"/>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funds purchased and securities sold under agreements to repurchase</w:t>
            </w: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6,935 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23,829 </w:t>
            </w:r>
          </w:p>
        </w:tc>
        <w:tc>
          <w:tcPr>
            <w:tcW w:w="0" w:type="auto"/>
            <w:shd w:val="clear" w:color="auto" w:fill="FFFF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1199975993"/>
        </w:trPr>
        <w:tc>
          <w:tcPr>
            <w:tcW w:w="0" w:type="auto"/>
            <w:gridSpan w:val="3"/>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Federal Home Loan Bank advances</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68,000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77,418</w:t>
            </w:r>
          </w:p>
        </w:tc>
      </w:tr>
      <w:tr w:rsidR="00000000">
        <w:trPr>
          <w:divId w:val="1199975993"/>
        </w:trPr>
        <w:tc>
          <w:tcPr>
            <w:tcW w:w="0" w:type="auto"/>
            <w:gridSpan w:val="3"/>
            <w:shd w:val="clear" w:color="auto" w:fill="FFFF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Subordinated notes</w:t>
            </w: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49,486</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49,486</w:t>
            </w:r>
          </w:p>
        </w:tc>
      </w:tr>
      <w:tr w:rsidR="00000000">
        <w:trPr>
          <w:divId w:val="1199975993"/>
        </w:trPr>
        <w:tc>
          <w:tcPr>
            <w:tcW w:w="0" w:type="auto"/>
            <w:gridSpan w:val="3"/>
            <w:vAlign w:val="center"/>
            <w:hideMark/>
          </w:tcPr>
          <w:p w:rsidR="00000000" w:rsidRDefault="00100014">
            <w:pPr>
              <w:spacing w:after="100"/>
              <w:jc w:val="right"/>
              <w:rPr>
                <w:rFonts w:eastAsia="Times New Roman"/>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c>
          <w:tcPr>
            <w:tcW w:w="0" w:type="auto"/>
            <w:gridSpan w:val="3"/>
            <w:vAlign w:val="center"/>
            <w:hideMark/>
          </w:tcPr>
          <w:p w:rsidR="00000000" w:rsidRDefault="00100014">
            <w:pPr>
              <w:spacing w:after="100"/>
              <w:rPr>
                <w:rFonts w:eastAsia="Times New Roman"/>
                <w:sz w:val="20"/>
                <w:szCs w:val="20"/>
              </w:rPr>
            </w:pPr>
          </w:p>
        </w:tc>
      </w:tr>
      <w:tr w:rsidR="00000000">
        <w:trPr>
          <w:divId w:val="1199975993"/>
        </w:trPr>
        <w:tc>
          <w:tcPr>
            <w:tcW w:w="0" w:type="auto"/>
            <w:gridSpan w:val="3"/>
            <w:tcBorders>
              <w:top w:val="single" w:sz="8" w:space="0" w:color="000000"/>
              <w:bottom w:val="double" w:sz="6" w:space="0" w:color="000000"/>
            </w:tcBorders>
            <w:shd w:val="clear" w:color="auto" w:fill="CCEEFF"/>
            <w:tcMar>
              <w:top w:w="30" w:type="dxa"/>
              <w:left w:w="26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124,421 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150,733 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bl>
    <w:p w:rsidR="00000000" w:rsidRDefault="00100014">
      <w:pPr>
        <w:jc w:val="both"/>
        <w:divId w:val="1183864513"/>
        <w:rPr>
          <w:rFonts w:eastAsia="Times New Roman"/>
        </w:rPr>
      </w:pPr>
      <w:r>
        <w:rPr>
          <w:rFonts w:eastAsia="Times New Roman"/>
          <w:color w:val="000000"/>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rFonts w:eastAsia="Times New Roman"/>
          <w:color w:val="000000"/>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rFonts w:eastAsia="Times New Roman"/>
          <w:color w:val="000000"/>
          <w:sz w:val="20"/>
          <w:szCs w:val="20"/>
        </w:rPr>
        <w:t xml:space="preserve">eserve Bank also establishes a collateral value of assets pledged to support borrowings from the discount window. </w:t>
      </w:r>
    </w:p>
    <w:p w:rsidR="00000000" w:rsidRDefault="00100014">
      <w:pPr>
        <w:jc w:val="center"/>
        <w:divId w:val="1100105516"/>
        <w:rPr>
          <w:rFonts w:eastAsia="Times New Roman"/>
        </w:rPr>
      </w:pPr>
      <w:r>
        <w:rPr>
          <w:rFonts w:eastAsia="Times New Roman"/>
          <w:color w:val="000000"/>
          <w:sz w:val="20"/>
          <w:szCs w:val="20"/>
        </w:rPr>
        <w:t>54</w:t>
      </w:r>
    </w:p>
    <w:p w:rsidR="00000000" w:rsidRDefault="00100014">
      <w:pPr>
        <w:rPr>
          <w:rFonts w:eastAsia="Times New Roman"/>
        </w:rPr>
      </w:pPr>
      <w:r>
        <w:rPr>
          <w:rFonts w:eastAsia="Times New Roman"/>
        </w:rPr>
        <w:pict>
          <v:rect id="_x0000_i1078" style="width:0;height:1.5pt" o:hralign="center" o:hrstd="t" o:hr="t" fillcolor="#a0a0a0" stroked="f"/>
        </w:pict>
      </w:r>
    </w:p>
    <w:p w:rsidR="00000000" w:rsidRDefault="00100014">
      <w:pPr>
        <w:divId w:val="1646816380"/>
        <w:rPr>
          <w:rFonts w:eastAsia="Times New Roman"/>
        </w:rPr>
      </w:pPr>
    </w:p>
    <w:p w:rsidR="00000000" w:rsidRDefault="00100014">
      <w:pPr>
        <w:jc w:val="both"/>
        <w:divId w:val="796292506"/>
        <w:rPr>
          <w:rFonts w:eastAsia="Times New Roman"/>
        </w:rPr>
      </w:pPr>
      <w:r>
        <w:rPr>
          <w:rFonts w:eastAsia="Times New Roman"/>
          <w:color w:val="000000"/>
          <w:sz w:val="20"/>
          <w:szCs w:val="20"/>
        </w:rPr>
        <w:t xml:space="preserve">The following table reflects collateral value of assets pledged, borrowings, and letters of credit outstanding, in addition to the estimated future funding capacity available to the Company as follows: </w:t>
      </w:r>
    </w:p>
    <w:tbl>
      <w:tblPr>
        <w:tblW w:w="5000" w:type="pct"/>
        <w:tblCellMar>
          <w:top w:w="15" w:type="dxa"/>
          <w:left w:w="15" w:type="dxa"/>
          <w:bottom w:w="15" w:type="dxa"/>
          <w:right w:w="15" w:type="dxa"/>
        </w:tblCellMar>
        <w:tblLook w:val="04A0" w:firstRow="1" w:lastRow="0" w:firstColumn="1" w:lastColumn="0" w:noHBand="0" w:noVBand="1"/>
      </w:tblPr>
      <w:tblGrid>
        <w:gridCol w:w="47"/>
        <w:gridCol w:w="1367"/>
        <w:gridCol w:w="38"/>
        <w:gridCol w:w="111"/>
        <w:gridCol w:w="605"/>
        <w:gridCol w:w="36"/>
        <w:gridCol w:w="36"/>
        <w:gridCol w:w="36"/>
        <w:gridCol w:w="36"/>
        <w:gridCol w:w="111"/>
        <w:gridCol w:w="648"/>
        <w:gridCol w:w="36"/>
        <w:gridCol w:w="36"/>
        <w:gridCol w:w="36"/>
        <w:gridCol w:w="36"/>
        <w:gridCol w:w="111"/>
        <w:gridCol w:w="665"/>
        <w:gridCol w:w="36"/>
        <w:gridCol w:w="36"/>
        <w:gridCol w:w="36"/>
        <w:gridCol w:w="36"/>
        <w:gridCol w:w="111"/>
        <w:gridCol w:w="605"/>
        <w:gridCol w:w="36"/>
        <w:gridCol w:w="36"/>
        <w:gridCol w:w="36"/>
        <w:gridCol w:w="36"/>
        <w:gridCol w:w="111"/>
        <w:gridCol w:w="605"/>
        <w:gridCol w:w="36"/>
        <w:gridCol w:w="36"/>
        <w:gridCol w:w="36"/>
        <w:gridCol w:w="36"/>
        <w:gridCol w:w="111"/>
        <w:gridCol w:w="524"/>
        <w:gridCol w:w="36"/>
        <w:gridCol w:w="36"/>
        <w:gridCol w:w="36"/>
        <w:gridCol w:w="36"/>
        <w:gridCol w:w="111"/>
        <w:gridCol w:w="665"/>
        <w:gridCol w:w="36"/>
        <w:gridCol w:w="36"/>
        <w:gridCol w:w="36"/>
        <w:gridCol w:w="36"/>
        <w:gridCol w:w="111"/>
        <w:gridCol w:w="605"/>
        <w:gridCol w:w="36"/>
      </w:tblGrid>
      <w:tr w:rsidR="00000000">
        <w:trPr>
          <w:divId w:val="663096461"/>
        </w:trPr>
        <w:tc>
          <w:tcPr>
            <w:tcW w:w="50" w:type="pct"/>
            <w:vAlign w:val="center"/>
            <w:hideMark/>
          </w:tcPr>
          <w:p w:rsidR="00000000" w:rsidRDefault="00100014">
            <w:pPr>
              <w:jc w:val="both"/>
              <w:rPr>
                <w:rFonts w:eastAsia="Times New Roman"/>
              </w:rPr>
            </w:pPr>
          </w:p>
        </w:tc>
        <w:tc>
          <w:tcPr>
            <w:tcW w:w="8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9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66309646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 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 2021</w:t>
            </w:r>
          </w:p>
        </w:tc>
      </w:tr>
      <w:tr w:rsidR="00000000">
        <w:trPr>
          <w:divId w:val="66309646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FHLB</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Federal Reserve Bank</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Federal Funds Purchased Lines</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Total</w:t>
            </w:r>
          </w:p>
        </w:tc>
      </w:tr>
      <w:tr w:rsidR="00000000">
        <w:trPr>
          <w:divId w:val="66309646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Advance equivalent</w:t>
            </w: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293,908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8,258</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362,166</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273,479</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10,384</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60,000</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6"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6"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343,863</w:t>
            </w:r>
          </w:p>
        </w:tc>
      </w:tr>
      <w:tr w:rsidR="00000000">
        <w:trPr>
          <w:divId w:val="66309646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Letters of credit</w:t>
            </w: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(3,000)</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(3,000)</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(31,000)</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309646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8"/>
                <w:szCs w:val="18"/>
              </w:rPr>
              <w:t>Advances outstanding</w:t>
            </w: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(68,000)</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(68,000)</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8"/>
                <w:szCs w:val="18"/>
              </w:rPr>
              <w:t>(77,418)</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r>
      <w:tr w:rsidR="00000000">
        <w:trPr>
          <w:divId w:val="663096461"/>
        </w:trPr>
        <w:tc>
          <w:tcPr>
            <w:tcW w:w="0" w:type="auto"/>
            <w:gridSpan w:val="3"/>
            <w:tcBorders>
              <w:top w:val="single" w:sz="8" w:space="0" w:color="000000"/>
              <w:bottom w:val="double" w:sz="6" w:space="0" w:color="000000"/>
            </w:tcBorders>
            <w:tcMar>
              <w:top w:w="30" w:type="dxa"/>
              <w:left w:w="87"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8"/>
                <w:szCs w:val="18"/>
              </w:rPr>
              <w:t>Total available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222,908</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8,258</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291,166</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165,061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10,384</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60,000</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18"/>
                <w:szCs w:val="18"/>
              </w:rPr>
              <w:t>235,445</w:t>
            </w:r>
          </w:p>
        </w:tc>
      </w:tr>
    </w:tbl>
    <w:p w:rsidR="00000000" w:rsidRDefault="00100014">
      <w:pPr>
        <w:jc w:val="both"/>
        <w:divId w:val="1990209013"/>
        <w:rPr>
          <w:rFonts w:eastAsia="Times New Roman"/>
        </w:rPr>
      </w:pPr>
      <w:r>
        <w:rPr>
          <w:rFonts w:eastAsia="Times New Roman"/>
          <w:color w:val="000000"/>
          <w:sz w:val="20"/>
          <w:szCs w:val="20"/>
        </w:rPr>
        <w:t>At June 30, 2022, loans of $585.5 million were pledged to the Federal Home Loan Bank as collateral for borrowings and letters of credit. At J</w:t>
      </w:r>
      <w:r>
        <w:rPr>
          <w:rFonts w:eastAsia="Times New Roman"/>
          <w:color w:val="000000"/>
          <w:sz w:val="20"/>
          <w:szCs w:val="20"/>
        </w:rPr>
        <w:t>une 30, 2022, investments with a market value of $8.8 million were pledged to secure federal funds purchase lines and borrowing capacity at the Federal Reserve Bank.</w:t>
      </w:r>
    </w:p>
    <w:p w:rsidR="00000000" w:rsidRDefault="00100014">
      <w:pPr>
        <w:jc w:val="both"/>
        <w:divId w:val="765349954"/>
        <w:rPr>
          <w:rFonts w:eastAsia="Times New Roman"/>
        </w:rPr>
      </w:pPr>
      <w:r>
        <w:rPr>
          <w:rFonts w:eastAsia="Times New Roman"/>
          <w:color w:val="000000"/>
          <w:sz w:val="20"/>
          <w:szCs w:val="20"/>
        </w:rPr>
        <w:t>Based upon the above, management believes the Company has more than adequate liquidity, bo</w:t>
      </w:r>
      <w:r>
        <w:rPr>
          <w:rFonts w:eastAsia="Times New Roman"/>
          <w:color w:val="000000"/>
          <w:sz w:val="20"/>
          <w:szCs w:val="20"/>
        </w:rPr>
        <w:t>th on balance sheet and through the additional funding capacity with the FHLB, the Federal Reserve Bank and Federal funds purchased lines to meet future anticipated needs in both the short and long-term.</w:t>
      </w:r>
    </w:p>
    <w:p w:rsidR="00000000" w:rsidRDefault="00100014">
      <w:pPr>
        <w:divId w:val="415588403"/>
        <w:rPr>
          <w:rFonts w:eastAsia="Times New Roman"/>
        </w:rPr>
      </w:pPr>
      <w:r>
        <w:rPr>
          <w:rFonts w:eastAsia="Times New Roman"/>
          <w:b/>
          <w:bCs/>
          <w:color w:val="000000"/>
          <w:sz w:val="20"/>
          <w:szCs w:val="20"/>
        </w:rPr>
        <w:t>Sources and Uses of Funds</w:t>
      </w:r>
    </w:p>
    <w:p w:rsidR="00000000" w:rsidRDefault="00100014">
      <w:pPr>
        <w:jc w:val="both"/>
        <w:divId w:val="780345114"/>
        <w:rPr>
          <w:rFonts w:eastAsia="Times New Roman"/>
        </w:rPr>
      </w:pPr>
      <w:r>
        <w:rPr>
          <w:rFonts w:eastAsia="Times New Roman"/>
          <w:color w:val="000000"/>
          <w:sz w:val="20"/>
          <w:szCs w:val="20"/>
        </w:rPr>
        <w:t xml:space="preserve">Cash and cash equivalents </w:t>
      </w:r>
      <w:r>
        <w:rPr>
          <w:rFonts w:eastAsia="Times New Roman"/>
          <w:color w:val="000000"/>
          <w:sz w:val="20"/>
          <w:szCs w:val="20"/>
        </w:rPr>
        <w:t>were $28.2 million at June 30, 2022 compared to $159.9 million at December 31, 2021. The $131.7 million decrease resulted from changes in the various cash flows produced by operating, investing, and financing activities of the Company, as shown in the acco</w:t>
      </w:r>
      <w:r>
        <w:rPr>
          <w:rFonts w:eastAsia="Times New Roman"/>
          <w:color w:val="000000"/>
          <w:sz w:val="20"/>
          <w:szCs w:val="20"/>
        </w:rPr>
        <w:t>mpanying consolidated statement of cash flows for the six months ended June 30, 2022. Cash flow provided from operating activities consists mainly of net income adjusted for certain non-cash items. Operating activities provided cash flow of $6.5 million fo</w:t>
      </w:r>
      <w:r>
        <w:rPr>
          <w:rFonts w:eastAsia="Times New Roman"/>
          <w:color w:val="000000"/>
          <w:sz w:val="20"/>
          <w:szCs w:val="20"/>
        </w:rPr>
        <w:t>r the six months ended June 30, 2022.</w:t>
      </w:r>
    </w:p>
    <w:p w:rsidR="00000000" w:rsidRDefault="00100014">
      <w:pPr>
        <w:jc w:val="both"/>
        <w:divId w:val="895822001"/>
        <w:rPr>
          <w:rFonts w:eastAsia="Times New Roman"/>
        </w:rPr>
      </w:pPr>
      <w:r>
        <w:rPr>
          <w:rFonts w:eastAsia="Times New Roman"/>
          <w:color w:val="000000"/>
          <w:sz w:val="20"/>
          <w:szCs w:val="20"/>
        </w:rPr>
        <w:t>Investing activities, consisting mainly of purchases, sales and maturities of available-for-sale securities, and changes in the level of the loan portfolio, used total cash of $121.0 million during the six months ended June 30, 2022. The cash outflow prima</w:t>
      </w:r>
      <w:r>
        <w:rPr>
          <w:rFonts w:eastAsia="Times New Roman"/>
          <w:color w:val="000000"/>
          <w:sz w:val="20"/>
          <w:szCs w:val="20"/>
        </w:rPr>
        <w:t xml:space="preserve">rily consisted of a net increase in loans held for investment of $125.8 million and $17.2 million in purchases of investment securities partially offset by $20.8 million from maturities and calls and sales of investment securities. </w:t>
      </w:r>
    </w:p>
    <w:p w:rsidR="00000000" w:rsidRDefault="00100014">
      <w:pPr>
        <w:jc w:val="both"/>
        <w:divId w:val="577053869"/>
        <w:rPr>
          <w:rFonts w:eastAsia="Times New Roman"/>
        </w:rPr>
      </w:pPr>
      <w:r>
        <w:rPr>
          <w:rFonts w:eastAsia="Times New Roman"/>
          <w:color w:val="000000"/>
          <w:sz w:val="20"/>
          <w:szCs w:val="20"/>
        </w:rPr>
        <w:t>Financing activities us</w:t>
      </w:r>
      <w:r>
        <w:rPr>
          <w:rFonts w:eastAsia="Times New Roman"/>
          <w:color w:val="000000"/>
          <w:sz w:val="20"/>
          <w:szCs w:val="20"/>
        </w:rPr>
        <w:t>ed total cash of $17.2 million during the six months ended June 30, 2022, resulting primarily from a $22.3 million decrease in interest-bearing transaction accounts, a $16.9 million decrease in securities sold under agreements to repurchase, and a $9.4 mil</w:t>
      </w:r>
      <w:r>
        <w:rPr>
          <w:rFonts w:eastAsia="Times New Roman"/>
          <w:color w:val="000000"/>
          <w:sz w:val="20"/>
          <w:szCs w:val="20"/>
        </w:rPr>
        <w:t>lion net repayment of Federal Home Loan Bank advances. These decreases were partially offset by an increase in demand deposits. The decrease in interest-bearing accounts was due primarily to reductions in deposits for public funds customers, resulting from</w:t>
      </w:r>
      <w:r>
        <w:rPr>
          <w:rFonts w:eastAsia="Times New Roman"/>
          <w:color w:val="000000"/>
          <w:sz w:val="20"/>
          <w:szCs w:val="20"/>
        </w:rPr>
        <w:t xml:space="preserve"> the distribution of prior year tax collections.</w:t>
      </w:r>
    </w:p>
    <w:p w:rsidR="00000000" w:rsidRDefault="00100014">
      <w:pPr>
        <w:jc w:val="both"/>
        <w:divId w:val="486477241"/>
        <w:rPr>
          <w:rFonts w:eastAsia="Times New Roman"/>
        </w:rPr>
      </w:pPr>
      <w:r>
        <w:rPr>
          <w:rFonts w:eastAsia="Times New Roman"/>
          <w:color w:val="000000"/>
          <w:sz w:val="20"/>
          <w:szCs w:val="20"/>
        </w:rPr>
        <w:t>In the normal course of business, the Company enters into certain forms of off-balance sheet transactions, including unfunded loan commitments and letters of credit. These transactions are managed through th</w:t>
      </w:r>
      <w:r>
        <w:rPr>
          <w:rFonts w:eastAsia="Times New Roman"/>
          <w:color w:val="000000"/>
          <w:sz w:val="20"/>
          <w:szCs w:val="20"/>
        </w:rPr>
        <w:t>e Company’s various risk management processes. Management considers both on-balance sheet and off-balance sheet transactions in its evaluation of the Company’s liquidity. The Company had $408.7 million in unused loan commitments and standby letters of cred</w:t>
      </w:r>
      <w:r>
        <w:rPr>
          <w:rFonts w:eastAsia="Times New Roman"/>
          <w:color w:val="000000"/>
          <w:sz w:val="20"/>
          <w:szCs w:val="20"/>
        </w:rPr>
        <w:t>it as of June 30, 2022. Although the Company’s current liquidity resources are adequate to fund this commitment level, the nature of these commitments is such that the likelihood of such a funding demand is very low.</w:t>
      </w:r>
    </w:p>
    <w:p w:rsidR="00000000" w:rsidRDefault="00100014">
      <w:pPr>
        <w:jc w:val="both"/>
        <w:divId w:val="2136096179"/>
        <w:rPr>
          <w:rFonts w:eastAsia="Times New Roman"/>
        </w:rPr>
      </w:pPr>
      <w:r>
        <w:rPr>
          <w:rFonts w:eastAsia="Times New Roman"/>
          <w:color w:val="000000"/>
          <w:sz w:val="20"/>
          <w:szCs w:val="20"/>
        </w:rPr>
        <w:t>The Company is a legal entity, separate</w:t>
      </w:r>
      <w:r>
        <w:rPr>
          <w:rFonts w:eastAsia="Times New Roman"/>
          <w:color w:val="000000"/>
          <w:sz w:val="20"/>
          <w:szCs w:val="20"/>
        </w:rPr>
        <w:t xml:space="preserve"> and distinct from the Bank, which must provide its own liquidity to meet its operating needs. The Company’s ongoing liquidity needs primarily include funding its operating expenses, paying cash dividends to its shareholders and, to a lesser extent, repurc</w:t>
      </w:r>
      <w:r>
        <w:rPr>
          <w:rFonts w:eastAsia="Times New Roman"/>
          <w:color w:val="000000"/>
          <w:sz w:val="20"/>
          <w:szCs w:val="20"/>
        </w:rPr>
        <w:t>hasing its shares of common stock. The Company paid cash dividends to its shareholders totaling approximately $2.0 million and $1.7 million for the six months ended June 30, 2022 and 2021, respectively. A large portion of the Company’s liquidity is obtaine</w:t>
      </w:r>
      <w:r>
        <w:rPr>
          <w:rFonts w:eastAsia="Times New Roman"/>
          <w:color w:val="000000"/>
          <w:sz w:val="20"/>
          <w:szCs w:val="20"/>
        </w:rPr>
        <w:t>d from the Bank in the form of dividends. The Bank declared and paid $7.5 million and $4.5 million in dividends to the Company during the six months ended June 30, 2022 and 2021, respectively. At June 30, 2022 and December 31, 2021, the Company had cash an</w:t>
      </w:r>
      <w:r>
        <w:rPr>
          <w:rFonts w:eastAsia="Times New Roman"/>
          <w:color w:val="000000"/>
          <w:sz w:val="20"/>
          <w:szCs w:val="20"/>
        </w:rPr>
        <w:t>d cash equivalents totaling $3.3 million and $1.8 million, respectively. Subject to declaration by the Company's Board of Directors, the Company expects to continue paying quarterly cash dividends as a part of its current capital allocation strategy. Futur</w:t>
      </w:r>
      <w:r>
        <w:rPr>
          <w:rFonts w:eastAsia="Times New Roman"/>
          <w:color w:val="000000"/>
          <w:sz w:val="20"/>
          <w:szCs w:val="20"/>
        </w:rPr>
        <w:t>e dividends will be subject to the determination, declaration and discretion of the Company's Board of Directors and compliance with applicable regulatory capital requirements.</w:t>
      </w:r>
    </w:p>
    <w:p w:rsidR="00000000" w:rsidRDefault="00100014">
      <w:pPr>
        <w:jc w:val="center"/>
        <w:divId w:val="413551635"/>
        <w:rPr>
          <w:rFonts w:eastAsia="Times New Roman"/>
        </w:rPr>
      </w:pPr>
      <w:r>
        <w:rPr>
          <w:rFonts w:eastAsia="Times New Roman"/>
          <w:color w:val="000000"/>
          <w:sz w:val="20"/>
          <w:szCs w:val="20"/>
        </w:rPr>
        <w:t>55</w:t>
      </w:r>
    </w:p>
    <w:p w:rsidR="00000000" w:rsidRDefault="00100014">
      <w:pPr>
        <w:rPr>
          <w:rFonts w:eastAsia="Times New Roman"/>
        </w:rPr>
      </w:pPr>
      <w:r>
        <w:rPr>
          <w:rFonts w:eastAsia="Times New Roman"/>
        </w:rPr>
        <w:pict>
          <v:rect id="_x0000_i1079" style="width:0;height:1.5pt" o:hralign="center" o:hrstd="t" o:hr="t" fillcolor="#a0a0a0" stroked="f"/>
        </w:pict>
      </w:r>
    </w:p>
    <w:p w:rsidR="00000000" w:rsidRDefault="00100014">
      <w:pPr>
        <w:divId w:val="269555231"/>
        <w:rPr>
          <w:rFonts w:eastAsia="Times New Roman"/>
        </w:rPr>
      </w:pPr>
    </w:p>
    <w:p w:rsidR="00000000" w:rsidRDefault="00100014">
      <w:pPr>
        <w:jc w:val="both"/>
        <w:divId w:val="1782021040"/>
        <w:rPr>
          <w:rFonts w:eastAsia="Times New Roman"/>
        </w:rPr>
      </w:pPr>
      <w:r>
        <w:rPr>
          <w:rFonts w:eastAsia="Times New Roman"/>
          <w:color w:val="000000"/>
          <w:sz w:val="20"/>
          <w:szCs w:val="20"/>
        </w:rPr>
        <w:t>The Company's 2019 Repurchase Plan was</w:t>
      </w:r>
      <w:r>
        <w:rPr>
          <w:rFonts w:eastAsia="Times New Roman"/>
          <w:color w:val="000000"/>
          <w:sz w:val="20"/>
          <w:szCs w:val="20"/>
        </w:rPr>
        <w:t xml:space="preserve"> amended during the second quarter 2021 to authorize the purchase of up to an additional $5.0 million in market value of the Company's common stock. Management was given discretion to determine the number and pricing of the shares to be purchased, as well </w:t>
      </w:r>
      <w:r>
        <w:rPr>
          <w:rFonts w:eastAsia="Times New Roman"/>
          <w:color w:val="000000"/>
          <w:sz w:val="20"/>
          <w:szCs w:val="20"/>
        </w:rPr>
        <w:t xml:space="preserve">as the timing of any such purchases. The Company repurchased 23,536 and 85,188 common shares under the plan during the first and second quarter of 2022, respectively, at an average cost of $26.60 per share totaling $2.9 million. </w:t>
      </w:r>
    </w:p>
    <w:p w:rsidR="00000000" w:rsidRDefault="00100014">
      <w:pPr>
        <w:jc w:val="both"/>
        <w:divId w:val="1300765088"/>
        <w:rPr>
          <w:rFonts w:eastAsia="Times New Roman"/>
        </w:rPr>
      </w:pPr>
      <w:r>
        <w:rPr>
          <w:rFonts w:eastAsia="Times New Roman"/>
          <w:color w:val="000000"/>
          <w:sz w:val="20"/>
          <w:szCs w:val="20"/>
        </w:rPr>
        <w:t>The repurchases under thes</w:t>
      </w:r>
      <w:r>
        <w:rPr>
          <w:rFonts w:eastAsia="Times New Roman"/>
          <w:color w:val="000000"/>
          <w:sz w:val="20"/>
          <w:szCs w:val="20"/>
        </w:rPr>
        <w:t>e authorizations may be effectuated in the open market, by block purchase, in privately negotiated transactions, or through other transactions managed by broker-dealers, or any combination thereof. No time limit was set for the completion of these authoriz</w:t>
      </w:r>
      <w:r>
        <w:rPr>
          <w:rFonts w:eastAsia="Times New Roman"/>
          <w:color w:val="000000"/>
          <w:sz w:val="20"/>
          <w:szCs w:val="20"/>
        </w:rPr>
        <w:t>ed share repurchases. As of June 30, 2022, $2.1 million remained available for the repurchase of shares pursuant to the share repurchase authorizations. The Company may continue to repurchase shares under its share repurchase authorizations, but the amount</w:t>
      </w:r>
      <w:r>
        <w:rPr>
          <w:rFonts w:eastAsia="Times New Roman"/>
          <w:color w:val="000000"/>
          <w:sz w:val="20"/>
          <w:szCs w:val="20"/>
        </w:rPr>
        <w:t xml:space="preserve"> and timing of such repurchases will be dependent on a number of factors, including the price of its common stock and other cash flow needs. There is no assurance that the Company will repurchase up to the full amount remaining under its share repurchase a</w:t>
      </w:r>
      <w:r>
        <w:rPr>
          <w:rFonts w:eastAsia="Times New Roman"/>
          <w:color w:val="000000"/>
          <w:sz w:val="20"/>
          <w:szCs w:val="20"/>
        </w:rPr>
        <w:t>uthorizations.</w:t>
      </w:r>
      <w:r>
        <w:rPr>
          <w:rFonts w:eastAsia="Times New Roman"/>
          <w:color w:val="000000"/>
        </w:rPr>
        <w:t xml:space="preserve"> </w:t>
      </w:r>
    </w:p>
    <w:p w:rsidR="00000000" w:rsidRDefault="00100014">
      <w:pPr>
        <w:divId w:val="726414232"/>
        <w:rPr>
          <w:rFonts w:eastAsia="Times New Roman"/>
        </w:rPr>
      </w:pPr>
      <w:r>
        <w:rPr>
          <w:rFonts w:eastAsia="Times New Roman"/>
          <w:b/>
          <w:bCs/>
          <w:color w:val="000000"/>
          <w:sz w:val="20"/>
          <w:szCs w:val="20"/>
        </w:rPr>
        <w:t>Capital Management</w:t>
      </w:r>
    </w:p>
    <w:p w:rsidR="00000000" w:rsidRDefault="00100014">
      <w:pPr>
        <w:jc w:val="both"/>
        <w:divId w:val="1695570845"/>
        <w:rPr>
          <w:rFonts w:eastAsia="Times New Roman"/>
        </w:rPr>
      </w:pPr>
      <w:r>
        <w:rPr>
          <w:rFonts w:eastAsia="Times New Roman"/>
          <w:color w:val="000000"/>
          <w:sz w:val="20"/>
          <w:szCs w:val="20"/>
        </w:rPr>
        <w:t>The Company and the Bank are subject to various regulatory capital requirements administered by federal and state banking agencies. Failure to meet minimum capital requirements can initiate certain mandatory, and possibly</w:t>
      </w:r>
      <w:r>
        <w:rPr>
          <w:rFonts w:eastAsia="Times New Roman"/>
          <w:color w:val="000000"/>
          <w:sz w:val="20"/>
          <w:szCs w:val="20"/>
        </w:rPr>
        <w:t xml:space="preserve"> additional discretionary, actions by regulators that, if undertaken, could have a direct material effect on the Company’s consolidated financial statements. Under capital adequacy guidelines, the Company and the Bank must meet specific capital guidelines </w:t>
      </w:r>
      <w:r>
        <w:rPr>
          <w:rFonts w:eastAsia="Times New Roman"/>
          <w:color w:val="000000"/>
          <w:sz w:val="20"/>
          <w:szCs w:val="20"/>
        </w:rPr>
        <w:t>that involve quantitative measures of assets, liabilities, and certain off-balance-sheet items as calculated under regulatory accounting practices. The capital amounts and classification of the Company and the Bank are subject to qualitative judgments by t</w:t>
      </w:r>
      <w:r>
        <w:rPr>
          <w:rFonts w:eastAsia="Times New Roman"/>
          <w:color w:val="000000"/>
          <w:sz w:val="20"/>
          <w:szCs w:val="20"/>
        </w:rPr>
        <w:t>he regulators about components, risk-weightings, and other factors.</w:t>
      </w:r>
    </w:p>
    <w:p w:rsidR="00000000" w:rsidRDefault="00100014">
      <w:pPr>
        <w:jc w:val="both"/>
        <w:divId w:val="827670117"/>
        <w:rPr>
          <w:rFonts w:eastAsia="Times New Roman"/>
        </w:rPr>
      </w:pPr>
      <w:r>
        <w:rPr>
          <w:rFonts w:eastAsia="Times New Roman"/>
          <w:color w:val="000000"/>
          <w:sz w:val="20"/>
          <w:szCs w:val="20"/>
        </w:rPr>
        <w:t>The Basel III regulatory capital framework (the "Basel III Capital Rules") adopted by U.S. federal regulatory authorities, among other things, (i) establishes the capital measure called "C</w:t>
      </w:r>
      <w:r>
        <w:rPr>
          <w:rFonts w:eastAsia="Times New Roman"/>
          <w:color w:val="000000"/>
          <w:sz w:val="20"/>
          <w:szCs w:val="20"/>
        </w:rPr>
        <w:t>ommon Equity Tier 1" ("CET1"), (ii) specifies that Tier 1 capital consist of CET1 and "Additional Tier 1 Capital" instruments meeting stated requirements, (iii) requires that most deductions/adjustments to regulatory capital measures be made to CET1 and no</w:t>
      </w:r>
      <w:r>
        <w:rPr>
          <w:rFonts w:eastAsia="Times New Roman"/>
          <w:color w:val="000000"/>
          <w:sz w:val="20"/>
          <w:szCs w:val="20"/>
        </w:rPr>
        <w:t xml:space="preserve">t to other components of capital and (iv) defines the scope of the deductions/adjustments to the capital measures. </w:t>
      </w:r>
    </w:p>
    <w:p w:rsidR="00000000" w:rsidRDefault="00100014">
      <w:pPr>
        <w:jc w:val="both"/>
        <w:divId w:val="1042830180"/>
        <w:rPr>
          <w:rFonts w:eastAsia="Times New Roman"/>
        </w:rPr>
      </w:pPr>
      <w:r>
        <w:rPr>
          <w:rFonts w:eastAsia="Times New Roman"/>
          <w:color w:val="000000"/>
          <w:sz w:val="20"/>
          <w:szCs w:val="20"/>
        </w:rPr>
        <w:t>Additionally, the Basel III Capital Rules require that the Company maintain a 2.5% capital conservation buffer with respect to each of CET1,</w:t>
      </w:r>
      <w:r>
        <w:rPr>
          <w:rFonts w:eastAsia="Times New Roman"/>
          <w:color w:val="000000"/>
          <w:sz w:val="20"/>
          <w:szCs w:val="20"/>
        </w:rPr>
        <w:t xml:space="preserve"> Tier 1 and total capital to risk-weighted assets, which provides for capital levels that exceed the minimum risk-based capital adequacy requirements. A financial institution with a conservation buffer of less than the required amount is subject to limitat</w:t>
      </w:r>
      <w:r>
        <w:rPr>
          <w:rFonts w:eastAsia="Times New Roman"/>
          <w:color w:val="000000"/>
          <w:sz w:val="20"/>
          <w:szCs w:val="20"/>
        </w:rPr>
        <w:t>ions on capital distributions, including dividend payments and stock repurchases, and certain discretionary bonus payments to executive officers.</w:t>
      </w:r>
    </w:p>
    <w:p w:rsidR="00000000" w:rsidRDefault="00100014">
      <w:pPr>
        <w:jc w:val="both"/>
        <w:divId w:val="1259023570"/>
        <w:rPr>
          <w:rFonts w:eastAsia="Times New Roman"/>
        </w:rPr>
      </w:pPr>
      <w:r>
        <w:rPr>
          <w:rFonts w:eastAsia="Times New Roman"/>
          <w:color w:val="000000"/>
          <w:sz w:val="20"/>
          <w:szCs w:val="20"/>
        </w:rPr>
        <w:t>Quantitative measures established by regulation to ensure capital adequacy require the Company and the Bank to</w:t>
      </w:r>
      <w:r>
        <w:rPr>
          <w:rFonts w:eastAsia="Times New Roman"/>
          <w:color w:val="000000"/>
          <w:sz w:val="20"/>
          <w:szCs w:val="20"/>
        </w:rPr>
        <w:t xml:space="preserve"> maintain minimum amounts and ratios of CET1, Tier 1 and total capital to risk-weighted assets, and of Tier 1 capital to average assets, each as defined in the regulations. Management believes, as of June 30, 2022, that the Company and the Bank meet all ca</w:t>
      </w:r>
      <w:r>
        <w:rPr>
          <w:rFonts w:eastAsia="Times New Roman"/>
          <w:color w:val="000000"/>
          <w:sz w:val="20"/>
          <w:szCs w:val="20"/>
        </w:rPr>
        <w:t>pital adequacy requirements to which they are subject.</w:t>
      </w:r>
    </w:p>
    <w:p w:rsidR="00000000" w:rsidRDefault="00100014">
      <w:pPr>
        <w:jc w:val="both"/>
        <w:divId w:val="2113014916"/>
        <w:rPr>
          <w:rFonts w:eastAsia="Times New Roman"/>
        </w:rPr>
      </w:pPr>
      <w:r>
        <w:rPr>
          <w:rFonts w:eastAsia="Times New Roman"/>
          <w:color w:val="000000"/>
          <w:sz w:val="20"/>
          <w:szCs w:val="20"/>
        </w:rPr>
        <w:t>Financial institutions are categorized as well capitalized or adequately capitalized, based on minimum total risk-based, Tier 1 risk-based, CET1 and Tier 1 leverage ratios. As shown in the table below,</w:t>
      </w:r>
      <w:r>
        <w:rPr>
          <w:rFonts w:eastAsia="Times New Roman"/>
          <w:color w:val="000000"/>
          <w:sz w:val="20"/>
          <w:szCs w:val="20"/>
        </w:rPr>
        <w:t xml:space="preserve"> the Company’s capital ratios exceeded the regulatory definition of adequately capitalized as of June 30, 2022 and December 31, 2021. Based upon the information in its most recently filed call report, the Bank met the capital ratios necessary to be well-ca</w:t>
      </w:r>
      <w:r>
        <w:rPr>
          <w:rFonts w:eastAsia="Times New Roman"/>
          <w:color w:val="000000"/>
          <w:sz w:val="20"/>
          <w:szCs w:val="20"/>
        </w:rPr>
        <w:t xml:space="preserve">pitalized. The regulatory authorities can apply changes in classification of assets and such changes may retroactively subject the Company to changes in capital ratios. Any such change could reduce one or more capital ratios below well-capitalized status. </w:t>
      </w:r>
      <w:r>
        <w:rPr>
          <w:rFonts w:eastAsia="Times New Roman"/>
          <w:color w:val="000000"/>
          <w:sz w:val="20"/>
          <w:szCs w:val="20"/>
        </w:rPr>
        <w:t>In addition, a change may result in imposition of additional assessments by the FDIC or could result in regulatory actions that could have a material effect on our condition and results of operations. In addition, bank holding companies generally are requi</w:t>
      </w:r>
      <w:r>
        <w:rPr>
          <w:rFonts w:eastAsia="Times New Roman"/>
          <w:color w:val="000000"/>
          <w:sz w:val="20"/>
          <w:szCs w:val="20"/>
        </w:rPr>
        <w:t>red to maintain a Tier 1 leverage ratio of at least 4%.</w:t>
      </w:r>
    </w:p>
    <w:p w:rsidR="00000000" w:rsidRDefault="00100014">
      <w:pPr>
        <w:jc w:val="both"/>
        <w:divId w:val="903104700"/>
        <w:rPr>
          <w:rFonts w:eastAsia="Times New Roman"/>
        </w:rPr>
      </w:pPr>
      <w:r>
        <w:rPr>
          <w:rFonts w:eastAsia="Times New Roman"/>
          <w:color w:val="000000"/>
          <w:sz w:val="20"/>
          <w:szCs w:val="20"/>
        </w:rPr>
        <w:t>Because the Bank had less than $15.0 billion in total consolidated assets as of December 31, 2009, the Company is allowed to continue to classify its trust preferred securities, all of which were issu</w:t>
      </w:r>
      <w:r>
        <w:rPr>
          <w:rFonts w:eastAsia="Times New Roman"/>
          <w:color w:val="000000"/>
          <w:sz w:val="20"/>
          <w:szCs w:val="20"/>
        </w:rPr>
        <w:t>ed prior to May 19, 2010, as Tier 1 capital.</w:t>
      </w:r>
    </w:p>
    <w:p w:rsidR="00000000" w:rsidRDefault="00100014">
      <w:pPr>
        <w:jc w:val="center"/>
        <w:divId w:val="1991056534"/>
        <w:rPr>
          <w:rFonts w:eastAsia="Times New Roman"/>
        </w:rPr>
      </w:pPr>
      <w:r>
        <w:rPr>
          <w:rFonts w:eastAsia="Times New Roman"/>
          <w:color w:val="000000"/>
          <w:sz w:val="20"/>
          <w:szCs w:val="20"/>
        </w:rPr>
        <w:t>56</w:t>
      </w:r>
    </w:p>
    <w:p w:rsidR="00000000" w:rsidRDefault="00100014">
      <w:pPr>
        <w:rPr>
          <w:rFonts w:eastAsia="Times New Roman"/>
        </w:rPr>
      </w:pPr>
      <w:r>
        <w:rPr>
          <w:rFonts w:eastAsia="Times New Roman"/>
        </w:rPr>
        <w:pict>
          <v:rect id="_x0000_i1080" style="width:0;height:1.5pt" o:hralign="center" o:hrstd="t" o:hr="t" fillcolor="#a0a0a0" stroked="f"/>
        </w:pict>
      </w:r>
    </w:p>
    <w:p w:rsidR="00000000" w:rsidRDefault="00100014">
      <w:pPr>
        <w:divId w:val="424568902"/>
        <w:rPr>
          <w:rFonts w:eastAsia="Times New Roman"/>
        </w:rPr>
      </w:pPr>
    </w:p>
    <w:p w:rsidR="00000000" w:rsidRDefault="00100014">
      <w:pPr>
        <w:jc w:val="both"/>
        <w:divId w:val="1368607877"/>
        <w:rPr>
          <w:rFonts w:eastAsia="Times New Roman"/>
        </w:rPr>
      </w:pPr>
      <w:r>
        <w:rPr>
          <w:rFonts w:eastAsia="Times New Roman"/>
          <w:color w:val="000000"/>
          <w:sz w:val="20"/>
          <w:szCs w:val="20"/>
        </w:rPr>
        <w:t>Under the Basel III requirements, at June 30, 2022 and December 31, 2021, the Company met all capital adequacy requirements and had regulatory capital ratios in excess of</w:t>
      </w:r>
      <w:r>
        <w:rPr>
          <w:rFonts w:eastAsia="Times New Roman"/>
          <w:color w:val="000000"/>
          <w:sz w:val="20"/>
          <w:szCs w:val="20"/>
        </w:rPr>
        <w:t xml:space="preserve"> the levels established for well-capitalized institutions, as shown in the following table as of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309"/>
        <w:gridCol w:w="36"/>
        <w:gridCol w:w="100"/>
        <w:gridCol w:w="609"/>
        <w:gridCol w:w="36"/>
        <w:gridCol w:w="36"/>
        <w:gridCol w:w="36"/>
        <w:gridCol w:w="36"/>
        <w:gridCol w:w="47"/>
        <w:gridCol w:w="544"/>
        <w:gridCol w:w="154"/>
        <w:gridCol w:w="36"/>
        <w:gridCol w:w="36"/>
        <w:gridCol w:w="36"/>
        <w:gridCol w:w="100"/>
        <w:gridCol w:w="563"/>
        <w:gridCol w:w="36"/>
        <w:gridCol w:w="36"/>
        <w:gridCol w:w="36"/>
        <w:gridCol w:w="36"/>
        <w:gridCol w:w="47"/>
        <w:gridCol w:w="544"/>
        <w:gridCol w:w="155"/>
        <w:gridCol w:w="36"/>
        <w:gridCol w:w="36"/>
        <w:gridCol w:w="36"/>
        <w:gridCol w:w="102"/>
        <w:gridCol w:w="563"/>
        <w:gridCol w:w="38"/>
        <w:gridCol w:w="37"/>
        <w:gridCol w:w="36"/>
        <w:gridCol w:w="36"/>
        <w:gridCol w:w="47"/>
        <w:gridCol w:w="544"/>
        <w:gridCol w:w="154"/>
      </w:tblGrid>
      <w:tr w:rsidR="00000000">
        <w:trPr>
          <w:divId w:val="1902667521"/>
        </w:trPr>
        <w:tc>
          <w:tcPr>
            <w:tcW w:w="50" w:type="pct"/>
            <w:vAlign w:val="center"/>
            <w:hideMark/>
          </w:tcPr>
          <w:p w:rsidR="00000000" w:rsidRDefault="00100014">
            <w:pPr>
              <w:jc w:val="both"/>
              <w:rPr>
                <w:rFonts w:eastAsia="Times New Roman"/>
              </w:rPr>
            </w:pPr>
          </w:p>
        </w:tc>
        <w:tc>
          <w:tcPr>
            <w:tcW w:w="20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9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Actual</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Minimum Capital Required - Basel III Fully Phased-In</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Required to be Considered Well- Capitalized</w:t>
            </w: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i/>
                <w:iCs/>
                <w:color w:val="000000"/>
                <w:sz w:val="16"/>
                <w:szCs w:val="16"/>
              </w:rPr>
              <w:t>(Dollars in thousands)</w:t>
            </w: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Ratio</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Amount</w:t>
            </w:r>
          </w:p>
        </w:tc>
        <w:tc>
          <w:tcPr>
            <w:tcW w:w="0" w:type="auto"/>
            <w:gridSpan w:val="3"/>
            <w:tcBorders>
              <w:top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Ratio</w:t>
            </w:r>
          </w:p>
        </w:tc>
      </w:tr>
      <w:tr w:rsidR="00000000">
        <w:trPr>
          <w:divId w:val="1902667521"/>
        </w:trPr>
        <w:tc>
          <w:tcPr>
            <w:tcW w:w="0" w:type="auto"/>
            <w:gridSpan w:val="3"/>
            <w:tcBorders>
              <w:top w:val="single" w:sz="6"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June 30, 2022</w:t>
            </w: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6"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215,286 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13.97 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161,837 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212,948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13.85 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161,494</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153,803</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193,126 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12.53 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131,011 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197,435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12.84 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130,733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123,043</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151,773 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9.85 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107,892 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197,435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12.84 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107,662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99,972</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Tier 1 leverage ratio (to adjusted average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193,126 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10.98 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70,352 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197,435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11.20 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70,532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88,165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Height w:val="300"/>
        </w:trPr>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December 31, 2021</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Total Capital (to risk-weighted assets):</w:t>
            </w: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210,726 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14.79 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149,640 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210,148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14.78 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149,339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142,228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Tier 1 Capital (to risk-weighted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13.59 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121,137 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193,085</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13.58 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120,894</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8.50 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113,782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8.00 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Common Equity Tier 1 Capital (to risk-weighted assets):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145,663 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10.22 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99,760 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7.00 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193,085</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13.58 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99,559</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92,448</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6.50 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r w:rsidR="00000000">
        <w:trPr>
          <w:divId w:val="19026675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b/>
                <w:bCs/>
                <w:color w:val="000000"/>
                <w:sz w:val="16"/>
                <w:szCs w:val="16"/>
              </w:rPr>
              <w:t>Tier 1 leverage ratio:</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sz w:val="20"/>
                <w:szCs w:val="20"/>
              </w:rPr>
            </w:pPr>
          </w:p>
        </w:tc>
      </w:tr>
      <w:tr w:rsidR="00000000">
        <w:trPr>
          <w:divId w:val="1902667521"/>
        </w:trPr>
        <w:tc>
          <w:tcPr>
            <w:tcW w:w="0" w:type="auto"/>
            <w:gridSpan w:val="3"/>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Company</w:t>
            </w: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193,663 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11.01 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70,342 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4.00 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16"/>
                <w:szCs w:val="16"/>
              </w:rPr>
              <w:t>$</w:t>
            </w:r>
          </w:p>
        </w:tc>
        <w:tc>
          <w:tcPr>
            <w:tcW w:w="0" w:type="auto"/>
            <w:tcMar>
              <w:top w:w="30" w:type="dxa"/>
              <w:left w:w="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 </w:t>
            </w:r>
          </w:p>
        </w:tc>
        <w:tc>
          <w:tcPr>
            <w:tcW w:w="0" w:type="auto"/>
            <w:tcMar>
              <w:top w:w="30" w:type="dxa"/>
              <w:left w:w="0" w:type="dxa"/>
              <w:bottom w:w="30" w:type="dxa"/>
              <w:right w:w="20" w:type="dxa"/>
            </w:tcMar>
            <w:vAlign w:val="bottom"/>
            <w:hideMark/>
          </w:tcPr>
          <w:p w:rsidR="00000000" w:rsidRDefault="001000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N.A%</w:t>
            </w:r>
          </w:p>
        </w:tc>
      </w:tr>
      <w:tr w:rsidR="00000000">
        <w:trPr>
          <w:divId w:val="1902667521"/>
        </w:trPr>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16"/>
                <w:szCs w:val="16"/>
              </w:rPr>
              <w:t>Bank</w:t>
            </w: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193,085</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11.04 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69,959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4.00 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bottom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87,449</w:t>
            </w:r>
          </w:p>
        </w:tc>
        <w:tc>
          <w:tcPr>
            <w:tcW w:w="0" w:type="auto"/>
            <w:gridSpan w:val="3"/>
            <w:tcBorders>
              <w:bottom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16"/>
                <w:szCs w:val="16"/>
              </w:rPr>
              <w:t>5.00 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16"/>
                <w:szCs w:val="16"/>
              </w:rPr>
              <w:t>%</w:t>
            </w:r>
          </w:p>
        </w:tc>
      </w:tr>
    </w:tbl>
    <w:p w:rsidR="00000000" w:rsidRDefault="00100014">
      <w:pPr>
        <w:jc w:val="center"/>
        <w:divId w:val="745109876"/>
        <w:rPr>
          <w:rFonts w:eastAsia="Times New Roman"/>
        </w:rPr>
      </w:pPr>
      <w:r>
        <w:rPr>
          <w:rFonts w:eastAsia="Times New Roman"/>
          <w:color w:val="000000"/>
          <w:sz w:val="20"/>
          <w:szCs w:val="20"/>
        </w:rPr>
        <w:t>57</w:t>
      </w:r>
    </w:p>
    <w:p w:rsidR="00000000" w:rsidRDefault="00100014">
      <w:pPr>
        <w:rPr>
          <w:rFonts w:eastAsia="Times New Roman"/>
        </w:rPr>
      </w:pPr>
      <w:r>
        <w:rPr>
          <w:rFonts w:eastAsia="Times New Roman"/>
        </w:rPr>
        <w:pict>
          <v:rect id="_x0000_i1081" style="width:0;height:1.5pt" o:hralign="center" o:hrstd="t" o:hr="t" fillcolor="#a0a0a0" stroked="f"/>
        </w:pict>
      </w:r>
    </w:p>
    <w:p w:rsidR="00000000" w:rsidRDefault="00100014">
      <w:pPr>
        <w:divId w:val="971715707"/>
        <w:rPr>
          <w:rFonts w:eastAsia="Times New Roman"/>
        </w:rPr>
      </w:pPr>
    </w:p>
    <w:p w:rsidR="00000000" w:rsidRDefault="00100014">
      <w:pPr>
        <w:divId w:val="1491871498"/>
        <w:rPr>
          <w:rFonts w:eastAsia="Times New Roman"/>
        </w:rPr>
      </w:pPr>
      <w:r>
        <w:rPr>
          <w:rFonts w:eastAsia="Times New Roman"/>
          <w:b/>
          <w:bCs/>
          <w:color w:val="000000"/>
          <w:sz w:val="20"/>
          <w:szCs w:val="20"/>
        </w:rPr>
        <w:t>Item 3. Quantitati</w:t>
      </w:r>
      <w:r>
        <w:rPr>
          <w:rFonts w:eastAsia="Times New Roman"/>
          <w:b/>
          <w:bCs/>
          <w:color w:val="000000"/>
          <w:sz w:val="20"/>
          <w:szCs w:val="20"/>
        </w:rPr>
        <w:t>ve and Qualitative Disclosures about Market Risk</w:t>
      </w:r>
    </w:p>
    <w:p w:rsidR="00000000" w:rsidRDefault="00100014">
      <w:pPr>
        <w:divId w:val="894437652"/>
        <w:rPr>
          <w:rFonts w:eastAsia="Times New Roman"/>
        </w:rPr>
      </w:pPr>
      <w:r>
        <w:rPr>
          <w:rFonts w:eastAsia="Times New Roman"/>
          <w:b/>
          <w:bCs/>
          <w:color w:val="000000"/>
          <w:sz w:val="20"/>
          <w:szCs w:val="20"/>
        </w:rPr>
        <w:t>Asset/Liability and Interest Rate Risk</w:t>
      </w:r>
    </w:p>
    <w:p w:rsidR="00000000" w:rsidRDefault="00100014">
      <w:pPr>
        <w:jc w:val="both"/>
        <w:divId w:val="1583832286"/>
        <w:rPr>
          <w:rFonts w:eastAsia="Times New Roman"/>
        </w:rPr>
      </w:pPr>
      <w:r>
        <w:rPr>
          <w:rFonts w:eastAsia="Times New Roman"/>
          <w:color w:val="000000"/>
          <w:sz w:val="20"/>
          <w:szCs w:val="20"/>
        </w:rPr>
        <w:t>Management and the Board of Directors are responsible for managing interest rate risk and employing risk management policies that monitor and limit this exposure. Inter</w:t>
      </w:r>
      <w:r>
        <w:rPr>
          <w:rFonts w:eastAsia="Times New Roman"/>
          <w:color w:val="000000"/>
          <w:sz w:val="20"/>
          <w:szCs w:val="20"/>
        </w:rPr>
        <w:t>est rate risk is measured using net interest income simulations and market value of portfolio equity analyses. These analyses use various assumptions, including the nature and timing of interest rate changes, yield curve shape, prepayments on loans and sec</w:t>
      </w:r>
      <w:r>
        <w:rPr>
          <w:rFonts w:eastAsia="Times New Roman"/>
          <w:color w:val="000000"/>
          <w:sz w:val="20"/>
          <w:szCs w:val="20"/>
        </w:rPr>
        <w:t>urities, deposit decay rates, pricing decisions on loans and deposits, and reinvestment/replacement of asset and liability cash flows.</w:t>
      </w:r>
    </w:p>
    <w:p w:rsidR="00000000" w:rsidRDefault="00100014">
      <w:pPr>
        <w:jc w:val="both"/>
        <w:divId w:val="1349260121"/>
        <w:rPr>
          <w:rFonts w:eastAsia="Times New Roman"/>
        </w:rPr>
      </w:pPr>
      <w:r>
        <w:rPr>
          <w:rFonts w:eastAsia="Times New Roman"/>
          <w:color w:val="000000"/>
          <w:sz w:val="20"/>
          <w:szCs w:val="20"/>
        </w:rPr>
        <w:t>The principal objective of the Company’</w:t>
      </w:r>
      <w:r>
        <w:rPr>
          <w:rFonts w:eastAsia="Times New Roman"/>
          <w:color w:val="000000"/>
          <w:sz w:val="20"/>
          <w:szCs w:val="20"/>
        </w:rPr>
        <w:t>s asset and liability management function is to evaluate the interest rate risk within the balance sheet and pursue a controlled assumption of interest rate risk while maximizing earnings and preserving adequate levels of liquidity and capital. The asset a</w:t>
      </w:r>
      <w:r>
        <w:rPr>
          <w:rFonts w:eastAsia="Times New Roman"/>
          <w:color w:val="000000"/>
          <w:sz w:val="20"/>
          <w:szCs w:val="20"/>
        </w:rPr>
        <w:t>nd liability management function is under the guidance of the ALCO with direction from the Board of Directors. The ALCO meets monthly to review, among other things, the sensitivity of the Company’s assets and liabilities to interest rate changes, local and</w:t>
      </w:r>
      <w:r>
        <w:rPr>
          <w:rFonts w:eastAsia="Times New Roman"/>
          <w:color w:val="000000"/>
          <w:sz w:val="20"/>
          <w:szCs w:val="20"/>
        </w:rPr>
        <w:t xml:space="preserve"> national market conditions and rates. The ALCO also reviews the liquidity, capital, deposit mix, loan mix and investment positions of the Company.</w:t>
      </w:r>
    </w:p>
    <w:p w:rsidR="00000000" w:rsidRDefault="00100014">
      <w:pPr>
        <w:jc w:val="both"/>
        <w:divId w:val="1284731006"/>
        <w:rPr>
          <w:rFonts w:eastAsia="Times New Roman"/>
        </w:rPr>
      </w:pPr>
      <w:r>
        <w:rPr>
          <w:rFonts w:eastAsia="Times New Roman"/>
          <w:color w:val="000000"/>
          <w:sz w:val="20"/>
          <w:szCs w:val="20"/>
        </w:rPr>
        <w:t>Instantaneous parallel rate shift scenarios are modeled and utilized to evaluate risk and establish exposure</w:t>
      </w:r>
      <w:r>
        <w:rPr>
          <w:rFonts w:eastAsia="Times New Roman"/>
          <w:color w:val="000000"/>
          <w:sz w:val="20"/>
          <w:szCs w:val="20"/>
        </w:rPr>
        <w:t xml:space="preserve"> limits for acceptable changes in net interest margin. These scenarios, known as rate shocks, simulate an instantaneous change in interest rates and use various assumptions, including, but not limited to, prepayments on loans and securities, deposit decay </w:t>
      </w:r>
      <w:r>
        <w:rPr>
          <w:rFonts w:eastAsia="Times New Roman"/>
          <w:color w:val="000000"/>
          <w:sz w:val="20"/>
          <w:szCs w:val="20"/>
        </w:rPr>
        <w:t>rates, pricing decisions on loans and deposits, reinvestment and replacement of asset and liability cash flows.</w:t>
      </w:r>
    </w:p>
    <w:p w:rsidR="00000000" w:rsidRDefault="00100014">
      <w:pPr>
        <w:jc w:val="both"/>
        <w:divId w:val="861667659"/>
        <w:rPr>
          <w:rFonts w:eastAsia="Times New Roman"/>
        </w:rPr>
      </w:pPr>
      <w:r>
        <w:rPr>
          <w:rFonts w:eastAsia="Times New Roman"/>
          <w:color w:val="000000"/>
          <w:sz w:val="20"/>
          <w:szCs w:val="20"/>
        </w:rPr>
        <w:t>Management analyzes the economic value of equity as a secondary measure of interest rate risk. This is a complementary measure to net interest i</w:t>
      </w:r>
      <w:r>
        <w:rPr>
          <w:rFonts w:eastAsia="Times New Roman"/>
          <w:color w:val="000000"/>
          <w:sz w:val="20"/>
          <w:szCs w:val="20"/>
        </w:rPr>
        <w:t xml:space="preserve">ncome where the calculated value is the result of the market value of assets less the market value of liabilities. The economic value of equity is a longer term view of interest rate risk because it measures the present value of the future cash flows. The </w:t>
      </w:r>
      <w:r>
        <w:rPr>
          <w:rFonts w:eastAsia="Times New Roman"/>
          <w:color w:val="000000"/>
          <w:sz w:val="20"/>
          <w:szCs w:val="20"/>
        </w:rPr>
        <w:t>impact of changes in interest rates on this calculation is analyzed for the risk to our future earnings and is used in conjunction with the analyses on net interest income.</w:t>
      </w:r>
    </w:p>
    <w:p w:rsidR="00000000" w:rsidRDefault="00100014">
      <w:pPr>
        <w:jc w:val="both"/>
        <w:divId w:val="840051534"/>
        <w:rPr>
          <w:rFonts w:eastAsia="Times New Roman"/>
        </w:rPr>
      </w:pPr>
      <w:r>
        <w:rPr>
          <w:rFonts w:eastAsia="Times New Roman"/>
          <w:color w:val="000000"/>
          <w:sz w:val="20"/>
          <w:szCs w:val="20"/>
        </w:rPr>
        <w:t>The table below illustrates the impact of an immediate and sustained 200 and 100 ba</w:t>
      </w:r>
      <w:r>
        <w:rPr>
          <w:rFonts w:eastAsia="Times New Roman"/>
          <w:color w:val="000000"/>
          <w:sz w:val="20"/>
          <w:szCs w:val="20"/>
        </w:rPr>
        <w:t>sis point increase and a 200 and 100 basis point decrease in interest rates on net interest income based on the interest rate risk model at June 30, 2022 and December 31, 2021.</w:t>
      </w:r>
    </w:p>
    <w:tbl>
      <w:tblPr>
        <w:tblW w:w="4939" w:type="pct"/>
        <w:tblCellMar>
          <w:top w:w="15" w:type="dxa"/>
          <w:left w:w="15" w:type="dxa"/>
          <w:bottom w:w="15" w:type="dxa"/>
          <w:right w:w="15" w:type="dxa"/>
        </w:tblCellMar>
        <w:tblLook w:val="04A0" w:firstRow="1" w:lastRow="0" w:firstColumn="1" w:lastColumn="0" w:noHBand="0" w:noVBand="1"/>
      </w:tblPr>
      <w:tblGrid>
        <w:gridCol w:w="37"/>
        <w:gridCol w:w="3239"/>
        <w:gridCol w:w="36"/>
        <w:gridCol w:w="36"/>
        <w:gridCol w:w="36"/>
        <w:gridCol w:w="36"/>
        <w:gridCol w:w="38"/>
        <w:gridCol w:w="2092"/>
        <w:gridCol w:w="189"/>
        <w:gridCol w:w="37"/>
        <w:gridCol w:w="36"/>
        <w:gridCol w:w="36"/>
        <w:gridCol w:w="37"/>
        <w:gridCol w:w="2132"/>
        <w:gridCol w:w="188"/>
      </w:tblGrid>
      <w:tr w:rsidR="00000000">
        <w:trPr>
          <w:divId w:val="770978349"/>
        </w:trPr>
        <w:tc>
          <w:tcPr>
            <w:tcW w:w="50" w:type="pct"/>
            <w:vAlign w:val="center"/>
            <w:hideMark/>
          </w:tcPr>
          <w:p w:rsidR="00000000" w:rsidRDefault="00100014">
            <w:pPr>
              <w:jc w:val="both"/>
              <w:rPr>
                <w:rFonts w:eastAsia="Times New Roman"/>
              </w:rPr>
            </w:pPr>
          </w:p>
        </w:tc>
        <w:tc>
          <w:tcPr>
            <w:tcW w:w="2023"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35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8"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1379"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770978349"/>
        </w:trPr>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000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 Change in projected net interest income</w:t>
            </w:r>
          </w:p>
        </w:tc>
      </w:tr>
      <w:tr w:rsidR="00000000">
        <w:trPr>
          <w:divId w:val="77097834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Hypothetical shift in interest rates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December 31,</w:t>
            </w:r>
          </w:p>
        </w:tc>
      </w:tr>
      <w:tr w:rsidR="00000000">
        <w:trPr>
          <w:divId w:val="770978349"/>
        </w:trPr>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i/>
                <w:iCs/>
                <w:color w:val="000000"/>
                <w:sz w:val="16"/>
                <w:szCs w:val="16"/>
              </w:rPr>
              <w:t>(bps)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2021</w:t>
            </w:r>
          </w:p>
        </w:tc>
      </w:tr>
      <w:tr w:rsidR="00000000">
        <w:trPr>
          <w:divId w:val="77097834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200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(0.27)%</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4.47%</w:t>
            </w:r>
          </w:p>
        </w:tc>
      </w:tr>
      <w:tr w:rsidR="00000000">
        <w:trPr>
          <w:divId w:val="770978349"/>
        </w:trPr>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100</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(0.47)%</w:t>
            </w:r>
          </w:p>
        </w:tc>
        <w:tc>
          <w:tcPr>
            <w:tcW w:w="0" w:type="auto"/>
            <w:gridSpan w:val="3"/>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1.80%</w:t>
            </w:r>
          </w:p>
        </w:tc>
      </w:tr>
      <w:tr w:rsidR="00000000">
        <w:trPr>
          <w:divId w:val="770978349"/>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(100)</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(2.81)</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(3.12)</w:t>
            </w:r>
          </w:p>
        </w:tc>
        <w:tc>
          <w:tcPr>
            <w:tcW w:w="0" w:type="auto"/>
            <w:shd w:val="clear" w:color="auto" w:fill="CCEEFF"/>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r w:rsidR="00000000">
        <w:trPr>
          <w:divId w:val="770978349"/>
        </w:trPr>
        <w:tc>
          <w:tcPr>
            <w:tcW w:w="0" w:type="auto"/>
            <w:gridSpan w:val="3"/>
            <w:tcBorders>
              <w:bottom w:val="single" w:sz="6" w:space="0" w:color="000000"/>
            </w:tcBorders>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color w:val="000000"/>
                <w:sz w:val="20"/>
                <w:szCs w:val="20"/>
              </w:rPr>
              <w:t>(200)</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(4.65)</w:t>
            </w:r>
          </w:p>
        </w:tc>
        <w:tc>
          <w:tcPr>
            <w:tcW w:w="0" w:type="auto"/>
            <w:tcBorders>
              <w:bottom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tcBorders>
              <w:bottom w:val="single" w:sz="6" w:space="0" w:color="000000"/>
            </w:tcBorders>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2"/>
            <w:tcBorders>
              <w:bottom w:val="single" w:sz="6" w:space="0" w:color="000000"/>
            </w:tcBorders>
            <w:tcMar>
              <w:top w:w="30" w:type="dxa"/>
              <w:left w:w="20" w:type="dxa"/>
              <w:bottom w:w="30" w:type="dxa"/>
              <w:right w:w="0" w:type="dxa"/>
            </w:tcMar>
            <w:vAlign w:val="bottom"/>
            <w:hideMark/>
          </w:tcPr>
          <w:p w:rsidR="00000000" w:rsidRDefault="00100014">
            <w:pPr>
              <w:spacing w:after="100"/>
              <w:jc w:val="right"/>
              <w:rPr>
                <w:rFonts w:eastAsia="Times New Roman"/>
              </w:rPr>
            </w:pPr>
            <w:r>
              <w:rPr>
                <w:rFonts w:eastAsia="Times New Roman"/>
                <w:color w:val="000000"/>
                <w:sz w:val="20"/>
                <w:szCs w:val="20"/>
              </w:rPr>
              <w:t>(4.02)</w:t>
            </w:r>
          </w:p>
        </w:tc>
        <w:tc>
          <w:tcPr>
            <w:tcW w:w="0" w:type="auto"/>
            <w:tcBorders>
              <w:bottom w:val="single" w:sz="6" w:space="0" w:color="000000"/>
            </w:tcBorders>
            <w:tcMar>
              <w:top w:w="30" w:type="dxa"/>
              <w:left w:w="0" w:type="dxa"/>
              <w:bottom w:w="30" w:type="dxa"/>
              <w:right w:w="20"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r>
    </w:tbl>
    <w:p w:rsidR="00000000" w:rsidRDefault="00100014">
      <w:pPr>
        <w:jc w:val="both"/>
        <w:rPr>
          <w:rFonts w:eastAsia="Times New Roman"/>
        </w:rPr>
      </w:pPr>
      <w:r>
        <w:rPr>
          <w:rFonts w:eastAsia="Times New Roman"/>
          <w:color w:val="000000"/>
          <w:sz w:val="20"/>
          <w:szCs w:val="20"/>
        </w:rPr>
        <w:t>The change in the Company’s interest rate risk exposure from December 31, 2021 to June </w:t>
      </w:r>
      <w:r>
        <w:rPr>
          <w:rFonts w:eastAsia="Times New Roman"/>
          <w:color w:val="000000"/>
          <w:sz w:val="20"/>
          <w:szCs w:val="20"/>
        </w:rPr>
        <w:t>30, 2022 was primarily due to a change in the profile of the Company’s earning assets.</w:t>
      </w:r>
      <w:r>
        <w:rPr>
          <w:rFonts w:eastAsia="Times New Roman"/>
          <w:color w:val="000000"/>
        </w:rPr>
        <w:t xml:space="preserve"> </w:t>
      </w:r>
      <w:r>
        <w:rPr>
          <w:rFonts w:eastAsia="Times New Roman"/>
          <w:color w:val="000000"/>
          <w:sz w:val="20"/>
          <w:szCs w:val="20"/>
        </w:rPr>
        <w:t>At December 31, 2021, the Company had significant balances in overnight Federal funds sold as the Company had greater liquidity due to higher balances in customer deposi</w:t>
      </w:r>
      <w:r>
        <w:rPr>
          <w:rFonts w:eastAsia="Times New Roman"/>
          <w:color w:val="000000"/>
          <w:sz w:val="20"/>
          <w:szCs w:val="20"/>
        </w:rPr>
        <w:t>t accounts, including a seasonal spike in certain public funds customer’s account balances. This type of earning asset reprices immediately as interest rates change.</w:t>
      </w:r>
      <w:r>
        <w:rPr>
          <w:rFonts w:eastAsia="Times New Roman"/>
          <w:color w:val="000000"/>
        </w:rPr>
        <w:t xml:space="preserve"> </w:t>
      </w:r>
      <w:r>
        <w:rPr>
          <w:rFonts w:eastAsia="Times New Roman"/>
          <w:color w:val="000000"/>
          <w:sz w:val="20"/>
          <w:szCs w:val="20"/>
        </w:rPr>
        <w:t>Since December 31, 2021, the balances in Federal funds sold have reduced significantly, in</w:t>
      </w:r>
      <w:r>
        <w:rPr>
          <w:rFonts w:eastAsia="Times New Roman"/>
          <w:color w:val="000000"/>
          <w:sz w:val="20"/>
          <w:szCs w:val="20"/>
        </w:rPr>
        <w:t xml:space="preserve"> large measure due to funding the significant growth in loans during the first six months of 2022. Management believes the change in projected net interest income from interest rate shifts of up 200 bps and down 200 bps is an acceptable level of interest r</w:t>
      </w:r>
      <w:r>
        <w:rPr>
          <w:rFonts w:eastAsia="Times New Roman"/>
          <w:color w:val="000000"/>
          <w:sz w:val="20"/>
          <w:szCs w:val="20"/>
        </w:rPr>
        <w:t>ate risk.</w:t>
      </w:r>
    </w:p>
    <w:p w:rsidR="00000000" w:rsidRDefault="00100014">
      <w:pPr>
        <w:jc w:val="both"/>
        <w:rPr>
          <w:rFonts w:eastAsia="Times New Roman"/>
        </w:rPr>
      </w:pPr>
    </w:p>
    <w:p w:rsidR="00000000" w:rsidRDefault="00100014">
      <w:pPr>
        <w:jc w:val="both"/>
        <w:divId w:val="154997260"/>
        <w:rPr>
          <w:rFonts w:eastAsia="Times New Roman"/>
        </w:rPr>
      </w:pPr>
      <w:r>
        <w:rPr>
          <w:rFonts w:eastAsia="Times New Roman"/>
          <w:color w:val="000000"/>
          <w:sz w:val="20"/>
          <w:szCs w:val="20"/>
        </w:rPr>
        <w:t>Many assumptions are used to calculate the impact of interest rate fluctuations. Actual results may be significantly different than our projections due to several factors, including the timing and frequency of rate changes, market conditions an</w:t>
      </w:r>
      <w:r>
        <w:rPr>
          <w:rFonts w:eastAsia="Times New Roman"/>
          <w:color w:val="000000"/>
          <w:sz w:val="20"/>
          <w:szCs w:val="20"/>
        </w:rPr>
        <w:t>d the shape of the yield curve. The computations of interest rate risk shown above do not include actions that management may undertake to manage the risks in response to anticipated changes in interest rates and actual results may also differ due to any a</w:t>
      </w:r>
      <w:r>
        <w:rPr>
          <w:rFonts w:eastAsia="Times New Roman"/>
          <w:color w:val="000000"/>
          <w:sz w:val="20"/>
          <w:szCs w:val="20"/>
        </w:rPr>
        <w:t>ctions taken in response to the changing rates.</w:t>
      </w:r>
    </w:p>
    <w:p w:rsidR="00000000" w:rsidRDefault="00100014">
      <w:pPr>
        <w:divId w:val="1743327220"/>
        <w:rPr>
          <w:rFonts w:eastAsia="Times New Roman"/>
        </w:rPr>
      </w:pPr>
    </w:p>
    <w:p w:rsidR="00000000" w:rsidRDefault="00100014">
      <w:pPr>
        <w:jc w:val="center"/>
        <w:divId w:val="323243540"/>
        <w:rPr>
          <w:rFonts w:eastAsia="Times New Roman"/>
        </w:rPr>
      </w:pPr>
      <w:r>
        <w:rPr>
          <w:rFonts w:eastAsia="Times New Roman"/>
          <w:color w:val="000000"/>
          <w:sz w:val="20"/>
          <w:szCs w:val="20"/>
        </w:rPr>
        <w:t>58</w:t>
      </w:r>
    </w:p>
    <w:p w:rsidR="00000000" w:rsidRDefault="00100014">
      <w:pPr>
        <w:rPr>
          <w:rFonts w:eastAsia="Times New Roman"/>
        </w:rPr>
      </w:pPr>
      <w:r>
        <w:rPr>
          <w:rFonts w:eastAsia="Times New Roman"/>
        </w:rPr>
        <w:pict>
          <v:rect id="_x0000_i1082" style="width:0;height:1.5pt" o:hralign="center" o:hrstd="t" o:hr="t" fillcolor="#a0a0a0" stroked="f"/>
        </w:pict>
      </w:r>
    </w:p>
    <w:p w:rsidR="00000000" w:rsidRDefault="00100014">
      <w:pPr>
        <w:divId w:val="1103115212"/>
        <w:rPr>
          <w:rFonts w:eastAsia="Times New Roman"/>
        </w:rPr>
      </w:pPr>
    </w:p>
    <w:p w:rsidR="00000000" w:rsidRDefault="00100014">
      <w:pPr>
        <w:divId w:val="2144273640"/>
        <w:rPr>
          <w:rFonts w:eastAsia="Times New Roman"/>
        </w:rPr>
      </w:pPr>
      <w:r>
        <w:rPr>
          <w:rFonts w:eastAsia="Times New Roman"/>
          <w:b/>
          <w:bCs/>
          <w:color w:val="000000"/>
          <w:sz w:val="20"/>
          <w:szCs w:val="20"/>
        </w:rPr>
        <w:t>Effects of Inflation</w:t>
      </w:r>
    </w:p>
    <w:p w:rsidR="00000000" w:rsidRDefault="00100014">
      <w:pPr>
        <w:jc w:val="both"/>
        <w:divId w:val="967395680"/>
        <w:rPr>
          <w:rFonts w:eastAsia="Times New Roman"/>
        </w:rPr>
      </w:pPr>
      <w:r>
        <w:rPr>
          <w:rFonts w:eastAsia="Times New Roman"/>
          <w:color w:val="000000"/>
          <w:sz w:val="20"/>
          <w:szCs w:val="20"/>
        </w:rPr>
        <w:t>The effects of inflation on financial institutions are different from the effects on other commercial enterprises since financial institutions make few significant capital or inventory expenditures, which are directly affected by changing prices. Because b</w:t>
      </w:r>
      <w:r>
        <w:rPr>
          <w:rFonts w:eastAsia="Times New Roman"/>
          <w:color w:val="000000"/>
          <w:sz w:val="20"/>
          <w:szCs w:val="20"/>
        </w:rPr>
        <w:t xml:space="preserve">ank assets and liabilities are virtually all monetary in nature, inflation does not affect a financial institution as much as do changes in interest rates. The general level of inflation does underlie the general level of most interest rates, but interest </w:t>
      </w:r>
      <w:r>
        <w:rPr>
          <w:rFonts w:eastAsia="Times New Roman"/>
          <w:color w:val="000000"/>
          <w:sz w:val="20"/>
          <w:szCs w:val="20"/>
        </w:rPr>
        <w:t>rates do not increase at the rate of inflation as do prices of goods and services. Rather, interest rates react more to changes in the expected rate of inflation and to changes in monetary and fiscal policy.</w:t>
      </w:r>
    </w:p>
    <w:p w:rsidR="00000000" w:rsidRDefault="00100014">
      <w:pPr>
        <w:jc w:val="both"/>
        <w:divId w:val="304968256"/>
        <w:rPr>
          <w:rFonts w:eastAsia="Times New Roman"/>
        </w:rPr>
      </w:pPr>
      <w:r>
        <w:rPr>
          <w:rFonts w:eastAsia="Times New Roman"/>
          <w:color w:val="000000"/>
          <w:sz w:val="20"/>
          <w:szCs w:val="20"/>
        </w:rPr>
        <w:t>Inflation does have an impact on the growth of total assets in the banking industry, often resulting in a need to increase capital at higher than normal rates to maintain an appropriate capital to asset ratio. In the opinion of management, inflation did no</w:t>
      </w:r>
      <w:r>
        <w:rPr>
          <w:rFonts w:eastAsia="Times New Roman"/>
          <w:color w:val="000000"/>
          <w:sz w:val="20"/>
          <w:szCs w:val="20"/>
        </w:rPr>
        <w:t>t have a significant effect on the Company’s operations for the three months ended June 30, 2022.</w:t>
      </w:r>
    </w:p>
    <w:p w:rsidR="00000000" w:rsidRDefault="00100014">
      <w:pPr>
        <w:divId w:val="898827442"/>
        <w:rPr>
          <w:rFonts w:eastAsia="Times New Roman"/>
        </w:rPr>
      </w:pPr>
      <w:r>
        <w:rPr>
          <w:rFonts w:eastAsia="Times New Roman"/>
          <w:b/>
          <w:bCs/>
          <w:color w:val="000000"/>
          <w:sz w:val="20"/>
          <w:szCs w:val="20"/>
        </w:rPr>
        <w:t>Item 4. Controls and Procedures</w:t>
      </w:r>
    </w:p>
    <w:p w:rsidR="00000000" w:rsidRDefault="00100014">
      <w:pPr>
        <w:divId w:val="794525463"/>
        <w:rPr>
          <w:rFonts w:eastAsia="Times New Roman"/>
        </w:rPr>
      </w:pPr>
      <w:r>
        <w:rPr>
          <w:rFonts w:eastAsia="Times New Roman"/>
          <w:b/>
          <w:bCs/>
          <w:color w:val="000000"/>
          <w:sz w:val="20"/>
          <w:szCs w:val="20"/>
        </w:rPr>
        <w:t>Evaluation of Disclosure Controls and Procedures</w:t>
      </w:r>
    </w:p>
    <w:p w:rsidR="00000000" w:rsidRDefault="00100014">
      <w:pPr>
        <w:jc w:val="both"/>
        <w:divId w:val="1113478637"/>
        <w:rPr>
          <w:rFonts w:eastAsia="Times New Roman"/>
        </w:rPr>
      </w:pPr>
      <w:r>
        <w:rPr>
          <w:rFonts w:eastAsia="Times New Roman"/>
          <w:color w:val="000000"/>
          <w:sz w:val="20"/>
          <w:szCs w:val="20"/>
        </w:rPr>
        <w:t>Our Company’s management has evaluated, with the participation of our princip</w:t>
      </w:r>
      <w:r>
        <w:rPr>
          <w:rFonts w:eastAsia="Times New Roman"/>
          <w:color w:val="000000"/>
          <w:sz w:val="20"/>
          <w:szCs w:val="20"/>
        </w:rPr>
        <w:t>al executive and principal financial officers, the effectiveness of our disclosure controls and procedures as defined in Rules 13a – 15(e) or 15d – 15(e) of the Securities Exchange Act of 1934 as of June 30, 2022. Based upon and as of the date of that eval</w:t>
      </w:r>
      <w:r>
        <w:rPr>
          <w:rFonts w:eastAsia="Times New Roman"/>
          <w:color w:val="000000"/>
          <w:sz w:val="20"/>
          <w:szCs w:val="20"/>
        </w:rPr>
        <w:t>uation, our principal executive and principal financial officers concluded that our disclosure controls and procedures were designed, and were effective, to provide reasonable assurance that information required to be disclosed in the reports we file and s</w:t>
      </w:r>
      <w:r>
        <w:rPr>
          <w:rFonts w:eastAsia="Times New Roman"/>
          <w:color w:val="000000"/>
          <w:sz w:val="20"/>
          <w:szCs w:val="20"/>
        </w:rPr>
        <w:t>ubmit under the Securities Exchange Act of 1934 is recorded, processed, summarized and reported as and when required. It should be noted that any system of disclosure controls and procedures, however well designed and operated, can provide only reasonable,</w:t>
      </w:r>
      <w:r>
        <w:rPr>
          <w:rFonts w:eastAsia="Times New Roman"/>
          <w:color w:val="000000"/>
          <w:sz w:val="20"/>
          <w:szCs w:val="20"/>
        </w:rPr>
        <w:t xml:space="preserve"> and not absolute, assurance that the objectives of the system are met. In addition, the design of any system of disclosure controls and procedures is based in part upon assumptions about the likelihood of future events. Because of these and other inherent</w:t>
      </w:r>
      <w:r>
        <w:rPr>
          <w:rFonts w:eastAsia="Times New Roman"/>
          <w:color w:val="000000"/>
          <w:sz w:val="20"/>
          <w:szCs w:val="20"/>
        </w:rPr>
        <w:t xml:space="preserve"> limitations of any such system, there can be no assurance that any design will always succeed in achieving its stated goals under all circumstances.</w:t>
      </w:r>
    </w:p>
    <w:p w:rsidR="00000000" w:rsidRDefault="00100014">
      <w:pPr>
        <w:divId w:val="124548568"/>
        <w:rPr>
          <w:rFonts w:eastAsia="Times New Roman"/>
        </w:rPr>
      </w:pPr>
      <w:r>
        <w:rPr>
          <w:rFonts w:eastAsia="Times New Roman"/>
          <w:b/>
          <w:bCs/>
          <w:color w:val="000000"/>
          <w:sz w:val="20"/>
          <w:szCs w:val="20"/>
        </w:rPr>
        <w:t>Changes in Internal Control Over Financial Reporting</w:t>
      </w:r>
    </w:p>
    <w:p w:rsidR="00000000" w:rsidRDefault="00100014">
      <w:pPr>
        <w:jc w:val="both"/>
        <w:divId w:val="210313377"/>
        <w:rPr>
          <w:rFonts w:eastAsia="Times New Roman"/>
        </w:rPr>
      </w:pPr>
      <w:r>
        <w:rPr>
          <w:rFonts w:eastAsia="Times New Roman"/>
          <w:color w:val="000000"/>
          <w:sz w:val="20"/>
          <w:szCs w:val="20"/>
        </w:rPr>
        <w:t>There have been no changes in our internal control ov</w:t>
      </w:r>
      <w:r>
        <w:rPr>
          <w:rFonts w:eastAsia="Times New Roman"/>
          <w:color w:val="000000"/>
          <w:sz w:val="20"/>
          <w:szCs w:val="20"/>
        </w:rPr>
        <w:t>er financial reporting (as defined in Rules 13a-15(f) or 15d-15(f) of the Securities Exchange Act of 1934) that occurred during the three months ended June 30, 2022 that have materially affected, or are reasonably likely to materially affect, the Company’s</w:t>
      </w:r>
      <w:r>
        <w:rPr>
          <w:rFonts w:eastAsia="Times New Roman"/>
          <w:color w:val="000000"/>
          <w:sz w:val="20"/>
          <w:szCs w:val="20"/>
        </w:rPr>
        <w:t xml:space="preserve"> internal control over financial reporting.</w:t>
      </w:r>
    </w:p>
    <w:p w:rsidR="00000000" w:rsidRDefault="00100014">
      <w:pPr>
        <w:divId w:val="1327510485"/>
        <w:rPr>
          <w:rFonts w:eastAsia="Times New Roman"/>
        </w:rPr>
      </w:pPr>
      <w:r>
        <w:rPr>
          <w:rFonts w:eastAsia="Times New Roman"/>
          <w:b/>
          <w:bCs/>
          <w:color w:val="000000"/>
          <w:sz w:val="20"/>
          <w:szCs w:val="20"/>
        </w:rPr>
        <w:t>Impact of New Accounting Standards</w:t>
      </w:r>
    </w:p>
    <w:p w:rsidR="00000000" w:rsidRDefault="00100014">
      <w:pPr>
        <w:jc w:val="both"/>
        <w:divId w:val="401756657"/>
        <w:rPr>
          <w:rFonts w:eastAsia="Times New Roman"/>
        </w:rPr>
      </w:pPr>
      <w:r>
        <w:rPr>
          <w:rFonts w:eastAsia="Times New Roman"/>
          <w:b/>
          <w:bCs/>
          <w:i/>
          <w:iCs/>
          <w:color w:val="000000"/>
          <w:sz w:val="20"/>
          <w:szCs w:val="20"/>
        </w:rPr>
        <w:t>Financial Instruments:</w:t>
      </w:r>
    </w:p>
    <w:p w:rsidR="00000000" w:rsidRDefault="00100014">
      <w:pPr>
        <w:jc w:val="both"/>
        <w:divId w:val="971714380"/>
        <w:rPr>
          <w:rFonts w:eastAsia="Times New Roman"/>
        </w:rPr>
      </w:pPr>
      <w:r>
        <w:rPr>
          <w:rFonts w:eastAsia="Times New Roman"/>
          <w:color w:val="000000"/>
          <w:sz w:val="20"/>
          <w:szCs w:val="20"/>
        </w:rPr>
        <w:t xml:space="preserve">In March 2022 the FASB issued ASU 2022-02 </w:t>
      </w:r>
      <w:r>
        <w:rPr>
          <w:rFonts w:eastAsia="Times New Roman"/>
          <w:i/>
          <w:iCs/>
          <w:color w:val="000000"/>
          <w:sz w:val="20"/>
          <w:szCs w:val="20"/>
        </w:rPr>
        <w:t>Financial Instruments</w:t>
      </w:r>
      <w:r>
        <w:rPr>
          <w:rFonts w:eastAsia="Times New Roman"/>
          <w:b/>
          <w:bCs/>
          <w:i/>
          <w:iCs/>
          <w:color w:val="000000"/>
          <w:sz w:val="20"/>
          <w:szCs w:val="20"/>
        </w:rPr>
        <w:t>–</w:t>
      </w:r>
      <w:r>
        <w:rPr>
          <w:rFonts w:eastAsia="Times New Roman"/>
          <w:i/>
          <w:iCs/>
          <w:color w:val="000000"/>
          <w:sz w:val="20"/>
          <w:szCs w:val="20"/>
        </w:rPr>
        <w:t xml:space="preserve">Credit Losses (Topic 326); </w:t>
      </w:r>
      <w:r>
        <w:rPr>
          <w:rFonts w:eastAsia="Times New Roman"/>
          <w:b/>
          <w:bCs/>
          <w:i/>
          <w:iCs/>
          <w:color w:val="000000"/>
          <w:sz w:val="20"/>
          <w:szCs w:val="20"/>
        </w:rPr>
        <w:t>T</w:t>
      </w:r>
      <w:r>
        <w:rPr>
          <w:rFonts w:eastAsia="Times New Roman"/>
          <w:i/>
          <w:iCs/>
          <w:color w:val="000000"/>
          <w:sz w:val="20"/>
          <w:szCs w:val="20"/>
        </w:rPr>
        <w:t>roubled Debt Restructurings and Vintage Disclosures</w:t>
      </w:r>
      <w:r>
        <w:rPr>
          <w:rFonts w:eastAsia="Times New Roman"/>
          <w:b/>
          <w:bCs/>
          <w:i/>
          <w:iCs/>
          <w:color w:val="000000"/>
          <w:sz w:val="20"/>
          <w:szCs w:val="20"/>
        </w:rPr>
        <w:t xml:space="preserve">. </w:t>
      </w:r>
      <w:r>
        <w:rPr>
          <w:rFonts w:eastAsia="Times New Roman"/>
          <w:color w:val="000000"/>
          <w:sz w:val="20"/>
          <w:szCs w:val="20"/>
        </w:rPr>
        <w:t xml:space="preserve">This ASU </w:t>
      </w:r>
      <w:r>
        <w:rPr>
          <w:rFonts w:eastAsia="Times New Roman"/>
          <w:color w:val="000000"/>
          <w:sz w:val="20"/>
          <w:szCs w:val="20"/>
        </w:rPr>
        <w:t>eliminates the accounting guidance on troubled debt restructurings for creditors in ASC 310-40 and amends the guidance on “vintage disclosures” to require disclosure of current-period gross write-offs by year of origination. The ASU also updates the requir</w:t>
      </w:r>
      <w:r>
        <w:rPr>
          <w:rFonts w:eastAsia="Times New Roman"/>
          <w:color w:val="000000"/>
          <w:sz w:val="20"/>
          <w:szCs w:val="20"/>
        </w:rPr>
        <w:t>ements related to accounting for credit losses under ASC 326 and adds enhanced disclosures for creditors with respect to loan refinancings and restructurings for borrowers experiencing financial difficulty. The amendments in this update will be effective f</w:t>
      </w:r>
      <w:r>
        <w:rPr>
          <w:rFonts w:eastAsia="Times New Roman"/>
          <w:color w:val="000000"/>
          <w:sz w:val="20"/>
          <w:szCs w:val="20"/>
        </w:rPr>
        <w:t xml:space="preserve">or fiscal years beginning after December 15, 2022 for entities that have adopted the amendments in ASU 2016-13, </w:t>
      </w:r>
      <w:r>
        <w:rPr>
          <w:rFonts w:eastAsia="Times New Roman"/>
          <w:i/>
          <w:iCs/>
          <w:color w:val="000000"/>
          <w:sz w:val="20"/>
          <w:szCs w:val="20"/>
        </w:rPr>
        <w:t>Financial Instruments–Credit Losses (Topic 326) Measurement of Credit Losses on Financial Instruments</w:t>
      </w:r>
      <w:r>
        <w:rPr>
          <w:rFonts w:eastAsia="Times New Roman"/>
          <w:color w:val="000000"/>
          <w:sz w:val="20"/>
          <w:szCs w:val="20"/>
        </w:rPr>
        <w:t xml:space="preserve">. The Company is evaluating the additional </w:t>
      </w:r>
      <w:r>
        <w:rPr>
          <w:rFonts w:eastAsia="Times New Roman"/>
          <w:color w:val="000000"/>
          <w:sz w:val="20"/>
          <w:szCs w:val="20"/>
        </w:rPr>
        <w:t>disclosure requirements and does not expect them to have a material effect on the consolidated financial statements.</w:t>
      </w:r>
    </w:p>
    <w:p w:rsidR="00000000" w:rsidRDefault="00100014">
      <w:pPr>
        <w:jc w:val="both"/>
        <w:divId w:val="323437997"/>
        <w:rPr>
          <w:rFonts w:eastAsia="Times New Roman"/>
        </w:rPr>
      </w:pPr>
      <w:r>
        <w:rPr>
          <w:rFonts w:eastAsia="Times New Roman"/>
          <w:color w:val="000000"/>
          <w:sz w:val="20"/>
          <w:szCs w:val="20"/>
        </w:rPr>
        <w:t xml:space="preserve">In June 2016, the FASB issued ASU 2016-13, </w:t>
      </w:r>
      <w:r>
        <w:rPr>
          <w:rFonts w:eastAsia="Times New Roman"/>
          <w:i/>
          <w:iCs/>
          <w:color w:val="000000"/>
          <w:sz w:val="20"/>
          <w:szCs w:val="20"/>
        </w:rPr>
        <w:t>Financial Instruments - Credit Losses</w:t>
      </w:r>
      <w:r>
        <w:rPr>
          <w:rFonts w:eastAsia="Times New Roman"/>
          <w:color w:val="000000"/>
          <w:sz w:val="20"/>
          <w:szCs w:val="20"/>
        </w:rPr>
        <w:t xml:space="preserve"> </w:t>
      </w:r>
      <w:r>
        <w:rPr>
          <w:rFonts w:eastAsia="Times New Roman"/>
          <w:i/>
          <w:iCs/>
          <w:color w:val="000000"/>
          <w:sz w:val="20"/>
          <w:szCs w:val="20"/>
        </w:rPr>
        <w:t>(Topic 326):</w:t>
      </w:r>
      <w:r>
        <w:rPr>
          <w:rFonts w:eastAsia="Times New Roman"/>
          <w:color w:val="000000"/>
          <w:sz w:val="20"/>
          <w:szCs w:val="20"/>
        </w:rPr>
        <w:t xml:space="preserve"> </w:t>
      </w:r>
      <w:r>
        <w:rPr>
          <w:rFonts w:eastAsia="Times New Roman"/>
          <w:i/>
          <w:iCs/>
          <w:color w:val="000000"/>
          <w:sz w:val="20"/>
          <w:szCs w:val="20"/>
        </w:rPr>
        <w:t>Measurement of Credit Losses on Financial Ins</w:t>
      </w:r>
      <w:r>
        <w:rPr>
          <w:rFonts w:eastAsia="Times New Roman"/>
          <w:i/>
          <w:iCs/>
          <w:color w:val="000000"/>
          <w:sz w:val="20"/>
          <w:szCs w:val="20"/>
        </w:rPr>
        <w:t xml:space="preserve">truments </w:t>
      </w:r>
      <w:r>
        <w:rPr>
          <w:rFonts w:eastAsia="Times New Roman"/>
          <w:color w:val="000000"/>
          <w:sz w:val="20"/>
          <w:szCs w:val="20"/>
        </w:rPr>
        <w:t>(CECL)</w:t>
      </w:r>
      <w:r>
        <w:rPr>
          <w:rFonts w:eastAsia="Times New Roman"/>
          <w:i/>
          <w:iCs/>
          <w:color w:val="000000"/>
          <w:sz w:val="20"/>
          <w:szCs w:val="20"/>
        </w:rPr>
        <w:t>.</w:t>
      </w:r>
      <w:r>
        <w:rPr>
          <w:rFonts w:eastAsia="Times New Roman"/>
          <w:color w:val="000000"/>
          <w:sz w:val="20"/>
          <w:szCs w:val="20"/>
        </w:rPr>
        <w:t xml:space="preserve"> The revised accounting guidance will remove all recognition thresholds and will require a company to recognize an allowance for credit losses for the difference between the amortized cost basis of a financial instrument and the amount of a</w:t>
      </w:r>
      <w:r>
        <w:rPr>
          <w:rFonts w:eastAsia="Times New Roman"/>
          <w:color w:val="000000"/>
          <w:sz w:val="20"/>
          <w:szCs w:val="20"/>
        </w:rPr>
        <w:t>mortized cost that the company expects to collect over the instrument's contractual life. It also amends the credit loss measurement guidance for available-for-sale debt securities and beneficial interests in securitized financial assets. This new accounti</w:t>
      </w:r>
      <w:r>
        <w:rPr>
          <w:rFonts w:eastAsia="Times New Roman"/>
          <w:color w:val="000000"/>
          <w:sz w:val="20"/>
          <w:szCs w:val="20"/>
        </w:rPr>
        <w:t>ng guidance will be effective for interim and annual reporting periods beginning after December 15, 2022. While the Company generally expects to recognize a one-time cumulative effect adjustment to the allowance for loan losses as of the beginning of the f</w:t>
      </w:r>
      <w:r>
        <w:rPr>
          <w:rFonts w:eastAsia="Times New Roman"/>
          <w:color w:val="000000"/>
          <w:sz w:val="20"/>
          <w:szCs w:val="20"/>
        </w:rPr>
        <w:t xml:space="preserve">irst reporting period in which the new standard is effective, the Company has not determined the magnitude of any such one-time adjustment or the overall impact of the new guidance on the Company's consolidated financial statements. The Company has formed </w:t>
      </w:r>
      <w:r>
        <w:rPr>
          <w:rFonts w:eastAsia="Times New Roman"/>
          <w:color w:val="000000"/>
          <w:sz w:val="20"/>
          <w:szCs w:val="20"/>
        </w:rPr>
        <w:t>a committee and is continuing to evaluate the impact of the ASU's adoption on the Company's consolidated financial statements by assessing different credit risk models. In 2019, 2020 and 2021, the Company modeled the various methods prescribed in the ASU a</w:t>
      </w:r>
      <w:r>
        <w:rPr>
          <w:rFonts w:eastAsia="Times New Roman"/>
          <w:color w:val="000000"/>
          <w:sz w:val="20"/>
          <w:szCs w:val="20"/>
        </w:rPr>
        <w:t xml:space="preserve">gainst the </w:t>
      </w:r>
    </w:p>
    <w:p w:rsidR="00000000" w:rsidRDefault="00100014">
      <w:pPr>
        <w:jc w:val="center"/>
        <w:divId w:val="735395177"/>
        <w:rPr>
          <w:rFonts w:eastAsia="Times New Roman"/>
        </w:rPr>
      </w:pPr>
      <w:r>
        <w:rPr>
          <w:rFonts w:eastAsia="Times New Roman"/>
          <w:color w:val="000000"/>
          <w:sz w:val="20"/>
          <w:szCs w:val="20"/>
        </w:rPr>
        <w:t>59</w:t>
      </w:r>
    </w:p>
    <w:p w:rsidR="00000000" w:rsidRDefault="00100014">
      <w:pPr>
        <w:rPr>
          <w:rFonts w:eastAsia="Times New Roman"/>
        </w:rPr>
      </w:pPr>
      <w:r>
        <w:rPr>
          <w:rFonts w:eastAsia="Times New Roman"/>
        </w:rPr>
        <w:pict>
          <v:rect id="_x0000_i1083" style="width:0;height:1.5pt" o:hralign="center" o:hrstd="t" o:hr="t" fillcolor="#a0a0a0" stroked="f"/>
        </w:pict>
      </w:r>
    </w:p>
    <w:p w:rsidR="00000000" w:rsidRDefault="00100014">
      <w:pPr>
        <w:divId w:val="1175418310"/>
        <w:rPr>
          <w:rFonts w:eastAsia="Times New Roman"/>
        </w:rPr>
      </w:pPr>
    </w:p>
    <w:p w:rsidR="00000000" w:rsidRDefault="00100014">
      <w:pPr>
        <w:jc w:val="both"/>
        <w:divId w:val="1453396885"/>
        <w:rPr>
          <w:rFonts w:eastAsia="Times New Roman"/>
        </w:rPr>
      </w:pPr>
      <w:r>
        <w:rPr>
          <w:rFonts w:eastAsia="Times New Roman"/>
          <w:color w:val="000000"/>
          <w:sz w:val="20"/>
          <w:szCs w:val="20"/>
        </w:rPr>
        <w:t xml:space="preserve">identified loan segments. The Company will continue to run parallel computations as it continues to evaluate the impact of adoption of this ASU on January 1, 2023. </w:t>
      </w:r>
    </w:p>
    <w:p w:rsidR="00000000" w:rsidRDefault="00100014">
      <w:pPr>
        <w:jc w:val="both"/>
        <w:divId w:val="1048340218"/>
        <w:rPr>
          <w:rFonts w:eastAsia="Times New Roman"/>
        </w:rPr>
      </w:pPr>
      <w:r>
        <w:rPr>
          <w:rFonts w:eastAsia="Times New Roman"/>
          <w:b/>
          <w:bCs/>
          <w:i/>
          <w:iCs/>
          <w:color w:val="000000"/>
          <w:sz w:val="20"/>
          <w:szCs w:val="20"/>
        </w:rPr>
        <w:t xml:space="preserve">Rate Reform </w:t>
      </w:r>
      <w:r>
        <w:rPr>
          <w:rFonts w:eastAsia="Times New Roman"/>
          <w:color w:val="000000"/>
          <w:sz w:val="20"/>
          <w:szCs w:val="20"/>
        </w:rPr>
        <w:t>In March 2020, the FASB i</w:t>
      </w:r>
      <w:r>
        <w:rPr>
          <w:rFonts w:eastAsia="Times New Roman"/>
          <w:color w:val="000000"/>
          <w:sz w:val="20"/>
          <w:szCs w:val="20"/>
        </w:rPr>
        <w:t xml:space="preserve">ssued ASU 2020-04, </w:t>
      </w:r>
      <w:r>
        <w:rPr>
          <w:rFonts w:eastAsia="Times New Roman"/>
          <w:i/>
          <w:iCs/>
          <w:color w:val="000000"/>
          <w:sz w:val="20"/>
          <w:szCs w:val="20"/>
        </w:rPr>
        <w:t>Reference Rate Reform (Topic 848) - Facilitation of the Effects of Reference Rate Reform on Financial Reporting</w:t>
      </w:r>
      <w:r>
        <w:rPr>
          <w:rFonts w:eastAsia="Times New Roman"/>
          <w:color w:val="000000"/>
          <w:sz w:val="20"/>
          <w:szCs w:val="20"/>
        </w:rPr>
        <w:t>. The amendments in this update provide optional guidance for a limited period of time to ease the potential burden in account</w:t>
      </w:r>
      <w:r>
        <w:rPr>
          <w:rFonts w:eastAsia="Times New Roman"/>
          <w:color w:val="000000"/>
          <w:sz w:val="20"/>
          <w:szCs w:val="20"/>
        </w:rPr>
        <w:t>ing for (or recognizing the effects of) reference rate reform on financial reporting. It provides optional expedients and exceptions for applying generally accepted accounting principles to contract modifications and hedging relationships, subject to meeti</w:t>
      </w:r>
      <w:r>
        <w:rPr>
          <w:rFonts w:eastAsia="Times New Roman"/>
          <w:color w:val="000000"/>
          <w:sz w:val="20"/>
          <w:szCs w:val="20"/>
        </w:rPr>
        <w:t xml:space="preserve">ng certain criteria, that reference LIBOR or another reference rate expected to be discontinued. The amendments in this update are effective for all entities as of March 12, 2020 through December 31, 2022. The Company is currently evaluating the impact of </w:t>
      </w:r>
      <w:r>
        <w:rPr>
          <w:rFonts w:eastAsia="Times New Roman"/>
          <w:color w:val="000000"/>
          <w:sz w:val="20"/>
          <w:szCs w:val="20"/>
        </w:rPr>
        <w:t>the reference rate reform on the Company’s consolidated financial statements.</w:t>
      </w:r>
    </w:p>
    <w:p w:rsidR="00000000" w:rsidRDefault="00100014">
      <w:pPr>
        <w:jc w:val="both"/>
        <w:rPr>
          <w:rFonts w:eastAsia="Times New Roman"/>
        </w:rPr>
      </w:pPr>
    </w:p>
    <w:p w:rsidR="00000000" w:rsidRDefault="00100014">
      <w:pPr>
        <w:jc w:val="center"/>
        <w:divId w:val="969937239"/>
        <w:rPr>
          <w:rFonts w:eastAsia="Times New Roman"/>
        </w:rPr>
      </w:pPr>
      <w:r>
        <w:rPr>
          <w:rFonts w:eastAsia="Times New Roman"/>
          <w:color w:val="000000"/>
          <w:sz w:val="20"/>
          <w:szCs w:val="20"/>
        </w:rPr>
        <w:t>60</w:t>
      </w:r>
    </w:p>
    <w:p w:rsidR="00000000" w:rsidRDefault="00100014">
      <w:pPr>
        <w:rPr>
          <w:rFonts w:eastAsia="Times New Roman"/>
        </w:rPr>
      </w:pPr>
      <w:r>
        <w:rPr>
          <w:rFonts w:eastAsia="Times New Roman"/>
        </w:rPr>
        <w:pict>
          <v:rect id="_x0000_i1084" style="width:0;height:1.5pt" o:hralign="center" o:hrstd="t" o:hr="t" fillcolor="#a0a0a0" stroked="f"/>
        </w:pict>
      </w:r>
    </w:p>
    <w:p w:rsidR="00000000" w:rsidRDefault="00100014">
      <w:pPr>
        <w:divId w:val="1308362445"/>
        <w:rPr>
          <w:rFonts w:eastAsia="Times New Roman"/>
        </w:rPr>
      </w:pPr>
    </w:p>
    <w:p w:rsidR="00000000" w:rsidRDefault="00100014">
      <w:pPr>
        <w:jc w:val="center"/>
        <w:rPr>
          <w:rFonts w:eastAsia="Times New Roman"/>
        </w:rPr>
      </w:pPr>
      <w:r>
        <w:rPr>
          <w:rFonts w:eastAsia="Times New Roman"/>
          <w:b/>
          <w:bCs/>
          <w:color w:val="000000"/>
          <w:sz w:val="20"/>
          <w:szCs w:val="20"/>
        </w:rPr>
        <w:t>PART II - OTHER INFORMATION</w:t>
      </w:r>
    </w:p>
    <w:p w:rsidR="00000000" w:rsidRDefault="00100014">
      <w:pPr>
        <w:divId w:val="383718514"/>
        <w:rPr>
          <w:rFonts w:eastAsia="Times New Roman"/>
        </w:rPr>
      </w:pPr>
      <w:r>
        <w:rPr>
          <w:rFonts w:eastAsia="Times New Roman"/>
          <w:color w:val="000000"/>
          <w:sz w:val="20"/>
          <w:szCs w:val="20"/>
        </w:rPr>
        <w:t>Item 1. Legal Proceedings</w:t>
      </w:r>
    </w:p>
    <w:p w:rsidR="00000000" w:rsidRDefault="00100014">
      <w:pPr>
        <w:divId w:val="1998413270"/>
        <w:rPr>
          <w:rFonts w:eastAsia="Times New Roman"/>
        </w:rPr>
      </w:pPr>
      <w:r>
        <w:rPr>
          <w:rFonts w:eastAsia="Times New Roman"/>
          <w:color w:val="000000"/>
          <w:sz w:val="20"/>
          <w:szCs w:val="20"/>
        </w:rPr>
        <w:t xml:space="preserve">The information required by this Item is set forth in </w:t>
      </w:r>
      <w:r>
        <w:rPr>
          <w:rFonts w:eastAsia="Times New Roman"/>
          <w:i/>
          <w:iCs/>
          <w:color w:val="000000"/>
          <w:sz w:val="20"/>
          <w:szCs w:val="20"/>
        </w:rPr>
        <w:t>Note 15 -</w:t>
      </w:r>
      <w:r>
        <w:rPr>
          <w:rFonts w:eastAsia="Times New Roman"/>
          <w:color w:val="000000"/>
          <w:sz w:val="20"/>
          <w:szCs w:val="20"/>
        </w:rPr>
        <w:t xml:space="preserve"> </w:t>
      </w:r>
      <w:r>
        <w:rPr>
          <w:rFonts w:eastAsia="Times New Roman"/>
          <w:i/>
          <w:iCs/>
          <w:color w:val="000000"/>
          <w:sz w:val="20"/>
          <w:szCs w:val="20"/>
        </w:rPr>
        <w:t xml:space="preserve">Commitments and </w:t>
      </w:r>
      <w:r>
        <w:rPr>
          <w:rFonts w:eastAsia="Times New Roman"/>
          <w:i/>
          <w:iCs/>
          <w:color w:val="000000"/>
          <w:sz w:val="20"/>
          <w:szCs w:val="20"/>
        </w:rPr>
        <w:t>Contingencies, Pending Litigation,</w:t>
      </w:r>
      <w:r>
        <w:rPr>
          <w:rFonts w:eastAsia="Times New Roman"/>
          <w:color w:val="000000"/>
          <w:sz w:val="20"/>
          <w:szCs w:val="20"/>
        </w:rPr>
        <w:t xml:space="preserve"> in our Company’s Notes to Consolidated Financial Statements (</w:t>
      </w:r>
      <w:r>
        <w:rPr>
          <w:rFonts w:eastAsia="Times New Roman"/>
          <w:i/>
          <w:iCs/>
          <w:color w:val="000000"/>
          <w:sz w:val="20"/>
          <w:szCs w:val="20"/>
        </w:rPr>
        <w:t>unaudited)</w:t>
      </w:r>
      <w:r>
        <w:rPr>
          <w:rFonts w:eastAsia="Times New Roman"/>
          <w:color w:val="000000"/>
          <w:sz w:val="20"/>
          <w:szCs w:val="20"/>
        </w:rPr>
        <w:t xml:space="preserve">. </w:t>
      </w:r>
    </w:p>
    <w:p w:rsidR="00000000" w:rsidRDefault="00100014">
      <w:pPr>
        <w:jc w:val="both"/>
        <w:divId w:val="2104719139"/>
        <w:rPr>
          <w:rFonts w:eastAsia="Times New Roman"/>
        </w:rPr>
      </w:pPr>
      <w:r>
        <w:rPr>
          <w:rFonts w:eastAsia="Times New Roman"/>
          <w:color w:val="000000"/>
          <w:sz w:val="20"/>
          <w:szCs w:val="20"/>
        </w:rPr>
        <w:t>Item 1A. Risk Factors</w:t>
      </w:r>
    </w:p>
    <w:p w:rsidR="00000000" w:rsidRDefault="00100014">
      <w:pPr>
        <w:jc w:val="both"/>
        <w:divId w:val="781849433"/>
        <w:rPr>
          <w:rFonts w:eastAsia="Times New Roman"/>
        </w:rPr>
      </w:pPr>
      <w:r>
        <w:rPr>
          <w:rFonts w:eastAsia="Times New Roman"/>
          <w:color w:val="000000"/>
          <w:sz w:val="20"/>
          <w:szCs w:val="20"/>
        </w:rPr>
        <w:t>There has been no material change in risk factors previously disclosed under Part I, Item 1A of the Company's Annual Report o</w:t>
      </w:r>
      <w:r>
        <w:rPr>
          <w:rFonts w:eastAsia="Times New Roman"/>
          <w:color w:val="000000"/>
          <w:sz w:val="20"/>
          <w:szCs w:val="20"/>
        </w:rPr>
        <w:t>n Form 10-K for the year ended December 31, 2021.</w:t>
      </w:r>
    </w:p>
    <w:p w:rsidR="00000000" w:rsidRDefault="00100014">
      <w:pPr>
        <w:divId w:val="1350714681"/>
        <w:rPr>
          <w:rFonts w:eastAsia="Times New Roman"/>
        </w:rPr>
      </w:pPr>
      <w:r>
        <w:rPr>
          <w:rFonts w:eastAsia="Times New Roman"/>
          <w:color w:val="000000"/>
          <w:sz w:val="20"/>
          <w:szCs w:val="20"/>
        </w:rPr>
        <w:t>Item 2. Unregistered Sales of Equity Securities and Use of Proceeds</w:t>
      </w:r>
    </w:p>
    <w:p w:rsidR="00000000" w:rsidRDefault="00100014">
      <w:pPr>
        <w:divId w:val="887911476"/>
        <w:rPr>
          <w:rFonts w:eastAsia="Times New Roman"/>
        </w:rPr>
      </w:pPr>
      <w:r>
        <w:rPr>
          <w:rFonts w:eastAsia="Times New Roman"/>
          <w:b/>
          <w:bCs/>
          <w:color w:val="000000"/>
          <w:sz w:val="20"/>
          <w:szCs w:val="20"/>
        </w:rPr>
        <w:t>The Company's Purchases of Equity Securities</w:t>
      </w:r>
    </w:p>
    <w:p w:rsidR="00000000" w:rsidRDefault="00100014">
      <w:pPr>
        <w:ind w:firstLine="720"/>
        <w:jc w:val="both"/>
        <w:divId w:val="586353480"/>
        <w:rPr>
          <w:rFonts w:eastAsia="Times New Roman"/>
        </w:rPr>
      </w:pPr>
      <w:r>
        <w:rPr>
          <w:rFonts w:eastAsia="Times New Roman"/>
          <w:color w:val="000000"/>
          <w:sz w:val="20"/>
          <w:szCs w:val="20"/>
        </w:rPr>
        <w:t>The following table summarizes the purchases made by or on behalf of the Company or certain affiliated purchasers of shares of the Company's common stock during the quarter ended June 30, 2022:</w:t>
      </w:r>
    </w:p>
    <w:tbl>
      <w:tblPr>
        <w:tblW w:w="5000" w:type="pct"/>
        <w:tblCellMar>
          <w:top w:w="15" w:type="dxa"/>
          <w:left w:w="15" w:type="dxa"/>
          <w:bottom w:w="15" w:type="dxa"/>
          <w:right w:w="15" w:type="dxa"/>
        </w:tblCellMar>
        <w:tblLook w:val="04A0" w:firstRow="1" w:lastRow="0" w:firstColumn="1" w:lastColumn="0" w:noHBand="0" w:noVBand="1"/>
      </w:tblPr>
      <w:tblGrid>
        <w:gridCol w:w="37"/>
        <w:gridCol w:w="2348"/>
        <w:gridCol w:w="36"/>
        <w:gridCol w:w="36"/>
        <w:gridCol w:w="36"/>
        <w:gridCol w:w="36"/>
        <w:gridCol w:w="51"/>
        <w:gridCol w:w="1048"/>
        <w:gridCol w:w="36"/>
        <w:gridCol w:w="36"/>
        <w:gridCol w:w="36"/>
        <w:gridCol w:w="36"/>
        <w:gridCol w:w="121"/>
        <w:gridCol w:w="1016"/>
        <w:gridCol w:w="36"/>
        <w:gridCol w:w="36"/>
        <w:gridCol w:w="36"/>
        <w:gridCol w:w="36"/>
        <w:gridCol w:w="43"/>
        <w:gridCol w:w="1450"/>
        <w:gridCol w:w="36"/>
        <w:gridCol w:w="36"/>
        <w:gridCol w:w="36"/>
        <w:gridCol w:w="36"/>
        <w:gridCol w:w="121"/>
        <w:gridCol w:w="1459"/>
        <w:gridCol w:w="36"/>
      </w:tblGrid>
      <w:tr w:rsidR="00000000">
        <w:trPr>
          <w:divId w:val="1981225531"/>
        </w:trPr>
        <w:tc>
          <w:tcPr>
            <w:tcW w:w="50" w:type="pct"/>
            <w:vAlign w:val="center"/>
            <w:hideMark/>
          </w:tcPr>
          <w:p w:rsidR="00000000" w:rsidRDefault="00100014">
            <w:pPr>
              <w:ind w:firstLine="720"/>
              <w:jc w:val="both"/>
              <w:rPr>
                <w:rFonts w:eastAsia="Times New Roman"/>
              </w:rPr>
            </w:pPr>
          </w:p>
        </w:tc>
        <w:tc>
          <w:tcPr>
            <w:tcW w:w="144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9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641"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9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0"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90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981225531"/>
        </w:trPr>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Period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(a) Total Number of</w:t>
            </w:r>
            <w:r>
              <w:rPr>
                <w:rFonts w:eastAsia="Times New Roman"/>
                <w:b/>
                <w:bCs/>
                <w:color w:val="000000"/>
                <w:sz w:val="16"/>
                <w:szCs w:val="16"/>
              </w:rPr>
              <w:br/>
              <w:t>Shares (or Units)</w:t>
            </w:r>
            <w:r>
              <w:rPr>
                <w:rFonts w:eastAsia="Times New Roman"/>
                <w:b/>
                <w:bCs/>
                <w:color w:val="000000"/>
                <w:sz w:val="16"/>
                <w:szCs w:val="16"/>
              </w:rPr>
              <w:br/>
              <w:t>Purchased</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(b) Average Price</w:t>
            </w:r>
            <w:r>
              <w:rPr>
                <w:rFonts w:eastAsia="Times New Roman"/>
                <w:b/>
                <w:bCs/>
                <w:color w:val="000000"/>
                <w:sz w:val="16"/>
                <w:szCs w:val="16"/>
              </w:rPr>
              <w:br/>
              <w:t>Paid per Share (or</w:t>
            </w:r>
            <w:r>
              <w:rPr>
                <w:rFonts w:eastAsia="Times New Roman"/>
                <w:b/>
                <w:bCs/>
                <w:color w:val="000000"/>
                <w:sz w:val="16"/>
                <w:szCs w:val="16"/>
              </w:rPr>
              <w:br/>
              <w:t>Unit)</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(c) Total Number of</w:t>
            </w:r>
            <w:r>
              <w:rPr>
                <w:rFonts w:eastAsia="Times New Roman"/>
                <w:b/>
                <w:bCs/>
                <w:color w:val="000000"/>
                <w:sz w:val="16"/>
                <w:szCs w:val="16"/>
              </w:rPr>
              <w:br/>
              <w:t>Shares (or Units)</w:t>
            </w:r>
            <w:r>
              <w:rPr>
                <w:rFonts w:eastAsia="Times New Roman"/>
                <w:b/>
                <w:bCs/>
                <w:color w:val="000000"/>
                <w:sz w:val="16"/>
                <w:szCs w:val="16"/>
              </w:rPr>
              <w:br/>
              <w:t>Purchased as Part of</w:t>
            </w:r>
            <w:r>
              <w:rPr>
                <w:rFonts w:eastAsia="Times New Roman"/>
                <w:b/>
                <w:bCs/>
                <w:color w:val="000000"/>
                <w:sz w:val="16"/>
                <w:szCs w:val="16"/>
              </w:rPr>
              <w:br/>
              <w:t>Publicly Announced Plans</w:t>
            </w:r>
            <w:r>
              <w:rPr>
                <w:rFonts w:eastAsia="Times New Roman"/>
                <w:b/>
                <w:bCs/>
                <w:color w:val="000000"/>
                <w:sz w:val="16"/>
                <w:szCs w:val="16"/>
              </w:rPr>
              <w:br/>
              <w:t>or Programs</w:t>
            </w:r>
          </w:p>
        </w:tc>
        <w:tc>
          <w:tcPr>
            <w:tcW w:w="0" w:type="auto"/>
            <w:gridSpan w:val="3"/>
            <w:tcMar>
              <w:top w:w="0" w:type="dxa"/>
              <w:left w:w="20" w:type="dxa"/>
              <w:bottom w:w="0" w:type="dxa"/>
              <w:right w:w="20" w:type="dxa"/>
            </w:tcMar>
            <w:vAlign w:val="center"/>
            <w:hideMark/>
          </w:tcPr>
          <w:p w:rsidR="00000000" w:rsidRDefault="001000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 Maximum Number (or</w:t>
            </w:r>
            <w:r>
              <w:rPr>
                <w:rFonts w:eastAsia="Times New Roman"/>
                <w:b/>
                <w:bCs/>
                <w:color w:val="000000"/>
                <w:sz w:val="16"/>
                <w:szCs w:val="16"/>
              </w:rPr>
              <w:br/>
            </w:r>
            <w:r>
              <w:rPr>
                <w:rFonts w:eastAsia="Times New Roman"/>
                <w:b/>
                <w:bCs/>
                <w:color w:val="000000"/>
                <w:sz w:val="16"/>
                <w:szCs w:val="16"/>
              </w:rPr>
              <w:t>Approximate Dollar</w:t>
            </w:r>
            <w:r>
              <w:rPr>
                <w:rFonts w:eastAsia="Times New Roman"/>
                <w:b/>
                <w:bCs/>
                <w:color w:val="000000"/>
                <w:sz w:val="16"/>
                <w:szCs w:val="16"/>
              </w:rPr>
              <w:br/>
              <w:t>Value) of Shares (or</w:t>
            </w:r>
            <w:r>
              <w:rPr>
                <w:rFonts w:eastAsia="Times New Roman"/>
                <w:b/>
                <w:bCs/>
                <w:color w:val="000000"/>
                <w:sz w:val="16"/>
                <w:szCs w:val="16"/>
              </w:rPr>
              <w:br/>
              <w:t>Units) that May Yet Be</w:t>
            </w:r>
            <w:r>
              <w:rPr>
                <w:rFonts w:eastAsia="Times New Roman"/>
                <w:b/>
                <w:bCs/>
                <w:color w:val="000000"/>
                <w:sz w:val="16"/>
                <w:szCs w:val="16"/>
              </w:rPr>
              <w:br/>
              <w:t>Purchased Under the</w:t>
            </w:r>
            <w:r>
              <w:rPr>
                <w:rFonts w:eastAsia="Times New Roman"/>
                <w:b/>
                <w:bCs/>
                <w:color w:val="000000"/>
                <w:sz w:val="16"/>
                <w:szCs w:val="16"/>
              </w:rPr>
              <w:br/>
              <w:t>Plans or Programs *</w:t>
            </w:r>
          </w:p>
        </w:tc>
      </w:tr>
      <w:tr w:rsidR="00000000">
        <w:trPr>
          <w:divId w:val="198122553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April 1-30,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85,188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26.83</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85,188</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2,108,107</w:t>
            </w:r>
          </w:p>
        </w:tc>
      </w:tr>
      <w:tr w:rsidR="00000000">
        <w:trPr>
          <w:divId w:val="1981225531"/>
        </w:trPr>
        <w:tc>
          <w:tcPr>
            <w:tcW w:w="0" w:type="auto"/>
            <w:gridSpan w:val="3"/>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May 1-31, 2022</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2,108,107</w:t>
            </w:r>
          </w:p>
        </w:tc>
      </w:tr>
      <w:tr w:rsidR="00000000">
        <w:trPr>
          <w:divId w:val="1981225531"/>
        </w:trPr>
        <w:tc>
          <w:tcPr>
            <w:tcW w:w="0" w:type="auto"/>
            <w:gridSpan w:val="3"/>
            <w:shd w:val="clear" w:color="auto" w:fill="CCEE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June 1-30, 2022</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shd w:val="clear" w:color="auto" w:fill="CCEE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2,108,107</w:t>
            </w:r>
          </w:p>
        </w:tc>
      </w:tr>
      <w:tr w:rsidR="00000000">
        <w:trPr>
          <w:divId w:val="1981225531"/>
        </w:trPr>
        <w:tc>
          <w:tcPr>
            <w:tcW w:w="0" w:type="auto"/>
            <w:gridSpan w:val="3"/>
            <w:tcBorders>
              <w:top w:val="single" w:sz="8"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100014">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85,188</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26.83</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85,188</w:t>
            </w: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100014">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00014">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7" w:type="dxa"/>
            </w:tcMar>
            <w:vAlign w:val="bottom"/>
            <w:hideMark/>
          </w:tcPr>
          <w:p w:rsidR="00000000" w:rsidRDefault="00100014">
            <w:pPr>
              <w:spacing w:after="100"/>
              <w:jc w:val="right"/>
              <w:rPr>
                <w:rFonts w:eastAsia="Times New Roman"/>
              </w:rPr>
            </w:pPr>
            <w:r>
              <w:rPr>
                <w:rFonts w:eastAsia="Times New Roman"/>
                <w:color w:val="000000"/>
                <w:sz w:val="20"/>
                <w:szCs w:val="20"/>
              </w:rPr>
              <w:t>2,108,107</w:t>
            </w:r>
          </w:p>
        </w:tc>
      </w:tr>
    </w:tbl>
    <w:p w:rsidR="00000000" w:rsidRDefault="00100014">
      <w:pPr>
        <w:divId w:val="1770393214"/>
        <w:rPr>
          <w:rFonts w:eastAsia="Times New Roman"/>
        </w:rPr>
      </w:pPr>
    </w:p>
    <w:p w:rsidR="00000000" w:rsidRDefault="00100014">
      <w:pPr>
        <w:ind w:hanging="720"/>
        <w:jc w:val="both"/>
        <w:rPr>
          <w:rFonts w:eastAsia="Times New Roman"/>
        </w:rPr>
      </w:pPr>
      <w:r>
        <w:rPr>
          <w:rFonts w:eastAsia="Times New Roman"/>
          <w:color w:val="000000"/>
          <w:sz w:val="20"/>
          <w:szCs w:val="20"/>
        </w:rPr>
        <w:t>*The Company's 2019 Repurchase Plan was amended during the second quarter 2021 to authorize the purchase of up to an additional $5.0 m</w:t>
      </w:r>
      <w:r>
        <w:rPr>
          <w:rFonts w:eastAsia="Times New Roman"/>
          <w:color w:val="000000"/>
          <w:sz w:val="20"/>
          <w:szCs w:val="20"/>
        </w:rPr>
        <w:t>illion in market value of the Company's common stock. Management was given discretion to determine the number and pricing of the shares to be purchased, as well as the timing of any such purchases. As of June 30, 2022, $2.1 million remained available for s</w:t>
      </w:r>
      <w:r>
        <w:rPr>
          <w:rFonts w:eastAsia="Times New Roman"/>
          <w:color w:val="000000"/>
          <w:sz w:val="20"/>
          <w:szCs w:val="20"/>
        </w:rPr>
        <w:t>hare repurchases pursuant to that authorization.</w:t>
      </w:r>
    </w:p>
    <w:p w:rsidR="00000000" w:rsidRDefault="00100014">
      <w:pPr>
        <w:ind w:hanging="360"/>
        <w:divId w:val="303045953"/>
        <w:rPr>
          <w:rFonts w:eastAsia="Times New Roman"/>
        </w:rPr>
      </w:pPr>
    </w:p>
    <w:p w:rsidR="00000000" w:rsidRDefault="00100014">
      <w:pPr>
        <w:divId w:val="1384019010"/>
        <w:rPr>
          <w:rFonts w:eastAsia="Times New Roman"/>
        </w:rPr>
      </w:pPr>
      <w:r>
        <w:rPr>
          <w:rFonts w:eastAsia="Times New Roman"/>
          <w:color w:val="000000"/>
          <w:sz w:val="20"/>
          <w:szCs w:val="20"/>
        </w:rPr>
        <w:t>Item 3. Defaults Upon Senior Securities</w:t>
      </w:r>
    </w:p>
    <w:p w:rsidR="00000000" w:rsidRDefault="00100014">
      <w:pPr>
        <w:divId w:val="802962773"/>
        <w:rPr>
          <w:rFonts w:eastAsia="Times New Roman"/>
        </w:rPr>
      </w:pPr>
      <w:r>
        <w:rPr>
          <w:rFonts w:eastAsia="Times New Roman"/>
          <w:color w:val="000000"/>
          <w:sz w:val="20"/>
          <w:szCs w:val="20"/>
        </w:rPr>
        <w:t>None.</w:t>
      </w:r>
    </w:p>
    <w:p w:rsidR="00000000" w:rsidRDefault="00100014">
      <w:pPr>
        <w:divId w:val="284313970"/>
        <w:rPr>
          <w:rFonts w:eastAsia="Times New Roman"/>
        </w:rPr>
      </w:pPr>
      <w:r>
        <w:rPr>
          <w:rFonts w:eastAsia="Times New Roman"/>
          <w:color w:val="000000"/>
          <w:sz w:val="20"/>
          <w:szCs w:val="20"/>
        </w:rPr>
        <w:t>Item 4. Mine Safety Disclosures</w:t>
      </w:r>
    </w:p>
    <w:p w:rsidR="00000000" w:rsidRDefault="00100014">
      <w:pPr>
        <w:divId w:val="714039628"/>
        <w:rPr>
          <w:rFonts w:eastAsia="Times New Roman"/>
        </w:rPr>
      </w:pPr>
      <w:r>
        <w:rPr>
          <w:rFonts w:eastAsia="Times New Roman"/>
          <w:color w:val="000000"/>
          <w:sz w:val="20"/>
          <w:szCs w:val="20"/>
        </w:rPr>
        <w:t xml:space="preserve">None. </w:t>
      </w:r>
    </w:p>
    <w:p w:rsidR="00000000" w:rsidRDefault="00100014">
      <w:pPr>
        <w:divId w:val="1138377755"/>
        <w:rPr>
          <w:rFonts w:eastAsia="Times New Roman"/>
        </w:rPr>
      </w:pPr>
      <w:r>
        <w:rPr>
          <w:rFonts w:eastAsia="Times New Roman"/>
          <w:color w:val="000000"/>
          <w:sz w:val="20"/>
          <w:szCs w:val="20"/>
        </w:rPr>
        <w:t>Item 5. Other Information</w:t>
      </w:r>
    </w:p>
    <w:p w:rsidR="00000000" w:rsidRDefault="00100014">
      <w:pPr>
        <w:divId w:val="1413237566"/>
        <w:rPr>
          <w:rFonts w:eastAsia="Times New Roman"/>
        </w:rPr>
      </w:pPr>
      <w:r>
        <w:rPr>
          <w:rFonts w:eastAsia="Times New Roman"/>
          <w:color w:val="000000"/>
          <w:sz w:val="20"/>
          <w:szCs w:val="20"/>
        </w:rPr>
        <w:t>None.</w:t>
      </w:r>
    </w:p>
    <w:p w:rsidR="00000000" w:rsidRDefault="00100014">
      <w:pPr>
        <w:jc w:val="center"/>
        <w:divId w:val="574121411"/>
        <w:rPr>
          <w:rFonts w:eastAsia="Times New Roman"/>
        </w:rPr>
      </w:pPr>
      <w:r>
        <w:rPr>
          <w:rFonts w:eastAsia="Times New Roman"/>
          <w:color w:val="000000"/>
          <w:sz w:val="20"/>
          <w:szCs w:val="20"/>
        </w:rPr>
        <w:t>61</w:t>
      </w:r>
    </w:p>
    <w:p w:rsidR="00000000" w:rsidRDefault="00100014">
      <w:pPr>
        <w:rPr>
          <w:rFonts w:eastAsia="Times New Roman"/>
        </w:rPr>
      </w:pPr>
      <w:r>
        <w:rPr>
          <w:rFonts w:eastAsia="Times New Roman"/>
        </w:rPr>
        <w:pict>
          <v:rect id="_x0000_i1085" style="width:0;height:1.5pt" o:hralign="center" o:hrstd="t" o:hr="t" fillcolor="#a0a0a0" stroked="f"/>
        </w:pict>
      </w:r>
    </w:p>
    <w:p w:rsidR="00000000" w:rsidRDefault="00100014">
      <w:pPr>
        <w:divId w:val="683674556"/>
        <w:rPr>
          <w:rFonts w:eastAsia="Times New Roman"/>
        </w:rPr>
      </w:pPr>
    </w:p>
    <w:p w:rsidR="00000000" w:rsidRDefault="00100014">
      <w:pPr>
        <w:divId w:val="1603535006"/>
        <w:rPr>
          <w:rFonts w:eastAsia="Times New Roman"/>
        </w:rPr>
      </w:pPr>
      <w:r>
        <w:rPr>
          <w:rFonts w:eastAsia="Times New Roman"/>
          <w:color w:val="000000"/>
          <w:sz w:val="20"/>
          <w:szCs w:val="20"/>
        </w:rPr>
        <w:t>Item 6. Exhibits</w:t>
      </w:r>
    </w:p>
    <w:tbl>
      <w:tblPr>
        <w:tblW w:w="4992" w:type="pct"/>
        <w:tblCellMar>
          <w:top w:w="15" w:type="dxa"/>
          <w:left w:w="15" w:type="dxa"/>
          <w:bottom w:w="15" w:type="dxa"/>
          <w:right w:w="15" w:type="dxa"/>
        </w:tblCellMar>
        <w:tblLook w:val="04A0" w:firstRow="1" w:lastRow="0" w:firstColumn="1" w:lastColumn="0" w:noHBand="0" w:noVBand="1"/>
      </w:tblPr>
      <w:tblGrid>
        <w:gridCol w:w="64"/>
        <w:gridCol w:w="1076"/>
        <w:gridCol w:w="38"/>
        <w:gridCol w:w="36"/>
        <w:gridCol w:w="36"/>
        <w:gridCol w:w="36"/>
        <w:gridCol w:w="47"/>
        <w:gridCol w:w="6924"/>
        <w:gridCol w:w="36"/>
      </w:tblGrid>
      <w:tr w:rsidR="00000000">
        <w:trPr>
          <w:divId w:val="2107116791"/>
        </w:trPr>
        <w:tc>
          <w:tcPr>
            <w:tcW w:w="50" w:type="pct"/>
            <w:vAlign w:val="center"/>
            <w:hideMark/>
          </w:tcPr>
          <w:p w:rsidR="00000000" w:rsidRDefault="00100014">
            <w:pPr>
              <w:rPr>
                <w:rFonts w:eastAsia="Times New Roman"/>
              </w:rPr>
            </w:pPr>
          </w:p>
        </w:tc>
        <w:tc>
          <w:tcPr>
            <w:tcW w:w="66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27"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4186"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2107116791"/>
        </w:trPr>
        <w:tc>
          <w:tcPr>
            <w:tcW w:w="0" w:type="auto"/>
            <w:gridSpan w:val="3"/>
            <w:tcMar>
              <w:top w:w="30" w:type="dxa"/>
              <w:left w:w="20" w:type="dxa"/>
              <w:bottom w:w="30" w:type="dxa"/>
              <w:right w:w="164" w:type="dxa"/>
            </w:tcMar>
            <w:vAlign w:val="bottom"/>
            <w:hideMark/>
          </w:tcPr>
          <w:p w:rsidR="00000000" w:rsidRDefault="00100014">
            <w:pPr>
              <w:spacing w:after="100"/>
              <w:jc w:val="both"/>
              <w:rPr>
                <w:rFonts w:eastAsia="Times New Roman"/>
              </w:rPr>
            </w:pPr>
            <w:r>
              <w:rPr>
                <w:rFonts w:eastAsia="Times New Roman"/>
                <w:b/>
                <w:bCs/>
                <w:color w:val="000000"/>
                <w:sz w:val="16"/>
                <w:szCs w:val="16"/>
              </w:rPr>
              <w:t>Exhibit No.</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100014">
            <w:pPr>
              <w:spacing w:after="100"/>
              <w:jc w:val="center"/>
              <w:rPr>
                <w:rFonts w:eastAsia="Times New Roman"/>
              </w:rPr>
            </w:pPr>
            <w:r>
              <w:rPr>
                <w:rFonts w:eastAsia="Times New Roman"/>
                <w:b/>
                <w:bCs/>
                <w:color w:val="000000"/>
                <w:sz w:val="16"/>
                <w:szCs w:val="16"/>
              </w:rPr>
              <w:t>Description</w:t>
            </w:r>
          </w:p>
        </w:tc>
      </w:tr>
      <w:tr w:rsidR="00000000">
        <w:trPr>
          <w:divId w:val="2107116791"/>
        </w:trPr>
        <w:tc>
          <w:tcPr>
            <w:tcW w:w="0" w:type="auto"/>
            <w:gridSpan w:val="3"/>
            <w:tcBorders>
              <w:top w:val="single" w:sz="8" w:space="0" w:color="000000"/>
            </w:tcBorders>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00014">
            <w:pPr>
              <w:spacing w:after="100"/>
              <w:divId w:val="770853930"/>
              <w:rPr>
                <w:rFonts w:eastAsia="Times New Roman"/>
              </w:rPr>
            </w:pPr>
            <w:hyperlink r:id="rId4" w:history="1">
              <w:r>
                <w:rPr>
                  <w:rStyle w:val="a3"/>
                  <w:rFonts w:eastAsia="Times New Roman"/>
                  <w:sz w:val="20"/>
                  <w:szCs w:val="20"/>
                </w:rPr>
                <w:t>Restated Articles of Incorporation of the Company (filed as Exhibit 3.1 to the Company's current report on Form 8-K on August 9, 2007 and incorporated herein by r</w:t>
              </w:r>
              <w:r>
                <w:rPr>
                  <w:rStyle w:val="a3"/>
                  <w:rFonts w:eastAsia="Times New Roman"/>
                  <w:sz w:val="20"/>
                  <w:szCs w:val="20"/>
                </w:rPr>
                <w:t>eference).</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divId w:val="172115107"/>
              <w:rPr>
                <w:rFonts w:eastAsia="Times New Roman"/>
              </w:rPr>
            </w:pPr>
            <w:hyperlink r:id="rId5" w:history="1">
              <w:r>
                <w:rPr>
                  <w:rStyle w:val="a3"/>
                  <w:rFonts w:eastAsia="Times New Roman"/>
                  <w:sz w:val="20"/>
                  <w:szCs w:val="20"/>
                </w:rPr>
                <w:t>Amended and Restated Bylaws of the Company (filed as Exhibit 3.1 to the Company's current report on Form 8-K on January 27, 2021 and incorporated herein by reference).</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divId w:val="1202594196"/>
              <w:rPr>
                <w:rFonts w:eastAsia="Times New Roman"/>
              </w:rPr>
            </w:pPr>
            <w:hyperlink r:id="rId6" w:history="1">
              <w:r>
                <w:rPr>
                  <w:rStyle w:val="a3"/>
                  <w:rFonts w:eastAsia="Times New Roman"/>
                  <w:sz w:val="20"/>
                  <w:szCs w:val="20"/>
                </w:rPr>
                <w:t>Specimen certificate representing shares of the Company's $1.00 par value Common Stock (filed as Exhibit 4.1 to the Company's current report on Form 8-K/A on June 23, 2017 and incorporated herein by reference).</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divId w:val="972251548"/>
              <w:rPr>
                <w:rFonts w:eastAsia="Times New Roman"/>
              </w:rPr>
            </w:pPr>
            <w:hyperlink r:id="rId7" w:history="1">
              <w:r>
                <w:rPr>
                  <w:rStyle w:val="a3"/>
                  <w:rFonts w:eastAsia="Times New Roman"/>
                  <w:sz w:val="20"/>
                  <w:szCs w:val="20"/>
                </w:rPr>
                <w:t>Certificate of the Chief Executive Officer of the Company pursuant to Rule 13a-14(a) or 15d-14(a) of the Securities Exchange Act of 1934, as adopted pursuant to Section 302 of the Sarbanes-Oxley Act of 2002.</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divId w:val="1221477534"/>
              <w:rPr>
                <w:rFonts w:eastAsia="Times New Roman"/>
              </w:rPr>
            </w:pPr>
            <w:hyperlink r:id="rId8" w:history="1">
              <w:r>
                <w:rPr>
                  <w:rStyle w:val="a3"/>
                  <w:rFonts w:eastAsia="Times New Roman"/>
                  <w:sz w:val="20"/>
                  <w:szCs w:val="20"/>
                </w:rPr>
                <w:t>Certificate of the Chief Financial Officer of the Company pursuant to Rule 13a-14(a) or 15d-14(a) of the Securities Exchange Act of 1934, as adopted pursuant to Section 302 of the Sarbanes-Oxley Act of 2002.</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divId w:val="2009092234"/>
              <w:rPr>
                <w:rFonts w:eastAsia="Times New Roman"/>
              </w:rPr>
            </w:pPr>
            <w:hyperlink r:id="rId9" w:history="1">
              <w:r>
                <w:rPr>
                  <w:rStyle w:val="a3"/>
                  <w:rFonts w:eastAsia="Times New Roman"/>
                  <w:sz w:val="20"/>
                  <w:szCs w:val="20"/>
                </w:rPr>
                <w:t>Certificate of the Chief Executive Officer of the Company pursuant to 18 U.S.C. Section 1350, as adopted pursuant to Section 906 of the Sarbanes-Oxley Act of 2002.</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divId w:val="1568607746"/>
              <w:rPr>
                <w:rFonts w:eastAsia="Times New Roman"/>
              </w:rPr>
            </w:pPr>
            <w:hyperlink r:id="rId10" w:history="1">
              <w:r>
                <w:rPr>
                  <w:rStyle w:val="a3"/>
                  <w:rFonts w:eastAsia="Times New Roman"/>
                  <w:sz w:val="20"/>
                  <w:szCs w:val="20"/>
                </w:rPr>
                <w:t>Certificate of the Chief Financial Officer of the Company pursuant to 18 U.S.C. Section 1350, as adopted pursuant to Section 906 of the Sarbanes-Oxley Act of 2002.</w:t>
              </w:r>
            </w:hyperlink>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Inline XBRL Instance Document (the instance</w:t>
            </w:r>
            <w:r>
              <w:rPr>
                <w:rFonts w:eastAsia="Times New Roman"/>
                <w:color w:val="000000"/>
                <w:sz w:val="20"/>
                <w:szCs w:val="20"/>
              </w:rPr>
              <w:t xml:space="preserve"> document does not appear in the Interactive Data File because its XBRL tags are embedded within the Inline XBRL document).</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Inline XBRL Taxonomy Extension Schema Document.</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 xml:space="preserve">Inline XBRL Taxonomy Extension Calculation Linkbase Document. </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Inline XBRL Taxonomy Extension Definition Linkbase Document.</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 xml:space="preserve">Inline XBRL Taxonomy Extension Label Linkbase Document. </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 xml:space="preserve">Inline XBRL Taxonomy Extension Presentation Linkbase Document. </w:t>
            </w:r>
          </w:p>
        </w:tc>
      </w:tr>
      <w:tr w:rsidR="00000000">
        <w:trPr>
          <w:divId w:val="2107116791"/>
        </w:trPr>
        <w:tc>
          <w:tcPr>
            <w:tcW w:w="0" w:type="auto"/>
            <w:gridSpan w:val="3"/>
            <w:tcMar>
              <w:top w:w="30" w:type="dxa"/>
              <w:left w:w="20" w:type="dxa"/>
              <w:bottom w:w="30" w:type="dxa"/>
              <w:right w:w="164" w:type="dxa"/>
            </w:tcMar>
            <w:hideMark/>
          </w:tcPr>
          <w:p w:rsidR="00000000" w:rsidRDefault="00100014">
            <w:pPr>
              <w:spacing w:after="100"/>
              <w:jc w:val="both"/>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100014">
            <w:pPr>
              <w:spacing w:after="100"/>
              <w:jc w:val="both"/>
              <w:rPr>
                <w:rFonts w:eastAsia="Times New Roman"/>
              </w:rPr>
            </w:pPr>
          </w:p>
        </w:tc>
        <w:tc>
          <w:tcPr>
            <w:tcW w:w="0" w:type="auto"/>
            <w:gridSpan w:val="3"/>
            <w:tcMar>
              <w:top w:w="30" w:type="dxa"/>
              <w:left w:w="20" w:type="dxa"/>
              <w:bottom w:w="30" w:type="dxa"/>
              <w:right w:w="20" w:type="dxa"/>
            </w:tcMar>
            <w:hideMark/>
          </w:tcPr>
          <w:p w:rsidR="00000000" w:rsidRDefault="00100014">
            <w:pPr>
              <w:spacing w:after="100"/>
              <w:jc w:val="both"/>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100014">
      <w:pPr>
        <w:jc w:val="center"/>
        <w:divId w:val="2007316945"/>
        <w:rPr>
          <w:rFonts w:eastAsia="Times New Roman"/>
        </w:rPr>
      </w:pPr>
      <w:r>
        <w:rPr>
          <w:rFonts w:eastAsia="Times New Roman"/>
          <w:color w:val="000000"/>
          <w:sz w:val="20"/>
          <w:szCs w:val="20"/>
        </w:rPr>
        <w:t>62</w:t>
      </w:r>
    </w:p>
    <w:p w:rsidR="00000000" w:rsidRDefault="00100014">
      <w:pPr>
        <w:rPr>
          <w:rFonts w:eastAsia="Times New Roman"/>
        </w:rPr>
      </w:pPr>
      <w:r>
        <w:rPr>
          <w:rFonts w:eastAsia="Times New Roman"/>
        </w:rPr>
        <w:pict>
          <v:rect id="_x0000_i1086" style="width:0;height:1.5pt" o:hralign="center" o:hrstd="t" o:hr="t" fillcolor="#a0a0a0" stroked="f"/>
        </w:pict>
      </w:r>
    </w:p>
    <w:p w:rsidR="00000000" w:rsidRDefault="00100014">
      <w:pPr>
        <w:divId w:val="1258102593"/>
        <w:rPr>
          <w:rFonts w:eastAsia="Times New Roman"/>
        </w:rPr>
      </w:pPr>
    </w:p>
    <w:p w:rsidR="00000000" w:rsidRDefault="00100014">
      <w:pPr>
        <w:jc w:val="center"/>
        <w:divId w:val="147137740"/>
        <w:rPr>
          <w:rFonts w:eastAsia="Times New Roman"/>
        </w:rPr>
      </w:pPr>
      <w:r>
        <w:rPr>
          <w:rFonts w:eastAsia="Times New Roman"/>
          <w:b/>
          <w:bCs/>
          <w:color w:val="000000"/>
          <w:sz w:val="20"/>
          <w:szCs w:val="20"/>
        </w:rPr>
        <w:t>SIGNATURES</w:t>
      </w:r>
    </w:p>
    <w:p w:rsidR="00000000" w:rsidRDefault="00100014">
      <w:pPr>
        <w:jc w:val="both"/>
        <w:divId w:val="1179932219"/>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92" w:type="pct"/>
        <w:tblCellMar>
          <w:top w:w="15" w:type="dxa"/>
          <w:left w:w="15" w:type="dxa"/>
          <w:bottom w:w="15" w:type="dxa"/>
          <w:right w:w="15" w:type="dxa"/>
        </w:tblCellMar>
        <w:tblLook w:val="04A0" w:firstRow="1" w:lastRow="0" w:firstColumn="1" w:lastColumn="0" w:noHBand="0" w:noVBand="1"/>
      </w:tblPr>
      <w:tblGrid>
        <w:gridCol w:w="68"/>
        <w:gridCol w:w="2814"/>
        <w:gridCol w:w="37"/>
        <w:gridCol w:w="69"/>
        <w:gridCol w:w="5269"/>
        <w:gridCol w:w="36"/>
      </w:tblGrid>
      <w:tr w:rsidR="00000000">
        <w:trPr>
          <w:divId w:val="1790973350"/>
        </w:trPr>
        <w:tc>
          <w:tcPr>
            <w:tcW w:w="50" w:type="pct"/>
            <w:vAlign w:val="center"/>
            <w:hideMark/>
          </w:tcPr>
          <w:p w:rsidR="00000000" w:rsidRDefault="00100014">
            <w:pPr>
              <w:jc w:val="both"/>
              <w:rPr>
                <w:rFonts w:eastAsia="Times New Roman"/>
              </w:rPr>
            </w:pPr>
          </w:p>
        </w:tc>
        <w:tc>
          <w:tcPr>
            <w:tcW w:w="1705"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c>
          <w:tcPr>
            <w:tcW w:w="50" w:type="pct"/>
            <w:vAlign w:val="center"/>
            <w:hideMark/>
          </w:tcPr>
          <w:p w:rsidR="00000000" w:rsidRDefault="00100014">
            <w:pPr>
              <w:spacing w:after="100"/>
              <w:rPr>
                <w:rFonts w:eastAsia="Times New Roman"/>
                <w:sz w:val="20"/>
                <w:szCs w:val="20"/>
              </w:rPr>
            </w:pPr>
          </w:p>
        </w:tc>
        <w:tc>
          <w:tcPr>
            <w:tcW w:w="3184" w:type="pct"/>
            <w:vAlign w:val="center"/>
            <w:hideMark/>
          </w:tcPr>
          <w:p w:rsidR="00000000" w:rsidRDefault="00100014">
            <w:pPr>
              <w:spacing w:after="100"/>
              <w:rPr>
                <w:rFonts w:eastAsia="Times New Roman"/>
                <w:sz w:val="20"/>
                <w:szCs w:val="20"/>
              </w:rPr>
            </w:pPr>
          </w:p>
        </w:tc>
        <w:tc>
          <w:tcPr>
            <w:tcW w:w="5" w:type="pct"/>
            <w:vAlign w:val="center"/>
            <w:hideMark/>
          </w:tcPr>
          <w:p w:rsidR="00000000" w:rsidRDefault="00100014">
            <w:pPr>
              <w:spacing w:after="100"/>
              <w:rPr>
                <w:rFonts w:eastAsia="Times New Roman"/>
                <w:sz w:val="20"/>
                <w:szCs w:val="20"/>
              </w:rPr>
            </w:pP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b/>
                <w:bCs/>
                <w:color w:val="000000"/>
                <w:sz w:val="20"/>
                <w:szCs w:val="20"/>
              </w:rPr>
              <w:t>HAWTHORN BANCSHARES, INC.</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20" w:type="dxa"/>
              <w:bottom w:w="30" w:type="dxa"/>
              <w:right w:w="20" w:type="dxa"/>
            </w:tcMar>
            <w:hideMark/>
          </w:tcPr>
          <w:p w:rsidR="00000000" w:rsidRDefault="00100014">
            <w:pPr>
              <w:spacing w:after="100"/>
              <w:ind w:hanging="144"/>
              <w:divId w:val="917443687"/>
              <w:rPr>
                <w:rFonts w:eastAsia="Times New Roman"/>
              </w:rPr>
            </w:pPr>
            <w:r>
              <w:rPr>
                <w:rFonts w:eastAsia="Times New Roman"/>
                <w:color w:val="000000"/>
                <w:sz w:val="20"/>
                <w:szCs w:val="20"/>
                <w:u w:val="single"/>
              </w:rPr>
              <w:t>Date</w:t>
            </w:r>
            <w:r>
              <w:rPr>
                <w:rFonts w:eastAsia="Times New Roman"/>
                <w:color w:val="000000"/>
                <w:sz w:val="20"/>
                <w:szCs w:val="20"/>
              </w:rPr>
              <w:t xml:space="preserve">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/s/ David T. Turner</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August 11, 2022</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David T. Turner, Chairman of the Board, President and</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Chief Executive Officer (Principal Executive Officer)</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/s/ Stephen E. Guthrie</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r w:rsidR="00000000">
        <w:trPr>
          <w:divId w:val="1790973350"/>
        </w:trPr>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August 11, 2022</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Stephen E. Guthrie, Chief Financial Officer (Principal Financial Officer and Principal Accounting Officer)</w:t>
            </w:r>
          </w:p>
        </w:tc>
      </w:tr>
      <w:tr w:rsidR="00000000">
        <w:trPr>
          <w:divId w:val="1790973350"/>
        </w:trPr>
        <w:tc>
          <w:tcPr>
            <w:tcW w:w="0" w:type="auto"/>
            <w:gridSpan w:val="3"/>
            <w:tcMar>
              <w:top w:w="30" w:type="dxa"/>
              <w:left w:w="164" w:type="dxa"/>
              <w:bottom w:w="30" w:type="dxa"/>
              <w:right w:w="20" w:type="dxa"/>
            </w:tcMar>
            <w:hideMark/>
          </w:tcPr>
          <w:p w:rsidR="00000000" w:rsidRDefault="00100014">
            <w:pPr>
              <w:spacing w:after="100"/>
              <w:ind w:hanging="144"/>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00014">
            <w:pPr>
              <w:spacing w:after="100"/>
              <w:rPr>
                <w:rFonts w:eastAsia="Times New Roman"/>
              </w:rPr>
            </w:pPr>
            <w:r>
              <w:rPr>
                <w:rFonts w:eastAsia="Times New Roman"/>
                <w:color w:val="000000"/>
                <w:sz w:val="20"/>
                <w:szCs w:val="20"/>
              </w:rPr>
              <w:t> </w:t>
            </w:r>
          </w:p>
        </w:tc>
      </w:tr>
    </w:tbl>
    <w:p w:rsidR="00100014" w:rsidRDefault="00100014">
      <w:pPr>
        <w:jc w:val="center"/>
        <w:divId w:val="184638644"/>
        <w:rPr>
          <w:rFonts w:eastAsia="Times New Roman"/>
        </w:rPr>
      </w:pPr>
      <w:r>
        <w:rPr>
          <w:rFonts w:eastAsia="Times New Roman"/>
          <w:color w:val="000000"/>
          <w:sz w:val="20"/>
          <w:szCs w:val="20"/>
        </w:rPr>
        <w:t>63</w:t>
      </w:r>
    </w:p>
    <w:sectPr w:rsidR="001000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0014"/>
    <w:rsid w:val="00100014"/>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fasb.org/srt/2022"/>
  <w:attachedSchema w:val="http://www.xbrl.org/2003/instance"/>
  <w:attachedSchema w:val="http://hawthornbancshares.com/20220630"/>
  <w:attachedSchema w:val="http://www.sec.gov/inlineXBRL/transformation/2015-08-31"/>
  <w:attachedSchema w:val="http://www.xbrl.org/inlineXBRL/transformation/2020-02-12"/>
  <w:attachedSchema w:val="http://xbrl.sec.gov/dei/2022"/>
  <w:attachedSchema w:val="http://www.xbrl.org/2003/linkbase"/>
  <w:attachedSchema w:val="http://www.w3.org/1999/xlink"/>
  <w:attachedSchema w:val="http://xbrl.org/2006/xbrldi"/>
  <w:attachedSchema w:val="http://www.xbrl.org/2013/inlineXBRL"/>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21">
      <w:marLeft w:val="0"/>
      <w:marRight w:val="0"/>
      <w:marTop w:val="0"/>
      <w:marBottom w:val="60"/>
      <w:divBdr>
        <w:top w:val="none" w:sz="0" w:space="0" w:color="auto"/>
        <w:left w:val="none" w:sz="0" w:space="0" w:color="auto"/>
        <w:bottom w:val="none" w:sz="0" w:space="0" w:color="auto"/>
        <w:right w:val="none" w:sz="0" w:space="0" w:color="auto"/>
      </w:divBdr>
    </w:div>
    <w:div w:id="5251879">
      <w:marLeft w:val="0"/>
      <w:marRight w:val="0"/>
      <w:marTop w:val="0"/>
      <w:marBottom w:val="0"/>
      <w:divBdr>
        <w:top w:val="none" w:sz="0" w:space="0" w:color="auto"/>
        <w:left w:val="none" w:sz="0" w:space="0" w:color="auto"/>
        <w:bottom w:val="none" w:sz="0" w:space="0" w:color="auto"/>
        <w:right w:val="none" w:sz="0" w:space="0" w:color="auto"/>
      </w:divBdr>
    </w:div>
    <w:div w:id="5793768">
      <w:marLeft w:val="0"/>
      <w:marRight w:val="0"/>
      <w:marTop w:val="0"/>
      <w:marBottom w:val="0"/>
      <w:divBdr>
        <w:top w:val="none" w:sz="0" w:space="0" w:color="auto"/>
        <w:left w:val="none" w:sz="0" w:space="0" w:color="auto"/>
        <w:bottom w:val="none" w:sz="0" w:space="0" w:color="auto"/>
        <w:right w:val="none" w:sz="0" w:space="0" w:color="auto"/>
      </w:divBdr>
    </w:div>
    <w:div w:id="9181164">
      <w:marLeft w:val="0"/>
      <w:marRight w:val="0"/>
      <w:marTop w:val="0"/>
      <w:marBottom w:val="0"/>
      <w:divBdr>
        <w:top w:val="none" w:sz="0" w:space="0" w:color="auto"/>
        <w:left w:val="none" w:sz="0" w:space="0" w:color="auto"/>
        <w:bottom w:val="none" w:sz="0" w:space="0" w:color="auto"/>
        <w:right w:val="none" w:sz="0" w:space="0" w:color="auto"/>
      </w:divBdr>
    </w:div>
    <w:div w:id="13045935">
      <w:marLeft w:val="0"/>
      <w:marRight w:val="0"/>
      <w:marTop w:val="0"/>
      <w:marBottom w:val="240"/>
      <w:divBdr>
        <w:top w:val="none" w:sz="0" w:space="0" w:color="auto"/>
        <w:left w:val="none" w:sz="0" w:space="0" w:color="auto"/>
        <w:bottom w:val="none" w:sz="0" w:space="0" w:color="auto"/>
        <w:right w:val="none" w:sz="0" w:space="0" w:color="auto"/>
      </w:divBdr>
    </w:div>
    <w:div w:id="13116849">
      <w:marLeft w:val="0"/>
      <w:marRight w:val="0"/>
      <w:marTop w:val="0"/>
      <w:marBottom w:val="0"/>
      <w:divBdr>
        <w:top w:val="none" w:sz="0" w:space="0" w:color="auto"/>
        <w:left w:val="none" w:sz="0" w:space="0" w:color="auto"/>
        <w:bottom w:val="none" w:sz="0" w:space="0" w:color="auto"/>
        <w:right w:val="none" w:sz="0" w:space="0" w:color="auto"/>
      </w:divBdr>
      <w:divsChild>
        <w:div w:id="1308362445">
          <w:marLeft w:val="0"/>
          <w:marRight w:val="0"/>
          <w:marTop w:val="0"/>
          <w:marBottom w:val="0"/>
          <w:divBdr>
            <w:top w:val="none" w:sz="0" w:space="0" w:color="auto"/>
            <w:left w:val="none" w:sz="0" w:space="0" w:color="auto"/>
            <w:bottom w:val="none" w:sz="0" w:space="0" w:color="auto"/>
            <w:right w:val="none" w:sz="0" w:space="0" w:color="auto"/>
          </w:divBdr>
        </w:div>
      </w:divsChild>
    </w:div>
    <w:div w:id="13506789">
      <w:marLeft w:val="0"/>
      <w:marRight w:val="0"/>
      <w:marTop w:val="0"/>
      <w:marBottom w:val="0"/>
      <w:divBdr>
        <w:top w:val="none" w:sz="0" w:space="0" w:color="auto"/>
        <w:left w:val="none" w:sz="0" w:space="0" w:color="auto"/>
        <w:bottom w:val="none" w:sz="0" w:space="0" w:color="auto"/>
        <w:right w:val="none" w:sz="0" w:space="0" w:color="auto"/>
      </w:divBdr>
    </w:div>
    <w:div w:id="14814079">
      <w:marLeft w:val="0"/>
      <w:marRight w:val="0"/>
      <w:marTop w:val="0"/>
      <w:marBottom w:val="0"/>
      <w:divBdr>
        <w:top w:val="none" w:sz="0" w:space="0" w:color="auto"/>
        <w:left w:val="none" w:sz="0" w:space="0" w:color="auto"/>
        <w:bottom w:val="none" w:sz="0" w:space="0" w:color="auto"/>
        <w:right w:val="none" w:sz="0" w:space="0" w:color="auto"/>
      </w:divBdr>
      <w:divsChild>
        <w:div w:id="792940539">
          <w:marLeft w:val="0"/>
          <w:marRight w:val="0"/>
          <w:marTop w:val="0"/>
          <w:marBottom w:val="0"/>
          <w:divBdr>
            <w:top w:val="none" w:sz="0" w:space="0" w:color="auto"/>
            <w:left w:val="none" w:sz="0" w:space="0" w:color="auto"/>
            <w:bottom w:val="none" w:sz="0" w:space="0" w:color="auto"/>
            <w:right w:val="none" w:sz="0" w:space="0" w:color="auto"/>
          </w:divBdr>
        </w:div>
      </w:divsChild>
    </w:div>
    <w:div w:id="18508631">
      <w:marLeft w:val="0"/>
      <w:marRight w:val="0"/>
      <w:marTop w:val="0"/>
      <w:marBottom w:val="240"/>
      <w:divBdr>
        <w:top w:val="none" w:sz="0" w:space="0" w:color="auto"/>
        <w:left w:val="none" w:sz="0" w:space="0" w:color="auto"/>
        <w:bottom w:val="none" w:sz="0" w:space="0" w:color="auto"/>
        <w:right w:val="none" w:sz="0" w:space="0" w:color="auto"/>
      </w:divBdr>
    </w:div>
    <w:div w:id="20324510">
      <w:marLeft w:val="0"/>
      <w:marRight w:val="0"/>
      <w:marTop w:val="0"/>
      <w:marBottom w:val="0"/>
      <w:divBdr>
        <w:top w:val="none" w:sz="0" w:space="0" w:color="auto"/>
        <w:left w:val="none" w:sz="0" w:space="0" w:color="auto"/>
        <w:bottom w:val="none" w:sz="0" w:space="0" w:color="auto"/>
        <w:right w:val="none" w:sz="0" w:space="0" w:color="auto"/>
      </w:divBdr>
      <w:divsChild>
        <w:div w:id="2710938">
          <w:marLeft w:val="0"/>
          <w:marRight w:val="0"/>
          <w:marTop w:val="0"/>
          <w:marBottom w:val="0"/>
          <w:divBdr>
            <w:top w:val="none" w:sz="0" w:space="0" w:color="auto"/>
            <w:left w:val="none" w:sz="0" w:space="0" w:color="auto"/>
            <w:bottom w:val="none" w:sz="0" w:space="0" w:color="auto"/>
            <w:right w:val="none" w:sz="0" w:space="0" w:color="auto"/>
          </w:divBdr>
        </w:div>
      </w:divsChild>
    </w:div>
    <w:div w:id="23756340">
      <w:marLeft w:val="0"/>
      <w:marRight w:val="0"/>
      <w:marTop w:val="240"/>
      <w:marBottom w:val="240"/>
      <w:divBdr>
        <w:top w:val="none" w:sz="0" w:space="0" w:color="auto"/>
        <w:left w:val="none" w:sz="0" w:space="0" w:color="auto"/>
        <w:bottom w:val="none" w:sz="0" w:space="0" w:color="auto"/>
        <w:right w:val="none" w:sz="0" w:space="0" w:color="auto"/>
      </w:divBdr>
    </w:div>
    <w:div w:id="24449520">
      <w:marLeft w:val="0"/>
      <w:marRight w:val="0"/>
      <w:marTop w:val="0"/>
      <w:marBottom w:val="0"/>
      <w:divBdr>
        <w:top w:val="none" w:sz="0" w:space="0" w:color="auto"/>
        <w:left w:val="none" w:sz="0" w:space="0" w:color="auto"/>
        <w:bottom w:val="none" w:sz="0" w:space="0" w:color="auto"/>
        <w:right w:val="none" w:sz="0" w:space="0" w:color="auto"/>
      </w:divBdr>
      <w:divsChild>
        <w:div w:id="1646816380">
          <w:marLeft w:val="0"/>
          <w:marRight w:val="0"/>
          <w:marTop w:val="0"/>
          <w:marBottom w:val="0"/>
          <w:divBdr>
            <w:top w:val="none" w:sz="0" w:space="0" w:color="auto"/>
            <w:left w:val="none" w:sz="0" w:space="0" w:color="auto"/>
            <w:bottom w:val="none" w:sz="0" w:space="0" w:color="auto"/>
            <w:right w:val="none" w:sz="0" w:space="0" w:color="auto"/>
          </w:divBdr>
        </w:div>
      </w:divsChild>
    </w:div>
    <w:div w:id="24792433">
      <w:marLeft w:val="0"/>
      <w:marRight w:val="0"/>
      <w:marTop w:val="0"/>
      <w:marBottom w:val="240"/>
      <w:divBdr>
        <w:top w:val="none" w:sz="0" w:space="0" w:color="auto"/>
        <w:left w:val="none" w:sz="0" w:space="0" w:color="auto"/>
        <w:bottom w:val="none" w:sz="0" w:space="0" w:color="auto"/>
        <w:right w:val="none" w:sz="0" w:space="0" w:color="auto"/>
      </w:divBdr>
    </w:div>
    <w:div w:id="26687197">
      <w:marLeft w:val="0"/>
      <w:marRight w:val="0"/>
      <w:marTop w:val="0"/>
      <w:marBottom w:val="0"/>
      <w:divBdr>
        <w:top w:val="none" w:sz="0" w:space="0" w:color="auto"/>
        <w:left w:val="none" w:sz="0" w:space="0" w:color="auto"/>
        <w:bottom w:val="none" w:sz="0" w:space="0" w:color="auto"/>
        <w:right w:val="none" w:sz="0" w:space="0" w:color="auto"/>
      </w:divBdr>
      <w:divsChild>
        <w:div w:id="297808479">
          <w:marLeft w:val="0"/>
          <w:marRight w:val="0"/>
          <w:marTop w:val="0"/>
          <w:marBottom w:val="0"/>
          <w:divBdr>
            <w:top w:val="none" w:sz="0" w:space="0" w:color="auto"/>
            <w:left w:val="none" w:sz="0" w:space="0" w:color="auto"/>
            <w:bottom w:val="none" w:sz="0" w:space="0" w:color="auto"/>
            <w:right w:val="none" w:sz="0" w:space="0" w:color="auto"/>
          </w:divBdr>
        </w:div>
      </w:divsChild>
    </w:div>
    <w:div w:id="27416366">
      <w:marLeft w:val="0"/>
      <w:marRight w:val="0"/>
      <w:marTop w:val="0"/>
      <w:marBottom w:val="0"/>
      <w:divBdr>
        <w:top w:val="none" w:sz="0" w:space="0" w:color="auto"/>
        <w:left w:val="none" w:sz="0" w:space="0" w:color="auto"/>
        <w:bottom w:val="none" w:sz="0" w:space="0" w:color="auto"/>
        <w:right w:val="none" w:sz="0" w:space="0" w:color="auto"/>
      </w:divBdr>
    </w:div>
    <w:div w:id="27610560">
      <w:marLeft w:val="0"/>
      <w:marRight w:val="0"/>
      <w:marTop w:val="0"/>
      <w:marBottom w:val="240"/>
      <w:divBdr>
        <w:top w:val="none" w:sz="0" w:space="0" w:color="auto"/>
        <w:left w:val="none" w:sz="0" w:space="0" w:color="auto"/>
        <w:bottom w:val="none" w:sz="0" w:space="0" w:color="auto"/>
        <w:right w:val="none" w:sz="0" w:space="0" w:color="auto"/>
      </w:divBdr>
    </w:div>
    <w:div w:id="28189258">
      <w:marLeft w:val="0"/>
      <w:marRight w:val="0"/>
      <w:marTop w:val="0"/>
      <w:marBottom w:val="0"/>
      <w:divBdr>
        <w:top w:val="none" w:sz="0" w:space="0" w:color="auto"/>
        <w:left w:val="none" w:sz="0" w:space="0" w:color="auto"/>
        <w:bottom w:val="none" w:sz="0" w:space="0" w:color="auto"/>
        <w:right w:val="none" w:sz="0" w:space="0" w:color="auto"/>
      </w:divBdr>
    </w:div>
    <w:div w:id="29499545">
      <w:marLeft w:val="0"/>
      <w:marRight w:val="0"/>
      <w:marTop w:val="0"/>
      <w:marBottom w:val="240"/>
      <w:divBdr>
        <w:top w:val="none" w:sz="0" w:space="0" w:color="auto"/>
        <w:left w:val="none" w:sz="0" w:space="0" w:color="auto"/>
        <w:bottom w:val="none" w:sz="0" w:space="0" w:color="auto"/>
        <w:right w:val="none" w:sz="0" w:space="0" w:color="auto"/>
      </w:divBdr>
    </w:div>
    <w:div w:id="31660144">
      <w:marLeft w:val="0"/>
      <w:marRight w:val="0"/>
      <w:marTop w:val="0"/>
      <w:marBottom w:val="240"/>
      <w:divBdr>
        <w:top w:val="none" w:sz="0" w:space="0" w:color="auto"/>
        <w:left w:val="none" w:sz="0" w:space="0" w:color="auto"/>
        <w:bottom w:val="none" w:sz="0" w:space="0" w:color="auto"/>
        <w:right w:val="none" w:sz="0" w:space="0" w:color="auto"/>
      </w:divBdr>
    </w:div>
    <w:div w:id="40711416">
      <w:marLeft w:val="0"/>
      <w:marRight w:val="0"/>
      <w:marTop w:val="240"/>
      <w:marBottom w:val="240"/>
      <w:divBdr>
        <w:top w:val="none" w:sz="0" w:space="0" w:color="auto"/>
        <w:left w:val="none" w:sz="0" w:space="0" w:color="auto"/>
        <w:bottom w:val="none" w:sz="0" w:space="0" w:color="auto"/>
        <w:right w:val="none" w:sz="0" w:space="0" w:color="auto"/>
      </w:divBdr>
    </w:div>
    <w:div w:id="42799809">
      <w:marLeft w:val="0"/>
      <w:marRight w:val="0"/>
      <w:marTop w:val="0"/>
      <w:marBottom w:val="0"/>
      <w:divBdr>
        <w:top w:val="none" w:sz="0" w:space="0" w:color="auto"/>
        <w:left w:val="none" w:sz="0" w:space="0" w:color="auto"/>
        <w:bottom w:val="none" w:sz="0" w:space="0" w:color="auto"/>
        <w:right w:val="none" w:sz="0" w:space="0" w:color="auto"/>
      </w:divBdr>
      <w:divsChild>
        <w:div w:id="413551635">
          <w:marLeft w:val="0"/>
          <w:marRight w:val="0"/>
          <w:marTop w:val="0"/>
          <w:marBottom w:val="0"/>
          <w:divBdr>
            <w:top w:val="none" w:sz="0" w:space="0" w:color="auto"/>
            <w:left w:val="none" w:sz="0" w:space="0" w:color="auto"/>
            <w:bottom w:val="none" w:sz="0" w:space="0" w:color="auto"/>
            <w:right w:val="none" w:sz="0" w:space="0" w:color="auto"/>
          </w:divBdr>
        </w:div>
      </w:divsChild>
    </w:div>
    <w:div w:id="43797221">
      <w:marLeft w:val="0"/>
      <w:marRight w:val="0"/>
      <w:marTop w:val="0"/>
      <w:marBottom w:val="0"/>
      <w:divBdr>
        <w:top w:val="none" w:sz="0" w:space="0" w:color="auto"/>
        <w:left w:val="none" w:sz="0" w:space="0" w:color="auto"/>
        <w:bottom w:val="none" w:sz="0" w:space="0" w:color="auto"/>
        <w:right w:val="none" w:sz="0" w:space="0" w:color="auto"/>
      </w:divBdr>
      <w:divsChild>
        <w:div w:id="1427964121">
          <w:marLeft w:val="0"/>
          <w:marRight w:val="0"/>
          <w:marTop w:val="0"/>
          <w:marBottom w:val="0"/>
          <w:divBdr>
            <w:top w:val="none" w:sz="0" w:space="0" w:color="auto"/>
            <w:left w:val="none" w:sz="0" w:space="0" w:color="auto"/>
            <w:bottom w:val="none" w:sz="0" w:space="0" w:color="auto"/>
            <w:right w:val="none" w:sz="0" w:space="0" w:color="auto"/>
          </w:divBdr>
        </w:div>
      </w:divsChild>
    </w:div>
    <w:div w:id="56831112">
      <w:marLeft w:val="0"/>
      <w:marRight w:val="0"/>
      <w:marTop w:val="0"/>
      <w:marBottom w:val="240"/>
      <w:divBdr>
        <w:top w:val="none" w:sz="0" w:space="0" w:color="auto"/>
        <w:left w:val="none" w:sz="0" w:space="0" w:color="auto"/>
        <w:bottom w:val="none" w:sz="0" w:space="0" w:color="auto"/>
        <w:right w:val="none" w:sz="0" w:space="0" w:color="auto"/>
      </w:divBdr>
    </w:div>
    <w:div w:id="63720673">
      <w:marLeft w:val="0"/>
      <w:marRight w:val="0"/>
      <w:marTop w:val="240"/>
      <w:marBottom w:val="240"/>
      <w:divBdr>
        <w:top w:val="none" w:sz="0" w:space="0" w:color="auto"/>
        <w:left w:val="none" w:sz="0" w:space="0" w:color="auto"/>
        <w:bottom w:val="none" w:sz="0" w:space="0" w:color="auto"/>
        <w:right w:val="none" w:sz="0" w:space="0" w:color="auto"/>
      </w:divBdr>
    </w:div>
    <w:div w:id="66074017">
      <w:marLeft w:val="0"/>
      <w:marRight w:val="0"/>
      <w:marTop w:val="0"/>
      <w:marBottom w:val="0"/>
      <w:divBdr>
        <w:top w:val="none" w:sz="0" w:space="0" w:color="auto"/>
        <w:left w:val="none" w:sz="0" w:space="0" w:color="auto"/>
        <w:bottom w:val="none" w:sz="0" w:space="0" w:color="auto"/>
        <w:right w:val="none" w:sz="0" w:space="0" w:color="auto"/>
      </w:divBdr>
      <w:divsChild>
        <w:div w:id="1198815023">
          <w:marLeft w:val="0"/>
          <w:marRight w:val="0"/>
          <w:marTop w:val="0"/>
          <w:marBottom w:val="0"/>
          <w:divBdr>
            <w:top w:val="none" w:sz="0" w:space="0" w:color="auto"/>
            <w:left w:val="none" w:sz="0" w:space="0" w:color="auto"/>
            <w:bottom w:val="none" w:sz="0" w:space="0" w:color="auto"/>
            <w:right w:val="none" w:sz="0" w:space="0" w:color="auto"/>
          </w:divBdr>
        </w:div>
      </w:divsChild>
    </w:div>
    <w:div w:id="69893840">
      <w:marLeft w:val="0"/>
      <w:marRight w:val="0"/>
      <w:marTop w:val="0"/>
      <w:marBottom w:val="0"/>
      <w:divBdr>
        <w:top w:val="none" w:sz="0" w:space="0" w:color="auto"/>
        <w:left w:val="none" w:sz="0" w:space="0" w:color="auto"/>
        <w:bottom w:val="none" w:sz="0" w:space="0" w:color="auto"/>
        <w:right w:val="none" w:sz="0" w:space="0" w:color="auto"/>
      </w:divBdr>
      <w:divsChild>
        <w:div w:id="1372605746">
          <w:marLeft w:val="0"/>
          <w:marRight w:val="0"/>
          <w:marTop w:val="0"/>
          <w:marBottom w:val="0"/>
          <w:divBdr>
            <w:top w:val="none" w:sz="0" w:space="0" w:color="auto"/>
            <w:left w:val="none" w:sz="0" w:space="0" w:color="auto"/>
            <w:bottom w:val="none" w:sz="0" w:space="0" w:color="auto"/>
            <w:right w:val="none" w:sz="0" w:space="0" w:color="auto"/>
          </w:divBdr>
        </w:div>
      </w:divsChild>
    </w:div>
    <w:div w:id="87502159">
      <w:marLeft w:val="0"/>
      <w:marRight w:val="0"/>
      <w:marTop w:val="0"/>
      <w:marBottom w:val="0"/>
      <w:divBdr>
        <w:top w:val="none" w:sz="0" w:space="0" w:color="auto"/>
        <w:left w:val="none" w:sz="0" w:space="0" w:color="auto"/>
        <w:bottom w:val="none" w:sz="0" w:space="0" w:color="auto"/>
        <w:right w:val="none" w:sz="0" w:space="0" w:color="auto"/>
      </w:divBdr>
      <w:divsChild>
        <w:div w:id="323243540">
          <w:marLeft w:val="0"/>
          <w:marRight w:val="0"/>
          <w:marTop w:val="0"/>
          <w:marBottom w:val="0"/>
          <w:divBdr>
            <w:top w:val="none" w:sz="0" w:space="0" w:color="auto"/>
            <w:left w:val="none" w:sz="0" w:space="0" w:color="auto"/>
            <w:bottom w:val="none" w:sz="0" w:space="0" w:color="auto"/>
            <w:right w:val="none" w:sz="0" w:space="0" w:color="auto"/>
          </w:divBdr>
        </w:div>
      </w:divsChild>
    </w:div>
    <w:div w:id="91365970">
      <w:marLeft w:val="0"/>
      <w:marRight w:val="0"/>
      <w:marTop w:val="0"/>
      <w:marBottom w:val="120"/>
      <w:divBdr>
        <w:top w:val="none" w:sz="0" w:space="0" w:color="auto"/>
        <w:left w:val="none" w:sz="0" w:space="0" w:color="auto"/>
        <w:bottom w:val="none" w:sz="0" w:space="0" w:color="auto"/>
        <w:right w:val="none" w:sz="0" w:space="0" w:color="auto"/>
      </w:divBdr>
    </w:div>
    <w:div w:id="91899009">
      <w:marLeft w:val="0"/>
      <w:marRight w:val="0"/>
      <w:marTop w:val="0"/>
      <w:marBottom w:val="240"/>
      <w:divBdr>
        <w:top w:val="none" w:sz="0" w:space="0" w:color="auto"/>
        <w:left w:val="none" w:sz="0" w:space="0" w:color="auto"/>
        <w:bottom w:val="none" w:sz="0" w:space="0" w:color="auto"/>
        <w:right w:val="none" w:sz="0" w:space="0" w:color="auto"/>
      </w:divBdr>
    </w:div>
    <w:div w:id="92171252">
      <w:marLeft w:val="0"/>
      <w:marRight w:val="0"/>
      <w:marTop w:val="0"/>
      <w:marBottom w:val="240"/>
      <w:divBdr>
        <w:top w:val="none" w:sz="0" w:space="0" w:color="auto"/>
        <w:left w:val="none" w:sz="0" w:space="0" w:color="auto"/>
        <w:bottom w:val="none" w:sz="0" w:space="0" w:color="auto"/>
        <w:right w:val="none" w:sz="0" w:space="0" w:color="auto"/>
      </w:divBdr>
    </w:div>
    <w:div w:id="93328607">
      <w:marLeft w:val="0"/>
      <w:marRight w:val="0"/>
      <w:marTop w:val="0"/>
      <w:marBottom w:val="240"/>
      <w:divBdr>
        <w:top w:val="none" w:sz="0" w:space="0" w:color="auto"/>
        <w:left w:val="none" w:sz="0" w:space="0" w:color="auto"/>
        <w:bottom w:val="none" w:sz="0" w:space="0" w:color="auto"/>
        <w:right w:val="none" w:sz="0" w:space="0" w:color="auto"/>
      </w:divBdr>
    </w:div>
    <w:div w:id="96484391">
      <w:marLeft w:val="0"/>
      <w:marRight w:val="0"/>
      <w:marTop w:val="0"/>
      <w:marBottom w:val="240"/>
      <w:divBdr>
        <w:top w:val="none" w:sz="0" w:space="0" w:color="auto"/>
        <w:left w:val="none" w:sz="0" w:space="0" w:color="auto"/>
        <w:bottom w:val="none" w:sz="0" w:space="0" w:color="auto"/>
        <w:right w:val="none" w:sz="0" w:space="0" w:color="auto"/>
      </w:divBdr>
    </w:div>
    <w:div w:id="98839891">
      <w:marLeft w:val="0"/>
      <w:marRight w:val="0"/>
      <w:marTop w:val="0"/>
      <w:marBottom w:val="0"/>
      <w:divBdr>
        <w:top w:val="none" w:sz="0" w:space="0" w:color="auto"/>
        <w:left w:val="none" w:sz="0" w:space="0" w:color="auto"/>
        <w:bottom w:val="none" w:sz="0" w:space="0" w:color="auto"/>
        <w:right w:val="none" w:sz="0" w:space="0" w:color="auto"/>
      </w:divBdr>
      <w:divsChild>
        <w:div w:id="1622762737">
          <w:marLeft w:val="0"/>
          <w:marRight w:val="0"/>
          <w:marTop w:val="0"/>
          <w:marBottom w:val="0"/>
          <w:divBdr>
            <w:top w:val="none" w:sz="0" w:space="0" w:color="auto"/>
            <w:left w:val="none" w:sz="0" w:space="0" w:color="auto"/>
            <w:bottom w:val="none" w:sz="0" w:space="0" w:color="auto"/>
            <w:right w:val="none" w:sz="0" w:space="0" w:color="auto"/>
          </w:divBdr>
        </w:div>
      </w:divsChild>
    </w:div>
    <w:div w:id="99957522">
      <w:marLeft w:val="0"/>
      <w:marRight w:val="0"/>
      <w:marTop w:val="0"/>
      <w:marBottom w:val="0"/>
      <w:divBdr>
        <w:top w:val="none" w:sz="0" w:space="0" w:color="auto"/>
        <w:left w:val="none" w:sz="0" w:space="0" w:color="auto"/>
        <w:bottom w:val="none" w:sz="0" w:space="0" w:color="auto"/>
        <w:right w:val="none" w:sz="0" w:space="0" w:color="auto"/>
      </w:divBdr>
      <w:divsChild>
        <w:div w:id="2008051129">
          <w:marLeft w:val="0"/>
          <w:marRight w:val="0"/>
          <w:marTop w:val="0"/>
          <w:marBottom w:val="0"/>
          <w:divBdr>
            <w:top w:val="none" w:sz="0" w:space="0" w:color="auto"/>
            <w:left w:val="none" w:sz="0" w:space="0" w:color="auto"/>
            <w:bottom w:val="none" w:sz="0" w:space="0" w:color="auto"/>
            <w:right w:val="none" w:sz="0" w:space="0" w:color="auto"/>
          </w:divBdr>
        </w:div>
      </w:divsChild>
    </w:div>
    <w:div w:id="103579449">
      <w:marLeft w:val="0"/>
      <w:marRight w:val="0"/>
      <w:marTop w:val="0"/>
      <w:marBottom w:val="240"/>
      <w:divBdr>
        <w:top w:val="none" w:sz="0" w:space="0" w:color="auto"/>
        <w:left w:val="none" w:sz="0" w:space="0" w:color="auto"/>
        <w:bottom w:val="none" w:sz="0" w:space="0" w:color="auto"/>
        <w:right w:val="none" w:sz="0" w:space="0" w:color="auto"/>
      </w:divBdr>
    </w:div>
    <w:div w:id="109739284">
      <w:marLeft w:val="0"/>
      <w:marRight w:val="0"/>
      <w:marTop w:val="0"/>
      <w:marBottom w:val="240"/>
      <w:divBdr>
        <w:top w:val="none" w:sz="0" w:space="0" w:color="auto"/>
        <w:left w:val="none" w:sz="0" w:space="0" w:color="auto"/>
        <w:bottom w:val="none" w:sz="0" w:space="0" w:color="auto"/>
        <w:right w:val="none" w:sz="0" w:space="0" w:color="auto"/>
      </w:divBdr>
    </w:div>
    <w:div w:id="116722379">
      <w:marLeft w:val="0"/>
      <w:marRight w:val="0"/>
      <w:marTop w:val="0"/>
      <w:marBottom w:val="0"/>
      <w:divBdr>
        <w:top w:val="none" w:sz="0" w:space="0" w:color="auto"/>
        <w:left w:val="none" w:sz="0" w:space="0" w:color="auto"/>
        <w:bottom w:val="none" w:sz="0" w:space="0" w:color="auto"/>
        <w:right w:val="none" w:sz="0" w:space="0" w:color="auto"/>
      </w:divBdr>
      <w:divsChild>
        <w:div w:id="1139223198">
          <w:marLeft w:val="0"/>
          <w:marRight w:val="0"/>
          <w:marTop w:val="0"/>
          <w:marBottom w:val="0"/>
          <w:divBdr>
            <w:top w:val="none" w:sz="0" w:space="0" w:color="auto"/>
            <w:left w:val="none" w:sz="0" w:space="0" w:color="auto"/>
            <w:bottom w:val="none" w:sz="0" w:space="0" w:color="auto"/>
            <w:right w:val="none" w:sz="0" w:space="0" w:color="auto"/>
          </w:divBdr>
        </w:div>
      </w:divsChild>
    </w:div>
    <w:div w:id="118765702">
      <w:marLeft w:val="0"/>
      <w:marRight w:val="0"/>
      <w:marTop w:val="0"/>
      <w:marBottom w:val="240"/>
      <w:divBdr>
        <w:top w:val="none" w:sz="0" w:space="0" w:color="auto"/>
        <w:left w:val="none" w:sz="0" w:space="0" w:color="auto"/>
        <w:bottom w:val="none" w:sz="0" w:space="0" w:color="auto"/>
        <w:right w:val="none" w:sz="0" w:space="0" w:color="auto"/>
      </w:divBdr>
    </w:div>
    <w:div w:id="124548568">
      <w:marLeft w:val="0"/>
      <w:marRight w:val="0"/>
      <w:marTop w:val="0"/>
      <w:marBottom w:val="120"/>
      <w:divBdr>
        <w:top w:val="none" w:sz="0" w:space="0" w:color="auto"/>
        <w:left w:val="none" w:sz="0" w:space="0" w:color="auto"/>
        <w:bottom w:val="none" w:sz="0" w:space="0" w:color="auto"/>
        <w:right w:val="none" w:sz="0" w:space="0" w:color="auto"/>
      </w:divBdr>
    </w:div>
    <w:div w:id="126364549">
      <w:marLeft w:val="0"/>
      <w:marRight w:val="0"/>
      <w:marTop w:val="0"/>
      <w:marBottom w:val="0"/>
      <w:divBdr>
        <w:top w:val="none" w:sz="0" w:space="0" w:color="auto"/>
        <w:left w:val="none" w:sz="0" w:space="0" w:color="auto"/>
        <w:bottom w:val="none" w:sz="0" w:space="0" w:color="auto"/>
        <w:right w:val="none" w:sz="0" w:space="0" w:color="auto"/>
      </w:divBdr>
    </w:div>
    <w:div w:id="128406676">
      <w:marLeft w:val="0"/>
      <w:marRight w:val="0"/>
      <w:marTop w:val="0"/>
      <w:marBottom w:val="240"/>
      <w:divBdr>
        <w:top w:val="none" w:sz="0" w:space="0" w:color="auto"/>
        <w:left w:val="none" w:sz="0" w:space="0" w:color="auto"/>
        <w:bottom w:val="none" w:sz="0" w:space="0" w:color="auto"/>
        <w:right w:val="none" w:sz="0" w:space="0" w:color="auto"/>
      </w:divBdr>
    </w:div>
    <w:div w:id="129830871">
      <w:marLeft w:val="0"/>
      <w:marRight w:val="0"/>
      <w:marTop w:val="0"/>
      <w:marBottom w:val="240"/>
      <w:divBdr>
        <w:top w:val="none" w:sz="0" w:space="0" w:color="auto"/>
        <w:left w:val="none" w:sz="0" w:space="0" w:color="auto"/>
        <w:bottom w:val="none" w:sz="0" w:space="0" w:color="auto"/>
        <w:right w:val="none" w:sz="0" w:space="0" w:color="auto"/>
      </w:divBdr>
    </w:div>
    <w:div w:id="133261357">
      <w:marLeft w:val="0"/>
      <w:marRight w:val="0"/>
      <w:marTop w:val="0"/>
      <w:marBottom w:val="240"/>
      <w:divBdr>
        <w:top w:val="none" w:sz="0" w:space="0" w:color="auto"/>
        <w:left w:val="none" w:sz="0" w:space="0" w:color="auto"/>
        <w:bottom w:val="none" w:sz="0" w:space="0" w:color="auto"/>
        <w:right w:val="none" w:sz="0" w:space="0" w:color="auto"/>
      </w:divBdr>
    </w:div>
    <w:div w:id="136260972">
      <w:marLeft w:val="0"/>
      <w:marRight w:val="0"/>
      <w:marTop w:val="0"/>
      <w:marBottom w:val="240"/>
      <w:divBdr>
        <w:top w:val="none" w:sz="0" w:space="0" w:color="auto"/>
        <w:left w:val="none" w:sz="0" w:space="0" w:color="auto"/>
        <w:bottom w:val="none" w:sz="0" w:space="0" w:color="auto"/>
        <w:right w:val="none" w:sz="0" w:space="0" w:color="auto"/>
      </w:divBdr>
    </w:div>
    <w:div w:id="138151289">
      <w:marLeft w:val="0"/>
      <w:marRight w:val="0"/>
      <w:marTop w:val="0"/>
      <w:marBottom w:val="1"/>
      <w:divBdr>
        <w:top w:val="none" w:sz="0" w:space="0" w:color="auto"/>
        <w:left w:val="none" w:sz="0" w:space="0" w:color="auto"/>
        <w:bottom w:val="none" w:sz="0" w:space="0" w:color="auto"/>
        <w:right w:val="none" w:sz="0" w:space="0" w:color="auto"/>
      </w:divBdr>
    </w:div>
    <w:div w:id="139274442">
      <w:marLeft w:val="0"/>
      <w:marRight w:val="0"/>
      <w:marTop w:val="0"/>
      <w:marBottom w:val="0"/>
      <w:divBdr>
        <w:top w:val="none" w:sz="0" w:space="0" w:color="auto"/>
        <w:left w:val="none" w:sz="0" w:space="0" w:color="auto"/>
        <w:bottom w:val="none" w:sz="0" w:space="0" w:color="auto"/>
        <w:right w:val="none" w:sz="0" w:space="0" w:color="auto"/>
      </w:divBdr>
    </w:div>
    <w:div w:id="140583678">
      <w:marLeft w:val="0"/>
      <w:marRight w:val="0"/>
      <w:marTop w:val="0"/>
      <w:marBottom w:val="240"/>
      <w:divBdr>
        <w:top w:val="none" w:sz="0" w:space="0" w:color="auto"/>
        <w:left w:val="none" w:sz="0" w:space="0" w:color="auto"/>
        <w:bottom w:val="none" w:sz="0" w:space="0" w:color="auto"/>
        <w:right w:val="none" w:sz="0" w:space="0" w:color="auto"/>
      </w:divBdr>
    </w:div>
    <w:div w:id="142040972">
      <w:marLeft w:val="0"/>
      <w:marRight w:val="0"/>
      <w:marTop w:val="0"/>
      <w:marBottom w:val="0"/>
      <w:divBdr>
        <w:top w:val="none" w:sz="0" w:space="0" w:color="auto"/>
        <w:left w:val="none" w:sz="0" w:space="0" w:color="auto"/>
        <w:bottom w:val="none" w:sz="0" w:space="0" w:color="auto"/>
        <w:right w:val="none" w:sz="0" w:space="0" w:color="auto"/>
      </w:divBdr>
    </w:div>
    <w:div w:id="144705661">
      <w:marLeft w:val="0"/>
      <w:marRight w:val="0"/>
      <w:marTop w:val="0"/>
      <w:marBottom w:val="0"/>
      <w:divBdr>
        <w:top w:val="none" w:sz="0" w:space="0" w:color="auto"/>
        <w:left w:val="none" w:sz="0" w:space="0" w:color="auto"/>
        <w:bottom w:val="none" w:sz="0" w:space="0" w:color="auto"/>
        <w:right w:val="none" w:sz="0" w:space="0" w:color="auto"/>
      </w:divBdr>
      <w:divsChild>
        <w:div w:id="144783534">
          <w:marLeft w:val="0"/>
          <w:marRight w:val="0"/>
          <w:marTop w:val="0"/>
          <w:marBottom w:val="0"/>
          <w:divBdr>
            <w:top w:val="none" w:sz="0" w:space="0" w:color="auto"/>
            <w:left w:val="none" w:sz="0" w:space="0" w:color="auto"/>
            <w:bottom w:val="none" w:sz="0" w:space="0" w:color="auto"/>
            <w:right w:val="none" w:sz="0" w:space="0" w:color="auto"/>
          </w:divBdr>
        </w:div>
      </w:divsChild>
    </w:div>
    <w:div w:id="147137740">
      <w:marLeft w:val="0"/>
      <w:marRight w:val="0"/>
      <w:marTop w:val="0"/>
      <w:marBottom w:val="240"/>
      <w:divBdr>
        <w:top w:val="none" w:sz="0" w:space="0" w:color="auto"/>
        <w:left w:val="none" w:sz="0" w:space="0" w:color="auto"/>
        <w:bottom w:val="none" w:sz="0" w:space="0" w:color="auto"/>
        <w:right w:val="none" w:sz="0" w:space="0" w:color="auto"/>
      </w:divBdr>
    </w:div>
    <w:div w:id="147750048">
      <w:marLeft w:val="0"/>
      <w:marRight w:val="0"/>
      <w:marTop w:val="0"/>
      <w:marBottom w:val="0"/>
      <w:divBdr>
        <w:top w:val="none" w:sz="0" w:space="0" w:color="auto"/>
        <w:left w:val="none" w:sz="0" w:space="0" w:color="auto"/>
        <w:bottom w:val="none" w:sz="0" w:space="0" w:color="auto"/>
        <w:right w:val="none" w:sz="0" w:space="0" w:color="auto"/>
      </w:divBdr>
    </w:div>
    <w:div w:id="149640630">
      <w:marLeft w:val="0"/>
      <w:marRight w:val="0"/>
      <w:marTop w:val="0"/>
      <w:marBottom w:val="0"/>
      <w:divBdr>
        <w:top w:val="none" w:sz="0" w:space="0" w:color="auto"/>
        <w:left w:val="none" w:sz="0" w:space="0" w:color="auto"/>
        <w:bottom w:val="none" w:sz="0" w:space="0" w:color="auto"/>
        <w:right w:val="none" w:sz="0" w:space="0" w:color="auto"/>
      </w:divBdr>
      <w:divsChild>
        <w:div w:id="1415054243">
          <w:marLeft w:val="0"/>
          <w:marRight w:val="0"/>
          <w:marTop w:val="0"/>
          <w:marBottom w:val="0"/>
          <w:divBdr>
            <w:top w:val="none" w:sz="0" w:space="0" w:color="auto"/>
            <w:left w:val="none" w:sz="0" w:space="0" w:color="auto"/>
            <w:bottom w:val="none" w:sz="0" w:space="0" w:color="auto"/>
            <w:right w:val="none" w:sz="0" w:space="0" w:color="auto"/>
          </w:divBdr>
        </w:div>
      </w:divsChild>
    </w:div>
    <w:div w:id="154997260">
      <w:marLeft w:val="0"/>
      <w:marRight w:val="0"/>
      <w:marTop w:val="0"/>
      <w:marBottom w:val="240"/>
      <w:divBdr>
        <w:top w:val="none" w:sz="0" w:space="0" w:color="auto"/>
        <w:left w:val="none" w:sz="0" w:space="0" w:color="auto"/>
        <w:bottom w:val="none" w:sz="0" w:space="0" w:color="auto"/>
        <w:right w:val="none" w:sz="0" w:space="0" w:color="auto"/>
      </w:divBdr>
    </w:div>
    <w:div w:id="157234201">
      <w:marLeft w:val="0"/>
      <w:marRight w:val="0"/>
      <w:marTop w:val="0"/>
      <w:marBottom w:val="240"/>
      <w:divBdr>
        <w:top w:val="none" w:sz="0" w:space="0" w:color="auto"/>
        <w:left w:val="none" w:sz="0" w:space="0" w:color="auto"/>
        <w:bottom w:val="none" w:sz="0" w:space="0" w:color="auto"/>
        <w:right w:val="none" w:sz="0" w:space="0" w:color="auto"/>
      </w:divBdr>
    </w:div>
    <w:div w:id="161311276">
      <w:marLeft w:val="0"/>
      <w:marRight w:val="0"/>
      <w:marTop w:val="0"/>
      <w:marBottom w:val="240"/>
      <w:divBdr>
        <w:top w:val="none" w:sz="0" w:space="0" w:color="auto"/>
        <w:left w:val="none" w:sz="0" w:space="0" w:color="auto"/>
        <w:bottom w:val="none" w:sz="0" w:space="0" w:color="auto"/>
        <w:right w:val="none" w:sz="0" w:space="0" w:color="auto"/>
      </w:divBdr>
    </w:div>
    <w:div w:id="167796481">
      <w:marLeft w:val="0"/>
      <w:marRight w:val="0"/>
      <w:marTop w:val="0"/>
      <w:marBottom w:val="0"/>
      <w:divBdr>
        <w:top w:val="none" w:sz="0" w:space="0" w:color="auto"/>
        <w:left w:val="none" w:sz="0" w:space="0" w:color="auto"/>
        <w:bottom w:val="none" w:sz="0" w:space="0" w:color="auto"/>
        <w:right w:val="none" w:sz="0" w:space="0" w:color="auto"/>
      </w:divBdr>
    </w:div>
    <w:div w:id="169299277">
      <w:marLeft w:val="0"/>
      <w:marRight w:val="0"/>
      <w:marTop w:val="0"/>
      <w:marBottom w:val="0"/>
      <w:divBdr>
        <w:top w:val="none" w:sz="0" w:space="0" w:color="auto"/>
        <w:left w:val="none" w:sz="0" w:space="0" w:color="auto"/>
        <w:bottom w:val="none" w:sz="0" w:space="0" w:color="auto"/>
        <w:right w:val="none" w:sz="0" w:space="0" w:color="auto"/>
      </w:divBdr>
    </w:div>
    <w:div w:id="170343607">
      <w:marLeft w:val="0"/>
      <w:marRight w:val="0"/>
      <w:marTop w:val="0"/>
      <w:marBottom w:val="0"/>
      <w:divBdr>
        <w:top w:val="none" w:sz="0" w:space="0" w:color="auto"/>
        <w:left w:val="none" w:sz="0" w:space="0" w:color="auto"/>
        <w:bottom w:val="none" w:sz="0" w:space="0" w:color="auto"/>
        <w:right w:val="none" w:sz="0" w:space="0" w:color="auto"/>
      </w:divBdr>
      <w:divsChild>
        <w:div w:id="735395177">
          <w:marLeft w:val="0"/>
          <w:marRight w:val="0"/>
          <w:marTop w:val="0"/>
          <w:marBottom w:val="0"/>
          <w:divBdr>
            <w:top w:val="none" w:sz="0" w:space="0" w:color="auto"/>
            <w:left w:val="none" w:sz="0" w:space="0" w:color="auto"/>
            <w:bottom w:val="none" w:sz="0" w:space="0" w:color="auto"/>
            <w:right w:val="none" w:sz="0" w:space="0" w:color="auto"/>
          </w:divBdr>
        </w:div>
      </w:divsChild>
    </w:div>
    <w:div w:id="174341686">
      <w:marLeft w:val="0"/>
      <w:marRight w:val="0"/>
      <w:marTop w:val="0"/>
      <w:marBottom w:val="0"/>
      <w:divBdr>
        <w:top w:val="none" w:sz="0" w:space="0" w:color="auto"/>
        <w:left w:val="none" w:sz="0" w:space="0" w:color="auto"/>
        <w:bottom w:val="none" w:sz="0" w:space="0" w:color="auto"/>
        <w:right w:val="none" w:sz="0" w:space="0" w:color="auto"/>
      </w:divBdr>
    </w:div>
    <w:div w:id="178155351">
      <w:marLeft w:val="0"/>
      <w:marRight w:val="0"/>
      <w:marTop w:val="0"/>
      <w:marBottom w:val="0"/>
      <w:divBdr>
        <w:top w:val="none" w:sz="0" w:space="0" w:color="auto"/>
        <w:left w:val="none" w:sz="0" w:space="0" w:color="auto"/>
        <w:bottom w:val="none" w:sz="0" w:space="0" w:color="auto"/>
        <w:right w:val="none" w:sz="0" w:space="0" w:color="auto"/>
      </w:divBdr>
    </w:div>
    <w:div w:id="185217315">
      <w:marLeft w:val="0"/>
      <w:marRight w:val="0"/>
      <w:marTop w:val="0"/>
      <w:marBottom w:val="160"/>
      <w:divBdr>
        <w:top w:val="none" w:sz="0" w:space="0" w:color="auto"/>
        <w:left w:val="none" w:sz="0" w:space="0" w:color="auto"/>
        <w:bottom w:val="none" w:sz="0" w:space="0" w:color="auto"/>
        <w:right w:val="none" w:sz="0" w:space="0" w:color="auto"/>
      </w:divBdr>
    </w:div>
    <w:div w:id="192545805">
      <w:marLeft w:val="0"/>
      <w:marRight w:val="0"/>
      <w:marTop w:val="0"/>
      <w:marBottom w:val="240"/>
      <w:divBdr>
        <w:top w:val="none" w:sz="0" w:space="0" w:color="auto"/>
        <w:left w:val="none" w:sz="0" w:space="0" w:color="auto"/>
        <w:bottom w:val="none" w:sz="0" w:space="0" w:color="auto"/>
        <w:right w:val="none" w:sz="0" w:space="0" w:color="auto"/>
      </w:divBdr>
    </w:div>
    <w:div w:id="200359699">
      <w:marLeft w:val="0"/>
      <w:marRight w:val="0"/>
      <w:marTop w:val="0"/>
      <w:marBottom w:val="240"/>
      <w:divBdr>
        <w:top w:val="none" w:sz="0" w:space="0" w:color="auto"/>
        <w:left w:val="none" w:sz="0" w:space="0" w:color="auto"/>
        <w:bottom w:val="none" w:sz="0" w:space="0" w:color="auto"/>
        <w:right w:val="none" w:sz="0" w:space="0" w:color="auto"/>
      </w:divBdr>
    </w:div>
    <w:div w:id="202520603">
      <w:marLeft w:val="0"/>
      <w:marRight w:val="0"/>
      <w:marTop w:val="0"/>
      <w:marBottom w:val="240"/>
      <w:divBdr>
        <w:top w:val="none" w:sz="0" w:space="0" w:color="auto"/>
        <w:left w:val="none" w:sz="0" w:space="0" w:color="auto"/>
        <w:bottom w:val="none" w:sz="0" w:space="0" w:color="auto"/>
        <w:right w:val="none" w:sz="0" w:space="0" w:color="auto"/>
      </w:divBdr>
    </w:div>
    <w:div w:id="202600339">
      <w:marLeft w:val="0"/>
      <w:marRight w:val="0"/>
      <w:marTop w:val="0"/>
      <w:marBottom w:val="240"/>
      <w:divBdr>
        <w:top w:val="none" w:sz="0" w:space="0" w:color="auto"/>
        <w:left w:val="none" w:sz="0" w:space="0" w:color="auto"/>
        <w:bottom w:val="none" w:sz="0" w:space="0" w:color="auto"/>
        <w:right w:val="none" w:sz="0" w:space="0" w:color="auto"/>
      </w:divBdr>
    </w:div>
    <w:div w:id="205602755">
      <w:marLeft w:val="0"/>
      <w:marRight w:val="0"/>
      <w:marTop w:val="0"/>
      <w:marBottom w:val="0"/>
      <w:divBdr>
        <w:top w:val="none" w:sz="0" w:space="0" w:color="auto"/>
        <w:left w:val="none" w:sz="0" w:space="0" w:color="auto"/>
        <w:bottom w:val="none" w:sz="0" w:space="0" w:color="auto"/>
        <w:right w:val="none" w:sz="0" w:space="0" w:color="auto"/>
      </w:divBdr>
    </w:div>
    <w:div w:id="209660220">
      <w:marLeft w:val="0"/>
      <w:marRight w:val="0"/>
      <w:marTop w:val="0"/>
      <w:marBottom w:val="240"/>
      <w:divBdr>
        <w:top w:val="none" w:sz="0" w:space="0" w:color="auto"/>
        <w:left w:val="none" w:sz="0" w:space="0" w:color="auto"/>
        <w:bottom w:val="none" w:sz="0" w:space="0" w:color="auto"/>
        <w:right w:val="none" w:sz="0" w:space="0" w:color="auto"/>
      </w:divBdr>
    </w:div>
    <w:div w:id="210313377">
      <w:marLeft w:val="0"/>
      <w:marRight w:val="0"/>
      <w:marTop w:val="0"/>
      <w:marBottom w:val="120"/>
      <w:divBdr>
        <w:top w:val="none" w:sz="0" w:space="0" w:color="auto"/>
        <w:left w:val="none" w:sz="0" w:space="0" w:color="auto"/>
        <w:bottom w:val="none" w:sz="0" w:space="0" w:color="auto"/>
        <w:right w:val="none" w:sz="0" w:space="0" w:color="auto"/>
      </w:divBdr>
    </w:div>
    <w:div w:id="218899789">
      <w:marLeft w:val="0"/>
      <w:marRight w:val="0"/>
      <w:marTop w:val="0"/>
      <w:marBottom w:val="240"/>
      <w:divBdr>
        <w:top w:val="none" w:sz="0" w:space="0" w:color="auto"/>
        <w:left w:val="none" w:sz="0" w:space="0" w:color="auto"/>
        <w:bottom w:val="none" w:sz="0" w:space="0" w:color="auto"/>
        <w:right w:val="none" w:sz="0" w:space="0" w:color="auto"/>
      </w:divBdr>
    </w:div>
    <w:div w:id="218902808">
      <w:marLeft w:val="0"/>
      <w:marRight w:val="0"/>
      <w:marTop w:val="0"/>
      <w:marBottom w:val="240"/>
      <w:divBdr>
        <w:top w:val="none" w:sz="0" w:space="0" w:color="auto"/>
        <w:left w:val="none" w:sz="0" w:space="0" w:color="auto"/>
        <w:bottom w:val="none" w:sz="0" w:space="0" w:color="auto"/>
        <w:right w:val="none" w:sz="0" w:space="0" w:color="auto"/>
      </w:divBdr>
    </w:div>
    <w:div w:id="221215396">
      <w:marLeft w:val="0"/>
      <w:marRight w:val="0"/>
      <w:marTop w:val="240"/>
      <w:marBottom w:val="240"/>
      <w:divBdr>
        <w:top w:val="none" w:sz="0" w:space="0" w:color="auto"/>
        <w:left w:val="none" w:sz="0" w:space="0" w:color="auto"/>
        <w:bottom w:val="none" w:sz="0" w:space="0" w:color="auto"/>
        <w:right w:val="none" w:sz="0" w:space="0" w:color="auto"/>
      </w:divBdr>
    </w:div>
    <w:div w:id="221454248">
      <w:marLeft w:val="0"/>
      <w:marRight w:val="0"/>
      <w:marTop w:val="0"/>
      <w:marBottom w:val="0"/>
      <w:divBdr>
        <w:top w:val="none" w:sz="0" w:space="0" w:color="auto"/>
        <w:left w:val="none" w:sz="0" w:space="0" w:color="auto"/>
        <w:bottom w:val="none" w:sz="0" w:space="0" w:color="auto"/>
        <w:right w:val="none" w:sz="0" w:space="0" w:color="auto"/>
      </w:divBdr>
    </w:div>
    <w:div w:id="223882109">
      <w:marLeft w:val="0"/>
      <w:marRight w:val="0"/>
      <w:marTop w:val="0"/>
      <w:marBottom w:val="240"/>
      <w:divBdr>
        <w:top w:val="none" w:sz="0" w:space="0" w:color="auto"/>
        <w:left w:val="none" w:sz="0" w:space="0" w:color="auto"/>
        <w:bottom w:val="none" w:sz="0" w:space="0" w:color="auto"/>
        <w:right w:val="none" w:sz="0" w:space="0" w:color="auto"/>
      </w:divBdr>
    </w:div>
    <w:div w:id="230313362">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 w:id="234558435">
      <w:marLeft w:val="0"/>
      <w:marRight w:val="0"/>
      <w:marTop w:val="0"/>
      <w:marBottom w:val="0"/>
      <w:divBdr>
        <w:top w:val="none" w:sz="0" w:space="0" w:color="auto"/>
        <w:left w:val="none" w:sz="0" w:space="0" w:color="auto"/>
        <w:bottom w:val="none" w:sz="0" w:space="0" w:color="auto"/>
        <w:right w:val="none" w:sz="0" w:space="0" w:color="auto"/>
      </w:divBdr>
    </w:div>
    <w:div w:id="236283769">
      <w:marLeft w:val="0"/>
      <w:marRight w:val="0"/>
      <w:marTop w:val="0"/>
      <w:marBottom w:val="0"/>
      <w:divBdr>
        <w:top w:val="none" w:sz="0" w:space="0" w:color="auto"/>
        <w:left w:val="none" w:sz="0" w:space="0" w:color="auto"/>
        <w:bottom w:val="none" w:sz="0" w:space="0" w:color="auto"/>
        <w:right w:val="none" w:sz="0" w:space="0" w:color="auto"/>
      </w:divBdr>
      <w:divsChild>
        <w:div w:id="142158488">
          <w:marLeft w:val="0"/>
          <w:marRight w:val="0"/>
          <w:marTop w:val="0"/>
          <w:marBottom w:val="0"/>
          <w:divBdr>
            <w:top w:val="none" w:sz="0" w:space="0" w:color="auto"/>
            <w:left w:val="none" w:sz="0" w:space="0" w:color="auto"/>
            <w:bottom w:val="none" w:sz="0" w:space="0" w:color="auto"/>
            <w:right w:val="none" w:sz="0" w:space="0" w:color="auto"/>
          </w:divBdr>
        </w:div>
      </w:divsChild>
    </w:div>
    <w:div w:id="236670653">
      <w:marLeft w:val="0"/>
      <w:marRight w:val="0"/>
      <w:marTop w:val="0"/>
      <w:marBottom w:val="240"/>
      <w:divBdr>
        <w:top w:val="none" w:sz="0" w:space="0" w:color="auto"/>
        <w:left w:val="none" w:sz="0" w:space="0" w:color="auto"/>
        <w:bottom w:val="none" w:sz="0" w:space="0" w:color="auto"/>
        <w:right w:val="none" w:sz="0" w:space="0" w:color="auto"/>
      </w:divBdr>
    </w:div>
    <w:div w:id="238173569">
      <w:marLeft w:val="0"/>
      <w:marRight w:val="0"/>
      <w:marTop w:val="0"/>
      <w:marBottom w:val="0"/>
      <w:divBdr>
        <w:top w:val="none" w:sz="0" w:space="0" w:color="auto"/>
        <w:left w:val="none" w:sz="0" w:space="0" w:color="auto"/>
        <w:bottom w:val="none" w:sz="0" w:space="0" w:color="auto"/>
        <w:right w:val="none" w:sz="0" w:space="0" w:color="auto"/>
      </w:divBdr>
    </w:div>
    <w:div w:id="238906995">
      <w:marLeft w:val="0"/>
      <w:marRight w:val="0"/>
      <w:marTop w:val="0"/>
      <w:marBottom w:val="240"/>
      <w:divBdr>
        <w:top w:val="none" w:sz="0" w:space="0" w:color="auto"/>
        <w:left w:val="none" w:sz="0" w:space="0" w:color="auto"/>
        <w:bottom w:val="none" w:sz="0" w:space="0" w:color="auto"/>
        <w:right w:val="none" w:sz="0" w:space="0" w:color="auto"/>
      </w:divBdr>
    </w:div>
    <w:div w:id="241764372">
      <w:marLeft w:val="0"/>
      <w:marRight w:val="0"/>
      <w:marTop w:val="0"/>
      <w:marBottom w:val="240"/>
      <w:divBdr>
        <w:top w:val="none" w:sz="0" w:space="0" w:color="auto"/>
        <w:left w:val="none" w:sz="0" w:space="0" w:color="auto"/>
        <w:bottom w:val="none" w:sz="0" w:space="0" w:color="auto"/>
        <w:right w:val="none" w:sz="0" w:space="0" w:color="auto"/>
      </w:divBdr>
    </w:div>
    <w:div w:id="241912150">
      <w:marLeft w:val="0"/>
      <w:marRight w:val="0"/>
      <w:marTop w:val="0"/>
      <w:marBottom w:val="240"/>
      <w:divBdr>
        <w:top w:val="none" w:sz="0" w:space="0" w:color="auto"/>
        <w:left w:val="none" w:sz="0" w:space="0" w:color="auto"/>
        <w:bottom w:val="none" w:sz="0" w:space="0" w:color="auto"/>
        <w:right w:val="none" w:sz="0" w:space="0" w:color="auto"/>
      </w:divBdr>
    </w:div>
    <w:div w:id="247151773">
      <w:marLeft w:val="0"/>
      <w:marRight w:val="0"/>
      <w:marTop w:val="240"/>
      <w:marBottom w:val="240"/>
      <w:divBdr>
        <w:top w:val="none" w:sz="0" w:space="0" w:color="auto"/>
        <w:left w:val="none" w:sz="0" w:space="0" w:color="auto"/>
        <w:bottom w:val="none" w:sz="0" w:space="0" w:color="auto"/>
        <w:right w:val="none" w:sz="0" w:space="0" w:color="auto"/>
      </w:divBdr>
    </w:div>
    <w:div w:id="248781901">
      <w:marLeft w:val="0"/>
      <w:marRight w:val="0"/>
      <w:marTop w:val="0"/>
      <w:marBottom w:val="0"/>
      <w:divBdr>
        <w:top w:val="none" w:sz="0" w:space="0" w:color="auto"/>
        <w:left w:val="none" w:sz="0" w:space="0" w:color="auto"/>
        <w:bottom w:val="none" w:sz="0" w:space="0" w:color="auto"/>
        <w:right w:val="none" w:sz="0" w:space="0" w:color="auto"/>
      </w:divBdr>
    </w:div>
    <w:div w:id="249003707">
      <w:marLeft w:val="0"/>
      <w:marRight w:val="0"/>
      <w:marTop w:val="0"/>
      <w:marBottom w:val="240"/>
      <w:divBdr>
        <w:top w:val="none" w:sz="0" w:space="0" w:color="auto"/>
        <w:left w:val="none" w:sz="0" w:space="0" w:color="auto"/>
        <w:bottom w:val="none" w:sz="0" w:space="0" w:color="auto"/>
        <w:right w:val="none" w:sz="0" w:space="0" w:color="auto"/>
      </w:divBdr>
    </w:div>
    <w:div w:id="253903684">
      <w:marLeft w:val="0"/>
      <w:marRight w:val="0"/>
      <w:marTop w:val="0"/>
      <w:marBottom w:val="0"/>
      <w:divBdr>
        <w:top w:val="none" w:sz="0" w:space="0" w:color="auto"/>
        <w:left w:val="none" w:sz="0" w:space="0" w:color="auto"/>
        <w:bottom w:val="none" w:sz="0" w:space="0" w:color="auto"/>
        <w:right w:val="none" w:sz="0" w:space="0" w:color="auto"/>
      </w:divBdr>
    </w:div>
    <w:div w:id="255477318">
      <w:marLeft w:val="0"/>
      <w:marRight w:val="0"/>
      <w:marTop w:val="0"/>
      <w:marBottom w:val="240"/>
      <w:divBdr>
        <w:top w:val="none" w:sz="0" w:space="0" w:color="auto"/>
        <w:left w:val="none" w:sz="0" w:space="0" w:color="auto"/>
        <w:bottom w:val="none" w:sz="0" w:space="0" w:color="auto"/>
        <w:right w:val="none" w:sz="0" w:space="0" w:color="auto"/>
      </w:divBdr>
    </w:div>
    <w:div w:id="258951444">
      <w:marLeft w:val="0"/>
      <w:marRight w:val="0"/>
      <w:marTop w:val="0"/>
      <w:marBottom w:val="0"/>
      <w:divBdr>
        <w:top w:val="none" w:sz="0" w:space="0" w:color="auto"/>
        <w:left w:val="none" w:sz="0" w:space="0" w:color="auto"/>
        <w:bottom w:val="none" w:sz="0" w:space="0" w:color="auto"/>
        <w:right w:val="none" w:sz="0" w:space="0" w:color="auto"/>
      </w:divBdr>
    </w:div>
    <w:div w:id="261690487">
      <w:marLeft w:val="0"/>
      <w:marRight w:val="0"/>
      <w:marTop w:val="0"/>
      <w:marBottom w:val="240"/>
      <w:divBdr>
        <w:top w:val="none" w:sz="0" w:space="0" w:color="auto"/>
        <w:left w:val="none" w:sz="0" w:space="0" w:color="auto"/>
        <w:bottom w:val="none" w:sz="0" w:space="0" w:color="auto"/>
        <w:right w:val="none" w:sz="0" w:space="0" w:color="auto"/>
      </w:divBdr>
    </w:div>
    <w:div w:id="263731273">
      <w:marLeft w:val="0"/>
      <w:marRight w:val="0"/>
      <w:marTop w:val="0"/>
      <w:marBottom w:val="0"/>
      <w:divBdr>
        <w:top w:val="none" w:sz="0" w:space="0" w:color="auto"/>
        <w:left w:val="none" w:sz="0" w:space="0" w:color="auto"/>
        <w:bottom w:val="none" w:sz="0" w:space="0" w:color="auto"/>
        <w:right w:val="none" w:sz="0" w:space="0" w:color="auto"/>
      </w:divBdr>
      <w:divsChild>
        <w:div w:id="441144840">
          <w:marLeft w:val="0"/>
          <w:marRight w:val="0"/>
          <w:marTop w:val="0"/>
          <w:marBottom w:val="0"/>
          <w:divBdr>
            <w:top w:val="none" w:sz="0" w:space="0" w:color="auto"/>
            <w:left w:val="none" w:sz="0" w:space="0" w:color="auto"/>
            <w:bottom w:val="none" w:sz="0" w:space="0" w:color="auto"/>
            <w:right w:val="none" w:sz="0" w:space="0" w:color="auto"/>
          </w:divBdr>
          <w:divsChild>
            <w:div w:id="695271495">
              <w:marLeft w:val="0"/>
              <w:marRight w:val="0"/>
              <w:marTop w:val="480"/>
              <w:marBottom w:val="600"/>
              <w:divBdr>
                <w:top w:val="none" w:sz="0" w:space="0" w:color="auto"/>
                <w:left w:val="none" w:sz="0" w:space="0" w:color="auto"/>
                <w:bottom w:val="none" w:sz="0" w:space="0" w:color="auto"/>
                <w:right w:val="none" w:sz="0" w:space="0" w:color="auto"/>
              </w:divBdr>
            </w:div>
          </w:divsChild>
        </w:div>
      </w:divsChild>
    </w:div>
    <w:div w:id="267545339">
      <w:marLeft w:val="0"/>
      <w:marRight w:val="0"/>
      <w:marTop w:val="0"/>
      <w:marBottom w:val="0"/>
      <w:divBdr>
        <w:top w:val="none" w:sz="0" w:space="0" w:color="auto"/>
        <w:left w:val="none" w:sz="0" w:space="0" w:color="auto"/>
        <w:bottom w:val="none" w:sz="0" w:space="0" w:color="auto"/>
        <w:right w:val="none" w:sz="0" w:space="0" w:color="auto"/>
      </w:divBdr>
    </w:div>
    <w:div w:id="269171024">
      <w:marLeft w:val="0"/>
      <w:marRight w:val="0"/>
      <w:marTop w:val="0"/>
      <w:marBottom w:val="0"/>
      <w:divBdr>
        <w:top w:val="none" w:sz="0" w:space="0" w:color="auto"/>
        <w:left w:val="none" w:sz="0" w:space="0" w:color="auto"/>
        <w:bottom w:val="none" w:sz="0" w:space="0" w:color="auto"/>
        <w:right w:val="none" w:sz="0" w:space="0" w:color="auto"/>
      </w:divBdr>
      <w:divsChild>
        <w:div w:id="1797211928">
          <w:marLeft w:val="0"/>
          <w:marRight w:val="0"/>
          <w:marTop w:val="0"/>
          <w:marBottom w:val="0"/>
          <w:divBdr>
            <w:top w:val="none" w:sz="0" w:space="0" w:color="auto"/>
            <w:left w:val="none" w:sz="0" w:space="0" w:color="auto"/>
            <w:bottom w:val="none" w:sz="0" w:space="0" w:color="auto"/>
            <w:right w:val="none" w:sz="0" w:space="0" w:color="auto"/>
          </w:divBdr>
        </w:div>
      </w:divsChild>
    </w:div>
    <w:div w:id="275648997">
      <w:marLeft w:val="0"/>
      <w:marRight w:val="0"/>
      <w:marTop w:val="0"/>
      <w:marBottom w:val="240"/>
      <w:divBdr>
        <w:top w:val="none" w:sz="0" w:space="0" w:color="auto"/>
        <w:left w:val="none" w:sz="0" w:space="0" w:color="auto"/>
        <w:bottom w:val="none" w:sz="0" w:space="0" w:color="auto"/>
        <w:right w:val="none" w:sz="0" w:space="0" w:color="auto"/>
      </w:divBdr>
    </w:div>
    <w:div w:id="277564742">
      <w:marLeft w:val="0"/>
      <w:marRight w:val="0"/>
      <w:marTop w:val="0"/>
      <w:marBottom w:val="240"/>
      <w:divBdr>
        <w:top w:val="none" w:sz="0" w:space="0" w:color="auto"/>
        <w:left w:val="none" w:sz="0" w:space="0" w:color="auto"/>
        <w:bottom w:val="none" w:sz="0" w:space="0" w:color="auto"/>
        <w:right w:val="none" w:sz="0" w:space="0" w:color="auto"/>
      </w:divBdr>
    </w:div>
    <w:div w:id="277836234">
      <w:marLeft w:val="0"/>
      <w:marRight w:val="0"/>
      <w:marTop w:val="0"/>
      <w:marBottom w:val="0"/>
      <w:divBdr>
        <w:top w:val="none" w:sz="0" w:space="0" w:color="auto"/>
        <w:left w:val="none" w:sz="0" w:space="0" w:color="auto"/>
        <w:bottom w:val="none" w:sz="0" w:space="0" w:color="auto"/>
        <w:right w:val="none" w:sz="0" w:space="0" w:color="auto"/>
      </w:divBdr>
      <w:divsChild>
        <w:div w:id="1874229430">
          <w:marLeft w:val="0"/>
          <w:marRight w:val="0"/>
          <w:marTop w:val="0"/>
          <w:marBottom w:val="0"/>
          <w:divBdr>
            <w:top w:val="none" w:sz="0" w:space="0" w:color="auto"/>
            <w:left w:val="none" w:sz="0" w:space="0" w:color="auto"/>
            <w:bottom w:val="none" w:sz="0" w:space="0" w:color="auto"/>
            <w:right w:val="none" w:sz="0" w:space="0" w:color="auto"/>
          </w:divBdr>
        </w:div>
      </w:divsChild>
    </w:div>
    <w:div w:id="281307264">
      <w:marLeft w:val="0"/>
      <w:marRight w:val="0"/>
      <w:marTop w:val="0"/>
      <w:marBottom w:val="240"/>
      <w:divBdr>
        <w:top w:val="none" w:sz="0" w:space="0" w:color="auto"/>
        <w:left w:val="none" w:sz="0" w:space="0" w:color="auto"/>
        <w:bottom w:val="none" w:sz="0" w:space="0" w:color="auto"/>
        <w:right w:val="none" w:sz="0" w:space="0" w:color="auto"/>
      </w:divBdr>
    </w:div>
    <w:div w:id="281421837">
      <w:marLeft w:val="0"/>
      <w:marRight w:val="0"/>
      <w:marTop w:val="0"/>
      <w:marBottom w:val="240"/>
      <w:divBdr>
        <w:top w:val="none" w:sz="0" w:space="0" w:color="auto"/>
        <w:left w:val="none" w:sz="0" w:space="0" w:color="auto"/>
        <w:bottom w:val="none" w:sz="0" w:space="0" w:color="auto"/>
        <w:right w:val="none" w:sz="0" w:space="0" w:color="auto"/>
      </w:divBdr>
    </w:div>
    <w:div w:id="282467116">
      <w:marLeft w:val="0"/>
      <w:marRight w:val="0"/>
      <w:marTop w:val="0"/>
      <w:marBottom w:val="240"/>
      <w:divBdr>
        <w:top w:val="none" w:sz="0" w:space="0" w:color="auto"/>
        <w:left w:val="none" w:sz="0" w:space="0" w:color="auto"/>
        <w:bottom w:val="none" w:sz="0" w:space="0" w:color="auto"/>
        <w:right w:val="none" w:sz="0" w:space="0" w:color="auto"/>
      </w:divBdr>
    </w:div>
    <w:div w:id="284242681">
      <w:marLeft w:val="0"/>
      <w:marRight w:val="0"/>
      <w:marTop w:val="240"/>
      <w:marBottom w:val="240"/>
      <w:divBdr>
        <w:top w:val="none" w:sz="0" w:space="0" w:color="auto"/>
        <w:left w:val="none" w:sz="0" w:space="0" w:color="auto"/>
        <w:bottom w:val="none" w:sz="0" w:space="0" w:color="auto"/>
        <w:right w:val="none" w:sz="0" w:space="0" w:color="auto"/>
      </w:divBdr>
    </w:div>
    <w:div w:id="284313970">
      <w:marLeft w:val="0"/>
      <w:marRight w:val="0"/>
      <w:marTop w:val="240"/>
      <w:marBottom w:val="240"/>
      <w:divBdr>
        <w:top w:val="none" w:sz="0" w:space="0" w:color="auto"/>
        <w:left w:val="none" w:sz="0" w:space="0" w:color="auto"/>
        <w:bottom w:val="none" w:sz="0" w:space="0" w:color="auto"/>
        <w:right w:val="none" w:sz="0" w:space="0" w:color="auto"/>
      </w:divBdr>
    </w:div>
    <w:div w:id="286275393">
      <w:marLeft w:val="0"/>
      <w:marRight w:val="0"/>
      <w:marTop w:val="0"/>
      <w:marBottom w:val="0"/>
      <w:divBdr>
        <w:top w:val="none" w:sz="0" w:space="0" w:color="auto"/>
        <w:left w:val="none" w:sz="0" w:space="0" w:color="auto"/>
        <w:bottom w:val="none" w:sz="0" w:space="0" w:color="auto"/>
        <w:right w:val="none" w:sz="0" w:space="0" w:color="auto"/>
      </w:divBdr>
      <w:divsChild>
        <w:div w:id="217983156">
          <w:marLeft w:val="0"/>
          <w:marRight w:val="0"/>
          <w:marTop w:val="0"/>
          <w:marBottom w:val="0"/>
          <w:divBdr>
            <w:top w:val="none" w:sz="0" w:space="0" w:color="auto"/>
            <w:left w:val="none" w:sz="0" w:space="0" w:color="auto"/>
            <w:bottom w:val="none" w:sz="0" w:space="0" w:color="auto"/>
            <w:right w:val="none" w:sz="0" w:space="0" w:color="auto"/>
          </w:divBdr>
        </w:div>
      </w:divsChild>
    </w:div>
    <w:div w:id="288165061">
      <w:marLeft w:val="0"/>
      <w:marRight w:val="0"/>
      <w:marTop w:val="0"/>
      <w:marBottom w:val="0"/>
      <w:divBdr>
        <w:top w:val="none" w:sz="0" w:space="0" w:color="auto"/>
        <w:left w:val="none" w:sz="0" w:space="0" w:color="auto"/>
        <w:bottom w:val="none" w:sz="0" w:space="0" w:color="auto"/>
        <w:right w:val="none" w:sz="0" w:space="0" w:color="auto"/>
      </w:divBdr>
    </w:div>
    <w:div w:id="290017235">
      <w:marLeft w:val="0"/>
      <w:marRight w:val="0"/>
      <w:marTop w:val="0"/>
      <w:marBottom w:val="0"/>
      <w:divBdr>
        <w:top w:val="none" w:sz="0" w:space="0" w:color="auto"/>
        <w:left w:val="none" w:sz="0" w:space="0" w:color="auto"/>
        <w:bottom w:val="none" w:sz="0" w:space="0" w:color="auto"/>
        <w:right w:val="none" w:sz="0" w:space="0" w:color="auto"/>
      </w:divBdr>
      <w:divsChild>
        <w:div w:id="1609506084">
          <w:marLeft w:val="0"/>
          <w:marRight w:val="0"/>
          <w:marTop w:val="0"/>
          <w:marBottom w:val="0"/>
          <w:divBdr>
            <w:top w:val="none" w:sz="0" w:space="0" w:color="auto"/>
            <w:left w:val="none" w:sz="0" w:space="0" w:color="auto"/>
            <w:bottom w:val="none" w:sz="0" w:space="0" w:color="auto"/>
            <w:right w:val="none" w:sz="0" w:space="0" w:color="auto"/>
          </w:divBdr>
        </w:div>
      </w:divsChild>
    </w:div>
    <w:div w:id="290094707">
      <w:marLeft w:val="0"/>
      <w:marRight w:val="0"/>
      <w:marTop w:val="240"/>
      <w:marBottom w:val="240"/>
      <w:divBdr>
        <w:top w:val="none" w:sz="0" w:space="0" w:color="auto"/>
        <w:left w:val="none" w:sz="0" w:space="0" w:color="auto"/>
        <w:bottom w:val="none" w:sz="0" w:space="0" w:color="auto"/>
        <w:right w:val="none" w:sz="0" w:space="0" w:color="auto"/>
      </w:divBdr>
    </w:div>
    <w:div w:id="292515926">
      <w:marLeft w:val="0"/>
      <w:marRight w:val="0"/>
      <w:marTop w:val="0"/>
      <w:marBottom w:val="240"/>
      <w:divBdr>
        <w:top w:val="none" w:sz="0" w:space="0" w:color="auto"/>
        <w:left w:val="none" w:sz="0" w:space="0" w:color="auto"/>
        <w:bottom w:val="none" w:sz="0" w:space="0" w:color="auto"/>
        <w:right w:val="none" w:sz="0" w:space="0" w:color="auto"/>
      </w:divBdr>
    </w:div>
    <w:div w:id="294407701">
      <w:marLeft w:val="0"/>
      <w:marRight w:val="0"/>
      <w:marTop w:val="0"/>
      <w:marBottom w:val="240"/>
      <w:divBdr>
        <w:top w:val="none" w:sz="0" w:space="0" w:color="auto"/>
        <w:left w:val="none" w:sz="0" w:space="0" w:color="auto"/>
        <w:bottom w:val="none" w:sz="0" w:space="0" w:color="auto"/>
        <w:right w:val="none" w:sz="0" w:space="0" w:color="auto"/>
      </w:divBdr>
    </w:div>
    <w:div w:id="295718266">
      <w:marLeft w:val="0"/>
      <w:marRight w:val="0"/>
      <w:marTop w:val="0"/>
      <w:marBottom w:val="240"/>
      <w:divBdr>
        <w:top w:val="none" w:sz="0" w:space="0" w:color="auto"/>
        <w:left w:val="none" w:sz="0" w:space="0" w:color="auto"/>
        <w:bottom w:val="none" w:sz="0" w:space="0" w:color="auto"/>
        <w:right w:val="none" w:sz="0" w:space="0" w:color="auto"/>
      </w:divBdr>
    </w:div>
    <w:div w:id="297303551">
      <w:marLeft w:val="0"/>
      <w:marRight w:val="0"/>
      <w:marTop w:val="0"/>
      <w:marBottom w:val="0"/>
      <w:divBdr>
        <w:top w:val="none" w:sz="0" w:space="0" w:color="auto"/>
        <w:left w:val="none" w:sz="0" w:space="0" w:color="auto"/>
        <w:bottom w:val="none" w:sz="0" w:space="0" w:color="auto"/>
        <w:right w:val="none" w:sz="0" w:space="0" w:color="auto"/>
      </w:divBdr>
      <w:divsChild>
        <w:div w:id="516388799">
          <w:marLeft w:val="0"/>
          <w:marRight w:val="0"/>
          <w:marTop w:val="0"/>
          <w:marBottom w:val="0"/>
          <w:divBdr>
            <w:top w:val="none" w:sz="0" w:space="0" w:color="auto"/>
            <w:left w:val="none" w:sz="0" w:space="0" w:color="auto"/>
            <w:bottom w:val="none" w:sz="0" w:space="0" w:color="auto"/>
            <w:right w:val="none" w:sz="0" w:space="0" w:color="auto"/>
          </w:divBdr>
        </w:div>
      </w:divsChild>
    </w:div>
    <w:div w:id="299119859">
      <w:marLeft w:val="0"/>
      <w:marRight w:val="0"/>
      <w:marTop w:val="0"/>
      <w:marBottom w:val="0"/>
      <w:divBdr>
        <w:top w:val="none" w:sz="0" w:space="0" w:color="auto"/>
        <w:left w:val="none" w:sz="0" w:space="0" w:color="auto"/>
        <w:bottom w:val="none" w:sz="0" w:space="0" w:color="auto"/>
        <w:right w:val="none" w:sz="0" w:space="0" w:color="auto"/>
      </w:divBdr>
      <w:divsChild>
        <w:div w:id="1327396626">
          <w:marLeft w:val="0"/>
          <w:marRight w:val="0"/>
          <w:marTop w:val="0"/>
          <w:marBottom w:val="0"/>
          <w:divBdr>
            <w:top w:val="none" w:sz="0" w:space="0" w:color="auto"/>
            <w:left w:val="none" w:sz="0" w:space="0" w:color="auto"/>
            <w:bottom w:val="none" w:sz="0" w:space="0" w:color="auto"/>
            <w:right w:val="none" w:sz="0" w:space="0" w:color="auto"/>
          </w:divBdr>
        </w:div>
      </w:divsChild>
    </w:div>
    <w:div w:id="300889901">
      <w:marLeft w:val="0"/>
      <w:marRight w:val="0"/>
      <w:marTop w:val="60"/>
      <w:marBottom w:val="0"/>
      <w:divBdr>
        <w:top w:val="none" w:sz="0" w:space="0" w:color="auto"/>
        <w:left w:val="none" w:sz="0" w:space="0" w:color="auto"/>
        <w:bottom w:val="none" w:sz="0" w:space="0" w:color="auto"/>
        <w:right w:val="none" w:sz="0" w:space="0" w:color="auto"/>
      </w:divBdr>
    </w:div>
    <w:div w:id="303045953">
      <w:marLeft w:val="0"/>
      <w:marRight w:val="0"/>
      <w:marTop w:val="0"/>
      <w:marBottom w:val="0"/>
      <w:divBdr>
        <w:top w:val="none" w:sz="0" w:space="0" w:color="auto"/>
        <w:left w:val="none" w:sz="0" w:space="0" w:color="auto"/>
        <w:bottom w:val="none" w:sz="0" w:space="0" w:color="auto"/>
        <w:right w:val="none" w:sz="0" w:space="0" w:color="auto"/>
      </w:divBdr>
    </w:div>
    <w:div w:id="303584904">
      <w:marLeft w:val="0"/>
      <w:marRight w:val="0"/>
      <w:marTop w:val="0"/>
      <w:marBottom w:val="240"/>
      <w:divBdr>
        <w:top w:val="none" w:sz="0" w:space="0" w:color="auto"/>
        <w:left w:val="none" w:sz="0" w:space="0" w:color="auto"/>
        <w:bottom w:val="none" w:sz="0" w:space="0" w:color="auto"/>
        <w:right w:val="none" w:sz="0" w:space="0" w:color="auto"/>
      </w:divBdr>
    </w:div>
    <w:div w:id="304164889">
      <w:marLeft w:val="0"/>
      <w:marRight w:val="0"/>
      <w:marTop w:val="0"/>
      <w:marBottom w:val="240"/>
      <w:divBdr>
        <w:top w:val="none" w:sz="0" w:space="0" w:color="auto"/>
        <w:left w:val="none" w:sz="0" w:space="0" w:color="auto"/>
        <w:bottom w:val="none" w:sz="0" w:space="0" w:color="auto"/>
        <w:right w:val="none" w:sz="0" w:space="0" w:color="auto"/>
      </w:divBdr>
    </w:div>
    <w:div w:id="304968256">
      <w:marLeft w:val="0"/>
      <w:marRight w:val="0"/>
      <w:marTop w:val="0"/>
      <w:marBottom w:val="240"/>
      <w:divBdr>
        <w:top w:val="none" w:sz="0" w:space="0" w:color="auto"/>
        <w:left w:val="none" w:sz="0" w:space="0" w:color="auto"/>
        <w:bottom w:val="none" w:sz="0" w:space="0" w:color="auto"/>
        <w:right w:val="none" w:sz="0" w:space="0" w:color="auto"/>
      </w:divBdr>
    </w:div>
    <w:div w:id="308903863">
      <w:marLeft w:val="0"/>
      <w:marRight w:val="0"/>
      <w:marTop w:val="120"/>
      <w:marBottom w:val="240"/>
      <w:divBdr>
        <w:top w:val="none" w:sz="0" w:space="0" w:color="auto"/>
        <w:left w:val="none" w:sz="0" w:space="0" w:color="auto"/>
        <w:bottom w:val="none" w:sz="0" w:space="0" w:color="auto"/>
        <w:right w:val="none" w:sz="0" w:space="0" w:color="auto"/>
      </w:divBdr>
    </w:div>
    <w:div w:id="311100542">
      <w:marLeft w:val="0"/>
      <w:marRight w:val="0"/>
      <w:marTop w:val="0"/>
      <w:marBottom w:val="240"/>
      <w:divBdr>
        <w:top w:val="none" w:sz="0" w:space="0" w:color="auto"/>
        <w:left w:val="none" w:sz="0" w:space="0" w:color="auto"/>
        <w:bottom w:val="none" w:sz="0" w:space="0" w:color="auto"/>
        <w:right w:val="none" w:sz="0" w:space="0" w:color="auto"/>
      </w:divBdr>
    </w:div>
    <w:div w:id="317272730">
      <w:marLeft w:val="0"/>
      <w:marRight w:val="0"/>
      <w:marTop w:val="0"/>
      <w:marBottom w:val="240"/>
      <w:divBdr>
        <w:top w:val="none" w:sz="0" w:space="0" w:color="auto"/>
        <w:left w:val="none" w:sz="0" w:space="0" w:color="auto"/>
        <w:bottom w:val="none" w:sz="0" w:space="0" w:color="auto"/>
        <w:right w:val="none" w:sz="0" w:space="0" w:color="auto"/>
      </w:divBdr>
    </w:div>
    <w:div w:id="319508673">
      <w:marLeft w:val="0"/>
      <w:marRight w:val="0"/>
      <w:marTop w:val="0"/>
      <w:marBottom w:val="0"/>
      <w:divBdr>
        <w:top w:val="none" w:sz="0" w:space="0" w:color="auto"/>
        <w:left w:val="none" w:sz="0" w:space="0" w:color="auto"/>
        <w:bottom w:val="none" w:sz="0" w:space="0" w:color="auto"/>
        <w:right w:val="none" w:sz="0" w:space="0" w:color="auto"/>
      </w:divBdr>
    </w:div>
    <w:div w:id="320475354">
      <w:marLeft w:val="0"/>
      <w:marRight w:val="0"/>
      <w:marTop w:val="0"/>
      <w:marBottom w:val="240"/>
      <w:divBdr>
        <w:top w:val="none" w:sz="0" w:space="0" w:color="auto"/>
        <w:left w:val="none" w:sz="0" w:space="0" w:color="auto"/>
        <w:bottom w:val="none" w:sz="0" w:space="0" w:color="auto"/>
        <w:right w:val="none" w:sz="0" w:space="0" w:color="auto"/>
      </w:divBdr>
    </w:div>
    <w:div w:id="323437997">
      <w:marLeft w:val="0"/>
      <w:marRight w:val="0"/>
      <w:marTop w:val="0"/>
      <w:marBottom w:val="240"/>
      <w:divBdr>
        <w:top w:val="none" w:sz="0" w:space="0" w:color="auto"/>
        <w:left w:val="none" w:sz="0" w:space="0" w:color="auto"/>
        <w:bottom w:val="none" w:sz="0" w:space="0" w:color="auto"/>
        <w:right w:val="none" w:sz="0" w:space="0" w:color="auto"/>
      </w:divBdr>
    </w:div>
    <w:div w:id="330380235">
      <w:marLeft w:val="0"/>
      <w:marRight w:val="0"/>
      <w:marTop w:val="0"/>
      <w:marBottom w:val="240"/>
      <w:divBdr>
        <w:top w:val="none" w:sz="0" w:space="0" w:color="auto"/>
        <w:left w:val="none" w:sz="0" w:space="0" w:color="auto"/>
        <w:bottom w:val="none" w:sz="0" w:space="0" w:color="auto"/>
        <w:right w:val="none" w:sz="0" w:space="0" w:color="auto"/>
      </w:divBdr>
    </w:div>
    <w:div w:id="330956992">
      <w:marLeft w:val="0"/>
      <w:marRight w:val="0"/>
      <w:marTop w:val="0"/>
      <w:marBottom w:val="240"/>
      <w:divBdr>
        <w:top w:val="none" w:sz="0" w:space="0" w:color="auto"/>
        <w:left w:val="none" w:sz="0" w:space="0" w:color="auto"/>
        <w:bottom w:val="none" w:sz="0" w:space="0" w:color="auto"/>
        <w:right w:val="none" w:sz="0" w:space="0" w:color="auto"/>
      </w:divBdr>
    </w:div>
    <w:div w:id="339506444">
      <w:marLeft w:val="0"/>
      <w:marRight w:val="0"/>
      <w:marTop w:val="0"/>
      <w:marBottom w:val="240"/>
      <w:divBdr>
        <w:top w:val="none" w:sz="0" w:space="0" w:color="auto"/>
        <w:left w:val="none" w:sz="0" w:space="0" w:color="auto"/>
        <w:bottom w:val="none" w:sz="0" w:space="0" w:color="auto"/>
        <w:right w:val="none" w:sz="0" w:space="0" w:color="auto"/>
      </w:divBdr>
    </w:div>
    <w:div w:id="347874807">
      <w:marLeft w:val="0"/>
      <w:marRight w:val="0"/>
      <w:marTop w:val="0"/>
      <w:marBottom w:val="240"/>
      <w:divBdr>
        <w:top w:val="none" w:sz="0" w:space="0" w:color="auto"/>
        <w:left w:val="none" w:sz="0" w:space="0" w:color="auto"/>
        <w:bottom w:val="none" w:sz="0" w:space="0" w:color="auto"/>
        <w:right w:val="none" w:sz="0" w:space="0" w:color="auto"/>
      </w:divBdr>
    </w:div>
    <w:div w:id="348214905">
      <w:marLeft w:val="0"/>
      <w:marRight w:val="0"/>
      <w:marTop w:val="0"/>
      <w:marBottom w:val="240"/>
      <w:divBdr>
        <w:top w:val="none" w:sz="0" w:space="0" w:color="auto"/>
        <w:left w:val="none" w:sz="0" w:space="0" w:color="auto"/>
        <w:bottom w:val="none" w:sz="0" w:space="0" w:color="auto"/>
        <w:right w:val="none" w:sz="0" w:space="0" w:color="auto"/>
      </w:divBdr>
    </w:div>
    <w:div w:id="360982993">
      <w:marLeft w:val="0"/>
      <w:marRight w:val="0"/>
      <w:marTop w:val="0"/>
      <w:marBottom w:val="240"/>
      <w:divBdr>
        <w:top w:val="none" w:sz="0" w:space="0" w:color="auto"/>
        <w:left w:val="none" w:sz="0" w:space="0" w:color="auto"/>
        <w:bottom w:val="none" w:sz="0" w:space="0" w:color="auto"/>
        <w:right w:val="none" w:sz="0" w:space="0" w:color="auto"/>
      </w:divBdr>
    </w:div>
    <w:div w:id="361639476">
      <w:marLeft w:val="0"/>
      <w:marRight w:val="0"/>
      <w:marTop w:val="240"/>
      <w:marBottom w:val="240"/>
      <w:divBdr>
        <w:top w:val="none" w:sz="0" w:space="0" w:color="auto"/>
        <w:left w:val="none" w:sz="0" w:space="0" w:color="auto"/>
        <w:bottom w:val="none" w:sz="0" w:space="0" w:color="auto"/>
        <w:right w:val="none" w:sz="0" w:space="0" w:color="auto"/>
      </w:divBdr>
    </w:div>
    <w:div w:id="376897769">
      <w:marLeft w:val="0"/>
      <w:marRight w:val="0"/>
      <w:marTop w:val="240"/>
      <w:marBottom w:val="240"/>
      <w:divBdr>
        <w:top w:val="none" w:sz="0" w:space="0" w:color="auto"/>
        <w:left w:val="none" w:sz="0" w:space="0" w:color="auto"/>
        <w:bottom w:val="none" w:sz="0" w:space="0" w:color="auto"/>
        <w:right w:val="none" w:sz="0" w:space="0" w:color="auto"/>
      </w:divBdr>
    </w:div>
    <w:div w:id="378021345">
      <w:marLeft w:val="0"/>
      <w:marRight w:val="0"/>
      <w:marTop w:val="0"/>
      <w:marBottom w:val="0"/>
      <w:divBdr>
        <w:top w:val="none" w:sz="0" w:space="0" w:color="auto"/>
        <w:left w:val="none" w:sz="0" w:space="0" w:color="auto"/>
        <w:bottom w:val="none" w:sz="0" w:space="0" w:color="auto"/>
        <w:right w:val="none" w:sz="0" w:space="0" w:color="auto"/>
      </w:divBdr>
    </w:div>
    <w:div w:id="378362751">
      <w:marLeft w:val="0"/>
      <w:marRight w:val="0"/>
      <w:marTop w:val="240"/>
      <w:marBottom w:val="240"/>
      <w:divBdr>
        <w:top w:val="none" w:sz="0" w:space="0" w:color="auto"/>
        <w:left w:val="none" w:sz="0" w:space="0" w:color="auto"/>
        <w:bottom w:val="none" w:sz="0" w:space="0" w:color="auto"/>
        <w:right w:val="none" w:sz="0" w:space="0" w:color="auto"/>
      </w:divBdr>
    </w:div>
    <w:div w:id="380443048">
      <w:marLeft w:val="0"/>
      <w:marRight w:val="0"/>
      <w:marTop w:val="0"/>
      <w:marBottom w:val="0"/>
      <w:divBdr>
        <w:top w:val="none" w:sz="0" w:space="0" w:color="auto"/>
        <w:left w:val="none" w:sz="0" w:space="0" w:color="auto"/>
        <w:bottom w:val="none" w:sz="0" w:space="0" w:color="auto"/>
        <w:right w:val="none" w:sz="0" w:space="0" w:color="auto"/>
      </w:divBdr>
      <w:divsChild>
        <w:div w:id="2007316945">
          <w:marLeft w:val="0"/>
          <w:marRight w:val="0"/>
          <w:marTop w:val="0"/>
          <w:marBottom w:val="0"/>
          <w:divBdr>
            <w:top w:val="none" w:sz="0" w:space="0" w:color="auto"/>
            <w:left w:val="none" w:sz="0" w:space="0" w:color="auto"/>
            <w:bottom w:val="none" w:sz="0" w:space="0" w:color="auto"/>
            <w:right w:val="none" w:sz="0" w:space="0" w:color="auto"/>
          </w:divBdr>
        </w:div>
      </w:divsChild>
    </w:div>
    <w:div w:id="383718514">
      <w:marLeft w:val="0"/>
      <w:marRight w:val="0"/>
      <w:marTop w:val="240"/>
      <w:marBottom w:val="240"/>
      <w:divBdr>
        <w:top w:val="none" w:sz="0" w:space="0" w:color="auto"/>
        <w:left w:val="none" w:sz="0" w:space="0" w:color="auto"/>
        <w:bottom w:val="none" w:sz="0" w:space="0" w:color="auto"/>
        <w:right w:val="none" w:sz="0" w:space="0" w:color="auto"/>
      </w:divBdr>
    </w:div>
    <w:div w:id="385682583">
      <w:marLeft w:val="0"/>
      <w:marRight w:val="0"/>
      <w:marTop w:val="0"/>
      <w:marBottom w:val="260"/>
      <w:divBdr>
        <w:top w:val="none" w:sz="0" w:space="0" w:color="auto"/>
        <w:left w:val="none" w:sz="0" w:space="0" w:color="auto"/>
        <w:bottom w:val="none" w:sz="0" w:space="0" w:color="auto"/>
        <w:right w:val="none" w:sz="0" w:space="0" w:color="auto"/>
      </w:divBdr>
    </w:div>
    <w:div w:id="385690702">
      <w:marLeft w:val="0"/>
      <w:marRight w:val="0"/>
      <w:marTop w:val="0"/>
      <w:marBottom w:val="240"/>
      <w:divBdr>
        <w:top w:val="none" w:sz="0" w:space="0" w:color="auto"/>
        <w:left w:val="none" w:sz="0" w:space="0" w:color="auto"/>
        <w:bottom w:val="none" w:sz="0" w:space="0" w:color="auto"/>
        <w:right w:val="none" w:sz="0" w:space="0" w:color="auto"/>
      </w:divBdr>
    </w:div>
    <w:div w:id="395201014">
      <w:marLeft w:val="0"/>
      <w:marRight w:val="0"/>
      <w:marTop w:val="0"/>
      <w:marBottom w:val="240"/>
      <w:divBdr>
        <w:top w:val="none" w:sz="0" w:space="0" w:color="auto"/>
        <w:left w:val="none" w:sz="0" w:space="0" w:color="auto"/>
        <w:bottom w:val="none" w:sz="0" w:space="0" w:color="auto"/>
        <w:right w:val="none" w:sz="0" w:space="0" w:color="auto"/>
      </w:divBdr>
    </w:div>
    <w:div w:id="401756657">
      <w:marLeft w:val="0"/>
      <w:marRight w:val="0"/>
      <w:marTop w:val="0"/>
      <w:marBottom w:val="120"/>
      <w:divBdr>
        <w:top w:val="none" w:sz="0" w:space="0" w:color="auto"/>
        <w:left w:val="none" w:sz="0" w:space="0" w:color="auto"/>
        <w:bottom w:val="none" w:sz="0" w:space="0" w:color="auto"/>
        <w:right w:val="none" w:sz="0" w:space="0" w:color="auto"/>
      </w:divBdr>
    </w:div>
    <w:div w:id="409423800">
      <w:marLeft w:val="0"/>
      <w:marRight w:val="0"/>
      <w:marTop w:val="0"/>
      <w:marBottom w:val="0"/>
      <w:divBdr>
        <w:top w:val="none" w:sz="0" w:space="0" w:color="auto"/>
        <w:left w:val="none" w:sz="0" w:space="0" w:color="auto"/>
        <w:bottom w:val="none" w:sz="0" w:space="0" w:color="auto"/>
        <w:right w:val="none" w:sz="0" w:space="0" w:color="auto"/>
      </w:divBdr>
    </w:div>
    <w:div w:id="409541062">
      <w:marLeft w:val="0"/>
      <w:marRight w:val="0"/>
      <w:marTop w:val="0"/>
      <w:marBottom w:val="0"/>
      <w:divBdr>
        <w:top w:val="none" w:sz="0" w:space="0" w:color="auto"/>
        <w:left w:val="none" w:sz="0" w:space="0" w:color="auto"/>
        <w:bottom w:val="none" w:sz="0" w:space="0" w:color="auto"/>
        <w:right w:val="none" w:sz="0" w:space="0" w:color="auto"/>
      </w:divBdr>
      <w:divsChild>
        <w:div w:id="1010332795">
          <w:marLeft w:val="0"/>
          <w:marRight w:val="0"/>
          <w:marTop w:val="0"/>
          <w:marBottom w:val="0"/>
          <w:divBdr>
            <w:top w:val="none" w:sz="0" w:space="0" w:color="auto"/>
            <w:left w:val="none" w:sz="0" w:space="0" w:color="auto"/>
            <w:bottom w:val="none" w:sz="0" w:space="0" w:color="auto"/>
            <w:right w:val="none" w:sz="0" w:space="0" w:color="auto"/>
          </w:divBdr>
        </w:div>
        <w:div w:id="711922246">
          <w:marLeft w:val="0"/>
          <w:marRight w:val="0"/>
          <w:marTop w:val="0"/>
          <w:marBottom w:val="0"/>
          <w:divBdr>
            <w:top w:val="none" w:sz="0" w:space="0" w:color="auto"/>
            <w:left w:val="none" w:sz="0" w:space="0" w:color="auto"/>
            <w:bottom w:val="none" w:sz="0" w:space="0" w:color="auto"/>
            <w:right w:val="none" w:sz="0" w:space="0" w:color="auto"/>
          </w:divBdr>
        </w:div>
        <w:div w:id="323434086">
          <w:marLeft w:val="0"/>
          <w:marRight w:val="0"/>
          <w:marTop w:val="0"/>
          <w:marBottom w:val="0"/>
          <w:divBdr>
            <w:top w:val="none" w:sz="0" w:space="0" w:color="auto"/>
            <w:left w:val="none" w:sz="0" w:space="0" w:color="auto"/>
            <w:bottom w:val="none" w:sz="0" w:space="0" w:color="auto"/>
            <w:right w:val="none" w:sz="0" w:space="0" w:color="auto"/>
          </w:divBdr>
        </w:div>
        <w:div w:id="1903952838">
          <w:marLeft w:val="0"/>
          <w:marRight w:val="0"/>
          <w:marTop w:val="0"/>
          <w:marBottom w:val="0"/>
          <w:divBdr>
            <w:top w:val="none" w:sz="0" w:space="0" w:color="auto"/>
            <w:left w:val="none" w:sz="0" w:space="0" w:color="auto"/>
            <w:bottom w:val="none" w:sz="0" w:space="0" w:color="auto"/>
            <w:right w:val="none" w:sz="0" w:space="0" w:color="auto"/>
          </w:divBdr>
        </w:div>
      </w:divsChild>
    </w:div>
    <w:div w:id="413669293">
      <w:marLeft w:val="0"/>
      <w:marRight w:val="0"/>
      <w:marTop w:val="0"/>
      <w:marBottom w:val="0"/>
      <w:divBdr>
        <w:top w:val="none" w:sz="0" w:space="0" w:color="auto"/>
        <w:left w:val="none" w:sz="0" w:space="0" w:color="auto"/>
        <w:bottom w:val="none" w:sz="0" w:space="0" w:color="auto"/>
        <w:right w:val="none" w:sz="0" w:space="0" w:color="auto"/>
      </w:divBdr>
      <w:divsChild>
        <w:div w:id="787285222">
          <w:marLeft w:val="0"/>
          <w:marRight w:val="0"/>
          <w:marTop w:val="0"/>
          <w:marBottom w:val="0"/>
          <w:divBdr>
            <w:top w:val="none" w:sz="0" w:space="0" w:color="auto"/>
            <w:left w:val="none" w:sz="0" w:space="0" w:color="auto"/>
            <w:bottom w:val="none" w:sz="0" w:space="0" w:color="auto"/>
            <w:right w:val="none" w:sz="0" w:space="0" w:color="auto"/>
          </w:divBdr>
        </w:div>
      </w:divsChild>
    </w:div>
    <w:div w:id="414592763">
      <w:marLeft w:val="0"/>
      <w:marRight w:val="0"/>
      <w:marTop w:val="0"/>
      <w:marBottom w:val="240"/>
      <w:divBdr>
        <w:top w:val="none" w:sz="0" w:space="0" w:color="auto"/>
        <w:left w:val="none" w:sz="0" w:space="0" w:color="auto"/>
        <w:bottom w:val="none" w:sz="0" w:space="0" w:color="auto"/>
        <w:right w:val="none" w:sz="0" w:space="0" w:color="auto"/>
      </w:divBdr>
    </w:div>
    <w:div w:id="415588403">
      <w:marLeft w:val="0"/>
      <w:marRight w:val="0"/>
      <w:marTop w:val="0"/>
      <w:marBottom w:val="240"/>
      <w:divBdr>
        <w:top w:val="none" w:sz="0" w:space="0" w:color="auto"/>
        <w:left w:val="none" w:sz="0" w:space="0" w:color="auto"/>
        <w:bottom w:val="none" w:sz="0" w:space="0" w:color="auto"/>
        <w:right w:val="none" w:sz="0" w:space="0" w:color="auto"/>
      </w:divBdr>
    </w:div>
    <w:div w:id="418598547">
      <w:marLeft w:val="0"/>
      <w:marRight w:val="0"/>
      <w:marTop w:val="0"/>
      <w:marBottom w:val="240"/>
      <w:divBdr>
        <w:top w:val="none" w:sz="0" w:space="0" w:color="auto"/>
        <w:left w:val="none" w:sz="0" w:space="0" w:color="auto"/>
        <w:bottom w:val="none" w:sz="0" w:space="0" w:color="auto"/>
        <w:right w:val="none" w:sz="0" w:space="0" w:color="auto"/>
      </w:divBdr>
    </w:div>
    <w:div w:id="420874266">
      <w:marLeft w:val="0"/>
      <w:marRight w:val="0"/>
      <w:marTop w:val="0"/>
      <w:marBottom w:val="0"/>
      <w:divBdr>
        <w:top w:val="none" w:sz="0" w:space="0" w:color="auto"/>
        <w:left w:val="none" w:sz="0" w:space="0" w:color="auto"/>
        <w:bottom w:val="none" w:sz="0" w:space="0" w:color="auto"/>
        <w:right w:val="none" w:sz="0" w:space="0" w:color="auto"/>
      </w:divBdr>
    </w:div>
    <w:div w:id="428090430">
      <w:marLeft w:val="0"/>
      <w:marRight w:val="0"/>
      <w:marTop w:val="0"/>
      <w:marBottom w:val="120"/>
      <w:divBdr>
        <w:top w:val="none" w:sz="0" w:space="0" w:color="auto"/>
        <w:left w:val="none" w:sz="0" w:space="0" w:color="auto"/>
        <w:bottom w:val="none" w:sz="0" w:space="0" w:color="auto"/>
        <w:right w:val="none" w:sz="0" w:space="0" w:color="auto"/>
      </w:divBdr>
    </w:div>
    <w:div w:id="443770241">
      <w:marLeft w:val="0"/>
      <w:marRight w:val="0"/>
      <w:marTop w:val="0"/>
      <w:marBottom w:val="240"/>
      <w:divBdr>
        <w:top w:val="none" w:sz="0" w:space="0" w:color="auto"/>
        <w:left w:val="none" w:sz="0" w:space="0" w:color="auto"/>
        <w:bottom w:val="none" w:sz="0" w:space="0" w:color="auto"/>
        <w:right w:val="none" w:sz="0" w:space="0" w:color="auto"/>
      </w:divBdr>
    </w:div>
    <w:div w:id="444928200">
      <w:marLeft w:val="0"/>
      <w:marRight w:val="0"/>
      <w:marTop w:val="240"/>
      <w:marBottom w:val="120"/>
      <w:divBdr>
        <w:top w:val="none" w:sz="0" w:space="0" w:color="auto"/>
        <w:left w:val="none" w:sz="0" w:space="0" w:color="auto"/>
        <w:bottom w:val="none" w:sz="0" w:space="0" w:color="auto"/>
        <w:right w:val="none" w:sz="0" w:space="0" w:color="auto"/>
      </w:divBdr>
    </w:div>
    <w:div w:id="445540170">
      <w:marLeft w:val="0"/>
      <w:marRight w:val="0"/>
      <w:marTop w:val="0"/>
      <w:marBottom w:val="240"/>
      <w:divBdr>
        <w:top w:val="none" w:sz="0" w:space="0" w:color="auto"/>
        <w:left w:val="none" w:sz="0" w:space="0" w:color="auto"/>
        <w:bottom w:val="none" w:sz="0" w:space="0" w:color="auto"/>
        <w:right w:val="none" w:sz="0" w:space="0" w:color="auto"/>
      </w:divBdr>
    </w:div>
    <w:div w:id="447163847">
      <w:marLeft w:val="0"/>
      <w:marRight w:val="0"/>
      <w:marTop w:val="0"/>
      <w:marBottom w:val="0"/>
      <w:divBdr>
        <w:top w:val="none" w:sz="0" w:space="0" w:color="auto"/>
        <w:left w:val="none" w:sz="0" w:space="0" w:color="auto"/>
        <w:bottom w:val="none" w:sz="0" w:space="0" w:color="auto"/>
        <w:right w:val="none" w:sz="0" w:space="0" w:color="auto"/>
      </w:divBdr>
    </w:div>
    <w:div w:id="458646366">
      <w:marLeft w:val="0"/>
      <w:marRight w:val="0"/>
      <w:marTop w:val="0"/>
      <w:marBottom w:val="0"/>
      <w:divBdr>
        <w:top w:val="none" w:sz="0" w:space="0" w:color="auto"/>
        <w:left w:val="none" w:sz="0" w:space="0" w:color="auto"/>
        <w:bottom w:val="none" w:sz="0" w:space="0" w:color="auto"/>
        <w:right w:val="none" w:sz="0" w:space="0" w:color="auto"/>
      </w:divBdr>
    </w:div>
    <w:div w:id="461120446">
      <w:marLeft w:val="0"/>
      <w:marRight w:val="0"/>
      <w:marTop w:val="0"/>
      <w:marBottom w:val="0"/>
      <w:divBdr>
        <w:top w:val="none" w:sz="0" w:space="0" w:color="auto"/>
        <w:left w:val="none" w:sz="0" w:space="0" w:color="auto"/>
        <w:bottom w:val="none" w:sz="0" w:space="0" w:color="auto"/>
        <w:right w:val="none" w:sz="0" w:space="0" w:color="auto"/>
      </w:divBdr>
      <w:divsChild>
        <w:div w:id="695928576">
          <w:marLeft w:val="0"/>
          <w:marRight w:val="0"/>
          <w:marTop w:val="0"/>
          <w:marBottom w:val="0"/>
          <w:divBdr>
            <w:top w:val="none" w:sz="0" w:space="0" w:color="auto"/>
            <w:left w:val="none" w:sz="0" w:space="0" w:color="auto"/>
            <w:bottom w:val="none" w:sz="0" w:space="0" w:color="auto"/>
            <w:right w:val="none" w:sz="0" w:space="0" w:color="auto"/>
          </w:divBdr>
        </w:div>
      </w:divsChild>
    </w:div>
    <w:div w:id="474227641">
      <w:marLeft w:val="0"/>
      <w:marRight w:val="0"/>
      <w:marTop w:val="0"/>
      <w:marBottom w:val="0"/>
      <w:divBdr>
        <w:top w:val="none" w:sz="0" w:space="0" w:color="auto"/>
        <w:left w:val="none" w:sz="0" w:space="0" w:color="auto"/>
        <w:bottom w:val="none" w:sz="0" w:space="0" w:color="auto"/>
        <w:right w:val="none" w:sz="0" w:space="0" w:color="auto"/>
      </w:divBdr>
      <w:divsChild>
        <w:div w:id="1543207021">
          <w:marLeft w:val="0"/>
          <w:marRight w:val="0"/>
          <w:marTop w:val="0"/>
          <w:marBottom w:val="0"/>
          <w:divBdr>
            <w:top w:val="none" w:sz="0" w:space="0" w:color="auto"/>
            <w:left w:val="none" w:sz="0" w:space="0" w:color="auto"/>
            <w:bottom w:val="none" w:sz="0" w:space="0" w:color="auto"/>
            <w:right w:val="none" w:sz="0" w:space="0" w:color="auto"/>
          </w:divBdr>
        </w:div>
      </w:divsChild>
    </w:div>
    <w:div w:id="474420050">
      <w:marLeft w:val="0"/>
      <w:marRight w:val="0"/>
      <w:marTop w:val="0"/>
      <w:marBottom w:val="240"/>
      <w:divBdr>
        <w:top w:val="none" w:sz="0" w:space="0" w:color="auto"/>
        <w:left w:val="none" w:sz="0" w:space="0" w:color="auto"/>
        <w:bottom w:val="none" w:sz="0" w:space="0" w:color="auto"/>
        <w:right w:val="none" w:sz="0" w:space="0" w:color="auto"/>
      </w:divBdr>
    </w:div>
    <w:div w:id="480125672">
      <w:marLeft w:val="0"/>
      <w:marRight w:val="0"/>
      <w:marTop w:val="0"/>
      <w:marBottom w:val="0"/>
      <w:divBdr>
        <w:top w:val="none" w:sz="0" w:space="0" w:color="auto"/>
        <w:left w:val="none" w:sz="0" w:space="0" w:color="auto"/>
        <w:bottom w:val="none" w:sz="0" w:space="0" w:color="auto"/>
        <w:right w:val="none" w:sz="0" w:space="0" w:color="auto"/>
      </w:divBdr>
      <w:divsChild>
        <w:div w:id="782067613">
          <w:marLeft w:val="0"/>
          <w:marRight w:val="0"/>
          <w:marTop w:val="0"/>
          <w:marBottom w:val="1"/>
          <w:divBdr>
            <w:top w:val="none" w:sz="0" w:space="0" w:color="auto"/>
            <w:left w:val="none" w:sz="0" w:space="0" w:color="auto"/>
            <w:bottom w:val="none" w:sz="0" w:space="0" w:color="auto"/>
            <w:right w:val="none" w:sz="0" w:space="0" w:color="auto"/>
          </w:divBdr>
        </w:div>
        <w:div w:id="590314322">
          <w:marLeft w:val="0"/>
          <w:marRight w:val="0"/>
          <w:marTop w:val="0"/>
          <w:marBottom w:val="1"/>
          <w:divBdr>
            <w:top w:val="none" w:sz="0" w:space="0" w:color="auto"/>
            <w:left w:val="none" w:sz="0" w:space="0" w:color="auto"/>
            <w:bottom w:val="none" w:sz="0" w:space="0" w:color="auto"/>
            <w:right w:val="none" w:sz="0" w:space="0" w:color="auto"/>
          </w:divBdr>
        </w:div>
        <w:div w:id="927347487">
          <w:marLeft w:val="0"/>
          <w:marRight w:val="0"/>
          <w:marTop w:val="0"/>
          <w:marBottom w:val="1"/>
          <w:divBdr>
            <w:top w:val="none" w:sz="0" w:space="0" w:color="auto"/>
            <w:left w:val="none" w:sz="0" w:space="0" w:color="auto"/>
            <w:bottom w:val="none" w:sz="0" w:space="0" w:color="auto"/>
            <w:right w:val="none" w:sz="0" w:space="0" w:color="auto"/>
          </w:divBdr>
        </w:div>
        <w:div w:id="1235512088">
          <w:marLeft w:val="0"/>
          <w:marRight w:val="0"/>
          <w:marTop w:val="0"/>
          <w:marBottom w:val="1"/>
          <w:divBdr>
            <w:top w:val="none" w:sz="0" w:space="0" w:color="auto"/>
            <w:left w:val="none" w:sz="0" w:space="0" w:color="auto"/>
            <w:bottom w:val="none" w:sz="0" w:space="0" w:color="auto"/>
            <w:right w:val="none" w:sz="0" w:space="0" w:color="auto"/>
          </w:divBdr>
        </w:div>
      </w:divsChild>
    </w:div>
    <w:div w:id="480973081">
      <w:marLeft w:val="0"/>
      <w:marRight w:val="0"/>
      <w:marTop w:val="60"/>
      <w:marBottom w:val="0"/>
      <w:divBdr>
        <w:top w:val="none" w:sz="0" w:space="0" w:color="auto"/>
        <w:left w:val="none" w:sz="0" w:space="0" w:color="auto"/>
        <w:bottom w:val="none" w:sz="0" w:space="0" w:color="auto"/>
        <w:right w:val="none" w:sz="0" w:space="0" w:color="auto"/>
      </w:divBdr>
    </w:div>
    <w:div w:id="482310931">
      <w:marLeft w:val="0"/>
      <w:marRight w:val="0"/>
      <w:marTop w:val="0"/>
      <w:marBottom w:val="240"/>
      <w:divBdr>
        <w:top w:val="none" w:sz="0" w:space="0" w:color="auto"/>
        <w:left w:val="none" w:sz="0" w:space="0" w:color="auto"/>
        <w:bottom w:val="none" w:sz="0" w:space="0" w:color="auto"/>
        <w:right w:val="none" w:sz="0" w:space="0" w:color="auto"/>
      </w:divBdr>
    </w:div>
    <w:div w:id="483476328">
      <w:marLeft w:val="0"/>
      <w:marRight w:val="0"/>
      <w:marTop w:val="0"/>
      <w:marBottom w:val="0"/>
      <w:divBdr>
        <w:top w:val="none" w:sz="0" w:space="0" w:color="auto"/>
        <w:left w:val="none" w:sz="0" w:space="0" w:color="auto"/>
        <w:bottom w:val="none" w:sz="0" w:space="0" w:color="auto"/>
        <w:right w:val="none" w:sz="0" w:space="0" w:color="auto"/>
      </w:divBdr>
      <w:divsChild>
        <w:div w:id="1091002569">
          <w:marLeft w:val="0"/>
          <w:marRight w:val="0"/>
          <w:marTop w:val="0"/>
          <w:marBottom w:val="0"/>
          <w:divBdr>
            <w:top w:val="none" w:sz="0" w:space="0" w:color="auto"/>
            <w:left w:val="none" w:sz="0" w:space="0" w:color="auto"/>
            <w:bottom w:val="none" w:sz="0" w:space="0" w:color="auto"/>
            <w:right w:val="none" w:sz="0" w:space="0" w:color="auto"/>
          </w:divBdr>
        </w:div>
      </w:divsChild>
    </w:div>
    <w:div w:id="483664166">
      <w:marLeft w:val="0"/>
      <w:marRight w:val="0"/>
      <w:marTop w:val="0"/>
      <w:marBottom w:val="240"/>
      <w:divBdr>
        <w:top w:val="none" w:sz="0" w:space="0" w:color="auto"/>
        <w:left w:val="none" w:sz="0" w:space="0" w:color="auto"/>
        <w:bottom w:val="none" w:sz="0" w:space="0" w:color="auto"/>
        <w:right w:val="none" w:sz="0" w:space="0" w:color="auto"/>
      </w:divBdr>
    </w:div>
    <w:div w:id="485702515">
      <w:marLeft w:val="0"/>
      <w:marRight w:val="0"/>
      <w:marTop w:val="0"/>
      <w:marBottom w:val="0"/>
      <w:divBdr>
        <w:top w:val="none" w:sz="0" w:space="0" w:color="auto"/>
        <w:left w:val="none" w:sz="0" w:space="0" w:color="auto"/>
        <w:bottom w:val="none" w:sz="0" w:space="0" w:color="auto"/>
        <w:right w:val="none" w:sz="0" w:space="0" w:color="auto"/>
      </w:divBdr>
      <w:divsChild>
        <w:div w:id="1209755739">
          <w:marLeft w:val="0"/>
          <w:marRight w:val="0"/>
          <w:marTop w:val="0"/>
          <w:marBottom w:val="0"/>
          <w:divBdr>
            <w:top w:val="none" w:sz="0" w:space="0" w:color="auto"/>
            <w:left w:val="none" w:sz="0" w:space="0" w:color="auto"/>
            <w:bottom w:val="none" w:sz="0" w:space="0" w:color="auto"/>
            <w:right w:val="none" w:sz="0" w:space="0" w:color="auto"/>
          </w:divBdr>
        </w:div>
      </w:divsChild>
    </w:div>
    <w:div w:id="486477241">
      <w:marLeft w:val="0"/>
      <w:marRight w:val="0"/>
      <w:marTop w:val="0"/>
      <w:marBottom w:val="240"/>
      <w:divBdr>
        <w:top w:val="none" w:sz="0" w:space="0" w:color="auto"/>
        <w:left w:val="none" w:sz="0" w:space="0" w:color="auto"/>
        <w:bottom w:val="none" w:sz="0" w:space="0" w:color="auto"/>
        <w:right w:val="none" w:sz="0" w:space="0" w:color="auto"/>
      </w:divBdr>
    </w:div>
    <w:div w:id="487861389">
      <w:marLeft w:val="0"/>
      <w:marRight w:val="0"/>
      <w:marTop w:val="0"/>
      <w:marBottom w:val="240"/>
      <w:divBdr>
        <w:top w:val="none" w:sz="0" w:space="0" w:color="auto"/>
        <w:left w:val="none" w:sz="0" w:space="0" w:color="auto"/>
        <w:bottom w:val="none" w:sz="0" w:space="0" w:color="auto"/>
        <w:right w:val="none" w:sz="0" w:space="0" w:color="auto"/>
      </w:divBdr>
    </w:div>
    <w:div w:id="491990700">
      <w:marLeft w:val="0"/>
      <w:marRight w:val="0"/>
      <w:marTop w:val="0"/>
      <w:marBottom w:val="240"/>
      <w:divBdr>
        <w:top w:val="none" w:sz="0" w:space="0" w:color="auto"/>
        <w:left w:val="none" w:sz="0" w:space="0" w:color="auto"/>
        <w:bottom w:val="none" w:sz="0" w:space="0" w:color="auto"/>
        <w:right w:val="none" w:sz="0" w:space="0" w:color="auto"/>
      </w:divBdr>
    </w:div>
    <w:div w:id="496574428">
      <w:marLeft w:val="0"/>
      <w:marRight w:val="0"/>
      <w:marTop w:val="60"/>
      <w:marBottom w:val="0"/>
      <w:divBdr>
        <w:top w:val="none" w:sz="0" w:space="0" w:color="auto"/>
        <w:left w:val="none" w:sz="0" w:space="0" w:color="auto"/>
        <w:bottom w:val="none" w:sz="0" w:space="0" w:color="auto"/>
        <w:right w:val="none" w:sz="0" w:space="0" w:color="auto"/>
      </w:divBdr>
    </w:div>
    <w:div w:id="497816524">
      <w:marLeft w:val="0"/>
      <w:marRight w:val="0"/>
      <w:marTop w:val="0"/>
      <w:marBottom w:val="0"/>
      <w:divBdr>
        <w:top w:val="none" w:sz="0" w:space="0" w:color="auto"/>
        <w:left w:val="none" w:sz="0" w:space="0" w:color="auto"/>
        <w:bottom w:val="none" w:sz="0" w:space="0" w:color="auto"/>
        <w:right w:val="none" w:sz="0" w:space="0" w:color="auto"/>
      </w:divBdr>
      <w:divsChild>
        <w:div w:id="154687378">
          <w:marLeft w:val="0"/>
          <w:marRight w:val="0"/>
          <w:marTop w:val="0"/>
          <w:marBottom w:val="0"/>
          <w:divBdr>
            <w:top w:val="none" w:sz="0" w:space="0" w:color="auto"/>
            <w:left w:val="none" w:sz="0" w:space="0" w:color="auto"/>
            <w:bottom w:val="none" w:sz="0" w:space="0" w:color="auto"/>
            <w:right w:val="none" w:sz="0" w:space="0" w:color="auto"/>
          </w:divBdr>
        </w:div>
      </w:divsChild>
    </w:div>
    <w:div w:id="497891500">
      <w:marLeft w:val="0"/>
      <w:marRight w:val="0"/>
      <w:marTop w:val="0"/>
      <w:marBottom w:val="240"/>
      <w:divBdr>
        <w:top w:val="none" w:sz="0" w:space="0" w:color="auto"/>
        <w:left w:val="none" w:sz="0" w:space="0" w:color="auto"/>
        <w:bottom w:val="none" w:sz="0" w:space="0" w:color="auto"/>
        <w:right w:val="none" w:sz="0" w:space="0" w:color="auto"/>
      </w:divBdr>
    </w:div>
    <w:div w:id="506091517">
      <w:marLeft w:val="0"/>
      <w:marRight w:val="0"/>
      <w:marTop w:val="0"/>
      <w:marBottom w:val="240"/>
      <w:divBdr>
        <w:top w:val="none" w:sz="0" w:space="0" w:color="auto"/>
        <w:left w:val="none" w:sz="0" w:space="0" w:color="auto"/>
        <w:bottom w:val="none" w:sz="0" w:space="0" w:color="auto"/>
        <w:right w:val="none" w:sz="0" w:space="0" w:color="auto"/>
      </w:divBdr>
    </w:div>
    <w:div w:id="507913308">
      <w:marLeft w:val="0"/>
      <w:marRight w:val="0"/>
      <w:marTop w:val="0"/>
      <w:marBottom w:val="240"/>
      <w:divBdr>
        <w:top w:val="none" w:sz="0" w:space="0" w:color="auto"/>
        <w:left w:val="none" w:sz="0" w:space="0" w:color="auto"/>
        <w:bottom w:val="none" w:sz="0" w:space="0" w:color="auto"/>
        <w:right w:val="none" w:sz="0" w:space="0" w:color="auto"/>
      </w:divBdr>
    </w:div>
    <w:div w:id="509686513">
      <w:marLeft w:val="0"/>
      <w:marRight w:val="0"/>
      <w:marTop w:val="0"/>
      <w:marBottom w:val="240"/>
      <w:divBdr>
        <w:top w:val="none" w:sz="0" w:space="0" w:color="auto"/>
        <w:left w:val="none" w:sz="0" w:space="0" w:color="auto"/>
        <w:bottom w:val="none" w:sz="0" w:space="0" w:color="auto"/>
        <w:right w:val="none" w:sz="0" w:space="0" w:color="auto"/>
      </w:divBdr>
    </w:div>
    <w:div w:id="511913564">
      <w:marLeft w:val="0"/>
      <w:marRight w:val="0"/>
      <w:marTop w:val="0"/>
      <w:marBottom w:val="0"/>
      <w:divBdr>
        <w:top w:val="none" w:sz="0" w:space="0" w:color="auto"/>
        <w:left w:val="none" w:sz="0" w:space="0" w:color="auto"/>
        <w:bottom w:val="none" w:sz="0" w:space="0" w:color="auto"/>
        <w:right w:val="none" w:sz="0" w:space="0" w:color="auto"/>
      </w:divBdr>
    </w:div>
    <w:div w:id="518742641">
      <w:marLeft w:val="0"/>
      <w:marRight w:val="0"/>
      <w:marTop w:val="0"/>
      <w:marBottom w:val="240"/>
      <w:divBdr>
        <w:top w:val="none" w:sz="0" w:space="0" w:color="auto"/>
        <w:left w:val="none" w:sz="0" w:space="0" w:color="auto"/>
        <w:bottom w:val="none" w:sz="0" w:space="0" w:color="auto"/>
        <w:right w:val="none" w:sz="0" w:space="0" w:color="auto"/>
      </w:divBdr>
    </w:div>
    <w:div w:id="523637505">
      <w:marLeft w:val="0"/>
      <w:marRight w:val="0"/>
      <w:marTop w:val="0"/>
      <w:marBottom w:val="240"/>
      <w:divBdr>
        <w:top w:val="none" w:sz="0" w:space="0" w:color="auto"/>
        <w:left w:val="none" w:sz="0" w:space="0" w:color="auto"/>
        <w:bottom w:val="none" w:sz="0" w:space="0" w:color="auto"/>
        <w:right w:val="none" w:sz="0" w:space="0" w:color="auto"/>
      </w:divBdr>
    </w:div>
    <w:div w:id="525752300">
      <w:marLeft w:val="0"/>
      <w:marRight w:val="0"/>
      <w:marTop w:val="20"/>
      <w:marBottom w:val="20"/>
      <w:divBdr>
        <w:top w:val="none" w:sz="0" w:space="0" w:color="auto"/>
        <w:left w:val="none" w:sz="0" w:space="0" w:color="auto"/>
        <w:bottom w:val="none" w:sz="0" w:space="0" w:color="auto"/>
        <w:right w:val="none" w:sz="0" w:space="0" w:color="auto"/>
      </w:divBdr>
    </w:div>
    <w:div w:id="531262546">
      <w:marLeft w:val="0"/>
      <w:marRight w:val="0"/>
      <w:marTop w:val="0"/>
      <w:marBottom w:val="240"/>
      <w:divBdr>
        <w:top w:val="none" w:sz="0" w:space="0" w:color="auto"/>
        <w:left w:val="none" w:sz="0" w:space="0" w:color="auto"/>
        <w:bottom w:val="none" w:sz="0" w:space="0" w:color="auto"/>
        <w:right w:val="none" w:sz="0" w:space="0" w:color="auto"/>
      </w:divBdr>
    </w:div>
    <w:div w:id="536310547">
      <w:marLeft w:val="0"/>
      <w:marRight w:val="0"/>
      <w:marTop w:val="0"/>
      <w:marBottom w:val="240"/>
      <w:divBdr>
        <w:top w:val="none" w:sz="0" w:space="0" w:color="auto"/>
        <w:left w:val="none" w:sz="0" w:space="0" w:color="auto"/>
        <w:bottom w:val="none" w:sz="0" w:space="0" w:color="auto"/>
        <w:right w:val="none" w:sz="0" w:space="0" w:color="auto"/>
      </w:divBdr>
    </w:div>
    <w:div w:id="536744078">
      <w:marLeft w:val="0"/>
      <w:marRight w:val="0"/>
      <w:marTop w:val="0"/>
      <w:marBottom w:val="0"/>
      <w:divBdr>
        <w:top w:val="none" w:sz="0" w:space="0" w:color="auto"/>
        <w:left w:val="none" w:sz="0" w:space="0" w:color="auto"/>
        <w:bottom w:val="none" w:sz="0" w:space="0" w:color="auto"/>
        <w:right w:val="none" w:sz="0" w:space="0" w:color="auto"/>
      </w:divBdr>
      <w:divsChild>
        <w:div w:id="574121411">
          <w:marLeft w:val="0"/>
          <w:marRight w:val="0"/>
          <w:marTop w:val="0"/>
          <w:marBottom w:val="0"/>
          <w:divBdr>
            <w:top w:val="none" w:sz="0" w:space="0" w:color="auto"/>
            <w:left w:val="none" w:sz="0" w:space="0" w:color="auto"/>
            <w:bottom w:val="none" w:sz="0" w:space="0" w:color="auto"/>
            <w:right w:val="none" w:sz="0" w:space="0" w:color="auto"/>
          </w:divBdr>
        </w:div>
      </w:divsChild>
    </w:div>
    <w:div w:id="544147412">
      <w:marLeft w:val="0"/>
      <w:marRight w:val="0"/>
      <w:marTop w:val="0"/>
      <w:marBottom w:val="0"/>
      <w:divBdr>
        <w:top w:val="none" w:sz="0" w:space="0" w:color="auto"/>
        <w:left w:val="none" w:sz="0" w:space="0" w:color="auto"/>
        <w:bottom w:val="none" w:sz="0" w:space="0" w:color="auto"/>
        <w:right w:val="none" w:sz="0" w:space="0" w:color="auto"/>
      </w:divBdr>
      <w:divsChild>
        <w:div w:id="1875649359">
          <w:marLeft w:val="0"/>
          <w:marRight w:val="0"/>
          <w:marTop w:val="0"/>
          <w:marBottom w:val="0"/>
          <w:divBdr>
            <w:top w:val="none" w:sz="0" w:space="0" w:color="auto"/>
            <w:left w:val="none" w:sz="0" w:space="0" w:color="auto"/>
            <w:bottom w:val="none" w:sz="0" w:space="0" w:color="auto"/>
            <w:right w:val="none" w:sz="0" w:space="0" w:color="auto"/>
          </w:divBdr>
        </w:div>
      </w:divsChild>
    </w:div>
    <w:div w:id="552349199">
      <w:marLeft w:val="0"/>
      <w:marRight w:val="0"/>
      <w:marTop w:val="0"/>
      <w:marBottom w:val="240"/>
      <w:divBdr>
        <w:top w:val="none" w:sz="0" w:space="0" w:color="auto"/>
        <w:left w:val="none" w:sz="0" w:space="0" w:color="auto"/>
        <w:bottom w:val="none" w:sz="0" w:space="0" w:color="auto"/>
        <w:right w:val="none" w:sz="0" w:space="0" w:color="auto"/>
      </w:divBdr>
    </w:div>
    <w:div w:id="554511957">
      <w:marLeft w:val="0"/>
      <w:marRight w:val="0"/>
      <w:marTop w:val="0"/>
      <w:marBottom w:val="0"/>
      <w:divBdr>
        <w:top w:val="none" w:sz="0" w:space="0" w:color="auto"/>
        <w:left w:val="none" w:sz="0" w:space="0" w:color="auto"/>
        <w:bottom w:val="none" w:sz="0" w:space="0" w:color="auto"/>
        <w:right w:val="none" w:sz="0" w:space="0" w:color="auto"/>
      </w:divBdr>
      <w:divsChild>
        <w:div w:id="1258102593">
          <w:marLeft w:val="0"/>
          <w:marRight w:val="0"/>
          <w:marTop w:val="0"/>
          <w:marBottom w:val="0"/>
          <w:divBdr>
            <w:top w:val="none" w:sz="0" w:space="0" w:color="auto"/>
            <w:left w:val="none" w:sz="0" w:space="0" w:color="auto"/>
            <w:bottom w:val="none" w:sz="0" w:space="0" w:color="auto"/>
            <w:right w:val="none" w:sz="0" w:space="0" w:color="auto"/>
          </w:divBdr>
        </w:div>
      </w:divsChild>
    </w:div>
    <w:div w:id="559480870">
      <w:marLeft w:val="0"/>
      <w:marRight w:val="0"/>
      <w:marTop w:val="0"/>
      <w:marBottom w:val="240"/>
      <w:divBdr>
        <w:top w:val="none" w:sz="0" w:space="0" w:color="auto"/>
        <w:left w:val="none" w:sz="0" w:space="0" w:color="auto"/>
        <w:bottom w:val="none" w:sz="0" w:space="0" w:color="auto"/>
        <w:right w:val="none" w:sz="0" w:space="0" w:color="auto"/>
      </w:divBdr>
    </w:div>
    <w:div w:id="560753779">
      <w:marLeft w:val="0"/>
      <w:marRight w:val="0"/>
      <w:marTop w:val="0"/>
      <w:marBottom w:val="240"/>
      <w:divBdr>
        <w:top w:val="none" w:sz="0" w:space="0" w:color="auto"/>
        <w:left w:val="none" w:sz="0" w:space="0" w:color="auto"/>
        <w:bottom w:val="none" w:sz="0" w:space="0" w:color="auto"/>
        <w:right w:val="none" w:sz="0" w:space="0" w:color="auto"/>
      </w:divBdr>
    </w:div>
    <w:div w:id="560947285">
      <w:marLeft w:val="0"/>
      <w:marRight w:val="0"/>
      <w:marTop w:val="0"/>
      <w:marBottom w:val="120"/>
      <w:divBdr>
        <w:top w:val="none" w:sz="0" w:space="0" w:color="auto"/>
        <w:left w:val="none" w:sz="0" w:space="0" w:color="auto"/>
        <w:bottom w:val="none" w:sz="0" w:space="0" w:color="auto"/>
        <w:right w:val="none" w:sz="0" w:space="0" w:color="auto"/>
      </w:divBdr>
    </w:div>
    <w:div w:id="566576481">
      <w:marLeft w:val="0"/>
      <w:marRight w:val="0"/>
      <w:marTop w:val="0"/>
      <w:marBottom w:val="0"/>
      <w:divBdr>
        <w:top w:val="none" w:sz="0" w:space="0" w:color="auto"/>
        <w:left w:val="none" w:sz="0" w:space="0" w:color="auto"/>
        <w:bottom w:val="none" w:sz="0" w:space="0" w:color="auto"/>
        <w:right w:val="none" w:sz="0" w:space="0" w:color="auto"/>
      </w:divBdr>
      <w:divsChild>
        <w:div w:id="1378892641">
          <w:marLeft w:val="0"/>
          <w:marRight w:val="0"/>
          <w:marTop w:val="0"/>
          <w:marBottom w:val="0"/>
          <w:divBdr>
            <w:top w:val="none" w:sz="0" w:space="0" w:color="auto"/>
            <w:left w:val="none" w:sz="0" w:space="0" w:color="auto"/>
            <w:bottom w:val="none" w:sz="0" w:space="0" w:color="auto"/>
            <w:right w:val="none" w:sz="0" w:space="0" w:color="auto"/>
          </w:divBdr>
        </w:div>
      </w:divsChild>
    </w:div>
    <w:div w:id="569998186">
      <w:marLeft w:val="0"/>
      <w:marRight w:val="0"/>
      <w:marTop w:val="240"/>
      <w:marBottom w:val="240"/>
      <w:divBdr>
        <w:top w:val="none" w:sz="0" w:space="0" w:color="auto"/>
        <w:left w:val="none" w:sz="0" w:space="0" w:color="auto"/>
        <w:bottom w:val="none" w:sz="0" w:space="0" w:color="auto"/>
        <w:right w:val="none" w:sz="0" w:space="0" w:color="auto"/>
      </w:divBdr>
    </w:div>
    <w:div w:id="570386010">
      <w:marLeft w:val="0"/>
      <w:marRight w:val="0"/>
      <w:marTop w:val="0"/>
      <w:marBottom w:val="240"/>
      <w:divBdr>
        <w:top w:val="none" w:sz="0" w:space="0" w:color="auto"/>
        <w:left w:val="none" w:sz="0" w:space="0" w:color="auto"/>
        <w:bottom w:val="none" w:sz="0" w:space="0" w:color="auto"/>
        <w:right w:val="none" w:sz="0" w:space="0" w:color="auto"/>
      </w:divBdr>
    </w:div>
    <w:div w:id="570580906">
      <w:marLeft w:val="0"/>
      <w:marRight w:val="0"/>
      <w:marTop w:val="0"/>
      <w:marBottom w:val="0"/>
      <w:divBdr>
        <w:top w:val="none" w:sz="0" w:space="0" w:color="auto"/>
        <w:left w:val="none" w:sz="0" w:space="0" w:color="auto"/>
        <w:bottom w:val="none" w:sz="0" w:space="0" w:color="auto"/>
        <w:right w:val="none" w:sz="0" w:space="0" w:color="auto"/>
      </w:divBdr>
      <w:divsChild>
        <w:div w:id="1994017631">
          <w:marLeft w:val="0"/>
          <w:marRight w:val="0"/>
          <w:marTop w:val="0"/>
          <w:marBottom w:val="0"/>
          <w:divBdr>
            <w:top w:val="none" w:sz="0" w:space="0" w:color="auto"/>
            <w:left w:val="none" w:sz="0" w:space="0" w:color="auto"/>
            <w:bottom w:val="none" w:sz="0" w:space="0" w:color="auto"/>
            <w:right w:val="none" w:sz="0" w:space="0" w:color="auto"/>
          </w:divBdr>
        </w:div>
      </w:divsChild>
    </w:div>
    <w:div w:id="574123735">
      <w:marLeft w:val="0"/>
      <w:marRight w:val="0"/>
      <w:marTop w:val="0"/>
      <w:marBottom w:val="240"/>
      <w:divBdr>
        <w:top w:val="none" w:sz="0" w:space="0" w:color="auto"/>
        <w:left w:val="none" w:sz="0" w:space="0" w:color="auto"/>
        <w:bottom w:val="none" w:sz="0" w:space="0" w:color="auto"/>
        <w:right w:val="none" w:sz="0" w:space="0" w:color="auto"/>
      </w:divBdr>
    </w:div>
    <w:div w:id="574517180">
      <w:marLeft w:val="0"/>
      <w:marRight w:val="0"/>
      <w:marTop w:val="0"/>
      <w:marBottom w:val="240"/>
      <w:divBdr>
        <w:top w:val="none" w:sz="0" w:space="0" w:color="auto"/>
        <w:left w:val="none" w:sz="0" w:space="0" w:color="auto"/>
        <w:bottom w:val="none" w:sz="0" w:space="0" w:color="auto"/>
        <w:right w:val="none" w:sz="0" w:space="0" w:color="auto"/>
      </w:divBdr>
    </w:div>
    <w:div w:id="575090505">
      <w:marLeft w:val="0"/>
      <w:marRight w:val="0"/>
      <w:marTop w:val="240"/>
      <w:marBottom w:val="240"/>
      <w:divBdr>
        <w:top w:val="none" w:sz="0" w:space="0" w:color="auto"/>
        <w:left w:val="none" w:sz="0" w:space="0" w:color="auto"/>
        <w:bottom w:val="none" w:sz="0" w:space="0" w:color="auto"/>
        <w:right w:val="none" w:sz="0" w:space="0" w:color="auto"/>
      </w:divBdr>
    </w:div>
    <w:div w:id="577053869">
      <w:marLeft w:val="0"/>
      <w:marRight w:val="0"/>
      <w:marTop w:val="0"/>
      <w:marBottom w:val="240"/>
      <w:divBdr>
        <w:top w:val="none" w:sz="0" w:space="0" w:color="auto"/>
        <w:left w:val="none" w:sz="0" w:space="0" w:color="auto"/>
        <w:bottom w:val="none" w:sz="0" w:space="0" w:color="auto"/>
        <w:right w:val="none" w:sz="0" w:space="0" w:color="auto"/>
      </w:divBdr>
    </w:div>
    <w:div w:id="586353480">
      <w:marLeft w:val="0"/>
      <w:marRight w:val="0"/>
      <w:marTop w:val="240"/>
      <w:marBottom w:val="240"/>
      <w:divBdr>
        <w:top w:val="none" w:sz="0" w:space="0" w:color="auto"/>
        <w:left w:val="none" w:sz="0" w:space="0" w:color="auto"/>
        <w:bottom w:val="none" w:sz="0" w:space="0" w:color="auto"/>
        <w:right w:val="none" w:sz="0" w:space="0" w:color="auto"/>
      </w:divBdr>
    </w:div>
    <w:div w:id="586966307">
      <w:marLeft w:val="0"/>
      <w:marRight w:val="0"/>
      <w:marTop w:val="0"/>
      <w:marBottom w:val="240"/>
      <w:divBdr>
        <w:top w:val="none" w:sz="0" w:space="0" w:color="auto"/>
        <w:left w:val="none" w:sz="0" w:space="0" w:color="auto"/>
        <w:bottom w:val="none" w:sz="0" w:space="0" w:color="auto"/>
        <w:right w:val="none" w:sz="0" w:space="0" w:color="auto"/>
      </w:divBdr>
    </w:div>
    <w:div w:id="591397992">
      <w:marLeft w:val="0"/>
      <w:marRight w:val="0"/>
      <w:marTop w:val="0"/>
      <w:marBottom w:val="240"/>
      <w:divBdr>
        <w:top w:val="none" w:sz="0" w:space="0" w:color="auto"/>
        <w:left w:val="none" w:sz="0" w:space="0" w:color="auto"/>
        <w:bottom w:val="none" w:sz="0" w:space="0" w:color="auto"/>
        <w:right w:val="none" w:sz="0" w:space="0" w:color="auto"/>
      </w:divBdr>
    </w:div>
    <w:div w:id="592512887">
      <w:marLeft w:val="0"/>
      <w:marRight w:val="0"/>
      <w:marTop w:val="0"/>
      <w:marBottom w:val="0"/>
      <w:divBdr>
        <w:top w:val="none" w:sz="0" w:space="0" w:color="auto"/>
        <w:left w:val="none" w:sz="0" w:space="0" w:color="auto"/>
        <w:bottom w:val="none" w:sz="0" w:space="0" w:color="auto"/>
        <w:right w:val="none" w:sz="0" w:space="0" w:color="auto"/>
      </w:divBdr>
    </w:div>
    <w:div w:id="599724690">
      <w:marLeft w:val="0"/>
      <w:marRight w:val="0"/>
      <w:marTop w:val="0"/>
      <w:marBottom w:val="240"/>
      <w:divBdr>
        <w:top w:val="none" w:sz="0" w:space="0" w:color="auto"/>
        <w:left w:val="none" w:sz="0" w:space="0" w:color="auto"/>
        <w:bottom w:val="none" w:sz="0" w:space="0" w:color="auto"/>
        <w:right w:val="none" w:sz="0" w:space="0" w:color="auto"/>
      </w:divBdr>
    </w:div>
    <w:div w:id="612976890">
      <w:marLeft w:val="0"/>
      <w:marRight w:val="0"/>
      <w:marTop w:val="0"/>
      <w:marBottom w:val="240"/>
      <w:divBdr>
        <w:top w:val="none" w:sz="0" w:space="0" w:color="auto"/>
        <w:left w:val="none" w:sz="0" w:space="0" w:color="auto"/>
        <w:bottom w:val="none" w:sz="0" w:space="0" w:color="auto"/>
        <w:right w:val="none" w:sz="0" w:space="0" w:color="auto"/>
      </w:divBdr>
    </w:div>
    <w:div w:id="614142650">
      <w:marLeft w:val="0"/>
      <w:marRight w:val="0"/>
      <w:marTop w:val="240"/>
      <w:marBottom w:val="240"/>
      <w:divBdr>
        <w:top w:val="none" w:sz="0" w:space="0" w:color="auto"/>
        <w:left w:val="none" w:sz="0" w:space="0" w:color="auto"/>
        <w:bottom w:val="none" w:sz="0" w:space="0" w:color="auto"/>
        <w:right w:val="none" w:sz="0" w:space="0" w:color="auto"/>
      </w:divBdr>
    </w:div>
    <w:div w:id="618099752">
      <w:marLeft w:val="0"/>
      <w:marRight w:val="0"/>
      <w:marTop w:val="0"/>
      <w:marBottom w:val="240"/>
      <w:divBdr>
        <w:top w:val="none" w:sz="0" w:space="0" w:color="auto"/>
        <w:left w:val="none" w:sz="0" w:space="0" w:color="auto"/>
        <w:bottom w:val="none" w:sz="0" w:space="0" w:color="auto"/>
        <w:right w:val="none" w:sz="0" w:space="0" w:color="auto"/>
      </w:divBdr>
    </w:div>
    <w:div w:id="619844321">
      <w:marLeft w:val="0"/>
      <w:marRight w:val="0"/>
      <w:marTop w:val="0"/>
      <w:marBottom w:val="240"/>
      <w:divBdr>
        <w:top w:val="none" w:sz="0" w:space="0" w:color="auto"/>
        <w:left w:val="none" w:sz="0" w:space="0" w:color="auto"/>
        <w:bottom w:val="none" w:sz="0" w:space="0" w:color="auto"/>
        <w:right w:val="none" w:sz="0" w:space="0" w:color="auto"/>
      </w:divBdr>
    </w:div>
    <w:div w:id="621574146">
      <w:marLeft w:val="0"/>
      <w:marRight w:val="0"/>
      <w:marTop w:val="0"/>
      <w:marBottom w:val="0"/>
      <w:divBdr>
        <w:top w:val="none" w:sz="0" w:space="0" w:color="auto"/>
        <w:left w:val="none" w:sz="0" w:space="0" w:color="auto"/>
        <w:bottom w:val="none" w:sz="0" w:space="0" w:color="auto"/>
        <w:right w:val="none" w:sz="0" w:space="0" w:color="auto"/>
      </w:divBdr>
      <w:divsChild>
        <w:div w:id="320307043">
          <w:marLeft w:val="0"/>
          <w:marRight w:val="0"/>
          <w:marTop w:val="0"/>
          <w:marBottom w:val="0"/>
          <w:divBdr>
            <w:top w:val="none" w:sz="0" w:space="0" w:color="auto"/>
            <w:left w:val="none" w:sz="0" w:space="0" w:color="auto"/>
            <w:bottom w:val="none" w:sz="0" w:space="0" w:color="auto"/>
            <w:right w:val="none" w:sz="0" w:space="0" w:color="auto"/>
          </w:divBdr>
        </w:div>
      </w:divsChild>
    </w:div>
    <w:div w:id="625309368">
      <w:marLeft w:val="0"/>
      <w:marRight w:val="0"/>
      <w:marTop w:val="0"/>
      <w:marBottom w:val="240"/>
      <w:divBdr>
        <w:top w:val="none" w:sz="0" w:space="0" w:color="auto"/>
        <w:left w:val="none" w:sz="0" w:space="0" w:color="auto"/>
        <w:bottom w:val="none" w:sz="0" w:space="0" w:color="auto"/>
        <w:right w:val="none" w:sz="0" w:space="0" w:color="auto"/>
      </w:divBdr>
    </w:div>
    <w:div w:id="625938737">
      <w:marLeft w:val="0"/>
      <w:marRight w:val="0"/>
      <w:marTop w:val="0"/>
      <w:marBottom w:val="240"/>
      <w:divBdr>
        <w:top w:val="none" w:sz="0" w:space="0" w:color="auto"/>
        <w:left w:val="none" w:sz="0" w:space="0" w:color="auto"/>
        <w:bottom w:val="none" w:sz="0" w:space="0" w:color="auto"/>
        <w:right w:val="none" w:sz="0" w:space="0" w:color="auto"/>
      </w:divBdr>
    </w:div>
    <w:div w:id="626814436">
      <w:marLeft w:val="0"/>
      <w:marRight w:val="0"/>
      <w:marTop w:val="0"/>
      <w:marBottom w:val="240"/>
      <w:divBdr>
        <w:top w:val="none" w:sz="0" w:space="0" w:color="auto"/>
        <w:left w:val="none" w:sz="0" w:space="0" w:color="auto"/>
        <w:bottom w:val="none" w:sz="0" w:space="0" w:color="auto"/>
        <w:right w:val="none" w:sz="0" w:space="0" w:color="auto"/>
      </w:divBdr>
    </w:div>
    <w:div w:id="633290794">
      <w:marLeft w:val="0"/>
      <w:marRight w:val="0"/>
      <w:marTop w:val="0"/>
      <w:marBottom w:val="40"/>
      <w:divBdr>
        <w:top w:val="none" w:sz="0" w:space="0" w:color="auto"/>
        <w:left w:val="none" w:sz="0" w:space="0" w:color="auto"/>
        <w:bottom w:val="none" w:sz="0" w:space="0" w:color="auto"/>
        <w:right w:val="none" w:sz="0" w:space="0" w:color="auto"/>
      </w:divBdr>
    </w:div>
    <w:div w:id="637035687">
      <w:marLeft w:val="0"/>
      <w:marRight w:val="0"/>
      <w:marTop w:val="0"/>
      <w:marBottom w:val="240"/>
      <w:divBdr>
        <w:top w:val="none" w:sz="0" w:space="0" w:color="auto"/>
        <w:left w:val="none" w:sz="0" w:space="0" w:color="auto"/>
        <w:bottom w:val="none" w:sz="0" w:space="0" w:color="auto"/>
        <w:right w:val="none" w:sz="0" w:space="0" w:color="auto"/>
      </w:divBdr>
    </w:div>
    <w:div w:id="645087761">
      <w:marLeft w:val="0"/>
      <w:marRight w:val="0"/>
      <w:marTop w:val="0"/>
      <w:marBottom w:val="240"/>
      <w:divBdr>
        <w:top w:val="none" w:sz="0" w:space="0" w:color="auto"/>
        <w:left w:val="none" w:sz="0" w:space="0" w:color="auto"/>
        <w:bottom w:val="none" w:sz="0" w:space="0" w:color="auto"/>
        <w:right w:val="none" w:sz="0" w:space="0" w:color="auto"/>
      </w:divBdr>
    </w:div>
    <w:div w:id="658195429">
      <w:marLeft w:val="0"/>
      <w:marRight w:val="0"/>
      <w:marTop w:val="0"/>
      <w:marBottom w:val="0"/>
      <w:divBdr>
        <w:top w:val="none" w:sz="0" w:space="0" w:color="auto"/>
        <w:left w:val="none" w:sz="0" w:space="0" w:color="auto"/>
        <w:bottom w:val="none" w:sz="0" w:space="0" w:color="auto"/>
        <w:right w:val="none" w:sz="0" w:space="0" w:color="auto"/>
      </w:divBdr>
      <w:divsChild>
        <w:div w:id="675155623">
          <w:marLeft w:val="0"/>
          <w:marRight w:val="0"/>
          <w:marTop w:val="0"/>
          <w:marBottom w:val="0"/>
          <w:divBdr>
            <w:top w:val="none" w:sz="0" w:space="0" w:color="auto"/>
            <w:left w:val="none" w:sz="0" w:space="0" w:color="auto"/>
            <w:bottom w:val="none" w:sz="0" w:space="0" w:color="auto"/>
            <w:right w:val="none" w:sz="0" w:space="0" w:color="auto"/>
          </w:divBdr>
        </w:div>
      </w:divsChild>
    </w:div>
    <w:div w:id="658966133">
      <w:marLeft w:val="0"/>
      <w:marRight w:val="0"/>
      <w:marTop w:val="60"/>
      <w:marBottom w:val="0"/>
      <w:divBdr>
        <w:top w:val="none" w:sz="0" w:space="0" w:color="auto"/>
        <w:left w:val="none" w:sz="0" w:space="0" w:color="auto"/>
        <w:bottom w:val="none" w:sz="0" w:space="0" w:color="auto"/>
        <w:right w:val="none" w:sz="0" w:space="0" w:color="auto"/>
      </w:divBdr>
    </w:div>
    <w:div w:id="661079716">
      <w:marLeft w:val="0"/>
      <w:marRight w:val="0"/>
      <w:marTop w:val="0"/>
      <w:marBottom w:val="240"/>
      <w:divBdr>
        <w:top w:val="none" w:sz="0" w:space="0" w:color="auto"/>
        <w:left w:val="none" w:sz="0" w:space="0" w:color="auto"/>
        <w:bottom w:val="none" w:sz="0" w:space="0" w:color="auto"/>
        <w:right w:val="none" w:sz="0" w:space="0" w:color="auto"/>
      </w:divBdr>
    </w:div>
    <w:div w:id="663096461">
      <w:marLeft w:val="0"/>
      <w:marRight w:val="0"/>
      <w:marTop w:val="0"/>
      <w:marBottom w:val="240"/>
      <w:divBdr>
        <w:top w:val="none" w:sz="0" w:space="0" w:color="auto"/>
        <w:left w:val="none" w:sz="0" w:space="0" w:color="auto"/>
        <w:bottom w:val="none" w:sz="0" w:space="0" w:color="auto"/>
        <w:right w:val="none" w:sz="0" w:space="0" w:color="auto"/>
      </w:divBdr>
    </w:div>
    <w:div w:id="664867469">
      <w:marLeft w:val="0"/>
      <w:marRight w:val="0"/>
      <w:marTop w:val="0"/>
      <w:marBottom w:val="240"/>
      <w:divBdr>
        <w:top w:val="none" w:sz="0" w:space="0" w:color="auto"/>
        <w:left w:val="none" w:sz="0" w:space="0" w:color="auto"/>
        <w:bottom w:val="none" w:sz="0" w:space="0" w:color="auto"/>
        <w:right w:val="none" w:sz="0" w:space="0" w:color="auto"/>
      </w:divBdr>
      <w:divsChild>
        <w:div w:id="828836238">
          <w:marLeft w:val="0"/>
          <w:marRight w:val="0"/>
          <w:marTop w:val="0"/>
          <w:marBottom w:val="1"/>
          <w:divBdr>
            <w:top w:val="none" w:sz="0" w:space="0" w:color="auto"/>
            <w:left w:val="none" w:sz="0" w:space="0" w:color="auto"/>
            <w:bottom w:val="none" w:sz="0" w:space="0" w:color="auto"/>
            <w:right w:val="none" w:sz="0" w:space="0" w:color="auto"/>
          </w:divBdr>
        </w:div>
        <w:div w:id="349258093">
          <w:marLeft w:val="0"/>
          <w:marRight w:val="0"/>
          <w:marTop w:val="0"/>
          <w:marBottom w:val="1"/>
          <w:divBdr>
            <w:top w:val="none" w:sz="0" w:space="0" w:color="auto"/>
            <w:left w:val="none" w:sz="0" w:space="0" w:color="auto"/>
            <w:bottom w:val="none" w:sz="0" w:space="0" w:color="auto"/>
            <w:right w:val="none" w:sz="0" w:space="0" w:color="auto"/>
          </w:divBdr>
        </w:div>
        <w:div w:id="530267966">
          <w:marLeft w:val="0"/>
          <w:marRight w:val="0"/>
          <w:marTop w:val="0"/>
          <w:marBottom w:val="1"/>
          <w:divBdr>
            <w:top w:val="none" w:sz="0" w:space="0" w:color="auto"/>
            <w:left w:val="none" w:sz="0" w:space="0" w:color="auto"/>
            <w:bottom w:val="none" w:sz="0" w:space="0" w:color="auto"/>
            <w:right w:val="none" w:sz="0" w:space="0" w:color="auto"/>
          </w:divBdr>
        </w:div>
        <w:div w:id="1193766388">
          <w:marLeft w:val="0"/>
          <w:marRight w:val="0"/>
          <w:marTop w:val="0"/>
          <w:marBottom w:val="1"/>
          <w:divBdr>
            <w:top w:val="none" w:sz="0" w:space="0" w:color="auto"/>
            <w:left w:val="none" w:sz="0" w:space="0" w:color="auto"/>
            <w:bottom w:val="none" w:sz="0" w:space="0" w:color="auto"/>
            <w:right w:val="none" w:sz="0" w:space="0" w:color="auto"/>
          </w:divBdr>
        </w:div>
      </w:divsChild>
    </w:div>
    <w:div w:id="669331264">
      <w:marLeft w:val="0"/>
      <w:marRight w:val="0"/>
      <w:marTop w:val="0"/>
      <w:marBottom w:val="240"/>
      <w:divBdr>
        <w:top w:val="none" w:sz="0" w:space="0" w:color="auto"/>
        <w:left w:val="none" w:sz="0" w:space="0" w:color="auto"/>
        <w:bottom w:val="none" w:sz="0" w:space="0" w:color="auto"/>
        <w:right w:val="none" w:sz="0" w:space="0" w:color="auto"/>
      </w:divBdr>
    </w:div>
    <w:div w:id="671566468">
      <w:marLeft w:val="0"/>
      <w:marRight w:val="0"/>
      <w:marTop w:val="0"/>
      <w:marBottom w:val="240"/>
      <w:divBdr>
        <w:top w:val="none" w:sz="0" w:space="0" w:color="auto"/>
        <w:left w:val="none" w:sz="0" w:space="0" w:color="auto"/>
        <w:bottom w:val="none" w:sz="0" w:space="0" w:color="auto"/>
        <w:right w:val="none" w:sz="0" w:space="0" w:color="auto"/>
      </w:divBdr>
    </w:div>
    <w:div w:id="673873347">
      <w:marLeft w:val="0"/>
      <w:marRight w:val="0"/>
      <w:marTop w:val="0"/>
      <w:marBottom w:val="240"/>
      <w:divBdr>
        <w:top w:val="none" w:sz="0" w:space="0" w:color="auto"/>
        <w:left w:val="none" w:sz="0" w:space="0" w:color="auto"/>
        <w:bottom w:val="none" w:sz="0" w:space="0" w:color="auto"/>
        <w:right w:val="none" w:sz="0" w:space="0" w:color="auto"/>
      </w:divBdr>
    </w:div>
    <w:div w:id="675157544">
      <w:marLeft w:val="0"/>
      <w:marRight w:val="0"/>
      <w:marTop w:val="0"/>
      <w:marBottom w:val="0"/>
      <w:divBdr>
        <w:top w:val="none" w:sz="0" w:space="0" w:color="auto"/>
        <w:left w:val="none" w:sz="0" w:space="0" w:color="auto"/>
        <w:bottom w:val="none" w:sz="0" w:space="0" w:color="auto"/>
        <w:right w:val="none" w:sz="0" w:space="0" w:color="auto"/>
      </w:divBdr>
      <w:divsChild>
        <w:div w:id="40447497">
          <w:marLeft w:val="0"/>
          <w:marRight w:val="0"/>
          <w:marTop w:val="0"/>
          <w:marBottom w:val="0"/>
          <w:divBdr>
            <w:top w:val="none" w:sz="0" w:space="0" w:color="auto"/>
            <w:left w:val="none" w:sz="0" w:space="0" w:color="auto"/>
            <w:bottom w:val="none" w:sz="0" w:space="0" w:color="auto"/>
            <w:right w:val="none" w:sz="0" w:space="0" w:color="auto"/>
          </w:divBdr>
        </w:div>
      </w:divsChild>
    </w:div>
    <w:div w:id="686950598">
      <w:marLeft w:val="0"/>
      <w:marRight w:val="0"/>
      <w:marTop w:val="0"/>
      <w:marBottom w:val="240"/>
      <w:divBdr>
        <w:top w:val="none" w:sz="0" w:space="0" w:color="auto"/>
        <w:left w:val="none" w:sz="0" w:space="0" w:color="auto"/>
        <w:bottom w:val="none" w:sz="0" w:space="0" w:color="auto"/>
        <w:right w:val="none" w:sz="0" w:space="0" w:color="auto"/>
      </w:divBdr>
    </w:div>
    <w:div w:id="687216226">
      <w:marLeft w:val="0"/>
      <w:marRight w:val="0"/>
      <w:marTop w:val="60"/>
      <w:marBottom w:val="0"/>
      <w:divBdr>
        <w:top w:val="none" w:sz="0" w:space="0" w:color="auto"/>
        <w:left w:val="none" w:sz="0" w:space="0" w:color="auto"/>
        <w:bottom w:val="none" w:sz="0" w:space="0" w:color="auto"/>
        <w:right w:val="none" w:sz="0" w:space="0" w:color="auto"/>
      </w:divBdr>
    </w:div>
    <w:div w:id="691229105">
      <w:marLeft w:val="0"/>
      <w:marRight w:val="0"/>
      <w:marTop w:val="0"/>
      <w:marBottom w:val="180"/>
      <w:divBdr>
        <w:top w:val="none" w:sz="0" w:space="0" w:color="auto"/>
        <w:left w:val="none" w:sz="0" w:space="0" w:color="auto"/>
        <w:bottom w:val="none" w:sz="0" w:space="0" w:color="auto"/>
        <w:right w:val="none" w:sz="0" w:space="0" w:color="auto"/>
      </w:divBdr>
    </w:div>
    <w:div w:id="694573504">
      <w:marLeft w:val="0"/>
      <w:marRight w:val="0"/>
      <w:marTop w:val="0"/>
      <w:marBottom w:val="120"/>
      <w:divBdr>
        <w:top w:val="none" w:sz="0" w:space="0" w:color="auto"/>
        <w:left w:val="none" w:sz="0" w:space="0" w:color="auto"/>
        <w:bottom w:val="none" w:sz="0" w:space="0" w:color="auto"/>
        <w:right w:val="none" w:sz="0" w:space="0" w:color="auto"/>
      </w:divBdr>
    </w:div>
    <w:div w:id="697698625">
      <w:marLeft w:val="0"/>
      <w:marRight w:val="0"/>
      <w:marTop w:val="0"/>
      <w:marBottom w:val="0"/>
      <w:divBdr>
        <w:top w:val="none" w:sz="0" w:space="0" w:color="auto"/>
        <w:left w:val="none" w:sz="0" w:space="0" w:color="auto"/>
        <w:bottom w:val="none" w:sz="0" w:space="0" w:color="auto"/>
        <w:right w:val="none" w:sz="0" w:space="0" w:color="auto"/>
      </w:divBdr>
    </w:div>
    <w:div w:id="706612478">
      <w:marLeft w:val="0"/>
      <w:marRight w:val="0"/>
      <w:marTop w:val="0"/>
      <w:marBottom w:val="0"/>
      <w:divBdr>
        <w:top w:val="none" w:sz="0" w:space="0" w:color="auto"/>
        <w:left w:val="none" w:sz="0" w:space="0" w:color="auto"/>
        <w:bottom w:val="none" w:sz="0" w:space="0" w:color="auto"/>
        <w:right w:val="none" w:sz="0" w:space="0" w:color="auto"/>
      </w:divBdr>
    </w:div>
    <w:div w:id="706954039">
      <w:marLeft w:val="0"/>
      <w:marRight w:val="0"/>
      <w:marTop w:val="0"/>
      <w:marBottom w:val="0"/>
      <w:divBdr>
        <w:top w:val="none" w:sz="0" w:space="0" w:color="auto"/>
        <w:left w:val="none" w:sz="0" w:space="0" w:color="auto"/>
        <w:bottom w:val="none" w:sz="0" w:space="0" w:color="auto"/>
        <w:right w:val="none" w:sz="0" w:space="0" w:color="auto"/>
      </w:divBdr>
    </w:div>
    <w:div w:id="712579069">
      <w:marLeft w:val="0"/>
      <w:marRight w:val="0"/>
      <w:marTop w:val="0"/>
      <w:marBottom w:val="240"/>
      <w:divBdr>
        <w:top w:val="none" w:sz="0" w:space="0" w:color="auto"/>
        <w:left w:val="none" w:sz="0" w:space="0" w:color="auto"/>
        <w:bottom w:val="none" w:sz="0" w:space="0" w:color="auto"/>
        <w:right w:val="none" w:sz="0" w:space="0" w:color="auto"/>
      </w:divBdr>
    </w:div>
    <w:div w:id="713117604">
      <w:marLeft w:val="0"/>
      <w:marRight w:val="0"/>
      <w:marTop w:val="0"/>
      <w:marBottom w:val="0"/>
      <w:divBdr>
        <w:top w:val="none" w:sz="0" w:space="0" w:color="auto"/>
        <w:left w:val="none" w:sz="0" w:space="0" w:color="auto"/>
        <w:bottom w:val="none" w:sz="0" w:space="0" w:color="auto"/>
        <w:right w:val="none" w:sz="0" w:space="0" w:color="auto"/>
      </w:divBdr>
    </w:div>
    <w:div w:id="714039628">
      <w:marLeft w:val="0"/>
      <w:marRight w:val="0"/>
      <w:marTop w:val="0"/>
      <w:marBottom w:val="0"/>
      <w:divBdr>
        <w:top w:val="none" w:sz="0" w:space="0" w:color="auto"/>
        <w:left w:val="none" w:sz="0" w:space="0" w:color="auto"/>
        <w:bottom w:val="none" w:sz="0" w:space="0" w:color="auto"/>
        <w:right w:val="none" w:sz="0" w:space="0" w:color="auto"/>
      </w:divBdr>
    </w:div>
    <w:div w:id="718362956">
      <w:marLeft w:val="0"/>
      <w:marRight w:val="0"/>
      <w:marTop w:val="0"/>
      <w:marBottom w:val="0"/>
      <w:divBdr>
        <w:top w:val="none" w:sz="0" w:space="0" w:color="auto"/>
        <w:left w:val="none" w:sz="0" w:space="0" w:color="auto"/>
        <w:bottom w:val="none" w:sz="0" w:space="0" w:color="auto"/>
        <w:right w:val="none" w:sz="0" w:space="0" w:color="auto"/>
      </w:divBdr>
      <w:divsChild>
        <w:div w:id="579558277">
          <w:marLeft w:val="0"/>
          <w:marRight w:val="0"/>
          <w:marTop w:val="0"/>
          <w:marBottom w:val="0"/>
          <w:divBdr>
            <w:top w:val="none" w:sz="0" w:space="0" w:color="auto"/>
            <w:left w:val="none" w:sz="0" w:space="0" w:color="auto"/>
            <w:bottom w:val="none" w:sz="0" w:space="0" w:color="auto"/>
            <w:right w:val="none" w:sz="0" w:space="0" w:color="auto"/>
          </w:divBdr>
        </w:div>
      </w:divsChild>
    </w:div>
    <w:div w:id="718405989">
      <w:marLeft w:val="0"/>
      <w:marRight w:val="0"/>
      <w:marTop w:val="0"/>
      <w:marBottom w:val="240"/>
      <w:divBdr>
        <w:top w:val="none" w:sz="0" w:space="0" w:color="auto"/>
        <w:left w:val="none" w:sz="0" w:space="0" w:color="auto"/>
        <w:bottom w:val="none" w:sz="0" w:space="0" w:color="auto"/>
        <w:right w:val="none" w:sz="0" w:space="0" w:color="auto"/>
      </w:divBdr>
    </w:div>
    <w:div w:id="718670040">
      <w:marLeft w:val="0"/>
      <w:marRight w:val="0"/>
      <w:marTop w:val="0"/>
      <w:marBottom w:val="260"/>
      <w:divBdr>
        <w:top w:val="none" w:sz="0" w:space="0" w:color="auto"/>
        <w:left w:val="none" w:sz="0" w:space="0" w:color="auto"/>
        <w:bottom w:val="none" w:sz="0" w:space="0" w:color="auto"/>
        <w:right w:val="none" w:sz="0" w:space="0" w:color="auto"/>
      </w:divBdr>
    </w:div>
    <w:div w:id="719134560">
      <w:marLeft w:val="0"/>
      <w:marRight w:val="0"/>
      <w:marTop w:val="0"/>
      <w:marBottom w:val="240"/>
      <w:divBdr>
        <w:top w:val="none" w:sz="0" w:space="0" w:color="auto"/>
        <w:left w:val="none" w:sz="0" w:space="0" w:color="auto"/>
        <w:bottom w:val="none" w:sz="0" w:space="0" w:color="auto"/>
        <w:right w:val="none" w:sz="0" w:space="0" w:color="auto"/>
      </w:divBdr>
    </w:div>
    <w:div w:id="722025759">
      <w:marLeft w:val="0"/>
      <w:marRight w:val="0"/>
      <w:marTop w:val="0"/>
      <w:marBottom w:val="240"/>
      <w:divBdr>
        <w:top w:val="none" w:sz="0" w:space="0" w:color="auto"/>
        <w:left w:val="none" w:sz="0" w:space="0" w:color="auto"/>
        <w:bottom w:val="none" w:sz="0" w:space="0" w:color="auto"/>
        <w:right w:val="none" w:sz="0" w:space="0" w:color="auto"/>
      </w:divBdr>
    </w:div>
    <w:div w:id="722631484">
      <w:marLeft w:val="0"/>
      <w:marRight w:val="0"/>
      <w:marTop w:val="0"/>
      <w:marBottom w:val="240"/>
      <w:divBdr>
        <w:top w:val="none" w:sz="0" w:space="0" w:color="auto"/>
        <w:left w:val="none" w:sz="0" w:space="0" w:color="auto"/>
        <w:bottom w:val="none" w:sz="0" w:space="0" w:color="auto"/>
        <w:right w:val="none" w:sz="0" w:space="0" w:color="auto"/>
      </w:divBdr>
    </w:div>
    <w:div w:id="724334737">
      <w:marLeft w:val="0"/>
      <w:marRight w:val="0"/>
      <w:marTop w:val="0"/>
      <w:marBottom w:val="240"/>
      <w:divBdr>
        <w:top w:val="none" w:sz="0" w:space="0" w:color="auto"/>
        <w:left w:val="none" w:sz="0" w:space="0" w:color="auto"/>
        <w:bottom w:val="none" w:sz="0" w:space="0" w:color="auto"/>
        <w:right w:val="none" w:sz="0" w:space="0" w:color="auto"/>
      </w:divBdr>
    </w:div>
    <w:div w:id="725614831">
      <w:marLeft w:val="0"/>
      <w:marRight w:val="0"/>
      <w:marTop w:val="0"/>
      <w:marBottom w:val="240"/>
      <w:divBdr>
        <w:top w:val="none" w:sz="0" w:space="0" w:color="auto"/>
        <w:left w:val="none" w:sz="0" w:space="0" w:color="auto"/>
        <w:bottom w:val="none" w:sz="0" w:space="0" w:color="auto"/>
        <w:right w:val="none" w:sz="0" w:space="0" w:color="auto"/>
      </w:divBdr>
    </w:div>
    <w:div w:id="726414232">
      <w:marLeft w:val="0"/>
      <w:marRight w:val="0"/>
      <w:marTop w:val="240"/>
      <w:marBottom w:val="240"/>
      <w:divBdr>
        <w:top w:val="none" w:sz="0" w:space="0" w:color="auto"/>
        <w:left w:val="none" w:sz="0" w:space="0" w:color="auto"/>
        <w:bottom w:val="none" w:sz="0" w:space="0" w:color="auto"/>
        <w:right w:val="none" w:sz="0" w:space="0" w:color="auto"/>
      </w:divBdr>
    </w:div>
    <w:div w:id="736128947">
      <w:marLeft w:val="0"/>
      <w:marRight w:val="0"/>
      <w:marTop w:val="0"/>
      <w:marBottom w:val="240"/>
      <w:divBdr>
        <w:top w:val="none" w:sz="0" w:space="0" w:color="auto"/>
        <w:left w:val="none" w:sz="0" w:space="0" w:color="auto"/>
        <w:bottom w:val="none" w:sz="0" w:space="0" w:color="auto"/>
        <w:right w:val="none" w:sz="0" w:space="0" w:color="auto"/>
      </w:divBdr>
    </w:div>
    <w:div w:id="746149602">
      <w:marLeft w:val="0"/>
      <w:marRight w:val="0"/>
      <w:marTop w:val="240"/>
      <w:marBottom w:val="0"/>
      <w:divBdr>
        <w:top w:val="none" w:sz="0" w:space="0" w:color="auto"/>
        <w:left w:val="none" w:sz="0" w:space="0" w:color="auto"/>
        <w:bottom w:val="none" w:sz="0" w:space="0" w:color="auto"/>
        <w:right w:val="none" w:sz="0" w:space="0" w:color="auto"/>
      </w:divBdr>
    </w:div>
    <w:div w:id="747459371">
      <w:marLeft w:val="0"/>
      <w:marRight w:val="0"/>
      <w:marTop w:val="0"/>
      <w:marBottom w:val="240"/>
      <w:divBdr>
        <w:top w:val="none" w:sz="0" w:space="0" w:color="auto"/>
        <w:left w:val="none" w:sz="0" w:space="0" w:color="auto"/>
        <w:bottom w:val="none" w:sz="0" w:space="0" w:color="auto"/>
        <w:right w:val="none" w:sz="0" w:space="0" w:color="auto"/>
      </w:divBdr>
    </w:div>
    <w:div w:id="757825063">
      <w:marLeft w:val="0"/>
      <w:marRight w:val="0"/>
      <w:marTop w:val="240"/>
      <w:marBottom w:val="240"/>
      <w:divBdr>
        <w:top w:val="none" w:sz="0" w:space="0" w:color="auto"/>
        <w:left w:val="none" w:sz="0" w:space="0" w:color="auto"/>
        <w:bottom w:val="none" w:sz="0" w:space="0" w:color="auto"/>
        <w:right w:val="none" w:sz="0" w:space="0" w:color="auto"/>
      </w:divBdr>
    </w:div>
    <w:div w:id="758527206">
      <w:marLeft w:val="0"/>
      <w:marRight w:val="0"/>
      <w:marTop w:val="240"/>
      <w:marBottom w:val="0"/>
      <w:divBdr>
        <w:top w:val="none" w:sz="0" w:space="0" w:color="auto"/>
        <w:left w:val="none" w:sz="0" w:space="0" w:color="auto"/>
        <w:bottom w:val="none" w:sz="0" w:space="0" w:color="auto"/>
        <w:right w:val="none" w:sz="0" w:space="0" w:color="auto"/>
      </w:divBdr>
    </w:div>
    <w:div w:id="759258507">
      <w:marLeft w:val="0"/>
      <w:marRight w:val="0"/>
      <w:marTop w:val="40"/>
      <w:marBottom w:val="240"/>
      <w:divBdr>
        <w:top w:val="none" w:sz="0" w:space="0" w:color="auto"/>
        <w:left w:val="none" w:sz="0" w:space="0" w:color="auto"/>
        <w:bottom w:val="none" w:sz="0" w:space="0" w:color="auto"/>
        <w:right w:val="none" w:sz="0" w:space="0" w:color="auto"/>
      </w:divBdr>
    </w:div>
    <w:div w:id="760568530">
      <w:marLeft w:val="0"/>
      <w:marRight w:val="0"/>
      <w:marTop w:val="240"/>
      <w:marBottom w:val="240"/>
      <w:divBdr>
        <w:top w:val="none" w:sz="0" w:space="0" w:color="auto"/>
        <w:left w:val="none" w:sz="0" w:space="0" w:color="auto"/>
        <w:bottom w:val="none" w:sz="0" w:space="0" w:color="auto"/>
        <w:right w:val="none" w:sz="0" w:space="0" w:color="auto"/>
      </w:divBdr>
    </w:div>
    <w:div w:id="761223242">
      <w:marLeft w:val="0"/>
      <w:marRight w:val="0"/>
      <w:marTop w:val="240"/>
      <w:marBottom w:val="240"/>
      <w:divBdr>
        <w:top w:val="none" w:sz="0" w:space="0" w:color="auto"/>
        <w:left w:val="none" w:sz="0" w:space="0" w:color="auto"/>
        <w:bottom w:val="none" w:sz="0" w:space="0" w:color="auto"/>
        <w:right w:val="none" w:sz="0" w:space="0" w:color="auto"/>
      </w:divBdr>
    </w:div>
    <w:div w:id="764229933">
      <w:marLeft w:val="0"/>
      <w:marRight w:val="0"/>
      <w:marTop w:val="0"/>
      <w:marBottom w:val="1"/>
      <w:divBdr>
        <w:top w:val="none" w:sz="0" w:space="0" w:color="auto"/>
        <w:left w:val="none" w:sz="0" w:space="0" w:color="auto"/>
        <w:bottom w:val="none" w:sz="0" w:space="0" w:color="auto"/>
        <w:right w:val="none" w:sz="0" w:space="0" w:color="auto"/>
      </w:divBdr>
    </w:div>
    <w:div w:id="765349954">
      <w:marLeft w:val="0"/>
      <w:marRight w:val="0"/>
      <w:marTop w:val="0"/>
      <w:marBottom w:val="240"/>
      <w:divBdr>
        <w:top w:val="none" w:sz="0" w:space="0" w:color="auto"/>
        <w:left w:val="none" w:sz="0" w:space="0" w:color="auto"/>
        <w:bottom w:val="none" w:sz="0" w:space="0" w:color="auto"/>
        <w:right w:val="none" w:sz="0" w:space="0" w:color="auto"/>
      </w:divBdr>
    </w:div>
    <w:div w:id="765615097">
      <w:marLeft w:val="0"/>
      <w:marRight w:val="0"/>
      <w:marTop w:val="240"/>
      <w:marBottom w:val="240"/>
      <w:divBdr>
        <w:top w:val="none" w:sz="0" w:space="0" w:color="auto"/>
        <w:left w:val="none" w:sz="0" w:space="0" w:color="auto"/>
        <w:bottom w:val="none" w:sz="0" w:space="0" w:color="auto"/>
        <w:right w:val="none" w:sz="0" w:space="0" w:color="auto"/>
      </w:divBdr>
    </w:div>
    <w:div w:id="767000026">
      <w:marLeft w:val="0"/>
      <w:marRight w:val="0"/>
      <w:marTop w:val="0"/>
      <w:marBottom w:val="240"/>
      <w:divBdr>
        <w:top w:val="none" w:sz="0" w:space="0" w:color="auto"/>
        <w:left w:val="none" w:sz="0" w:space="0" w:color="auto"/>
        <w:bottom w:val="none" w:sz="0" w:space="0" w:color="auto"/>
        <w:right w:val="none" w:sz="0" w:space="0" w:color="auto"/>
      </w:divBdr>
    </w:div>
    <w:div w:id="770978349">
      <w:marLeft w:val="0"/>
      <w:marRight w:val="0"/>
      <w:marTop w:val="0"/>
      <w:marBottom w:val="240"/>
      <w:divBdr>
        <w:top w:val="none" w:sz="0" w:space="0" w:color="auto"/>
        <w:left w:val="none" w:sz="0" w:space="0" w:color="auto"/>
        <w:bottom w:val="none" w:sz="0" w:space="0" w:color="auto"/>
        <w:right w:val="none" w:sz="0" w:space="0" w:color="auto"/>
      </w:divBdr>
    </w:div>
    <w:div w:id="780345114">
      <w:marLeft w:val="0"/>
      <w:marRight w:val="0"/>
      <w:marTop w:val="0"/>
      <w:marBottom w:val="240"/>
      <w:divBdr>
        <w:top w:val="none" w:sz="0" w:space="0" w:color="auto"/>
        <w:left w:val="none" w:sz="0" w:space="0" w:color="auto"/>
        <w:bottom w:val="none" w:sz="0" w:space="0" w:color="auto"/>
        <w:right w:val="none" w:sz="0" w:space="0" w:color="auto"/>
      </w:divBdr>
    </w:div>
    <w:div w:id="781849433">
      <w:marLeft w:val="0"/>
      <w:marRight w:val="0"/>
      <w:marTop w:val="0"/>
      <w:marBottom w:val="240"/>
      <w:divBdr>
        <w:top w:val="none" w:sz="0" w:space="0" w:color="auto"/>
        <w:left w:val="none" w:sz="0" w:space="0" w:color="auto"/>
        <w:bottom w:val="none" w:sz="0" w:space="0" w:color="auto"/>
        <w:right w:val="none" w:sz="0" w:space="0" w:color="auto"/>
      </w:divBdr>
    </w:div>
    <w:div w:id="781925612">
      <w:marLeft w:val="0"/>
      <w:marRight w:val="0"/>
      <w:marTop w:val="0"/>
      <w:marBottom w:val="0"/>
      <w:divBdr>
        <w:top w:val="none" w:sz="0" w:space="0" w:color="auto"/>
        <w:left w:val="none" w:sz="0" w:space="0" w:color="auto"/>
        <w:bottom w:val="none" w:sz="0" w:space="0" w:color="auto"/>
        <w:right w:val="none" w:sz="0" w:space="0" w:color="auto"/>
      </w:divBdr>
    </w:div>
    <w:div w:id="784933098">
      <w:marLeft w:val="0"/>
      <w:marRight w:val="0"/>
      <w:marTop w:val="0"/>
      <w:marBottom w:val="200"/>
      <w:divBdr>
        <w:top w:val="none" w:sz="0" w:space="0" w:color="auto"/>
        <w:left w:val="none" w:sz="0" w:space="0" w:color="auto"/>
        <w:bottom w:val="none" w:sz="0" w:space="0" w:color="auto"/>
        <w:right w:val="none" w:sz="0" w:space="0" w:color="auto"/>
      </w:divBdr>
    </w:div>
    <w:div w:id="791292071">
      <w:marLeft w:val="0"/>
      <w:marRight w:val="0"/>
      <w:marTop w:val="240"/>
      <w:marBottom w:val="240"/>
      <w:divBdr>
        <w:top w:val="none" w:sz="0" w:space="0" w:color="auto"/>
        <w:left w:val="none" w:sz="0" w:space="0" w:color="auto"/>
        <w:bottom w:val="none" w:sz="0" w:space="0" w:color="auto"/>
        <w:right w:val="none" w:sz="0" w:space="0" w:color="auto"/>
      </w:divBdr>
    </w:div>
    <w:div w:id="792596121">
      <w:marLeft w:val="0"/>
      <w:marRight w:val="0"/>
      <w:marTop w:val="0"/>
      <w:marBottom w:val="0"/>
      <w:divBdr>
        <w:top w:val="none" w:sz="0" w:space="0" w:color="auto"/>
        <w:left w:val="none" w:sz="0" w:space="0" w:color="auto"/>
        <w:bottom w:val="none" w:sz="0" w:space="0" w:color="auto"/>
        <w:right w:val="none" w:sz="0" w:space="0" w:color="auto"/>
      </w:divBdr>
    </w:div>
    <w:div w:id="794525463">
      <w:marLeft w:val="0"/>
      <w:marRight w:val="0"/>
      <w:marTop w:val="0"/>
      <w:marBottom w:val="120"/>
      <w:divBdr>
        <w:top w:val="none" w:sz="0" w:space="0" w:color="auto"/>
        <w:left w:val="none" w:sz="0" w:space="0" w:color="auto"/>
        <w:bottom w:val="none" w:sz="0" w:space="0" w:color="auto"/>
        <w:right w:val="none" w:sz="0" w:space="0" w:color="auto"/>
      </w:divBdr>
    </w:div>
    <w:div w:id="796292506">
      <w:marLeft w:val="0"/>
      <w:marRight w:val="0"/>
      <w:marTop w:val="0"/>
      <w:marBottom w:val="240"/>
      <w:divBdr>
        <w:top w:val="none" w:sz="0" w:space="0" w:color="auto"/>
        <w:left w:val="none" w:sz="0" w:space="0" w:color="auto"/>
        <w:bottom w:val="none" w:sz="0" w:space="0" w:color="auto"/>
        <w:right w:val="none" w:sz="0" w:space="0" w:color="auto"/>
      </w:divBdr>
    </w:div>
    <w:div w:id="800655527">
      <w:marLeft w:val="0"/>
      <w:marRight w:val="0"/>
      <w:marTop w:val="0"/>
      <w:marBottom w:val="0"/>
      <w:divBdr>
        <w:top w:val="none" w:sz="0" w:space="0" w:color="auto"/>
        <w:left w:val="none" w:sz="0" w:space="0" w:color="auto"/>
        <w:bottom w:val="none" w:sz="0" w:space="0" w:color="auto"/>
        <w:right w:val="none" w:sz="0" w:space="0" w:color="auto"/>
      </w:divBdr>
    </w:div>
    <w:div w:id="802962773">
      <w:marLeft w:val="0"/>
      <w:marRight w:val="0"/>
      <w:marTop w:val="0"/>
      <w:marBottom w:val="0"/>
      <w:divBdr>
        <w:top w:val="none" w:sz="0" w:space="0" w:color="auto"/>
        <w:left w:val="none" w:sz="0" w:space="0" w:color="auto"/>
        <w:bottom w:val="none" w:sz="0" w:space="0" w:color="auto"/>
        <w:right w:val="none" w:sz="0" w:space="0" w:color="auto"/>
      </w:divBdr>
    </w:div>
    <w:div w:id="803428787">
      <w:marLeft w:val="0"/>
      <w:marRight w:val="0"/>
      <w:marTop w:val="0"/>
      <w:marBottom w:val="240"/>
      <w:divBdr>
        <w:top w:val="none" w:sz="0" w:space="0" w:color="auto"/>
        <w:left w:val="none" w:sz="0" w:space="0" w:color="auto"/>
        <w:bottom w:val="none" w:sz="0" w:space="0" w:color="auto"/>
        <w:right w:val="none" w:sz="0" w:space="0" w:color="auto"/>
      </w:divBdr>
    </w:div>
    <w:div w:id="803892268">
      <w:marLeft w:val="0"/>
      <w:marRight w:val="0"/>
      <w:marTop w:val="240"/>
      <w:marBottom w:val="0"/>
      <w:divBdr>
        <w:top w:val="none" w:sz="0" w:space="0" w:color="auto"/>
        <w:left w:val="none" w:sz="0" w:space="0" w:color="auto"/>
        <w:bottom w:val="none" w:sz="0" w:space="0" w:color="auto"/>
        <w:right w:val="none" w:sz="0" w:space="0" w:color="auto"/>
      </w:divBdr>
    </w:div>
    <w:div w:id="811368057">
      <w:marLeft w:val="0"/>
      <w:marRight w:val="0"/>
      <w:marTop w:val="240"/>
      <w:marBottom w:val="240"/>
      <w:divBdr>
        <w:top w:val="none" w:sz="0" w:space="0" w:color="auto"/>
        <w:left w:val="none" w:sz="0" w:space="0" w:color="auto"/>
        <w:bottom w:val="none" w:sz="0" w:space="0" w:color="auto"/>
        <w:right w:val="none" w:sz="0" w:space="0" w:color="auto"/>
      </w:divBdr>
    </w:div>
    <w:div w:id="812527713">
      <w:marLeft w:val="0"/>
      <w:marRight w:val="0"/>
      <w:marTop w:val="0"/>
      <w:marBottom w:val="240"/>
      <w:divBdr>
        <w:top w:val="none" w:sz="0" w:space="0" w:color="auto"/>
        <w:left w:val="none" w:sz="0" w:space="0" w:color="auto"/>
        <w:bottom w:val="none" w:sz="0" w:space="0" w:color="auto"/>
        <w:right w:val="none" w:sz="0" w:space="0" w:color="auto"/>
      </w:divBdr>
    </w:div>
    <w:div w:id="813105512">
      <w:marLeft w:val="0"/>
      <w:marRight w:val="0"/>
      <w:marTop w:val="0"/>
      <w:marBottom w:val="240"/>
      <w:divBdr>
        <w:top w:val="none" w:sz="0" w:space="0" w:color="auto"/>
        <w:left w:val="none" w:sz="0" w:space="0" w:color="auto"/>
        <w:bottom w:val="none" w:sz="0" w:space="0" w:color="auto"/>
        <w:right w:val="none" w:sz="0" w:space="0" w:color="auto"/>
      </w:divBdr>
    </w:div>
    <w:div w:id="815683339">
      <w:marLeft w:val="0"/>
      <w:marRight w:val="0"/>
      <w:marTop w:val="240"/>
      <w:marBottom w:val="0"/>
      <w:divBdr>
        <w:top w:val="none" w:sz="0" w:space="0" w:color="auto"/>
        <w:left w:val="none" w:sz="0" w:space="0" w:color="auto"/>
        <w:bottom w:val="none" w:sz="0" w:space="0" w:color="auto"/>
        <w:right w:val="none" w:sz="0" w:space="0" w:color="auto"/>
      </w:divBdr>
    </w:div>
    <w:div w:id="822501150">
      <w:marLeft w:val="0"/>
      <w:marRight w:val="0"/>
      <w:marTop w:val="0"/>
      <w:marBottom w:val="240"/>
      <w:divBdr>
        <w:top w:val="none" w:sz="0" w:space="0" w:color="auto"/>
        <w:left w:val="none" w:sz="0" w:space="0" w:color="auto"/>
        <w:bottom w:val="none" w:sz="0" w:space="0" w:color="auto"/>
        <w:right w:val="none" w:sz="0" w:space="0" w:color="auto"/>
      </w:divBdr>
    </w:div>
    <w:div w:id="823475016">
      <w:marLeft w:val="0"/>
      <w:marRight w:val="0"/>
      <w:marTop w:val="0"/>
      <w:marBottom w:val="120"/>
      <w:divBdr>
        <w:top w:val="none" w:sz="0" w:space="0" w:color="auto"/>
        <w:left w:val="none" w:sz="0" w:space="0" w:color="auto"/>
        <w:bottom w:val="none" w:sz="0" w:space="0" w:color="auto"/>
        <w:right w:val="none" w:sz="0" w:space="0" w:color="auto"/>
      </w:divBdr>
    </w:div>
    <w:div w:id="824249680">
      <w:marLeft w:val="0"/>
      <w:marRight w:val="0"/>
      <w:marTop w:val="0"/>
      <w:marBottom w:val="0"/>
      <w:divBdr>
        <w:top w:val="none" w:sz="0" w:space="0" w:color="auto"/>
        <w:left w:val="none" w:sz="0" w:space="0" w:color="auto"/>
        <w:bottom w:val="none" w:sz="0" w:space="0" w:color="auto"/>
        <w:right w:val="none" w:sz="0" w:space="0" w:color="auto"/>
      </w:divBdr>
    </w:div>
    <w:div w:id="826702636">
      <w:marLeft w:val="0"/>
      <w:marRight w:val="0"/>
      <w:marTop w:val="0"/>
      <w:marBottom w:val="240"/>
      <w:divBdr>
        <w:top w:val="none" w:sz="0" w:space="0" w:color="auto"/>
        <w:left w:val="none" w:sz="0" w:space="0" w:color="auto"/>
        <w:bottom w:val="none" w:sz="0" w:space="0" w:color="auto"/>
        <w:right w:val="none" w:sz="0" w:space="0" w:color="auto"/>
      </w:divBdr>
    </w:div>
    <w:div w:id="827670117">
      <w:marLeft w:val="0"/>
      <w:marRight w:val="0"/>
      <w:marTop w:val="0"/>
      <w:marBottom w:val="240"/>
      <w:divBdr>
        <w:top w:val="none" w:sz="0" w:space="0" w:color="auto"/>
        <w:left w:val="none" w:sz="0" w:space="0" w:color="auto"/>
        <w:bottom w:val="none" w:sz="0" w:space="0" w:color="auto"/>
        <w:right w:val="none" w:sz="0" w:space="0" w:color="auto"/>
      </w:divBdr>
    </w:div>
    <w:div w:id="827863942">
      <w:marLeft w:val="0"/>
      <w:marRight w:val="0"/>
      <w:marTop w:val="240"/>
      <w:marBottom w:val="120"/>
      <w:divBdr>
        <w:top w:val="none" w:sz="0" w:space="0" w:color="auto"/>
        <w:left w:val="none" w:sz="0" w:space="0" w:color="auto"/>
        <w:bottom w:val="none" w:sz="0" w:space="0" w:color="auto"/>
        <w:right w:val="none" w:sz="0" w:space="0" w:color="auto"/>
      </w:divBdr>
    </w:div>
    <w:div w:id="831675333">
      <w:marLeft w:val="0"/>
      <w:marRight w:val="0"/>
      <w:marTop w:val="0"/>
      <w:marBottom w:val="240"/>
      <w:divBdr>
        <w:top w:val="none" w:sz="0" w:space="0" w:color="auto"/>
        <w:left w:val="none" w:sz="0" w:space="0" w:color="auto"/>
        <w:bottom w:val="none" w:sz="0" w:space="0" w:color="auto"/>
        <w:right w:val="none" w:sz="0" w:space="0" w:color="auto"/>
      </w:divBdr>
    </w:div>
    <w:div w:id="835069402">
      <w:marLeft w:val="0"/>
      <w:marRight w:val="0"/>
      <w:marTop w:val="0"/>
      <w:marBottom w:val="0"/>
      <w:divBdr>
        <w:top w:val="none" w:sz="0" w:space="0" w:color="auto"/>
        <w:left w:val="none" w:sz="0" w:space="0" w:color="auto"/>
        <w:bottom w:val="none" w:sz="0" w:space="0" w:color="auto"/>
        <w:right w:val="none" w:sz="0" w:space="0" w:color="auto"/>
      </w:divBdr>
    </w:div>
    <w:div w:id="838469056">
      <w:marLeft w:val="0"/>
      <w:marRight w:val="0"/>
      <w:marTop w:val="0"/>
      <w:marBottom w:val="120"/>
      <w:divBdr>
        <w:top w:val="none" w:sz="0" w:space="0" w:color="auto"/>
        <w:left w:val="none" w:sz="0" w:space="0" w:color="auto"/>
        <w:bottom w:val="none" w:sz="0" w:space="0" w:color="auto"/>
        <w:right w:val="none" w:sz="0" w:space="0" w:color="auto"/>
      </w:divBdr>
    </w:div>
    <w:div w:id="838891211">
      <w:marLeft w:val="0"/>
      <w:marRight w:val="0"/>
      <w:marTop w:val="0"/>
      <w:marBottom w:val="0"/>
      <w:divBdr>
        <w:top w:val="none" w:sz="0" w:space="0" w:color="auto"/>
        <w:left w:val="none" w:sz="0" w:space="0" w:color="auto"/>
        <w:bottom w:val="none" w:sz="0" w:space="0" w:color="auto"/>
        <w:right w:val="none" w:sz="0" w:space="0" w:color="auto"/>
      </w:divBdr>
    </w:div>
    <w:div w:id="840051534">
      <w:marLeft w:val="0"/>
      <w:marRight w:val="0"/>
      <w:marTop w:val="0"/>
      <w:marBottom w:val="240"/>
      <w:divBdr>
        <w:top w:val="none" w:sz="0" w:space="0" w:color="auto"/>
        <w:left w:val="none" w:sz="0" w:space="0" w:color="auto"/>
        <w:bottom w:val="none" w:sz="0" w:space="0" w:color="auto"/>
        <w:right w:val="none" w:sz="0" w:space="0" w:color="auto"/>
      </w:divBdr>
    </w:div>
    <w:div w:id="845512210">
      <w:marLeft w:val="0"/>
      <w:marRight w:val="0"/>
      <w:marTop w:val="0"/>
      <w:marBottom w:val="240"/>
      <w:divBdr>
        <w:top w:val="none" w:sz="0" w:space="0" w:color="auto"/>
        <w:left w:val="none" w:sz="0" w:space="0" w:color="auto"/>
        <w:bottom w:val="none" w:sz="0" w:space="0" w:color="auto"/>
        <w:right w:val="none" w:sz="0" w:space="0" w:color="auto"/>
      </w:divBdr>
    </w:div>
    <w:div w:id="847595020">
      <w:marLeft w:val="0"/>
      <w:marRight w:val="0"/>
      <w:marTop w:val="0"/>
      <w:marBottom w:val="240"/>
      <w:divBdr>
        <w:top w:val="none" w:sz="0" w:space="0" w:color="auto"/>
        <w:left w:val="none" w:sz="0" w:space="0" w:color="auto"/>
        <w:bottom w:val="none" w:sz="0" w:space="0" w:color="auto"/>
        <w:right w:val="none" w:sz="0" w:space="0" w:color="auto"/>
      </w:divBdr>
    </w:div>
    <w:div w:id="847909147">
      <w:marLeft w:val="0"/>
      <w:marRight w:val="0"/>
      <w:marTop w:val="0"/>
      <w:marBottom w:val="240"/>
      <w:divBdr>
        <w:top w:val="none" w:sz="0" w:space="0" w:color="auto"/>
        <w:left w:val="none" w:sz="0" w:space="0" w:color="auto"/>
        <w:bottom w:val="none" w:sz="0" w:space="0" w:color="auto"/>
        <w:right w:val="none" w:sz="0" w:space="0" w:color="auto"/>
      </w:divBdr>
    </w:div>
    <w:div w:id="851260492">
      <w:marLeft w:val="0"/>
      <w:marRight w:val="0"/>
      <w:marTop w:val="0"/>
      <w:marBottom w:val="0"/>
      <w:divBdr>
        <w:top w:val="none" w:sz="0" w:space="0" w:color="auto"/>
        <w:left w:val="none" w:sz="0" w:space="0" w:color="auto"/>
        <w:bottom w:val="none" w:sz="0" w:space="0" w:color="auto"/>
        <w:right w:val="none" w:sz="0" w:space="0" w:color="auto"/>
      </w:divBdr>
      <w:divsChild>
        <w:div w:id="1315570479">
          <w:marLeft w:val="0"/>
          <w:marRight w:val="0"/>
          <w:marTop w:val="0"/>
          <w:marBottom w:val="0"/>
          <w:divBdr>
            <w:top w:val="none" w:sz="0" w:space="0" w:color="auto"/>
            <w:left w:val="none" w:sz="0" w:space="0" w:color="auto"/>
            <w:bottom w:val="none" w:sz="0" w:space="0" w:color="auto"/>
            <w:right w:val="none" w:sz="0" w:space="0" w:color="auto"/>
          </w:divBdr>
        </w:div>
      </w:divsChild>
    </w:div>
    <w:div w:id="854929632">
      <w:marLeft w:val="0"/>
      <w:marRight w:val="0"/>
      <w:marTop w:val="0"/>
      <w:marBottom w:val="240"/>
      <w:divBdr>
        <w:top w:val="none" w:sz="0" w:space="0" w:color="auto"/>
        <w:left w:val="none" w:sz="0" w:space="0" w:color="auto"/>
        <w:bottom w:val="none" w:sz="0" w:space="0" w:color="auto"/>
        <w:right w:val="none" w:sz="0" w:space="0" w:color="auto"/>
      </w:divBdr>
    </w:div>
    <w:div w:id="861667659">
      <w:marLeft w:val="0"/>
      <w:marRight w:val="0"/>
      <w:marTop w:val="0"/>
      <w:marBottom w:val="240"/>
      <w:divBdr>
        <w:top w:val="none" w:sz="0" w:space="0" w:color="auto"/>
        <w:left w:val="none" w:sz="0" w:space="0" w:color="auto"/>
        <w:bottom w:val="none" w:sz="0" w:space="0" w:color="auto"/>
        <w:right w:val="none" w:sz="0" w:space="0" w:color="auto"/>
      </w:divBdr>
    </w:div>
    <w:div w:id="876232828">
      <w:marLeft w:val="0"/>
      <w:marRight w:val="0"/>
      <w:marTop w:val="0"/>
      <w:marBottom w:val="0"/>
      <w:divBdr>
        <w:top w:val="none" w:sz="0" w:space="0" w:color="auto"/>
        <w:left w:val="none" w:sz="0" w:space="0" w:color="auto"/>
        <w:bottom w:val="none" w:sz="0" w:space="0" w:color="auto"/>
        <w:right w:val="none" w:sz="0" w:space="0" w:color="auto"/>
      </w:divBdr>
      <w:divsChild>
        <w:div w:id="1103115212">
          <w:marLeft w:val="0"/>
          <w:marRight w:val="0"/>
          <w:marTop w:val="0"/>
          <w:marBottom w:val="0"/>
          <w:divBdr>
            <w:top w:val="none" w:sz="0" w:space="0" w:color="auto"/>
            <w:left w:val="none" w:sz="0" w:space="0" w:color="auto"/>
            <w:bottom w:val="none" w:sz="0" w:space="0" w:color="auto"/>
            <w:right w:val="none" w:sz="0" w:space="0" w:color="auto"/>
          </w:divBdr>
        </w:div>
      </w:divsChild>
    </w:div>
    <w:div w:id="884097482">
      <w:marLeft w:val="0"/>
      <w:marRight w:val="0"/>
      <w:marTop w:val="0"/>
      <w:marBottom w:val="240"/>
      <w:divBdr>
        <w:top w:val="none" w:sz="0" w:space="0" w:color="auto"/>
        <w:left w:val="none" w:sz="0" w:space="0" w:color="auto"/>
        <w:bottom w:val="none" w:sz="0" w:space="0" w:color="auto"/>
        <w:right w:val="none" w:sz="0" w:space="0" w:color="auto"/>
      </w:divBdr>
    </w:div>
    <w:div w:id="885415986">
      <w:marLeft w:val="0"/>
      <w:marRight w:val="0"/>
      <w:marTop w:val="0"/>
      <w:marBottom w:val="240"/>
      <w:divBdr>
        <w:top w:val="none" w:sz="0" w:space="0" w:color="auto"/>
        <w:left w:val="none" w:sz="0" w:space="0" w:color="auto"/>
        <w:bottom w:val="none" w:sz="0" w:space="0" w:color="auto"/>
        <w:right w:val="none" w:sz="0" w:space="0" w:color="auto"/>
      </w:divBdr>
    </w:div>
    <w:div w:id="887911476">
      <w:marLeft w:val="0"/>
      <w:marRight w:val="0"/>
      <w:marTop w:val="240"/>
      <w:marBottom w:val="240"/>
      <w:divBdr>
        <w:top w:val="none" w:sz="0" w:space="0" w:color="auto"/>
        <w:left w:val="none" w:sz="0" w:space="0" w:color="auto"/>
        <w:bottom w:val="none" w:sz="0" w:space="0" w:color="auto"/>
        <w:right w:val="none" w:sz="0" w:space="0" w:color="auto"/>
      </w:divBdr>
    </w:div>
    <w:div w:id="892156639">
      <w:marLeft w:val="0"/>
      <w:marRight w:val="0"/>
      <w:marTop w:val="0"/>
      <w:marBottom w:val="240"/>
      <w:divBdr>
        <w:top w:val="none" w:sz="0" w:space="0" w:color="auto"/>
        <w:left w:val="none" w:sz="0" w:space="0" w:color="auto"/>
        <w:bottom w:val="none" w:sz="0" w:space="0" w:color="auto"/>
        <w:right w:val="none" w:sz="0" w:space="0" w:color="auto"/>
      </w:divBdr>
    </w:div>
    <w:div w:id="893154347">
      <w:marLeft w:val="0"/>
      <w:marRight w:val="0"/>
      <w:marTop w:val="0"/>
      <w:marBottom w:val="0"/>
      <w:divBdr>
        <w:top w:val="none" w:sz="0" w:space="0" w:color="auto"/>
        <w:left w:val="none" w:sz="0" w:space="0" w:color="auto"/>
        <w:bottom w:val="none" w:sz="0" w:space="0" w:color="auto"/>
        <w:right w:val="none" w:sz="0" w:space="0" w:color="auto"/>
      </w:divBdr>
      <w:divsChild>
        <w:div w:id="658773712">
          <w:marLeft w:val="0"/>
          <w:marRight w:val="0"/>
          <w:marTop w:val="0"/>
          <w:marBottom w:val="0"/>
          <w:divBdr>
            <w:top w:val="none" w:sz="0" w:space="0" w:color="auto"/>
            <w:left w:val="none" w:sz="0" w:space="0" w:color="auto"/>
            <w:bottom w:val="none" w:sz="0" w:space="0" w:color="auto"/>
            <w:right w:val="none" w:sz="0" w:space="0" w:color="auto"/>
          </w:divBdr>
        </w:div>
      </w:divsChild>
    </w:div>
    <w:div w:id="894437652">
      <w:marLeft w:val="0"/>
      <w:marRight w:val="0"/>
      <w:marTop w:val="240"/>
      <w:marBottom w:val="240"/>
      <w:divBdr>
        <w:top w:val="none" w:sz="0" w:space="0" w:color="auto"/>
        <w:left w:val="none" w:sz="0" w:space="0" w:color="auto"/>
        <w:bottom w:val="none" w:sz="0" w:space="0" w:color="auto"/>
        <w:right w:val="none" w:sz="0" w:space="0" w:color="auto"/>
      </w:divBdr>
    </w:div>
    <w:div w:id="895822001">
      <w:marLeft w:val="0"/>
      <w:marRight w:val="0"/>
      <w:marTop w:val="0"/>
      <w:marBottom w:val="240"/>
      <w:divBdr>
        <w:top w:val="none" w:sz="0" w:space="0" w:color="auto"/>
        <w:left w:val="none" w:sz="0" w:space="0" w:color="auto"/>
        <w:bottom w:val="none" w:sz="0" w:space="0" w:color="auto"/>
        <w:right w:val="none" w:sz="0" w:space="0" w:color="auto"/>
      </w:divBdr>
    </w:div>
    <w:div w:id="898827442">
      <w:marLeft w:val="0"/>
      <w:marRight w:val="0"/>
      <w:marTop w:val="240"/>
      <w:marBottom w:val="240"/>
      <w:divBdr>
        <w:top w:val="none" w:sz="0" w:space="0" w:color="auto"/>
        <w:left w:val="none" w:sz="0" w:space="0" w:color="auto"/>
        <w:bottom w:val="none" w:sz="0" w:space="0" w:color="auto"/>
        <w:right w:val="none" w:sz="0" w:space="0" w:color="auto"/>
      </w:divBdr>
    </w:div>
    <w:div w:id="901872666">
      <w:marLeft w:val="0"/>
      <w:marRight w:val="0"/>
      <w:marTop w:val="0"/>
      <w:marBottom w:val="0"/>
      <w:divBdr>
        <w:top w:val="none" w:sz="0" w:space="0" w:color="auto"/>
        <w:left w:val="none" w:sz="0" w:space="0" w:color="auto"/>
        <w:bottom w:val="none" w:sz="0" w:space="0" w:color="auto"/>
        <w:right w:val="none" w:sz="0" w:space="0" w:color="auto"/>
      </w:divBdr>
      <w:divsChild>
        <w:div w:id="366608782">
          <w:marLeft w:val="0"/>
          <w:marRight w:val="0"/>
          <w:marTop w:val="0"/>
          <w:marBottom w:val="0"/>
          <w:divBdr>
            <w:top w:val="none" w:sz="0" w:space="0" w:color="auto"/>
            <w:left w:val="none" w:sz="0" w:space="0" w:color="auto"/>
            <w:bottom w:val="none" w:sz="0" w:space="0" w:color="auto"/>
            <w:right w:val="none" w:sz="0" w:space="0" w:color="auto"/>
          </w:divBdr>
        </w:div>
      </w:divsChild>
    </w:div>
    <w:div w:id="903104700">
      <w:marLeft w:val="0"/>
      <w:marRight w:val="0"/>
      <w:marTop w:val="0"/>
      <w:marBottom w:val="240"/>
      <w:divBdr>
        <w:top w:val="none" w:sz="0" w:space="0" w:color="auto"/>
        <w:left w:val="none" w:sz="0" w:space="0" w:color="auto"/>
        <w:bottom w:val="none" w:sz="0" w:space="0" w:color="auto"/>
        <w:right w:val="none" w:sz="0" w:space="0" w:color="auto"/>
      </w:divBdr>
    </w:div>
    <w:div w:id="908997371">
      <w:marLeft w:val="0"/>
      <w:marRight w:val="0"/>
      <w:marTop w:val="0"/>
      <w:marBottom w:val="240"/>
      <w:divBdr>
        <w:top w:val="none" w:sz="0" w:space="0" w:color="auto"/>
        <w:left w:val="none" w:sz="0" w:space="0" w:color="auto"/>
        <w:bottom w:val="none" w:sz="0" w:space="0" w:color="auto"/>
        <w:right w:val="none" w:sz="0" w:space="0" w:color="auto"/>
      </w:divBdr>
    </w:div>
    <w:div w:id="909657127">
      <w:marLeft w:val="0"/>
      <w:marRight w:val="0"/>
      <w:marTop w:val="0"/>
      <w:marBottom w:val="240"/>
      <w:divBdr>
        <w:top w:val="none" w:sz="0" w:space="0" w:color="auto"/>
        <w:left w:val="none" w:sz="0" w:space="0" w:color="auto"/>
        <w:bottom w:val="none" w:sz="0" w:space="0" w:color="auto"/>
        <w:right w:val="none" w:sz="0" w:space="0" w:color="auto"/>
      </w:divBdr>
    </w:div>
    <w:div w:id="913970080">
      <w:marLeft w:val="0"/>
      <w:marRight w:val="0"/>
      <w:marTop w:val="0"/>
      <w:marBottom w:val="240"/>
      <w:divBdr>
        <w:top w:val="none" w:sz="0" w:space="0" w:color="auto"/>
        <w:left w:val="none" w:sz="0" w:space="0" w:color="auto"/>
        <w:bottom w:val="none" w:sz="0" w:space="0" w:color="auto"/>
        <w:right w:val="none" w:sz="0" w:space="0" w:color="auto"/>
      </w:divBdr>
    </w:div>
    <w:div w:id="916134477">
      <w:marLeft w:val="0"/>
      <w:marRight w:val="0"/>
      <w:marTop w:val="0"/>
      <w:marBottom w:val="240"/>
      <w:divBdr>
        <w:top w:val="none" w:sz="0" w:space="0" w:color="auto"/>
        <w:left w:val="none" w:sz="0" w:space="0" w:color="auto"/>
        <w:bottom w:val="none" w:sz="0" w:space="0" w:color="auto"/>
        <w:right w:val="none" w:sz="0" w:space="0" w:color="auto"/>
      </w:divBdr>
    </w:div>
    <w:div w:id="921066475">
      <w:marLeft w:val="0"/>
      <w:marRight w:val="0"/>
      <w:marTop w:val="0"/>
      <w:marBottom w:val="240"/>
      <w:divBdr>
        <w:top w:val="none" w:sz="0" w:space="0" w:color="auto"/>
        <w:left w:val="none" w:sz="0" w:space="0" w:color="auto"/>
        <w:bottom w:val="none" w:sz="0" w:space="0" w:color="auto"/>
        <w:right w:val="none" w:sz="0" w:space="0" w:color="auto"/>
      </w:divBdr>
    </w:div>
    <w:div w:id="922569526">
      <w:marLeft w:val="0"/>
      <w:marRight w:val="0"/>
      <w:marTop w:val="0"/>
      <w:marBottom w:val="240"/>
      <w:divBdr>
        <w:top w:val="none" w:sz="0" w:space="0" w:color="auto"/>
        <w:left w:val="none" w:sz="0" w:space="0" w:color="auto"/>
        <w:bottom w:val="none" w:sz="0" w:space="0" w:color="auto"/>
        <w:right w:val="none" w:sz="0" w:space="0" w:color="auto"/>
      </w:divBdr>
    </w:div>
    <w:div w:id="922639918">
      <w:marLeft w:val="0"/>
      <w:marRight w:val="0"/>
      <w:marTop w:val="0"/>
      <w:marBottom w:val="0"/>
      <w:divBdr>
        <w:top w:val="none" w:sz="0" w:space="0" w:color="auto"/>
        <w:left w:val="none" w:sz="0" w:space="0" w:color="auto"/>
        <w:bottom w:val="none" w:sz="0" w:space="0" w:color="auto"/>
        <w:right w:val="none" w:sz="0" w:space="0" w:color="auto"/>
      </w:divBdr>
      <w:divsChild>
        <w:div w:id="656736394">
          <w:marLeft w:val="0"/>
          <w:marRight w:val="0"/>
          <w:marTop w:val="0"/>
          <w:marBottom w:val="0"/>
          <w:divBdr>
            <w:top w:val="none" w:sz="0" w:space="0" w:color="auto"/>
            <w:left w:val="none" w:sz="0" w:space="0" w:color="auto"/>
            <w:bottom w:val="none" w:sz="0" w:space="0" w:color="auto"/>
            <w:right w:val="none" w:sz="0" w:space="0" w:color="auto"/>
          </w:divBdr>
        </w:div>
      </w:divsChild>
    </w:div>
    <w:div w:id="925454821">
      <w:marLeft w:val="0"/>
      <w:marRight w:val="0"/>
      <w:marTop w:val="0"/>
      <w:marBottom w:val="240"/>
      <w:divBdr>
        <w:top w:val="none" w:sz="0" w:space="0" w:color="auto"/>
        <w:left w:val="none" w:sz="0" w:space="0" w:color="auto"/>
        <w:bottom w:val="none" w:sz="0" w:space="0" w:color="auto"/>
        <w:right w:val="none" w:sz="0" w:space="0" w:color="auto"/>
      </w:divBdr>
    </w:div>
    <w:div w:id="927926966">
      <w:marLeft w:val="0"/>
      <w:marRight w:val="0"/>
      <w:marTop w:val="0"/>
      <w:marBottom w:val="0"/>
      <w:divBdr>
        <w:top w:val="none" w:sz="0" w:space="0" w:color="auto"/>
        <w:left w:val="none" w:sz="0" w:space="0" w:color="auto"/>
        <w:bottom w:val="none" w:sz="0" w:space="0" w:color="auto"/>
        <w:right w:val="none" w:sz="0" w:space="0" w:color="auto"/>
      </w:divBdr>
      <w:divsChild>
        <w:div w:id="269555231">
          <w:marLeft w:val="0"/>
          <w:marRight w:val="0"/>
          <w:marTop w:val="0"/>
          <w:marBottom w:val="0"/>
          <w:divBdr>
            <w:top w:val="none" w:sz="0" w:space="0" w:color="auto"/>
            <w:left w:val="none" w:sz="0" w:space="0" w:color="auto"/>
            <w:bottom w:val="none" w:sz="0" w:space="0" w:color="auto"/>
            <w:right w:val="none" w:sz="0" w:space="0" w:color="auto"/>
          </w:divBdr>
        </w:div>
      </w:divsChild>
    </w:div>
    <w:div w:id="932202070">
      <w:marLeft w:val="0"/>
      <w:marRight w:val="0"/>
      <w:marTop w:val="0"/>
      <w:marBottom w:val="0"/>
      <w:divBdr>
        <w:top w:val="none" w:sz="0" w:space="0" w:color="auto"/>
        <w:left w:val="none" w:sz="0" w:space="0" w:color="auto"/>
        <w:bottom w:val="none" w:sz="0" w:space="0" w:color="auto"/>
        <w:right w:val="none" w:sz="0" w:space="0" w:color="auto"/>
      </w:divBdr>
    </w:div>
    <w:div w:id="934556783">
      <w:marLeft w:val="0"/>
      <w:marRight w:val="0"/>
      <w:marTop w:val="40"/>
      <w:marBottom w:val="0"/>
      <w:divBdr>
        <w:top w:val="none" w:sz="0" w:space="0" w:color="auto"/>
        <w:left w:val="none" w:sz="0" w:space="0" w:color="auto"/>
        <w:bottom w:val="none" w:sz="0" w:space="0" w:color="auto"/>
        <w:right w:val="none" w:sz="0" w:space="0" w:color="auto"/>
      </w:divBdr>
    </w:div>
    <w:div w:id="935481556">
      <w:marLeft w:val="0"/>
      <w:marRight w:val="0"/>
      <w:marTop w:val="0"/>
      <w:marBottom w:val="0"/>
      <w:divBdr>
        <w:top w:val="none" w:sz="0" w:space="0" w:color="auto"/>
        <w:left w:val="none" w:sz="0" w:space="0" w:color="auto"/>
        <w:bottom w:val="none" w:sz="0" w:space="0" w:color="auto"/>
        <w:right w:val="none" w:sz="0" w:space="0" w:color="auto"/>
      </w:divBdr>
    </w:div>
    <w:div w:id="939989725">
      <w:marLeft w:val="0"/>
      <w:marRight w:val="0"/>
      <w:marTop w:val="0"/>
      <w:marBottom w:val="240"/>
      <w:divBdr>
        <w:top w:val="none" w:sz="0" w:space="0" w:color="auto"/>
        <w:left w:val="none" w:sz="0" w:space="0" w:color="auto"/>
        <w:bottom w:val="none" w:sz="0" w:space="0" w:color="auto"/>
        <w:right w:val="none" w:sz="0" w:space="0" w:color="auto"/>
      </w:divBdr>
    </w:div>
    <w:div w:id="947200806">
      <w:marLeft w:val="0"/>
      <w:marRight w:val="0"/>
      <w:marTop w:val="0"/>
      <w:marBottom w:val="0"/>
      <w:divBdr>
        <w:top w:val="none" w:sz="0" w:space="0" w:color="auto"/>
        <w:left w:val="none" w:sz="0" w:space="0" w:color="auto"/>
        <w:bottom w:val="none" w:sz="0" w:space="0" w:color="auto"/>
        <w:right w:val="none" w:sz="0" w:space="0" w:color="auto"/>
      </w:divBdr>
    </w:div>
    <w:div w:id="953055539">
      <w:marLeft w:val="0"/>
      <w:marRight w:val="0"/>
      <w:marTop w:val="0"/>
      <w:marBottom w:val="240"/>
      <w:divBdr>
        <w:top w:val="none" w:sz="0" w:space="0" w:color="auto"/>
        <w:left w:val="none" w:sz="0" w:space="0" w:color="auto"/>
        <w:bottom w:val="none" w:sz="0" w:space="0" w:color="auto"/>
        <w:right w:val="none" w:sz="0" w:space="0" w:color="auto"/>
      </w:divBdr>
    </w:div>
    <w:div w:id="958877508">
      <w:marLeft w:val="0"/>
      <w:marRight w:val="0"/>
      <w:marTop w:val="0"/>
      <w:marBottom w:val="240"/>
      <w:divBdr>
        <w:top w:val="none" w:sz="0" w:space="0" w:color="auto"/>
        <w:left w:val="none" w:sz="0" w:space="0" w:color="auto"/>
        <w:bottom w:val="none" w:sz="0" w:space="0" w:color="auto"/>
        <w:right w:val="none" w:sz="0" w:space="0" w:color="auto"/>
      </w:divBdr>
    </w:div>
    <w:div w:id="963076008">
      <w:marLeft w:val="0"/>
      <w:marRight w:val="0"/>
      <w:marTop w:val="120"/>
      <w:marBottom w:val="240"/>
      <w:divBdr>
        <w:top w:val="none" w:sz="0" w:space="0" w:color="auto"/>
        <w:left w:val="none" w:sz="0" w:space="0" w:color="auto"/>
        <w:bottom w:val="none" w:sz="0" w:space="0" w:color="auto"/>
        <w:right w:val="none" w:sz="0" w:space="0" w:color="auto"/>
      </w:divBdr>
    </w:div>
    <w:div w:id="967395680">
      <w:marLeft w:val="0"/>
      <w:marRight w:val="0"/>
      <w:marTop w:val="0"/>
      <w:marBottom w:val="240"/>
      <w:divBdr>
        <w:top w:val="none" w:sz="0" w:space="0" w:color="auto"/>
        <w:left w:val="none" w:sz="0" w:space="0" w:color="auto"/>
        <w:bottom w:val="none" w:sz="0" w:space="0" w:color="auto"/>
        <w:right w:val="none" w:sz="0" w:space="0" w:color="auto"/>
      </w:divBdr>
    </w:div>
    <w:div w:id="968588063">
      <w:marLeft w:val="0"/>
      <w:marRight w:val="0"/>
      <w:marTop w:val="240"/>
      <w:marBottom w:val="240"/>
      <w:divBdr>
        <w:top w:val="none" w:sz="0" w:space="0" w:color="auto"/>
        <w:left w:val="none" w:sz="0" w:space="0" w:color="auto"/>
        <w:bottom w:val="none" w:sz="0" w:space="0" w:color="auto"/>
        <w:right w:val="none" w:sz="0" w:space="0" w:color="auto"/>
      </w:divBdr>
    </w:div>
    <w:div w:id="971709292">
      <w:marLeft w:val="0"/>
      <w:marRight w:val="0"/>
      <w:marTop w:val="0"/>
      <w:marBottom w:val="240"/>
      <w:divBdr>
        <w:top w:val="none" w:sz="0" w:space="0" w:color="auto"/>
        <w:left w:val="none" w:sz="0" w:space="0" w:color="auto"/>
        <w:bottom w:val="none" w:sz="0" w:space="0" w:color="auto"/>
        <w:right w:val="none" w:sz="0" w:space="0" w:color="auto"/>
      </w:divBdr>
    </w:div>
    <w:div w:id="971714380">
      <w:marLeft w:val="0"/>
      <w:marRight w:val="0"/>
      <w:marTop w:val="0"/>
      <w:marBottom w:val="240"/>
      <w:divBdr>
        <w:top w:val="none" w:sz="0" w:space="0" w:color="auto"/>
        <w:left w:val="none" w:sz="0" w:space="0" w:color="auto"/>
        <w:bottom w:val="none" w:sz="0" w:space="0" w:color="auto"/>
        <w:right w:val="none" w:sz="0" w:space="0" w:color="auto"/>
      </w:divBdr>
    </w:div>
    <w:div w:id="974094026">
      <w:marLeft w:val="0"/>
      <w:marRight w:val="0"/>
      <w:marTop w:val="0"/>
      <w:marBottom w:val="240"/>
      <w:divBdr>
        <w:top w:val="none" w:sz="0" w:space="0" w:color="auto"/>
        <w:left w:val="none" w:sz="0" w:space="0" w:color="auto"/>
        <w:bottom w:val="none" w:sz="0" w:space="0" w:color="auto"/>
        <w:right w:val="none" w:sz="0" w:space="0" w:color="auto"/>
      </w:divBdr>
    </w:div>
    <w:div w:id="975110215">
      <w:marLeft w:val="0"/>
      <w:marRight w:val="0"/>
      <w:marTop w:val="0"/>
      <w:marBottom w:val="240"/>
      <w:divBdr>
        <w:top w:val="none" w:sz="0" w:space="0" w:color="auto"/>
        <w:left w:val="none" w:sz="0" w:space="0" w:color="auto"/>
        <w:bottom w:val="none" w:sz="0" w:space="0" w:color="auto"/>
        <w:right w:val="none" w:sz="0" w:space="0" w:color="auto"/>
      </w:divBdr>
    </w:div>
    <w:div w:id="978876878">
      <w:marLeft w:val="0"/>
      <w:marRight w:val="0"/>
      <w:marTop w:val="0"/>
      <w:marBottom w:val="0"/>
      <w:divBdr>
        <w:top w:val="none" w:sz="0" w:space="0" w:color="auto"/>
        <w:left w:val="none" w:sz="0" w:space="0" w:color="auto"/>
        <w:bottom w:val="none" w:sz="0" w:space="0" w:color="auto"/>
        <w:right w:val="none" w:sz="0" w:space="0" w:color="auto"/>
      </w:divBdr>
      <w:divsChild>
        <w:div w:id="927347490">
          <w:marLeft w:val="0"/>
          <w:marRight w:val="0"/>
          <w:marTop w:val="0"/>
          <w:marBottom w:val="0"/>
          <w:divBdr>
            <w:top w:val="none" w:sz="0" w:space="0" w:color="auto"/>
            <w:left w:val="none" w:sz="0" w:space="0" w:color="auto"/>
            <w:bottom w:val="none" w:sz="0" w:space="0" w:color="auto"/>
            <w:right w:val="none" w:sz="0" w:space="0" w:color="auto"/>
          </w:divBdr>
        </w:div>
      </w:divsChild>
    </w:div>
    <w:div w:id="985622866">
      <w:marLeft w:val="0"/>
      <w:marRight w:val="0"/>
      <w:marTop w:val="0"/>
      <w:marBottom w:val="240"/>
      <w:divBdr>
        <w:top w:val="none" w:sz="0" w:space="0" w:color="auto"/>
        <w:left w:val="none" w:sz="0" w:space="0" w:color="auto"/>
        <w:bottom w:val="none" w:sz="0" w:space="0" w:color="auto"/>
        <w:right w:val="none" w:sz="0" w:space="0" w:color="auto"/>
      </w:divBdr>
    </w:div>
    <w:div w:id="999842827">
      <w:marLeft w:val="0"/>
      <w:marRight w:val="0"/>
      <w:marTop w:val="0"/>
      <w:marBottom w:val="120"/>
      <w:divBdr>
        <w:top w:val="none" w:sz="0" w:space="0" w:color="auto"/>
        <w:left w:val="none" w:sz="0" w:space="0" w:color="auto"/>
        <w:bottom w:val="none" w:sz="0" w:space="0" w:color="auto"/>
        <w:right w:val="none" w:sz="0" w:space="0" w:color="auto"/>
      </w:divBdr>
    </w:div>
    <w:div w:id="1000233155">
      <w:marLeft w:val="0"/>
      <w:marRight w:val="0"/>
      <w:marTop w:val="0"/>
      <w:marBottom w:val="0"/>
      <w:divBdr>
        <w:top w:val="none" w:sz="0" w:space="0" w:color="auto"/>
        <w:left w:val="none" w:sz="0" w:space="0" w:color="auto"/>
        <w:bottom w:val="none" w:sz="0" w:space="0" w:color="auto"/>
        <w:right w:val="none" w:sz="0" w:space="0" w:color="auto"/>
      </w:divBdr>
      <w:divsChild>
        <w:div w:id="969937239">
          <w:marLeft w:val="0"/>
          <w:marRight w:val="0"/>
          <w:marTop w:val="0"/>
          <w:marBottom w:val="0"/>
          <w:divBdr>
            <w:top w:val="none" w:sz="0" w:space="0" w:color="auto"/>
            <w:left w:val="none" w:sz="0" w:space="0" w:color="auto"/>
            <w:bottom w:val="none" w:sz="0" w:space="0" w:color="auto"/>
            <w:right w:val="none" w:sz="0" w:space="0" w:color="auto"/>
          </w:divBdr>
        </w:div>
      </w:divsChild>
    </w:div>
    <w:div w:id="1003777751">
      <w:marLeft w:val="0"/>
      <w:marRight w:val="0"/>
      <w:marTop w:val="0"/>
      <w:marBottom w:val="0"/>
      <w:divBdr>
        <w:top w:val="none" w:sz="0" w:space="0" w:color="auto"/>
        <w:left w:val="none" w:sz="0" w:space="0" w:color="auto"/>
        <w:bottom w:val="none" w:sz="0" w:space="0" w:color="auto"/>
        <w:right w:val="none" w:sz="0" w:space="0" w:color="auto"/>
      </w:divBdr>
    </w:div>
    <w:div w:id="1006446549">
      <w:marLeft w:val="0"/>
      <w:marRight w:val="0"/>
      <w:marTop w:val="0"/>
      <w:marBottom w:val="0"/>
      <w:divBdr>
        <w:top w:val="none" w:sz="0" w:space="0" w:color="auto"/>
        <w:left w:val="none" w:sz="0" w:space="0" w:color="auto"/>
        <w:bottom w:val="none" w:sz="0" w:space="0" w:color="auto"/>
        <w:right w:val="none" w:sz="0" w:space="0" w:color="auto"/>
      </w:divBdr>
    </w:div>
    <w:div w:id="1012218455">
      <w:marLeft w:val="0"/>
      <w:marRight w:val="0"/>
      <w:marTop w:val="0"/>
      <w:marBottom w:val="0"/>
      <w:divBdr>
        <w:top w:val="none" w:sz="0" w:space="0" w:color="auto"/>
        <w:left w:val="none" w:sz="0" w:space="0" w:color="auto"/>
        <w:bottom w:val="none" w:sz="0" w:space="0" w:color="auto"/>
        <w:right w:val="none" w:sz="0" w:space="0" w:color="auto"/>
      </w:divBdr>
      <w:divsChild>
        <w:div w:id="1079249252">
          <w:marLeft w:val="0"/>
          <w:marRight w:val="0"/>
          <w:marTop w:val="0"/>
          <w:marBottom w:val="0"/>
          <w:divBdr>
            <w:top w:val="none" w:sz="0" w:space="0" w:color="auto"/>
            <w:left w:val="none" w:sz="0" w:space="0" w:color="auto"/>
            <w:bottom w:val="none" w:sz="0" w:space="0" w:color="auto"/>
            <w:right w:val="none" w:sz="0" w:space="0" w:color="auto"/>
          </w:divBdr>
        </w:div>
      </w:divsChild>
    </w:div>
    <w:div w:id="1012340293">
      <w:marLeft w:val="0"/>
      <w:marRight w:val="0"/>
      <w:marTop w:val="0"/>
      <w:marBottom w:val="240"/>
      <w:divBdr>
        <w:top w:val="none" w:sz="0" w:space="0" w:color="auto"/>
        <w:left w:val="none" w:sz="0" w:space="0" w:color="auto"/>
        <w:bottom w:val="none" w:sz="0" w:space="0" w:color="auto"/>
        <w:right w:val="none" w:sz="0" w:space="0" w:color="auto"/>
      </w:divBdr>
    </w:div>
    <w:div w:id="1015350089">
      <w:marLeft w:val="0"/>
      <w:marRight w:val="0"/>
      <w:marTop w:val="0"/>
      <w:marBottom w:val="0"/>
      <w:divBdr>
        <w:top w:val="none" w:sz="0" w:space="0" w:color="auto"/>
        <w:left w:val="none" w:sz="0" w:space="0" w:color="auto"/>
        <w:bottom w:val="none" w:sz="0" w:space="0" w:color="auto"/>
        <w:right w:val="none" w:sz="0" w:space="0" w:color="auto"/>
      </w:divBdr>
    </w:div>
    <w:div w:id="1019740285">
      <w:marLeft w:val="0"/>
      <w:marRight w:val="0"/>
      <w:marTop w:val="0"/>
      <w:marBottom w:val="0"/>
      <w:divBdr>
        <w:top w:val="none" w:sz="0" w:space="0" w:color="auto"/>
        <w:left w:val="none" w:sz="0" w:space="0" w:color="auto"/>
        <w:bottom w:val="none" w:sz="0" w:space="0" w:color="auto"/>
        <w:right w:val="none" w:sz="0" w:space="0" w:color="auto"/>
      </w:divBdr>
      <w:divsChild>
        <w:div w:id="1810321185">
          <w:marLeft w:val="0"/>
          <w:marRight w:val="0"/>
          <w:marTop w:val="0"/>
          <w:marBottom w:val="0"/>
          <w:divBdr>
            <w:top w:val="none" w:sz="0" w:space="0" w:color="auto"/>
            <w:left w:val="none" w:sz="0" w:space="0" w:color="auto"/>
            <w:bottom w:val="none" w:sz="0" w:space="0" w:color="auto"/>
            <w:right w:val="none" w:sz="0" w:space="0" w:color="auto"/>
          </w:divBdr>
        </w:div>
      </w:divsChild>
    </w:div>
    <w:div w:id="1019891166">
      <w:marLeft w:val="0"/>
      <w:marRight w:val="0"/>
      <w:marTop w:val="0"/>
      <w:marBottom w:val="240"/>
      <w:divBdr>
        <w:top w:val="none" w:sz="0" w:space="0" w:color="auto"/>
        <w:left w:val="none" w:sz="0" w:space="0" w:color="auto"/>
        <w:bottom w:val="none" w:sz="0" w:space="0" w:color="auto"/>
        <w:right w:val="none" w:sz="0" w:space="0" w:color="auto"/>
      </w:divBdr>
    </w:div>
    <w:div w:id="1021470374">
      <w:marLeft w:val="0"/>
      <w:marRight w:val="0"/>
      <w:marTop w:val="0"/>
      <w:marBottom w:val="0"/>
      <w:divBdr>
        <w:top w:val="none" w:sz="0" w:space="0" w:color="auto"/>
        <w:left w:val="none" w:sz="0" w:space="0" w:color="auto"/>
        <w:bottom w:val="none" w:sz="0" w:space="0" w:color="auto"/>
        <w:right w:val="none" w:sz="0" w:space="0" w:color="auto"/>
      </w:divBdr>
    </w:div>
    <w:div w:id="1023437274">
      <w:marLeft w:val="0"/>
      <w:marRight w:val="0"/>
      <w:marTop w:val="0"/>
      <w:marBottom w:val="240"/>
      <w:divBdr>
        <w:top w:val="none" w:sz="0" w:space="0" w:color="auto"/>
        <w:left w:val="none" w:sz="0" w:space="0" w:color="auto"/>
        <w:bottom w:val="none" w:sz="0" w:space="0" w:color="auto"/>
        <w:right w:val="none" w:sz="0" w:space="0" w:color="auto"/>
      </w:divBdr>
    </w:div>
    <w:div w:id="1026449105">
      <w:marLeft w:val="0"/>
      <w:marRight w:val="0"/>
      <w:marTop w:val="0"/>
      <w:marBottom w:val="0"/>
      <w:divBdr>
        <w:top w:val="none" w:sz="0" w:space="0" w:color="auto"/>
        <w:left w:val="none" w:sz="0" w:space="0" w:color="auto"/>
        <w:bottom w:val="none" w:sz="0" w:space="0" w:color="auto"/>
        <w:right w:val="none" w:sz="0" w:space="0" w:color="auto"/>
      </w:divBdr>
    </w:div>
    <w:div w:id="1027562119">
      <w:marLeft w:val="0"/>
      <w:marRight w:val="0"/>
      <w:marTop w:val="0"/>
      <w:marBottom w:val="0"/>
      <w:divBdr>
        <w:top w:val="none" w:sz="0" w:space="0" w:color="auto"/>
        <w:left w:val="none" w:sz="0" w:space="0" w:color="auto"/>
        <w:bottom w:val="none" w:sz="0" w:space="0" w:color="auto"/>
        <w:right w:val="none" w:sz="0" w:space="0" w:color="auto"/>
      </w:divBdr>
    </w:div>
    <w:div w:id="1030687003">
      <w:marLeft w:val="0"/>
      <w:marRight w:val="0"/>
      <w:marTop w:val="0"/>
      <w:marBottom w:val="0"/>
      <w:divBdr>
        <w:top w:val="none" w:sz="0" w:space="0" w:color="auto"/>
        <w:left w:val="none" w:sz="0" w:space="0" w:color="auto"/>
        <w:bottom w:val="none" w:sz="0" w:space="0" w:color="auto"/>
        <w:right w:val="none" w:sz="0" w:space="0" w:color="auto"/>
      </w:divBdr>
      <w:divsChild>
        <w:div w:id="1478230815">
          <w:marLeft w:val="0"/>
          <w:marRight w:val="0"/>
          <w:marTop w:val="0"/>
          <w:marBottom w:val="0"/>
          <w:divBdr>
            <w:top w:val="none" w:sz="0" w:space="0" w:color="auto"/>
            <w:left w:val="none" w:sz="0" w:space="0" w:color="auto"/>
            <w:bottom w:val="none" w:sz="0" w:space="0" w:color="auto"/>
            <w:right w:val="none" w:sz="0" w:space="0" w:color="auto"/>
          </w:divBdr>
        </w:div>
      </w:divsChild>
    </w:div>
    <w:div w:id="1032146829">
      <w:marLeft w:val="0"/>
      <w:marRight w:val="0"/>
      <w:marTop w:val="0"/>
      <w:marBottom w:val="240"/>
      <w:divBdr>
        <w:top w:val="none" w:sz="0" w:space="0" w:color="auto"/>
        <w:left w:val="none" w:sz="0" w:space="0" w:color="auto"/>
        <w:bottom w:val="none" w:sz="0" w:space="0" w:color="auto"/>
        <w:right w:val="none" w:sz="0" w:space="0" w:color="auto"/>
      </w:divBdr>
    </w:div>
    <w:div w:id="1034581585">
      <w:marLeft w:val="0"/>
      <w:marRight w:val="0"/>
      <w:marTop w:val="0"/>
      <w:marBottom w:val="240"/>
      <w:divBdr>
        <w:top w:val="none" w:sz="0" w:space="0" w:color="auto"/>
        <w:left w:val="none" w:sz="0" w:space="0" w:color="auto"/>
        <w:bottom w:val="none" w:sz="0" w:space="0" w:color="auto"/>
        <w:right w:val="none" w:sz="0" w:space="0" w:color="auto"/>
      </w:divBdr>
    </w:div>
    <w:div w:id="1034623798">
      <w:marLeft w:val="0"/>
      <w:marRight w:val="0"/>
      <w:marTop w:val="0"/>
      <w:marBottom w:val="0"/>
      <w:divBdr>
        <w:top w:val="none" w:sz="0" w:space="0" w:color="auto"/>
        <w:left w:val="none" w:sz="0" w:space="0" w:color="auto"/>
        <w:bottom w:val="none" w:sz="0" w:space="0" w:color="auto"/>
        <w:right w:val="none" w:sz="0" w:space="0" w:color="auto"/>
      </w:divBdr>
    </w:div>
    <w:div w:id="1039933323">
      <w:marLeft w:val="0"/>
      <w:marRight w:val="0"/>
      <w:marTop w:val="240"/>
      <w:marBottom w:val="240"/>
      <w:divBdr>
        <w:top w:val="none" w:sz="0" w:space="0" w:color="auto"/>
        <w:left w:val="none" w:sz="0" w:space="0" w:color="auto"/>
        <w:bottom w:val="none" w:sz="0" w:space="0" w:color="auto"/>
        <w:right w:val="none" w:sz="0" w:space="0" w:color="auto"/>
      </w:divBdr>
    </w:div>
    <w:div w:id="1041712767">
      <w:marLeft w:val="0"/>
      <w:marRight w:val="0"/>
      <w:marTop w:val="0"/>
      <w:marBottom w:val="0"/>
      <w:divBdr>
        <w:top w:val="none" w:sz="0" w:space="0" w:color="auto"/>
        <w:left w:val="none" w:sz="0" w:space="0" w:color="auto"/>
        <w:bottom w:val="none" w:sz="0" w:space="0" w:color="auto"/>
        <w:right w:val="none" w:sz="0" w:space="0" w:color="auto"/>
      </w:divBdr>
      <w:divsChild>
        <w:div w:id="96024324">
          <w:marLeft w:val="0"/>
          <w:marRight w:val="0"/>
          <w:marTop w:val="0"/>
          <w:marBottom w:val="0"/>
          <w:divBdr>
            <w:top w:val="none" w:sz="0" w:space="0" w:color="auto"/>
            <w:left w:val="none" w:sz="0" w:space="0" w:color="auto"/>
            <w:bottom w:val="none" w:sz="0" w:space="0" w:color="auto"/>
            <w:right w:val="none" w:sz="0" w:space="0" w:color="auto"/>
          </w:divBdr>
        </w:div>
      </w:divsChild>
    </w:div>
    <w:div w:id="1042830180">
      <w:marLeft w:val="0"/>
      <w:marRight w:val="0"/>
      <w:marTop w:val="0"/>
      <w:marBottom w:val="240"/>
      <w:divBdr>
        <w:top w:val="none" w:sz="0" w:space="0" w:color="auto"/>
        <w:left w:val="none" w:sz="0" w:space="0" w:color="auto"/>
        <w:bottom w:val="none" w:sz="0" w:space="0" w:color="auto"/>
        <w:right w:val="none" w:sz="0" w:space="0" w:color="auto"/>
      </w:divBdr>
    </w:div>
    <w:div w:id="1048141731">
      <w:marLeft w:val="0"/>
      <w:marRight w:val="0"/>
      <w:marTop w:val="240"/>
      <w:marBottom w:val="120"/>
      <w:divBdr>
        <w:top w:val="none" w:sz="0" w:space="0" w:color="auto"/>
        <w:left w:val="none" w:sz="0" w:space="0" w:color="auto"/>
        <w:bottom w:val="none" w:sz="0" w:space="0" w:color="auto"/>
        <w:right w:val="none" w:sz="0" w:space="0" w:color="auto"/>
      </w:divBdr>
    </w:div>
    <w:div w:id="1048340218">
      <w:marLeft w:val="0"/>
      <w:marRight w:val="0"/>
      <w:marTop w:val="0"/>
      <w:marBottom w:val="240"/>
      <w:divBdr>
        <w:top w:val="none" w:sz="0" w:space="0" w:color="auto"/>
        <w:left w:val="none" w:sz="0" w:space="0" w:color="auto"/>
        <w:bottom w:val="none" w:sz="0" w:space="0" w:color="auto"/>
        <w:right w:val="none" w:sz="0" w:space="0" w:color="auto"/>
      </w:divBdr>
    </w:div>
    <w:div w:id="1057899479">
      <w:marLeft w:val="0"/>
      <w:marRight w:val="0"/>
      <w:marTop w:val="0"/>
      <w:marBottom w:val="0"/>
      <w:divBdr>
        <w:top w:val="none" w:sz="0" w:space="0" w:color="auto"/>
        <w:left w:val="none" w:sz="0" w:space="0" w:color="auto"/>
        <w:bottom w:val="none" w:sz="0" w:space="0" w:color="auto"/>
        <w:right w:val="none" w:sz="0" w:space="0" w:color="auto"/>
      </w:divBdr>
      <w:divsChild>
        <w:div w:id="1991056534">
          <w:marLeft w:val="0"/>
          <w:marRight w:val="0"/>
          <w:marTop w:val="0"/>
          <w:marBottom w:val="0"/>
          <w:divBdr>
            <w:top w:val="none" w:sz="0" w:space="0" w:color="auto"/>
            <w:left w:val="none" w:sz="0" w:space="0" w:color="auto"/>
            <w:bottom w:val="none" w:sz="0" w:space="0" w:color="auto"/>
            <w:right w:val="none" w:sz="0" w:space="0" w:color="auto"/>
          </w:divBdr>
        </w:div>
      </w:divsChild>
    </w:div>
    <w:div w:id="1063141750">
      <w:marLeft w:val="0"/>
      <w:marRight w:val="0"/>
      <w:marTop w:val="0"/>
      <w:marBottom w:val="0"/>
      <w:divBdr>
        <w:top w:val="none" w:sz="0" w:space="0" w:color="auto"/>
        <w:left w:val="none" w:sz="0" w:space="0" w:color="auto"/>
        <w:bottom w:val="none" w:sz="0" w:space="0" w:color="auto"/>
        <w:right w:val="none" w:sz="0" w:space="0" w:color="auto"/>
      </w:divBdr>
    </w:div>
    <w:div w:id="1063992356">
      <w:marLeft w:val="0"/>
      <w:marRight w:val="0"/>
      <w:marTop w:val="0"/>
      <w:marBottom w:val="0"/>
      <w:divBdr>
        <w:top w:val="none" w:sz="0" w:space="0" w:color="auto"/>
        <w:left w:val="none" w:sz="0" w:space="0" w:color="auto"/>
        <w:bottom w:val="none" w:sz="0" w:space="0" w:color="auto"/>
        <w:right w:val="none" w:sz="0" w:space="0" w:color="auto"/>
      </w:divBdr>
      <w:divsChild>
        <w:div w:id="1007053870">
          <w:marLeft w:val="0"/>
          <w:marRight w:val="0"/>
          <w:marTop w:val="0"/>
          <w:marBottom w:val="0"/>
          <w:divBdr>
            <w:top w:val="none" w:sz="0" w:space="0" w:color="auto"/>
            <w:left w:val="none" w:sz="0" w:space="0" w:color="auto"/>
            <w:bottom w:val="none" w:sz="0" w:space="0" w:color="auto"/>
            <w:right w:val="none" w:sz="0" w:space="0" w:color="auto"/>
          </w:divBdr>
        </w:div>
      </w:divsChild>
    </w:div>
    <w:div w:id="1069692116">
      <w:marLeft w:val="0"/>
      <w:marRight w:val="0"/>
      <w:marTop w:val="0"/>
      <w:marBottom w:val="240"/>
      <w:divBdr>
        <w:top w:val="none" w:sz="0" w:space="0" w:color="auto"/>
        <w:left w:val="none" w:sz="0" w:space="0" w:color="auto"/>
        <w:bottom w:val="none" w:sz="0" w:space="0" w:color="auto"/>
        <w:right w:val="none" w:sz="0" w:space="0" w:color="auto"/>
      </w:divBdr>
    </w:div>
    <w:div w:id="1072966570">
      <w:marLeft w:val="0"/>
      <w:marRight w:val="0"/>
      <w:marTop w:val="0"/>
      <w:marBottom w:val="240"/>
      <w:divBdr>
        <w:top w:val="none" w:sz="0" w:space="0" w:color="auto"/>
        <w:left w:val="none" w:sz="0" w:space="0" w:color="auto"/>
        <w:bottom w:val="none" w:sz="0" w:space="0" w:color="auto"/>
        <w:right w:val="none" w:sz="0" w:space="0" w:color="auto"/>
      </w:divBdr>
    </w:div>
    <w:div w:id="1073547051">
      <w:marLeft w:val="0"/>
      <w:marRight w:val="0"/>
      <w:marTop w:val="0"/>
      <w:marBottom w:val="120"/>
      <w:divBdr>
        <w:top w:val="none" w:sz="0" w:space="0" w:color="auto"/>
        <w:left w:val="none" w:sz="0" w:space="0" w:color="auto"/>
        <w:bottom w:val="none" w:sz="0" w:space="0" w:color="auto"/>
        <w:right w:val="none" w:sz="0" w:space="0" w:color="auto"/>
      </w:divBdr>
    </w:div>
    <w:div w:id="1080951887">
      <w:marLeft w:val="0"/>
      <w:marRight w:val="0"/>
      <w:marTop w:val="0"/>
      <w:marBottom w:val="240"/>
      <w:divBdr>
        <w:top w:val="none" w:sz="0" w:space="0" w:color="auto"/>
        <w:left w:val="none" w:sz="0" w:space="0" w:color="auto"/>
        <w:bottom w:val="none" w:sz="0" w:space="0" w:color="auto"/>
        <w:right w:val="none" w:sz="0" w:space="0" w:color="auto"/>
      </w:divBdr>
    </w:div>
    <w:div w:id="1083524208">
      <w:marLeft w:val="0"/>
      <w:marRight w:val="0"/>
      <w:marTop w:val="0"/>
      <w:marBottom w:val="0"/>
      <w:divBdr>
        <w:top w:val="none" w:sz="0" w:space="0" w:color="auto"/>
        <w:left w:val="none" w:sz="0" w:space="0" w:color="auto"/>
        <w:bottom w:val="none" w:sz="0" w:space="0" w:color="auto"/>
        <w:right w:val="none" w:sz="0" w:space="0" w:color="auto"/>
      </w:divBdr>
      <w:divsChild>
        <w:div w:id="1224095883">
          <w:marLeft w:val="0"/>
          <w:marRight w:val="0"/>
          <w:marTop w:val="0"/>
          <w:marBottom w:val="0"/>
          <w:divBdr>
            <w:top w:val="none" w:sz="0" w:space="0" w:color="auto"/>
            <w:left w:val="none" w:sz="0" w:space="0" w:color="auto"/>
            <w:bottom w:val="none" w:sz="0" w:space="0" w:color="auto"/>
            <w:right w:val="none" w:sz="0" w:space="0" w:color="auto"/>
          </w:divBdr>
        </w:div>
      </w:divsChild>
    </w:div>
    <w:div w:id="1088238332">
      <w:marLeft w:val="0"/>
      <w:marRight w:val="0"/>
      <w:marTop w:val="0"/>
      <w:marBottom w:val="0"/>
      <w:divBdr>
        <w:top w:val="none" w:sz="0" w:space="0" w:color="auto"/>
        <w:left w:val="none" w:sz="0" w:space="0" w:color="auto"/>
        <w:bottom w:val="none" w:sz="0" w:space="0" w:color="auto"/>
        <w:right w:val="none" w:sz="0" w:space="0" w:color="auto"/>
      </w:divBdr>
    </w:div>
    <w:div w:id="1090196562">
      <w:marLeft w:val="0"/>
      <w:marRight w:val="0"/>
      <w:marTop w:val="0"/>
      <w:marBottom w:val="240"/>
      <w:divBdr>
        <w:top w:val="none" w:sz="0" w:space="0" w:color="auto"/>
        <w:left w:val="none" w:sz="0" w:space="0" w:color="auto"/>
        <w:bottom w:val="none" w:sz="0" w:space="0" w:color="auto"/>
        <w:right w:val="none" w:sz="0" w:space="0" w:color="auto"/>
      </w:divBdr>
    </w:div>
    <w:div w:id="1097285158">
      <w:marLeft w:val="0"/>
      <w:marRight w:val="0"/>
      <w:marTop w:val="240"/>
      <w:marBottom w:val="240"/>
      <w:divBdr>
        <w:top w:val="none" w:sz="0" w:space="0" w:color="auto"/>
        <w:left w:val="none" w:sz="0" w:space="0" w:color="auto"/>
        <w:bottom w:val="none" w:sz="0" w:space="0" w:color="auto"/>
        <w:right w:val="none" w:sz="0" w:space="0" w:color="auto"/>
      </w:divBdr>
    </w:div>
    <w:div w:id="1098602728">
      <w:marLeft w:val="0"/>
      <w:marRight w:val="0"/>
      <w:marTop w:val="0"/>
      <w:marBottom w:val="240"/>
      <w:divBdr>
        <w:top w:val="none" w:sz="0" w:space="0" w:color="auto"/>
        <w:left w:val="none" w:sz="0" w:space="0" w:color="auto"/>
        <w:bottom w:val="none" w:sz="0" w:space="0" w:color="auto"/>
        <w:right w:val="none" w:sz="0" w:space="0" w:color="auto"/>
      </w:divBdr>
    </w:div>
    <w:div w:id="1100612471">
      <w:marLeft w:val="0"/>
      <w:marRight w:val="0"/>
      <w:marTop w:val="0"/>
      <w:marBottom w:val="0"/>
      <w:divBdr>
        <w:top w:val="none" w:sz="0" w:space="0" w:color="auto"/>
        <w:left w:val="none" w:sz="0" w:space="0" w:color="auto"/>
        <w:bottom w:val="none" w:sz="0" w:space="0" w:color="auto"/>
        <w:right w:val="none" w:sz="0" w:space="0" w:color="auto"/>
      </w:divBdr>
    </w:div>
    <w:div w:id="1105269752">
      <w:marLeft w:val="0"/>
      <w:marRight w:val="0"/>
      <w:marTop w:val="0"/>
      <w:marBottom w:val="240"/>
      <w:divBdr>
        <w:top w:val="none" w:sz="0" w:space="0" w:color="auto"/>
        <w:left w:val="none" w:sz="0" w:space="0" w:color="auto"/>
        <w:bottom w:val="none" w:sz="0" w:space="0" w:color="auto"/>
        <w:right w:val="none" w:sz="0" w:space="0" w:color="auto"/>
      </w:divBdr>
    </w:div>
    <w:div w:id="1105535860">
      <w:marLeft w:val="0"/>
      <w:marRight w:val="0"/>
      <w:marTop w:val="0"/>
      <w:marBottom w:val="0"/>
      <w:divBdr>
        <w:top w:val="none" w:sz="0" w:space="0" w:color="auto"/>
        <w:left w:val="none" w:sz="0" w:space="0" w:color="auto"/>
        <w:bottom w:val="none" w:sz="0" w:space="0" w:color="auto"/>
        <w:right w:val="none" w:sz="0" w:space="0" w:color="auto"/>
      </w:divBdr>
      <w:divsChild>
        <w:div w:id="1599366313">
          <w:marLeft w:val="0"/>
          <w:marRight w:val="0"/>
          <w:marTop w:val="0"/>
          <w:marBottom w:val="0"/>
          <w:divBdr>
            <w:top w:val="none" w:sz="0" w:space="0" w:color="auto"/>
            <w:left w:val="none" w:sz="0" w:space="0" w:color="auto"/>
            <w:bottom w:val="none" w:sz="0" w:space="0" w:color="auto"/>
            <w:right w:val="none" w:sz="0" w:space="0" w:color="auto"/>
          </w:divBdr>
        </w:div>
      </w:divsChild>
    </w:div>
    <w:div w:id="1112240200">
      <w:marLeft w:val="0"/>
      <w:marRight w:val="0"/>
      <w:marTop w:val="0"/>
      <w:marBottom w:val="0"/>
      <w:divBdr>
        <w:top w:val="none" w:sz="0" w:space="0" w:color="auto"/>
        <w:left w:val="none" w:sz="0" w:space="0" w:color="auto"/>
        <w:bottom w:val="none" w:sz="0" w:space="0" w:color="auto"/>
        <w:right w:val="none" w:sz="0" w:space="0" w:color="auto"/>
      </w:divBdr>
    </w:div>
    <w:div w:id="1113401995">
      <w:marLeft w:val="0"/>
      <w:marRight w:val="0"/>
      <w:marTop w:val="0"/>
      <w:marBottom w:val="0"/>
      <w:divBdr>
        <w:top w:val="none" w:sz="0" w:space="0" w:color="auto"/>
        <w:left w:val="none" w:sz="0" w:space="0" w:color="auto"/>
        <w:bottom w:val="none" w:sz="0" w:space="0" w:color="auto"/>
        <w:right w:val="none" w:sz="0" w:space="0" w:color="auto"/>
      </w:divBdr>
    </w:div>
    <w:div w:id="1113478637">
      <w:marLeft w:val="0"/>
      <w:marRight w:val="0"/>
      <w:marTop w:val="0"/>
      <w:marBottom w:val="240"/>
      <w:divBdr>
        <w:top w:val="none" w:sz="0" w:space="0" w:color="auto"/>
        <w:left w:val="none" w:sz="0" w:space="0" w:color="auto"/>
        <w:bottom w:val="none" w:sz="0" w:space="0" w:color="auto"/>
        <w:right w:val="none" w:sz="0" w:space="0" w:color="auto"/>
      </w:divBdr>
    </w:div>
    <w:div w:id="1113591395">
      <w:marLeft w:val="0"/>
      <w:marRight w:val="0"/>
      <w:marTop w:val="0"/>
      <w:marBottom w:val="0"/>
      <w:divBdr>
        <w:top w:val="none" w:sz="0" w:space="0" w:color="auto"/>
        <w:left w:val="none" w:sz="0" w:space="0" w:color="auto"/>
        <w:bottom w:val="none" w:sz="0" w:space="0" w:color="auto"/>
        <w:right w:val="none" w:sz="0" w:space="0" w:color="auto"/>
      </w:divBdr>
      <w:divsChild>
        <w:div w:id="903687840">
          <w:marLeft w:val="0"/>
          <w:marRight w:val="0"/>
          <w:marTop w:val="0"/>
          <w:marBottom w:val="0"/>
          <w:divBdr>
            <w:top w:val="none" w:sz="0" w:space="0" w:color="auto"/>
            <w:left w:val="none" w:sz="0" w:space="0" w:color="auto"/>
            <w:bottom w:val="none" w:sz="0" w:space="0" w:color="auto"/>
            <w:right w:val="none" w:sz="0" w:space="0" w:color="auto"/>
          </w:divBdr>
        </w:div>
      </w:divsChild>
    </w:div>
    <w:div w:id="1122530268">
      <w:marLeft w:val="0"/>
      <w:marRight w:val="0"/>
      <w:marTop w:val="0"/>
      <w:marBottom w:val="0"/>
      <w:divBdr>
        <w:top w:val="none" w:sz="0" w:space="0" w:color="auto"/>
        <w:left w:val="none" w:sz="0" w:space="0" w:color="auto"/>
        <w:bottom w:val="none" w:sz="0" w:space="0" w:color="auto"/>
        <w:right w:val="none" w:sz="0" w:space="0" w:color="auto"/>
      </w:divBdr>
      <w:divsChild>
        <w:div w:id="683674556">
          <w:marLeft w:val="0"/>
          <w:marRight w:val="0"/>
          <w:marTop w:val="0"/>
          <w:marBottom w:val="0"/>
          <w:divBdr>
            <w:top w:val="none" w:sz="0" w:space="0" w:color="auto"/>
            <w:left w:val="none" w:sz="0" w:space="0" w:color="auto"/>
            <w:bottom w:val="none" w:sz="0" w:space="0" w:color="auto"/>
            <w:right w:val="none" w:sz="0" w:space="0" w:color="auto"/>
          </w:divBdr>
        </w:div>
      </w:divsChild>
    </w:div>
    <w:div w:id="1134759323">
      <w:marLeft w:val="0"/>
      <w:marRight w:val="0"/>
      <w:marTop w:val="0"/>
      <w:marBottom w:val="240"/>
      <w:divBdr>
        <w:top w:val="none" w:sz="0" w:space="0" w:color="auto"/>
        <w:left w:val="none" w:sz="0" w:space="0" w:color="auto"/>
        <w:bottom w:val="none" w:sz="0" w:space="0" w:color="auto"/>
        <w:right w:val="none" w:sz="0" w:space="0" w:color="auto"/>
      </w:divBdr>
    </w:div>
    <w:div w:id="1136067861">
      <w:marLeft w:val="0"/>
      <w:marRight w:val="0"/>
      <w:marTop w:val="0"/>
      <w:marBottom w:val="240"/>
      <w:divBdr>
        <w:top w:val="none" w:sz="0" w:space="0" w:color="auto"/>
        <w:left w:val="none" w:sz="0" w:space="0" w:color="auto"/>
        <w:bottom w:val="none" w:sz="0" w:space="0" w:color="auto"/>
        <w:right w:val="none" w:sz="0" w:space="0" w:color="auto"/>
      </w:divBdr>
    </w:div>
    <w:div w:id="1137409338">
      <w:marLeft w:val="0"/>
      <w:marRight w:val="0"/>
      <w:marTop w:val="20"/>
      <w:marBottom w:val="20"/>
      <w:divBdr>
        <w:top w:val="none" w:sz="0" w:space="0" w:color="auto"/>
        <w:left w:val="none" w:sz="0" w:space="0" w:color="auto"/>
        <w:bottom w:val="none" w:sz="0" w:space="0" w:color="auto"/>
        <w:right w:val="none" w:sz="0" w:space="0" w:color="auto"/>
      </w:divBdr>
    </w:div>
    <w:div w:id="1138377755">
      <w:marLeft w:val="0"/>
      <w:marRight w:val="0"/>
      <w:marTop w:val="240"/>
      <w:marBottom w:val="240"/>
      <w:divBdr>
        <w:top w:val="none" w:sz="0" w:space="0" w:color="auto"/>
        <w:left w:val="none" w:sz="0" w:space="0" w:color="auto"/>
        <w:bottom w:val="none" w:sz="0" w:space="0" w:color="auto"/>
        <w:right w:val="none" w:sz="0" w:space="0" w:color="auto"/>
      </w:divBdr>
    </w:div>
    <w:div w:id="1154640670">
      <w:marLeft w:val="0"/>
      <w:marRight w:val="0"/>
      <w:marTop w:val="60"/>
      <w:marBottom w:val="240"/>
      <w:divBdr>
        <w:top w:val="none" w:sz="0" w:space="0" w:color="auto"/>
        <w:left w:val="none" w:sz="0" w:space="0" w:color="auto"/>
        <w:bottom w:val="none" w:sz="0" w:space="0" w:color="auto"/>
        <w:right w:val="none" w:sz="0" w:space="0" w:color="auto"/>
      </w:divBdr>
    </w:div>
    <w:div w:id="1164541843">
      <w:marLeft w:val="0"/>
      <w:marRight w:val="0"/>
      <w:marTop w:val="0"/>
      <w:marBottom w:val="0"/>
      <w:divBdr>
        <w:top w:val="none" w:sz="0" w:space="0" w:color="auto"/>
        <w:left w:val="none" w:sz="0" w:space="0" w:color="auto"/>
        <w:bottom w:val="none" w:sz="0" w:space="0" w:color="auto"/>
        <w:right w:val="none" w:sz="0" w:space="0" w:color="auto"/>
      </w:divBdr>
    </w:div>
    <w:div w:id="1166939253">
      <w:marLeft w:val="0"/>
      <w:marRight w:val="0"/>
      <w:marTop w:val="0"/>
      <w:marBottom w:val="0"/>
      <w:divBdr>
        <w:top w:val="none" w:sz="0" w:space="0" w:color="auto"/>
        <w:left w:val="none" w:sz="0" w:space="0" w:color="auto"/>
        <w:bottom w:val="none" w:sz="0" w:space="0" w:color="auto"/>
        <w:right w:val="none" w:sz="0" w:space="0" w:color="auto"/>
      </w:divBdr>
      <w:divsChild>
        <w:div w:id="2016805133">
          <w:marLeft w:val="0"/>
          <w:marRight w:val="0"/>
          <w:marTop w:val="0"/>
          <w:marBottom w:val="0"/>
          <w:divBdr>
            <w:top w:val="none" w:sz="0" w:space="0" w:color="auto"/>
            <w:left w:val="none" w:sz="0" w:space="0" w:color="auto"/>
            <w:bottom w:val="none" w:sz="0" w:space="0" w:color="auto"/>
            <w:right w:val="none" w:sz="0" w:space="0" w:color="auto"/>
          </w:divBdr>
        </w:div>
      </w:divsChild>
    </w:div>
    <w:div w:id="1168250827">
      <w:marLeft w:val="0"/>
      <w:marRight w:val="0"/>
      <w:marTop w:val="0"/>
      <w:marBottom w:val="240"/>
      <w:divBdr>
        <w:top w:val="none" w:sz="0" w:space="0" w:color="auto"/>
        <w:left w:val="none" w:sz="0" w:space="0" w:color="auto"/>
        <w:bottom w:val="none" w:sz="0" w:space="0" w:color="auto"/>
        <w:right w:val="none" w:sz="0" w:space="0" w:color="auto"/>
      </w:divBdr>
    </w:div>
    <w:div w:id="1171604870">
      <w:marLeft w:val="0"/>
      <w:marRight w:val="0"/>
      <w:marTop w:val="0"/>
      <w:marBottom w:val="120"/>
      <w:divBdr>
        <w:top w:val="none" w:sz="0" w:space="0" w:color="auto"/>
        <w:left w:val="none" w:sz="0" w:space="0" w:color="auto"/>
        <w:bottom w:val="none" w:sz="0" w:space="0" w:color="auto"/>
        <w:right w:val="none" w:sz="0" w:space="0" w:color="auto"/>
      </w:divBdr>
    </w:div>
    <w:div w:id="1173422515">
      <w:marLeft w:val="0"/>
      <w:marRight w:val="0"/>
      <w:marTop w:val="0"/>
      <w:marBottom w:val="240"/>
      <w:divBdr>
        <w:top w:val="none" w:sz="0" w:space="0" w:color="auto"/>
        <w:left w:val="none" w:sz="0" w:space="0" w:color="auto"/>
        <w:bottom w:val="none" w:sz="0" w:space="0" w:color="auto"/>
        <w:right w:val="none" w:sz="0" w:space="0" w:color="auto"/>
      </w:divBdr>
    </w:div>
    <w:div w:id="1173495393">
      <w:marLeft w:val="0"/>
      <w:marRight w:val="0"/>
      <w:marTop w:val="0"/>
      <w:marBottom w:val="240"/>
      <w:divBdr>
        <w:top w:val="none" w:sz="0" w:space="0" w:color="auto"/>
        <w:left w:val="none" w:sz="0" w:space="0" w:color="auto"/>
        <w:bottom w:val="none" w:sz="0" w:space="0" w:color="auto"/>
        <w:right w:val="none" w:sz="0" w:space="0" w:color="auto"/>
      </w:divBdr>
    </w:div>
    <w:div w:id="1174608410">
      <w:marLeft w:val="0"/>
      <w:marRight w:val="0"/>
      <w:marTop w:val="0"/>
      <w:marBottom w:val="0"/>
      <w:divBdr>
        <w:top w:val="none" w:sz="0" w:space="0" w:color="auto"/>
        <w:left w:val="none" w:sz="0" w:space="0" w:color="auto"/>
        <w:bottom w:val="none" w:sz="0" w:space="0" w:color="auto"/>
        <w:right w:val="none" w:sz="0" w:space="0" w:color="auto"/>
      </w:divBdr>
    </w:div>
    <w:div w:id="1176193682">
      <w:marLeft w:val="0"/>
      <w:marRight w:val="0"/>
      <w:marTop w:val="0"/>
      <w:marBottom w:val="260"/>
      <w:divBdr>
        <w:top w:val="none" w:sz="0" w:space="0" w:color="auto"/>
        <w:left w:val="none" w:sz="0" w:space="0" w:color="auto"/>
        <w:bottom w:val="none" w:sz="0" w:space="0" w:color="auto"/>
        <w:right w:val="none" w:sz="0" w:space="0" w:color="auto"/>
      </w:divBdr>
      <w:divsChild>
        <w:div w:id="1200125743">
          <w:marLeft w:val="0"/>
          <w:marRight w:val="0"/>
          <w:marTop w:val="0"/>
          <w:marBottom w:val="0"/>
          <w:divBdr>
            <w:top w:val="none" w:sz="0" w:space="0" w:color="auto"/>
            <w:left w:val="none" w:sz="0" w:space="0" w:color="auto"/>
            <w:bottom w:val="none" w:sz="0" w:space="0" w:color="auto"/>
            <w:right w:val="none" w:sz="0" w:space="0" w:color="auto"/>
          </w:divBdr>
        </w:div>
        <w:div w:id="2120031252">
          <w:marLeft w:val="0"/>
          <w:marRight w:val="0"/>
          <w:marTop w:val="0"/>
          <w:marBottom w:val="0"/>
          <w:divBdr>
            <w:top w:val="none" w:sz="0" w:space="0" w:color="auto"/>
            <w:left w:val="none" w:sz="0" w:space="0" w:color="auto"/>
            <w:bottom w:val="none" w:sz="0" w:space="0" w:color="auto"/>
            <w:right w:val="none" w:sz="0" w:space="0" w:color="auto"/>
          </w:divBdr>
        </w:div>
        <w:div w:id="1278172679">
          <w:marLeft w:val="0"/>
          <w:marRight w:val="0"/>
          <w:marTop w:val="0"/>
          <w:marBottom w:val="0"/>
          <w:divBdr>
            <w:top w:val="none" w:sz="0" w:space="0" w:color="auto"/>
            <w:left w:val="none" w:sz="0" w:space="0" w:color="auto"/>
            <w:bottom w:val="none" w:sz="0" w:space="0" w:color="auto"/>
            <w:right w:val="none" w:sz="0" w:space="0" w:color="auto"/>
          </w:divBdr>
        </w:div>
        <w:div w:id="1245526116">
          <w:marLeft w:val="0"/>
          <w:marRight w:val="0"/>
          <w:marTop w:val="0"/>
          <w:marBottom w:val="0"/>
          <w:divBdr>
            <w:top w:val="none" w:sz="0" w:space="0" w:color="auto"/>
            <w:left w:val="none" w:sz="0" w:space="0" w:color="auto"/>
            <w:bottom w:val="none" w:sz="0" w:space="0" w:color="auto"/>
            <w:right w:val="none" w:sz="0" w:space="0" w:color="auto"/>
          </w:divBdr>
        </w:div>
        <w:div w:id="1836409755">
          <w:marLeft w:val="0"/>
          <w:marRight w:val="0"/>
          <w:marTop w:val="0"/>
          <w:marBottom w:val="0"/>
          <w:divBdr>
            <w:top w:val="none" w:sz="0" w:space="0" w:color="auto"/>
            <w:left w:val="none" w:sz="0" w:space="0" w:color="auto"/>
            <w:bottom w:val="none" w:sz="0" w:space="0" w:color="auto"/>
            <w:right w:val="none" w:sz="0" w:space="0" w:color="auto"/>
          </w:divBdr>
        </w:div>
        <w:div w:id="1632202691">
          <w:marLeft w:val="0"/>
          <w:marRight w:val="0"/>
          <w:marTop w:val="0"/>
          <w:marBottom w:val="0"/>
          <w:divBdr>
            <w:top w:val="none" w:sz="0" w:space="0" w:color="auto"/>
            <w:left w:val="none" w:sz="0" w:space="0" w:color="auto"/>
            <w:bottom w:val="none" w:sz="0" w:space="0" w:color="auto"/>
            <w:right w:val="none" w:sz="0" w:space="0" w:color="auto"/>
          </w:divBdr>
        </w:div>
      </w:divsChild>
    </w:div>
    <w:div w:id="1176965891">
      <w:marLeft w:val="0"/>
      <w:marRight w:val="0"/>
      <w:marTop w:val="0"/>
      <w:marBottom w:val="120"/>
      <w:divBdr>
        <w:top w:val="none" w:sz="0" w:space="0" w:color="auto"/>
        <w:left w:val="none" w:sz="0" w:space="0" w:color="auto"/>
        <w:bottom w:val="none" w:sz="0" w:space="0" w:color="auto"/>
        <w:right w:val="none" w:sz="0" w:space="0" w:color="auto"/>
      </w:divBdr>
    </w:div>
    <w:div w:id="1177034595">
      <w:marLeft w:val="0"/>
      <w:marRight w:val="0"/>
      <w:marTop w:val="0"/>
      <w:marBottom w:val="240"/>
      <w:divBdr>
        <w:top w:val="none" w:sz="0" w:space="0" w:color="auto"/>
        <w:left w:val="none" w:sz="0" w:space="0" w:color="auto"/>
        <w:bottom w:val="none" w:sz="0" w:space="0" w:color="auto"/>
        <w:right w:val="none" w:sz="0" w:space="0" w:color="auto"/>
      </w:divBdr>
    </w:div>
    <w:div w:id="1179932219">
      <w:marLeft w:val="0"/>
      <w:marRight w:val="0"/>
      <w:marTop w:val="0"/>
      <w:marBottom w:val="240"/>
      <w:divBdr>
        <w:top w:val="none" w:sz="0" w:space="0" w:color="auto"/>
        <w:left w:val="none" w:sz="0" w:space="0" w:color="auto"/>
        <w:bottom w:val="none" w:sz="0" w:space="0" w:color="auto"/>
        <w:right w:val="none" w:sz="0" w:space="0" w:color="auto"/>
      </w:divBdr>
    </w:div>
    <w:div w:id="1181748326">
      <w:marLeft w:val="0"/>
      <w:marRight w:val="0"/>
      <w:marTop w:val="0"/>
      <w:marBottom w:val="240"/>
      <w:divBdr>
        <w:top w:val="none" w:sz="0" w:space="0" w:color="auto"/>
        <w:left w:val="none" w:sz="0" w:space="0" w:color="auto"/>
        <w:bottom w:val="none" w:sz="0" w:space="0" w:color="auto"/>
        <w:right w:val="none" w:sz="0" w:space="0" w:color="auto"/>
      </w:divBdr>
    </w:div>
    <w:div w:id="1183129910">
      <w:marLeft w:val="0"/>
      <w:marRight w:val="0"/>
      <w:marTop w:val="0"/>
      <w:marBottom w:val="240"/>
      <w:divBdr>
        <w:top w:val="none" w:sz="0" w:space="0" w:color="auto"/>
        <w:left w:val="none" w:sz="0" w:space="0" w:color="auto"/>
        <w:bottom w:val="none" w:sz="0" w:space="0" w:color="auto"/>
        <w:right w:val="none" w:sz="0" w:space="0" w:color="auto"/>
      </w:divBdr>
    </w:div>
    <w:div w:id="1183860450">
      <w:marLeft w:val="0"/>
      <w:marRight w:val="0"/>
      <w:marTop w:val="0"/>
      <w:marBottom w:val="120"/>
      <w:divBdr>
        <w:top w:val="none" w:sz="0" w:space="0" w:color="auto"/>
        <w:left w:val="none" w:sz="0" w:space="0" w:color="auto"/>
        <w:bottom w:val="none" w:sz="0" w:space="0" w:color="auto"/>
        <w:right w:val="none" w:sz="0" w:space="0" w:color="auto"/>
      </w:divBdr>
    </w:div>
    <w:div w:id="1183864513">
      <w:marLeft w:val="0"/>
      <w:marRight w:val="0"/>
      <w:marTop w:val="0"/>
      <w:marBottom w:val="240"/>
      <w:divBdr>
        <w:top w:val="none" w:sz="0" w:space="0" w:color="auto"/>
        <w:left w:val="none" w:sz="0" w:space="0" w:color="auto"/>
        <w:bottom w:val="none" w:sz="0" w:space="0" w:color="auto"/>
        <w:right w:val="none" w:sz="0" w:space="0" w:color="auto"/>
      </w:divBdr>
    </w:div>
    <w:div w:id="1186023186">
      <w:marLeft w:val="0"/>
      <w:marRight w:val="0"/>
      <w:marTop w:val="0"/>
      <w:marBottom w:val="240"/>
      <w:divBdr>
        <w:top w:val="none" w:sz="0" w:space="0" w:color="auto"/>
        <w:left w:val="none" w:sz="0" w:space="0" w:color="auto"/>
        <w:bottom w:val="none" w:sz="0" w:space="0" w:color="auto"/>
        <w:right w:val="none" w:sz="0" w:space="0" w:color="auto"/>
      </w:divBdr>
    </w:div>
    <w:div w:id="1189299982">
      <w:marLeft w:val="0"/>
      <w:marRight w:val="0"/>
      <w:marTop w:val="0"/>
      <w:marBottom w:val="0"/>
      <w:divBdr>
        <w:top w:val="none" w:sz="0" w:space="0" w:color="auto"/>
        <w:left w:val="none" w:sz="0" w:space="0" w:color="auto"/>
        <w:bottom w:val="none" w:sz="0" w:space="0" w:color="auto"/>
        <w:right w:val="none" w:sz="0" w:space="0" w:color="auto"/>
      </w:divBdr>
      <w:divsChild>
        <w:div w:id="1575818590">
          <w:marLeft w:val="0"/>
          <w:marRight w:val="0"/>
          <w:marTop w:val="0"/>
          <w:marBottom w:val="0"/>
          <w:divBdr>
            <w:top w:val="none" w:sz="0" w:space="0" w:color="auto"/>
            <w:left w:val="none" w:sz="0" w:space="0" w:color="auto"/>
            <w:bottom w:val="none" w:sz="0" w:space="0" w:color="auto"/>
            <w:right w:val="none" w:sz="0" w:space="0" w:color="auto"/>
          </w:divBdr>
        </w:div>
      </w:divsChild>
    </w:div>
    <w:div w:id="1193376578">
      <w:marLeft w:val="0"/>
      <w:marRight w:val="0"/>
      <w:marTop w:val="0"/>
      <w:marBottom w:val="0"/>
      <w:divBdr>
        <w:top w:val="none" w:sz="0" w:space="0" w:color="auto"/>
        <w:left w:val="none" w:sz="0" w:space="0" w:color="auto"/>
        <w:bottom w:val="none" w:sz="0" w:space="0" w:color="auto"/>
        <w:right w:val="none" w:sz="0" w:space="0" w:color="auto"/>
      </w:divBdr>
    </w:div>
    <w:div w:id="1194416237">
      <w:marLeft w:val="0"/>
      <w:marRight w:val="0"/>
      <w:marTop w:val="0"/>
      <w:marBottom w:val="0"/>
      <w:divBdr>
        <w:top w:val="none" w:sz="0" w:space="0" w:color="auto"/>
        <w:left w:val="none" w:sz="0" w:space="0" w:color="auto"/>
        <w:bottom w:val="none" w:sz="0" w:space="0" w:color="auto"/>
        <w:right w:val="none" w:sz="0" w:space="0" w:color="auto"/>
      </w:divBdr>
    </w:div>
    <w:div w:id="1199975993">
      <w:marLeft w:val="0"/>
      <w:marRight w:val="0"/>
      <w:marTop w:val="0"/>
      <w:marBottom w:val="240"/>
      <w:divBdr>
        <w:top w:val="none" w:sz="0" w:space="0" w:color="auto"/>
        <w:left w:val="none" w:sz="0" w:space="0" w:color="auto"/>
        <w:bottom w:val="none" w:sz="0" w:space="0" w:color="auto"/>
        <w:right w:val="none" w:sz="0" w:space="0" w:color="auto"/>
      </w:divBdr>
    </w:div>
    <w:div w:id="1204756178">
      <w:marLeft w:val="0"/>
      <w:marRight w:val="0"/>
      <w:marTop w:val="0"/>
      <w:marBottom w:val="240"/>
      <w:divBdr>
        <w:top w:val="none" w:sz="0" w:space="0" w:color="auto"/>
        <w:left w:val="none" w:sz="0" w:space="0" w:color="auto"/>
        <w:bottom w:val="none" w:sz="0" w:space="0" w:color="auto"/>
        <w:right w:val="none" w:sz="0" w:space="0" w:color="auto"/>
      </w:divBdr>
    </w:div>
    <w:div w:id="1210148536">
      <w:marLeft w:val="0"/>
      <w:marRight w:val="0"/>
      <w:marTop w:val="0"/>
      <w:marBottom w:val="240"/>
      <w:divBdr>
        <w:top w:val="none" w:sz="0" w:space="0" w:color="auto"/>
        <w:left w:val="none" w:sz="0" w:space="0" w:color="auto"/>
        <w:bottom w:val="none" w:sz="0" w:space="0" w:color="auto"/>
        <w:right w:val="none" w:sz="0" w:space="0" w:color="auto"/>
      </w:divBdr>
    </w:div>
    <w:div w:id="1212232653">
      <w:marLeft w:val="0"/>
      <w:marRight w:val="0"/>
      <w:marTop w:val="0"/>
      <w:marBottom w:val="0"/>
      <w:divBdr>
        <w:top w:val="none" w:sz="0" w:space="0" w:color="auto"/>
        <w:left w:val="none" w:sz="0" w:space="0" w:color="auto"/>
        <w:bottom w:val="none" w:sz="0" w:space="0" w:color="auto"/>
        <w:right w:val="none" w:sz="0" w:space="0" w:color="auto"/>
      </w:divBdr>
    </w:div>
    <w:div w:id="1213034768">
      <w:marLeft w:val="0"/>
      <w:marRight w:val="0"/>
      <w:marTop w:val="0"/>
      <w:marBottom w:val="240"/>
      <w:divBdr>
        <w:top w:val="none" w:sz="0" w:space="0" w:color="auto"/>
        <w:left w:val="none" w:sz="0" w:space="0" w:color="auto"/>
        <w:bottom w:val="none" w:sz="0" w:space="0" w:color="auto"/>
        <w:right w:val="none" w:sz="0" w:space="0" w:color="auto"/>
      </w:divBdr>
    </w:div>
    <w:div w:id="1213618554">
      <w:marLeft w:val="0"/>
      <w:marRight w:val="0"/>
      <w:marTop w:val="0"/>
      <w:marBottom w:val="240"/>
      <w:divBdr>
        <w:top w:val="none" w:sz="0" w:space="0" w:color="auto"/>
        <w:left w:val="none" w:sz="0" w:space="0" w:color="auto"/>
        <w:bottom w:val="none" w:sz="0" w:space="0" w:color="auto"/>
        <w:right w:val="none" w:sz="0" w:space="0" w:color="auto"/>
      </w:divBdr>
    </w:div>
    <w:div w:id="1221865109">
      <w:marLeft w:val="0"/>
      <w:marRight w:val="0"/>
      <w:marTop w:val="0"/>
      <w:marBottom w:val="0"/>
      <w:divBdr>
        <w:top w:val="none" w:sz="0" w:space="0" w:color="auto"/>
        <w:left w:val="none" w:sz="0" w:space="0" w:color="auto"/>
        <w:bottom w:val="none" w:sz="0" w:space="0" w:color="auto"/>
        <w:right w:val="none" w:sz="0" w:space="0" w:color="auto"/>
      </w:divBdr>
    </w:div>
    <w:div w:id="1222985404">
      <w:marLeft w:val="0"/>
      <w:marRight w:val="0"/>
      <w:marTop w:val="0"/>
      <w:marBottom w:val="240"/>
      <w:divBdr>
        <w:top w:val="none" w:sz="0" w:space="0" w:color="auto"/>
        <w:left w:val="none" w:sz="0" w:space="0" w:color="auto"/>
        <w:bottom w:val="none" w:sz="0" w:space="0" w:color="auto"/>
        <w:right w:val="none" w:sz="0" w:space="0" w:color="auto"/>
      </w:divBdr>
    </w:div>
    <w:div w:id="1225948178">
      <w:marLeft w:val="0"/>
      <w:marRight w:val="0"/>
      <w:marTop w:val="0"/>
      <w:marBottom w:val="240"/>
      <w:divBdr>
        <w:top w:val="none" w:sz="0" w:space="0" w:color="auto"/>
        <w:left w:val="none" w:sz="0" w:space="0" w:color="auto"/>
        <w:bottom w:val="none" w:sz="0" w:space="0" w:color="auto"/>
        <w:right w:val="none" w:sz="0" w:space="0" w:color="auto"/>
      </w:divBdr>
    </w:div>
    <w:div w:id="1229924973">
      <w:marLeft w:val="0"/>
      <w:marRight w:val="0"/>
      <w:marTop w:val="0"/>
      <w:marBottom w:val="0"/>
      <w:divBdr>
        <w:top w:val="none" w:sz="0" w:space="0" w:color="auto"/>
        <w:left w:val="none" w:sz="0" w:space="0" w:color="auto"/>
        <w:bottom w:val="none" w:sz="0" w:space="0" w:color="auto"/>
        <w:right w:val="none" w:sz="0" w:space="0" w:color="auto"/>
      </w:divBdr>
      <w:divsChild>
        <w:div w:id="1024748834">
          <w:marLeft w:val="0"/>
          <w:marRight w:val="0"/>
          <w:marTop w:val="0"/>
          <w:marBottom w:val="0"/>
          <w:divBdr>
            <w:top w:val="none" w:sz="0" w:space="0" w:color="auto"/>
            <w:left w:val="none" w:sz="0" w:space="0" w:color="auto"/>
            <w:bottom w:val="none" w:sz="0" w:space="0" w:color="auto"/>
            <w:right w:val="none" w:sz="0" w:space="0" w:color="auto"/>
          </w:divBdr>
        </w:div>
      </w:divsChild>
    </w:div>
    <w:div w:id="1230339831">
      <w:marLeft w:val="0"/>
      <w:marRight w:val="0"/>
      <w:marTop w:val="0"/>
      <w:marBottom w:val="0"/>
      <w:divBdr>
        <w:top w:val="none" w:sz="0" w:space="0" w:color="auto"/>
        <w:left w:val="none" w:sz="0" w:space="0" w:color="auto"/>
        <w:bottom w:val="none" w:sz="0" w:space="0" w:color="auto"/>
        <w:right w:val="none" w:sz="0" w:space="0" w:color="auto"/>
      </w:divBdr>
    </w:div>
    <w:div w:id="1230917744">
      <w:marLeft w:val="0"/>
      <w:marRight w:val="0"/>
      <w:marTop w:val="0"/>
      <w:marBottom w:val="140"/>
      <w:divBdr>
        <w:top w:val="none" w:sz="0" w:space="0" w:color="auto"/>
        <w:left w:val="none" w:sz="0" w:space="0" w:color="auto"/>
        <w:bottom w:val="none" w:sz="0" w:space="0" w:color="auto"/>
        <w:right w:val="none" w:sz="0" w:space="0" w:color="auto"/>
      </w:divBdr>
    </w:div>
    <w:div w:id="1237285623">
      <w:marLeft w:val="0"/>
      <w:marRight w:val="0"/>
      <w:marTop w:val="0"/>
      <w:marBottom w:val="140"/>
      <w:divBdr>
        <w:top w:val="none" w:sz="0" w:space="0" w:color="auto"/>
        <w:left w:val="none" w:sz="0" w:space="0" w:color="auto"/>
        <w:bottom w:val="none" w:sz="0" w:space="0" w:color="auto"/>
        <w:right w:val="none" w:sz="0" w:space="0" w:color="auto"/>
      </w:divBdr>
    </w:div>
    <w:div w:id="1242058038">
      <w:marLeft w:val="0"/>
      <w:marRight w:val="0"/>
      <w:marTop w:val="0"/>
      <w:marBottom w:val="240"/>
      <w:divBdr>
        <w:top w:val="none" w:sz="0" w:space="0" w:color="auto"/>
        <w:left w:val="none" w:sz="0" w:space="0" w:color="auto"/>
        <w:bottom w:val="none" w:sz="0" w:space="0" w:color="auto"/>
        <w:right w:val="none" w:sz="0" w:space="0" w:color="auto"/>
      </w:divBdr>
    </w:div>
    <w:div w:id="1242645014">
      <w:marLeft w:val="0"/>
      <w:marRight w:val="0"/>
      <w:marTop w:val="0"/>
      <w:marBottom w:val="240"/>
      <w:divBdr>
        <w:top w:val="none" w:sz="0" w:space="0" w:color="auto"/>
        <w:left w:val="none" w:sz="0" w:space="0" w:color="auto"/>
        <w:bottom w:val="none" w:sz="0" w:space="0" w:color="auto"/>
        <w:right w:val="none" w:sz="0" w:space="0" w:color="auto"/>
      </w:divBdr>
    </w:div>
    <w:div w:id="1256129363">
      <w:marLeft w:val="0"/>
      <w:marRight w:val="0"/>
      <w:marTop w:val="0"/>
      <w:marBottom w:val="120"/>
      <w:divBdr>
        <w:top w:val="none" w:sz="0" w:space="0" w:color="auto"/>
        <w:left w:val="none" w:sz="0" w:space="0" w:color="auto"/>
        <w:bottom w:val="none" w:sz="0" w:space="0" w:color="auto"/>
        <w:right w:val="none" w:sz="0" w:space="0" w:color="auto"/>
      </w:divBdr>
    </w:div>
    <w:div w:id="1258369303">
      <w:marLeft w:val="0"/>
      <w:marRight w:val="0"/>
      <w:marTop w:val="0"/>
      <w:marBottom w:val="240"/>
      <w:divBdr>
        <w:top w:val="none" w:sz="0" w:space="0" w:color="auto"/>
        <w:left w:val="none" w:sz="0" w:space="0" w:color="auto"/>
        <w:bottom w:val="none" w:sz="0" w:space="0" w:color="auto"/>
        <w:right w:val="none" w:sz="0" w:space="0" w:color="auto"/>
      </w:divBdr>
    </w:div>
    <w:div w:id="1259023570">
      <w:marLeft w:val="0"/>
      <w:marRight w:val="0"/>
      <w:marTop w:val="0"/>
      <w:marBottom w:val="240"/>
      <w:divBdr>
        <w:top w:val="none" w:sz="0" w:space="0" w:color="auto"/>
        <w:left w:val="none" w:sz="0" w:space="0" w:color="auto"/>
        <w:bottom w:val="none" w:sz="0" w:space="0" w:color="auto"/>
        <w:right w:val="none" w:sz="0" w:space="0" w:color="auto"/>
      </w:divBdr>
    </w:div>
    <w:div w:id="1260217667">
      <w:marLeft w:val="0"/>
      <w:marRight w:val="0"/>
      <w:marTop w:val="0"/>
      <w:marBottom w:val="0"/>
      <w:divBdr>
        <w:top w:val="none" w:sz="0" w:space="0" w:color="auto"/>
        <w:left w:val="none" w:sz="0" w:space="0" w:color="auto"/>
        <w:bottom w:val="none" w:sz="0" w:space="0" w:color="auto"/>
        <w:right w:val="none" w:sz="0" w:space="0" w:color="auto"/>
      </w:divBdr>
    </w:div>
    <w:div w:id="1261530178">
      <w:marLeft w:val="0"/>
      <w:marRight w:val="0"/>
      <w:marTop w:val="0"/>
      <w:marBottom w:val="0"/>
      <w:divBdr>
        <w:top w:val="none" w:sz="0" w:space="0" w:color="auto"/>
        <w:left w:val="none" w:sz="0" w:space="0" w:color="auto"/>
        <w:bottom w:val="none" w:sz="0" w:space="0" w:color="auto"/>
        <w:right w:val="none" w:sz="0" w:space="0" w:color="auto"/>
      </w:divBdr>
    </w:div>
    <w:div w:id="1262032877">
      <w:marLeft w:val="0"/>
      <w:marRight w:val="0"/>
      <w:marTop w:val="0"/>
      <w:marBottom w:val="0"/>
      <w:divBdr>
        <w:top w:val="none" w:sz="0" w:space="0" w:color="auto"/>
        <w:left w:val="none" w:sz="0" w:space="0" w:color="auto"/>
        <w:bottom w:val="none" w:sz="0" w:space="0" w:color="auto"/>
        <w:right w:val="none" w:sz="0" w:space="0" w:color="auto"/>
      </w:divBdr>
      <w:divsChild>
        <w:div w:id="2012760481">
          <w:marLeft w:val="0"/>
          <w:marRight w:val="0"/>
          <w:marTop w:val="0"/>
          <w:marBottom w:val="0"/>
          <w:divBdr>
            <w:top w:val="none" w:sz="0" w:space="0" w:color="auto"/>
            <w:left w:val="none" w:sz="0" w:space="0" w:color="auto"/>
            <w:bottom w:val="none" w:sz="0" w:space="0" w:color="auto"/>
            <w:right w:val="none" w:sz="0" w:space="0" w:color="auto"/>
          </w:divBdr>
        </w:div>
      </w:divsChild>
    </w:div>
    <w:div w:id="1279336747">
      <w:marLeft w:val="0"/>
      <w:marRight w:val="0"/>
      <w:marTop w:val="0"/>
      <w:marBottom w:val="240"/>
      <w:divBdr>
        <w:top w:val="none" w:sz="0" w:space="0" w:color="auto"/>
        <w:left w:val="none" w:sz="0" w:space="0" w:color="auto"/>
        <w:bottom w:val="none" w:sz="0" w:space="0" w:color="auto"/>
        <w:right w:val="none" w:sz="0" w:space="0" w:color="auto"/>
      </w:divBdr>
    </w:div>
    <w:div w:id="1281571007">
      <w:marLeft w:val="0"/>
      <w:marRight w:val="0"/>
      <w:marTop w:val="0"/>
      <w:marBottom w:val="240"/>
      <w:divBdr>
        <w:top w:val="none" w:sz="0" w:space="0" w:color="auto"/>
        <w:left w:val="none" w:sz="0" w:space="0" w:color="auto"/>
        <w:bottom w:val="none" w:sz="0" w:space="0" w:color="auto"/>
        <w:right w:val="none" w:sz="0" w:space="0" w:color="auto"/>
      </w:divBdr>
    </w:div>
    <w:div w:id="1284731006">
      <w:marLeft w:val="0"/>
      <w:marRight w:val="0"/>
      <w:marTop w:val="0"/>
      <w:marBottom w:val="240"/>
      <w:divBdr>
        <w:top w:val="none" w:sz="0" w:space="0" w:color="auto"/>
        <w:left w:val="none" w:sz="0" w:space="0" w:color="auto"/>
        <w:bottom w:val="none" w:sz="0" w:space="0" w:color="auto"/>
        <w:right w:val="none" w:sz="0" w:space="0" w:color="auto"/>
      </w:divBdr>
    </w:div>
    <w:div w:id="1286473152">
      <w:marLeft w:val="0"/>
      <w:marRight w:val="0"/>
      <w:marTop w:val="0"/>
      <w:marBottom w:val="240"/>
      <w:divBdr>
        <w:top w:val="none" w:sz="0" w:space="0" w:color="auto"/>
        <w:left w:val="none" w:sz="0" w:space="0" w:color="auto"/>
        <w:bottom w:val="none" w:sz="0" w:space="0" w:color="auto"/>
        <w:right w:val="none" w:sz="0" w:space="0" w:color="auto"/>
      </w:divBdr>
    </w:div>
    <w:div w:id="1289123872">
      <w:marLeft w:val="0"/>
      <w:marRight w:val="0"/>
      <w:marTop w:val="0"/>
      <w:marBottom w:val="0"/>
      <w:divBdr>
        <w:top w:val="none" w:sz="0" w:space="0" w:color="auto"/>
        <w:left w:val="none" w:sz="0" w:space="0" w:color="auto"/>
        <w:bottom w:val="none" w:sz="0" w:space="0" w:color="auto"/>
        <w:right w:val="none" w:sz="0" w:space="0" w:color="auto"/>
      </w:divBdr>
      <w:divsChild>
        <w:div w:id="1834251784">
          <w:marLeft w:val="0"/>
          <w:marRight w:val="0"/>
          <w:marTop w:val="0"/>
          <w:marBottom w:val="0"/>
          <w:divBdr>
            <w:top w:val="none" w:sz="0" w:space="0" w:color="auto"/>
            <w:left w:val="none" w:sz="0" w:space="0" w:color="auto"/>
            <w:bottom w:val="none" w:sz="0" w:space="0" w:color="auto"/>
            <w:right w:val="none" w:sz="0" w:space="0" w:color="auto"/>
          </w:divBdr>
        </w:div>
      </w:divsChild>
    </w:div>
    <w:div w:id="1295717557">
      <w:marLeft w:val="0"/>
      <w:marRight w:val="0"/>
      <w:marTop w:val="0"/>
      <w:marBottom w:val="0"/>
      <w:divBdr>
        <w:top w:val="none" w:sz="0" w:space="0" w:color="auto"/>
        <w:left w:val="none" w:sz="0" w:space="0" w:color="auto"/>
        <w:bottom w:val="none" w:sz="0" w:space="0" w:color="auto"/>
        <w:right w:val="none" w:sz="0" w:space="0" w:color="auto"/>
      </w:divBdr>
      <w:divsChild>
        <w:div w:id="1070612236">
          <w:marLeft w:val="0"/>
          <w:marRight w:val="0"/>
          <w:marTop w:val="0"/>
          <w:marBottom w:val="0"/>
          <w:divBdr>
            <w:top w:val="none" w:sz="0" w:space="0" w:color="auto"/>
            <w:left w:val="none" w:sz="0" w:space="0" w:color="auto"/>
            <w:bottom w:val="none" w:sz="0" w:space="0" w:color="auto"/>
            <w:right w:val="none" w:sz="0" w:space="0" w:color="auto"/>
          </w:divBdr>
        </w:div>
      </w:divsChild>
    </w:div>
    <w:div w:id="1298411046">
      <w:marLeft w:val="0"/>
      <w:marRight w:val="0"/>
      <w:marTop w:val="0"/>
      <w:marBottom w:val="240"/>
      <w:divBdr>
        <w:top w:val="none" w:sz="0" w:space="0" w:color="auto"/>
        <w:left w:val="none" w:sz="0" w:space="0" w:color="auto"/>
        <w:bottom w:val="none" w:sz="0" w:space="0" w:color="auto"/>
        <w:right w:val="none" w:sz="0" w:space="0" w:color="auto"/>
      </w:divBdr>
    </w:div>
    <w:div w:id="1300302564">
      <w:marLeft w:val="0"/>
      <w:marRight w:val="0"/>
      <w:marTop w:val="0"/>
      <w:marBottom w:val="240"/>
      <w:divBdr>
        <w:top w:val="none" w:sz="0" w:space="0" w:color="auto"/>
        <w:left w:val="none" w:sz="0" w:space="0" w:color="auto"/>
        <w:bottom w:val="none" w:sz="0" w:space="0" w:color="auto"/>
        <w:right w:val="none" w:sz="0" w:space="0" w:color="auto"/>
      </w:divBdr>
    </w:div>
    <w:div w:id="1300765088">
      <w:marLeft w:val="0"/>
      <w:marRight w:val="0"/>
      <w:marTop w:val="0"/>
      <w:marBottom w:val="240"/>
      <w:divBdr>
        <w:top w:val="none" w:sz="0" w:space="0" w:color="auto"/>
        <w:left w:val="none" w:sz="0" w:space="0" w:color="auto"/>
        <w:bottom w:val="none" w:sz="0" w:space="0" w:color="auto"/>
        <w:right w:val="none" w:sz="0" w:space="0" w:color="auto"/>
      </w:divBdr>
    </w:div>
    <w:div w:id="1301879177">
      <w:marLeft w:val="0"/>
      <w:marRight w:val="0"/>
      <w:marTop w:val="0"/>
      <w:marBottom w:val="240"/>
      <w:divBdr>
        <w:top w:val="none" w:sz="0" w:space="0" w:color="auto"/>
        <w:left w:val="none" w:sz="0" w:space="0" w:color="auto"/>
        <w:bottom w:val="none" w:sz="0" w:space="0" w:color="auto"/>
        <w:right w:val="none" w:sz="0" w:space="0" w:color="auto"/>
      </w:divBdr>
    </w:div>
    <w:div w:id="1302343990">
      <w:marLeft w:val="0"/>
      <w:marRight w:val="0"/>
      <w:marTop w:val="0"/>
      <w:marBottom w:val="240"/>
      <w:divBdr>
        <w:top w:val="none" w:sz="0" w:space="0" w:color="auto"/>
        <w:left w:val="none" w:sz="0" w:space="0" w:color="auto"/>
        <w:bottom w:val="none" w:sz="0" w:space="0" w:color="auto"/>
        <w:right w:val="none" w:sz="0" w:space="0" w:color="auto"/>
      </w:divBdr>
    </w:div>
    <w:div w:id="1306086979">
      <w:marLeft w:val="0"/>
      <w:marRight w:val="0"/>
      <w:marTop w:val="60"/>
      <w:marBottom w:val="0"/>
      <w:divBdr>
        <w:top w:val="none" w:sz="0" w:space="0" w:color="auto"/>
        <w:left w:val="none" w:sz="0" w:space="0" w:color="auto"/>
        <w:bottom w:val="none" w:sz="0" w:space="0" w:color="auto"/>
        <w:right w:val="none" w:sz="0" w:space="0" w:color="auto"/>
      </w:divBdr>
    </w:div>
    <w:div w:id="1308363674">
      <w:marLeft w:val="0"/>
      <w:marRight w:val="0"/>
      <w:marTop w:val="0"/>
      <w:marBottom w:val="240"/>
      <w:divBdr>
        <w:top w:val="none" w:sz="0" w:space="0" w:color="auto"/>
        <w:left w:val="none" w:sz="0" w:space="0" w:color="auto"/>
        <w:bottom w:val="none" w:sz="0" w:space="0" w:color="auto"/>
        <w:right w:val="none" w:sz="0" w:space="0" w:color="auto"/>
      </w:divBdr>
    </w:div>
    <w:div w:id="1309944270">
      <w:marLeft w:val="0"/>
      <w:marRight w:val="0"/>
      <w:marTop w:val="0"/>
      <w:marBottom w:val="240"/>
      <w:divBdr>
        <w:top w:val="none" w:sz="0" w:space="0" w:color="auto"/>
        <w:left w:val="none" w:sz="0" w:space="0" w:color="auto"/>
        <w:bottom w:val="none" w:sz="0" w:space="0" w:color="auto"/>
        <w:right w:val="none" w:sz="0" w:space="0" w:color="auto"/>
      </w:divBdr>
    </w:div>
    <w:div w:id="1313482349">
      <w:marLeft w:val="0"/>
      <w:marRight w:val="0"/>
      <w:marTop w:val="0"/>
      <w:marBottom w:val="0"/>
      <w:divBdr>
        <w:top w:val="none" w:sz="0" w:space="0" w:color="auto"/>
        <w:left w:val="none" w:sz="0" w:space="0" w:color="auto"/>
        <w:bottom w:val="none" w:sz="0" w:space="0" w:color="auto"/>
        <w:right w:val="none" w:sz="0" w:space="0" w:color="auto"/>
      </w:divBdr>
    </w:div>
    <w:div w:id="1315063017">
      <w:marLeft w:val="0"/>
      <w:marRight w:val="0"/>
      <w:marTop w:val="0"/>
      <w:marBottom w:val="0"/>
      <w:divBdr>
        <w:top w:val="none" w:sz="0" w:space="0" w:color="auto"/>
        <w:left w:val="none" w:sz="0" w:space="0" w:color="auto"/>
        <w:bottom w:val="none" w:sz="0" w:space="0" w:color="auto"/>
        <w:right w:val="none" w:sz="0" w:space="0" w:color="auto"/>
      </w:divBdr>
    </w:div>
    <w:div w:id="1323000032">
      <w:marLeft w:val="0"/>
      <w:marRight w:val="0"/>
      <w:marTop w:val="240"/>
      <w:marBottom w:val="240"/>
      <w:divBdr>
        <w:top w:val="none" w:sz="0" w:space="0" w:color="auto"/>
        <w:left w:val="none" w:sz="0" w:space="0" w:color="auto"/>
        <w:bottom w:val="none" w:sz="0" w:space="0" w:color="auto"/>
        <w:right w:val="none" w:sz="0" w:space="0" w:color="auto"/>
      </w:divBdr>
    </w:div>
    <w:div w:id="1326544539">
      <w:marLeft w:val="0"/>
      <w:marRight w:val="0"/>
      <w:marTop w:val="240"/>
      <w:marBottom w:val="0"/>
      <w:divBdr>
        <w:top w:val="none" w:sz="0" w:space="0" w:color="auto"/>
        <w:left w:val="none" w:sz="0" w:space="0" w:color="auto"/>
        <w:bottom w:val="none" w:sz="0" w:space="0" w:color="auto"/>
        <w:right w:val="none" w:sz="0" w:space="0" w:color="auto"/>
      </w:divBdr>
    </w:div>
    <w:div w:id="1327510485">
      <w:marLeft w:val="0"/>
      <w:marRight w:val="0"/>
      <w:marTop w:val="0"/>
      <w:marBottom w:val="240"/>
      <w:divBdr>
        <w:top w:val="none" w:sz="0" w:space="0" w:color="auto"/>
        <w:left w:val="none" w:sz="0" w:space="0" w:color="auto"/>
        <w:bottom w:val="none" w:sz="0" w:space="0" w:color="auto"/>
        <w:right w:val="none" w:sz="0" w:space="0" w:color="auto"/>
      </w:divBdr>
    </w:div>
    <w:div w:id="1330908463">
      <w:marLeft w:val="0"/>
      <w:marRight w:val="0"/>
      <w:marTop w:val="0"/>
      <w:marBottom w:val="0"/>
      <w:divBdr>
        <w:top w:val="none" w:sz="0" w:space="0" w:color="auto"/>
        <w:left w:val="none" w:sz="0" w:space="0" w:color="auto"/>
        <w:bottom w:val="none" w:sz="0" w:space="0" w:color="auto"/>
        <w:right w:val="none" w:sz="0" w:space="0" w:color="auto"/>
      </w:divBdr>
      <w:divsChild>
        <w:div w:id="2093619794">
          <w:marLeft w:val="0"/>
          <w:marRight w:val="0"/>
          <w:marTop w:val="0"/>
          <w:marBottom w:val="0"/>
          <w:divBdr>
            <w:top w:val="none" w:sz="0" w:space="0" w:color="auto"/>
            <w:left w:val="none" w:sz="0" w:space="0" w:color="auto"/>
            <w:bottom w:val="none" w:sz="0" w:space="0" w:color="auto"/>
            <w:right w:val="none" w:sz="0" w:space="0" w:color="auto"/>
          </w:divBdr>
        </w:div>
      </w:divsChild>
    </w:div>
    <w:div w:id="1332487642">
      <w:marLeft w:val="0"/>
      <w:marRight w:val="0"/>
      <w:marTop w:val="0"/>
      <w:marBottom w:val="0"/>
      <w:divBdr>
        <w:top w:val="none" w:sz="0" w:space="0" w:color="auto"/>
        <w:left w:val="none" w:sz="0" w:space="0" w:color="auto"/>
        <w:bottom w:val="none" w:sz="0" w:space="0" w:color="auto"/>
        <w:right w:val="none" w:sz="0" w:space="0" w:color="auto"/>
      </w:divBdr>
    </w:div>
    <w:div w:id="1334450277">
      <w:marLeft w:val="0"/>
      <w:marRight w:val="0"/>
      <w:marTop w:val="0"/>
      <w:marBottom w:val="120"/>
      <w:divBdr>
        <w:top w:val="none" w:sz="0" w:space="0" w:color="auto"/>
        <w:left w:val="none" w:sz="0" w:space="0" w:color="auto"/>
        <w:bottom w:val="none" w:sz="0" w:space="0" w:color="auto"/>
        <w:right w:val="none" w:sz="0" w:space="0" w:color="auto"/>
      </w:divBdr>
    </w:div>
    <w:div w:id="1335962536">
      <w:marLeft w:val="0"/>
      <w:marRight w:val="0"/>
      <w:marTop w:val="0"/>
      <w:marBottom w:val="240"/>
      <w:divBdr>
        <w:top w:val="none" w:sz="0" w:space="0" w:color="auto"/>
        <w:left w:val="none" w:sz="0" w:space="0" w:color="auto"/>
        <w:bottom w:val="none" w:sz="0" w:space="0" w:color="auto"/>
        <w:right w:val="none" w:sz="0" w:space="0" w:color="auto"/>
      </w:divBdr>
    </w:div>
    <w:div w:id="1340545443">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240"/>
      <w:divBdr>
        <w:top w:val="none" w:sz="0" w:space="0" w:color="auto"/>
        <w:left w:val="none" w:sz="0" w:space="0" w:color="auto"/>
        <w:bottom w:val="none" w:sz="0" w:space="0" w:color="auto"/>
        <w:right w:val="none" w:sz="0" w:space="0" w:color="auto"/>
      </w:divBdr>
    </w:div>
    <w:div w:id="1350714681">
      <w:marLeft w:val="0"/>
      <w:marRight w:val="0"/>
      <w:marTop w:val="240"/>
      <w:marBottom w:val="240"/>
      <w:divBdr>
        <w:top w:val="none" w:sz="0" w:space="0" w:color="auto"/>
        <w:left w:val="none" w:sz="0" w:space="0" w:color="auto"/>
        <w:bottom w:val="none" w:sz="0" w:space="0" w:color="auto"/>
        <w:right w:val="none" w:sz="0" w:space="0" w:color="auto"/>
      </w:divBdr>
    </w:div>
    <w:div w:id="1353531758">
      <w:marLeft w:val="0"/>
      <w:marRight w:val="0"/>
      <w:marTop w:val="0"/>
      <w:marBottom w:val="0"/>
      <w:divBdr>
        <w:top w:val="none" w:sz="0" w:space="0" w:color="auto"/>
        <w:left w:val="none" w:sz="0" w:space="0" w:color="auto"/>
        <w:bottom w:val="none" w:sz="0" w:space="0" w:color="auto"/>
        <w:right w:val="none" w:sz="0" w:space="0" w:color="auto"/>
      </w:divBdr>
      <w:divsChild>
        <w:div w:id="43220496">
          <w:marLeft w:val="0"/>
          <w:marRight w:val="0"/>
          <w:marTop w:val="0"/>
          <w:marBottom w:val="0"/>
          <w:divBdr>
            <w:top w:val="none" w:sz="0" w:space="0" w:color="auto"/>
            <w:left w:val="none" w:sz="0" w:space="0" w:color="auto"/>
            <w:bottom w:val="none" w:sz="0" w:space="0" w:color="auto"/>
            <w:right w:val="none" w:sz="0" w:space="0" w:color="auto"/>
          </w:divBdr>
        </w:div>
      </w:divsChild>
    </w:div>
    <w:div w:id="1356728436">
      <w:marLeft w:val="0"/>
      <w:marRight w:val="0"/>
      <w:marTop w:val="0"/>
      <w:marBottom w:val="240"/>
      <w:divBdr>
        <w:top w:val="none" w:sz="0" w:space="0" w:color="auto"/>
        <w:left w:val="none" w:sz="0" w:space="0" w:color="auto"/>
        <w:bottom w:val="none" w:sz="0" w:space="0" w:color="auto"/>
        <w:right w:val="none" w:sz="0" w:space="0" w:color="auto"/>
      </w:divBdr>
    </w:div>
    <w:div w:id="1362901635">
      <w:marLeft w:val="0"/>
      <w:marRight w:val="0"/>
      <w:marTop w:val="240"/>
      <w:marBottom w:val="240"/>
      <w:divBdr>
        <w:top w:val="none" w:sz="0" w:space="0" w:color="auto"/>
        <w:left w:val="none" w:sz="0" w:space="0" w:color="auto"/>
        <w:bottom w:val="none" w:sz="0" w:space="0" w:color="auto"/>
        <w:right w:val="none" w:sz="0" w:space="0" w:color="auto"/>
      </w:divBdr>
    </w:div>
    <w:div w:id="1363287334">
      <w:marLeft w:val="0"/>
      <w:marRight w:val="0"/>
      <w:marTop w:val="0"/>
      <w:marBottom w:val="240"/>
      <w:divBdr>
        <w:top w:val="none" w:sz="0" w:space="0" w:color="auto"/>
        <w:left w:val="none" w:sz="0" w:space="0" w:color="auto"/>
        <w:bottom w:val="none" w:sz="0" w:space="0" w:color="auto"/>
        <w:right w:val="none" w:sz="0" w:space="0" w:color="auto"/>
      </w:divBdr>
    </w:div>
    <w:div w:id="1363826531">
      <w:marLeft w:val="0"/>
      <w:marRight w:val="0"/>
      <w:marTop w:val="0"/>
      <w:marBottom w:val="240"/>
      <w:divBdr>
        <w:top w:val="none" w:sz="0" w:space="0" w:color="auto"/>
        <w:left w:val="none" w:sz="0" w:space="0" w:color="auto"/>
        <w:bottom w:val="none" w:sz="0" w:space="0" w:color="auto"/>
        <w:right w:val="none" w:sz="0" w:space="0" w:color="auto"/>
      </w:divBdr>
    </w:div>
    <w:div w:id="1364481497">
      <w:marLeft w:val="0"/>
      <w:marRight w:val="0"/>
      <w:marTop w:val="0"/>
      <w:marBottom w:val="0"/>
      <w:divBdr>
        <w:top w:val="none" w:sz="0" w:space="0" w:color="auto"/>
        <w:left w:val="none" w:sz="0" w:space="0" w:color="auto"/>
        <w:bottom w:val="none" w:sz="0" w:space="0" w:color="auto"/>
        <w:right w:val="none" w:sz="0" w:space="0" w:color="auto"/>
      </w:divBdr>
    </w:div>
    <w:div w:id="1368607877">
      <w:marLeft w:val="0"/>
      <w:marRight w:val="0"/>
      <w:marTop w:val="0"/>
      <w:marBottom w:val="240"/>
      <w:divBdr>
        <w:top w:val="none" w:sz="0" w:space="0" w:color="auto"/>
        <w:left w:val="none" w:sz="0" w:space="0" w:color="auto"/>
        <w:bottom w:val="none" w:sz="0" w:space="0" w:color="auto"/>
        <w:right w:val="none" w:sz="0" w:space="0" w:color="auto"/>
      </w:divBdr>
    </w:div>
    <w:div w:id="1371417790">
      <w:marLeft w:val="0"/>
      <w:marRight w:val="0"/>
      <w:marTop w:val="0"/>
      <w:marBottom w:val="0"/>
      <w:divBdr>
        <w:top w:val="none" w:sz="0" w:space="0" w:color="auto"/>
        <w:left w:val="none" w:sz="0" w:space="0" w:color="auto"/>
        <w:bottom w:val="none" w:sz="0" w:space="0" w:color="auto"/>
        <w:right w:val="none" w:sz="0" w:space="0" w:color="auto"/>
      </w:divBdr>
    </w:div>
    <w:div w:id="1374844055">
      <w:marLeft w:val="0"/>
      <w:marRight w:val="0"/>
      <w:marTop w:val="240"/>
      <w:marBottom w:val="240"/>
      <w:divBdr>
        <w:top w:val="none" w:sz="0" w:space="0" w:color="auto"/>
        <w:left w:val="none" w:sz="0" w:space="0" w:color="auto"/>
        <w:bottom w:val="none" w:sz="0" w:space="0" w:color="auto"/>
        <w:right w:val="none" w:sz="0" w:space="0" w:color="auto"/>
      </w:divBdr>
    </w:div>
    <w:div w:id="1376352402">
      <w:marLeft w:val="0"/>
      <w:marRight w:val="0"/>
      <w:marTop w:val="0"/>
      <w:marBottom w:val="240"/>
      <w:divBdr>
        <w:top w:val="none" w:sz="0" w:space="0" w:color="auto"/>
        <w:left w:val="none" w:sz="0" w:space="0" w:color="auto"/>
        <w:bottom w:val="none" w:sz="0" w:space="0" w:color="auto"/>
        <w:right w:val="none" w:sz="0" w:space="0" w:color="auto"/>
      </w:divBdr>
    </w:div>
    <w:div w:id="1377048492">
      <w:marLeft w:val="0"/>
      <w:marRight w:val="0"/>
      <w:marTop w:val="0"/>
      <w:marBottom w:val="240"/>
      <w:divBdr>
        <w:top w:val="none" w:sz="0" w:space="0" w:color="auto"/>
        <w:left w:val="none" w:sz="0" w:space="0" w:color="auto"/>
        <w:bottom w:val="none" w:sz="0" w:space="0" w:color="auto"/>
        <w:right w:val="none" w:sz="0" w:space="0" w:color="auto"/>
      </w:divBdr>
    </w:div>
    <w:div w:id="1384019010">
      <w:marLeft w:val="0"/>
      <w:marRight w:val="0"/>
      <w:marTop w:val="240"/>
      <w:marBottom w:val="240"/>
      <w:divBdr>
        <w:top w:val="none" w:sz="0" w:space="0" w:color="auto"/>
        <w:left w:val="none" w:sz="0" w:space="0" w:color="auto"/>
        <w:bottom w:val="none" w:sz="0" w:space="0" w:color="auto"/>
        <w:right w:val="none" w:sz="0" w:space="0" w:color="auto"/>
      </w:divBdr>
    </w:div>
    <w:div w:id="1387333291">
      <w:marLeft w:val="0"/>
      <w:marRight w:val="0"/>
      <w:marTop w:val="0"/>
      <w:marBottom w:val="240"/>
      <w:divBdr>
        <w:top w:val="none" w:sz="0" w:space="0" w:color="auto"/>
        <w:left w:val="none" w:sz="0" w:space="0" w:color="auto"/>
        <w:bottom w:val="none" w:sz="0" w:space="0" w:color="auto"/>
        <w:right w:val="none" w:sz="0" w:space="0" w:color="auto"/>
      </w:divBdr>
    </w:div>
    <w:div w:id="1391731075">
      <w:marLeft w:val="0"/>
      <w:marRight w:val="0"/>
      <w:marTop w:val="0"/>
      <w:marBottom w:val="240"/>
      <w:divBdr>
        <w:top w:val="none" w:sz="0" w:space="0" w:color="auto"/>
        <w:left w:val="none" w:sz="0" w:space="0" w:color="auto"/>
        <w:bottom w:val="none" w:sz="0" w:space="0" w:color="auto"/>
        <w:right w:val="none" w:sz="0" w:space="0" w:color="auto"/>
      </w:divBdr>
    </w:div>
    <w:div w:id="1399598967">
      <w:marLeft w:val="0"/>
      <w:marRight w:val="0"/>
      <w:marTop w:val="0"/>
      <w:marBottom w:val="0"/>
      <w:divBdr>
        <w:top w:val="none" w:sz="0" w:space="0" w:color="auto"/>
        <w:left w:val="none" w:sz="0" w:space="0" w:color="auto"/>
        <w:bottom w:val="none" w:sz="0" w:space="0" w:color="auto"/>
        <w:right w:val="none" w:sz="0" w:space="0" w:color="auto"/>
      </w:divBdr>
      <w:divsChild>
        <w:div w:id="368530437">
          <w:marLeft w:val="0"/>
          <w:marRight w:val="0"/>
          <w:marTop w:val="0"/>
          <w:marBottom w:val="0"/>
          <w:divBdr>
            <w:top w:val="none" w:sz="0" w:space="0" w:color="auto"/>
            <w:left w:val="none" w:sz="0" w:space="0" w:color="auto"/>
            <w:bottom w:val="none" w:sz="0" w:space="0" w:color="auto"/>
            <w:right w:val="none" w:sz="0" w:space="0" w:color="auto"/>
          </w:divBdr>
        </w:div>
      </w:divsChild>
    </w:div>
    <w:div w:id="1402100694">
      <w:marLeft w:val="0"/>
      <w:marRight w:val="0"/>
      <w:marTop w:val="60"/>
      <w:marBottom w:val="0"/>
      <w:divBdr>
        <w:top w:val="none" w:sz="0" w:space="0" w:color="auto"/>
        <w:left w:val="none" w:sz="0" w:space="0" w:color="auto"/>
        <w:bottom w:val="none" w:sz="0" w:space="0" w:color="auto"/>
        <w:right w:val="none" w:sz="0" w:space="0" w:color="auto"/>
      </w:divBdr>
    </w:div>
    <w:div w:id="1406533697">
      <w:marLeft w:val="0"/>
      <w:marRight w:val="0"/>
      <w:marTop w:val="240"/>
      <w:marBottom w:val="240"/>
      <w:divBdr>
        <w:top w:val="none" w:sz="0" w:space="0" w:color="auto"/>
        <w:left w:val="none" w:sz="0" w:space="0" w:color="auto"/>
        <w:bottom w:val="none" w:sz="0" w:space="0" w:color="auto"/>
        <w:right w:val="none" w:sz="0" w:space="0" w:color="auto"/>
      </w:divBdr>
    </w:div>
    <w:div w:id="1411346989">
      <w:marLeft w:val="0"/>
      <w:marRight w:val="0"/>
      <w:marTop w:val="0"/>
      <w:marBottom w:val="240"/>
      <w:divBdr>
        <w:top w:val="none" w:sz="0" w:space="0" w:color="auto"/>
        <w:left w:val="none" w:sz="0" w:space="0" w:color="auto"/>
        <w:bottom w:val="none" w:sz="0" w:space="0" w:color="auto"/>
        <w:right w:val="none" w:sz="0" w:space="0" w:color="auto"/>
      </w:divBdr>
    </w:div>
    <w:div w:id="1411807764">
      <w:marLeft w:val="0"/>
      <w:marRight w:val="0"/>
      <w:marTop w:val="0"/>
      <w:marBottom w:val="240"/>
      <w:divBdr>
        <w:top w:val="none" w:sz="0" w:space="0" w:color="auto"/>
        <w:left w:val="none" w:sz="0" w:space="0" w:color="auto"/>
        <w:bottom w:val="none" w:sz="0" w:space="0" w:color="auto"/>
        <w:right w:val="none" w:sz="0" w:space="0" w:color="auto"/>
      </w:divBdr>
    </w:div>
    <w:div w:id="1413237566">
      <w:marLeft w:val="0"/>
      <w:marRight w:val="0"/>
      <w:marTop w:val="0"/>
      <w:marBottom w:val="0"/>
      <w:divBdr>
        <w:top w:val="none" w:sz="0" w:space="0" w:color="auto"/>
        <w:left w:val="none" w:sz="0" w:space="0" w:color="auto"/>
        <w:bottom w:val="none" w:sz="0" w:space="0" w:color="auto"/>
        <w:right w:val="none" w:sz="0" w:space="0" w:color="auto"/>
      </w:divBdr>
    </w:div>
    <w:div w:id="1422029131">
      <w:marLeft w:val="0"/>
      <w:marRight w:val="0"/>
      <w:marTop w:val="0"/>
      <w:marBottom w:val="0"/>
      <w:divBdr>
        <w:top w:val="none" w:sz="0" w:space="0" w:color="auto"/>
        <w:left w:val="none" w:sz="0" w:space="0" w:color="auto"/>
        <w:bottom w:val="none" w:sz="0" w:space="0" w:color="auto"/>
        <w:right w:val="none" w:sz="0" w:space="0" w:color="auto"/>
      </w:divBdr>
      <w:divsChild>
        <w:div w:id="596671812">
          <w:marLeft w:val="0"/>
          <w:marRight w:val="0"/>
          <w:marTop w:val="0"/>
          <w:marBottom w:val="0"/>
          <w:divBdr>
            <w:top w:val="none" w:sz="0" w:space="0" w:color="auto"/>
            <w:left w:val="none" w:sz="0" w:space="0" w:color="auto"/>
            <w:bottom w:val="none" w:sz="0" w:space="0" w:color="auto"/>
            <w:right w:val="none" w:sz="0" w:space="0" w:color="auto"/>
          </w:divBdr>
        </w:div>
      </w:divsChild>
    </w:div>
    <w:div w:id="1428888283">
      <w:marLeft w:val="0"/>
      <w:marRight w:val="0"/>
      <w:marTop w:val="0"/>
      <w:marBottom w:val="240"/>
      <w:divBdr>
        <w:top w:val="none" w:sz="0" w:space="0" w:color="auto"/>
        <w:left w:val="none" w:sz="0" w:space="0" w:color="auto"/>
        <w:bottom w:val="none" w:sz="0" w:space="0" w:color="auto"/>
        <w:right w:val="none" w:sz="0" w:space="0" w:color="auto"/>
      </w:divBdr>
    </w:div>
    <w:div w:id="1432241205">
      <w:marLeft w:val="0"/>
      <w:marRight w:val="0"/>
      <w:marTop w:val="0"/>
      <w:marBottom w:val="200"/>
      <w:divBdr>
        <w:top w:val="none" w:sz="0" w:space="0" w:color="auto"/>
        <w:left w:val="none" w:sz="0" w:space="0" w:color="auto"/>
        <w:bottom w:val="none" w:sz="0" w:space="0" w:color="auto"/>
        <w:right w:val="none" w:sz="0" w:space="0" w:color="auto"/>
      </w:divBdr>
    </w:div>
    <w:div w:id="1435445251">
      <w:marLeft w:val="0"/>
      <w:marRight w:val="0"/>
      <w:marTop w:val="0"/>
      <w:marBottom w:val="0"/>
      <w:divBdr>
        <w:top w:val="none" w:sz="0" w:space="0" w:color="auto"/>
        <w:left w:val="none" w:sz="0" w:space="0" w:color="auto"/>
        <w:bottom w:val="none" w:sz="0" w:space="0" w:color="auto"/>
        <w:right w:val="none" w:sz="0" w:space="0" w:color="auto"/>
      </w:divBdr>
    </w:div>
    <w:div w:id="1437602073">
      <w:marLeft w:val="0"/>
      <w:marRight w:val="0"/>
      <w:marTop w:val="0"/>
      <w:marBottom w:val="0"/>
      <w:divBdr>
        <w:top w:val="none" w:sz="0" w:space="0" w:color="auto"/>
        <w:left w:val="none" w:sz="0" w:space="0" w:color="auto"/>
        <w:bottom w:val="none" w:sz="0" w:space="0" w:color="auto"/>
        <w:right w:val="none" w:sz="0" w:space="0" w:color="auto"/>
      </w:divBdr>
      <w:divsChild>
        <w:div w:id="1604875608">
          <w:marLeft w:val="0"/>
          <w:marRight w:val="0"/>
          <w:marTop w:val="0"/>
          <w:marBottom w:val="0"/>
          <w:divBdr>
            <w:top w:val="none" w:sz="0" w:space="0" w:color="auto"/>
            <w:left w:val="none" w:sz="0" w:space="0" w:color="auto"/>
            <w:bottom w:val="none" w:sz="0" w:space="0" w:color="auto"/>
            <w:right w:val="none" w:sz="0" w:space="0" w:color="auto"/>
          </w:divBdr>
        </w:div>
      </w:divsChild>
    </w:div>
    <w:div w:id="1439372495">
      <w:marLeft w:val="0"/>
      <w:marRight w:val="0"/>
      <w:marTop w:val="0"/>
      <w:marBottom w:val="240"/>
      <w:divBdr>
        <w:top w:val="none" w:sz="0" w:space="0" w:color="auto"/>
        <w:left w:val="none" w:sz="0" w:space="0" w:color="auto"/>
        <w:bottom w:val="none" w:sz="0" w:space="0" w:color="auto"/>
        <w:right w:val="none" w:sz="0" w:space="0" w:color="auto"/>
      </w:divBdr>
    </w:div>
    <w:div w:id="1442069397">
      <w:marLeft w:val="0"/>
      <w:marRight w:val="0"/>
      <w:marTop w:val="0"/>
      <w:marBottom w:val="240"/>
      <w:divBdr>
        <w:top w:val="none" w:sz="0" w:space="0" w:color="auto"/>
        <w:left w:val="none" w:sz="0" w:space="0" w:color="auto"/>
        <w:bottom w:val="none" w:sz="0" w:space="0" w:color="auto"/>
        <w:right w:val="none" w:sz="0" w:space="0" w:color="auto"/>
      </w:divBdr>
    </w:div>
    <w:div w:id="1453396885">
      <w:marLeft w:val="0"/>
      <w:marRight w:val="0"/>
      <w:marTop w:val="0"/>
      <w:marBottom w:val="240"/>
      <w:divBdr>
        <w:top w:val="none" w:sz="0" w:space="0" w:color="auto"/>
        <w:left w:val="none" w:sz="0" w:space="0" w:color="auto"/>
        <w:bottom w:val="none" w:sz="0" w:space="0" w:color="auto"/>
        <w:right w:val="none" w:sz="0" w:space="0" w:color="auto"/>
      </w:divBdr>
    </w:div>
    <w:div w:id="1453592786">
      <w:marLeft w:val="0"/>
      <w:marRight w:val="0"/>
      <w:marTop w:val="0"/>
      <w:marBottom w:val="240"/>
      <w:divBdr>
        <w:top w:val="none" w:sz="0" w:space="0" w:color="auto"/>
        <w:left w:val="none" w:sz="0" w:space="0" w:color="auto"/>
        <w:bottom w:val="none" w:sz="0" w:space="0" w:color="auto"/>
        <w:right w:val="none" w:sz="0" w:space="0" w:color="auto"/>
      </w:divBdr>
    </w:div>
    <w:div w:id="1458141863">
      <w:marLeft w:val="0"/>
      <w:marRight w:val="0"/>
      <w:marTop w:val="0"/>
      <w:marBottom w:val="0"/>
      <w:divBdr>
        <w:top w:val="none" w:sz="0" w:space="0" w:color="auto"/>
        <w:left w:val="none" w:sz="0" w:space="0" w:color="auto"/>
        <w:bottom w:val="none" w:sz="0" w:space="0" w:color="auto"/>
        <w:right w:val="none" w:sz="0" w:space="0" w:color="auto"/>
      </w:divBdr>
      <w:divsChild>
        <w:div w:id="1838879217">
          <w:marLeft w:val="0"/>
          <w:marRight w:val="0"/>
          <w:marTop w:val="0"/>
          <w:marBottom w:val="0"/>
          <w:divBdr>
            <w:top w:val="none" w:sz="0" w:space="0" w:color="auto"/>
            <w:left w:val="none" w:sz="0" w:space="0" w:color="auto"/>
            <w:bottom w:val="none" w:sz="0" w:space="0" w:color="auto"/>
            <w:right w:val="none" w:sz="0" w:space="0" w:color="auto"/>
          </w:divBdr>
        </w:div>
      </w:divsChild>
    </w:div>
    <w:div w:id="1458455179">
      <w:marLeft w:val="0"/>
      <w:marRight w:val="0"/>
      <w:marTop w:val="0"/>
      <w:marBottom w:val="0"/>
      <w:divBdr>
        <w:top w:val="none" w:sz="0" w:space="0" w:color="auto"/>
        <w:left w:val="none" w:sz="0" w:space="0" w:color="auto"/>
        <w:bottom w:val="none" w:sz="0" w:space="0" w:color="auto"/>
        <w:right w:val="none" w:sz="0" w:space="0" w:color="auto"/>
      </w:divBdr>
      <w:divsChild>
        <w:div w:id="1873106779">
          <w:marLeft w:val="0"/>
          <w:marRight w:val="0"/>
          <w:marTop w:val="0"/>
          <w:marBottom w:val="0"/>
          <w:divBdr>
            <w:top w:val="none" w:sz="0" w:space="0" w:color="auto"/>
            <w:left w:val="none" w:sz="0" w:space="0" w:color="auto"/>
            <w:bottom w:val="none" w:sz="0" w:space="0" w:color="auto"/>
            <w:right w:val="none" w:sz="0" w:space="0" w:color="auto"/>
          </w:divBdr>
        </w:div>
      </w:divsChild>
    </w:div>
    <w:div w:id="1462381932">
      <w:marLeft w:val="0"/>
      <w:marRight w:val="0"/>
      <w:marTop w:val="0"/>
      <w:marBottom w:val="0"/>
      <w:divBdr>
        <w:top w:val="none" w:sz="0" w:space="0" w:color="auto"/>
        <w:left w:val="none" w:sz="0" w:space="0" w:color="auto"/>
        <w:bottom w:val="none" w:sz="0" w:space="0" w:color="auto"/>
        <w:right w:val="none" w:sz="0" w:space="0" w:color="auto"/>
      </w:divBdr>
    </w:div>
    <w:div w:id="1462655200">
      <w:marLeft w:val="0"/>
      <w:marRight w:val="0"/>
      <w:marTop w:val="240"/>
      <w:marBottom w:val="0"/>
      <w:divBdr>
        <w:top w:val="none" w:sz="0" w:space="0" w:color="auto"/>
        <w:left w:val="none" w:sz="0" w:space="0" w:color="auto"/>
        <w:bottom w:val="none" w:sz="0" w:space="0" w:color="auto"/>
        <w:right w:val="none" w:sz="0" w:space="0" w:color="auto"/>
      </w:divBdr>
    </w:div>
    <w:div w:id="1464157576">
      <w:marLeft w:val="0"/>
      <w:marRight w:val="0"/>
      <w:marTop w:val="240"/>
      <w:marBottom w:val="240"/>
      <w:divBdr>
        <w:top w:val="none" w:sz="0" w:space="0" w:color="auto"/>
        <w:left w:val="none" w:sz="0" w:space="0" w:color="auto"/>
        <w:bottom w:val="none" w:sz="0" w:space="0" w:color="auto"/>
        <w:right w:val="none" w:sz="0" w:space="0" w:color="auto"/>
      </w:divBdr>
    </w:div>
    <w:div w:id="1472089950">
      <w:marLeft w:val="0"/>
      <w:marRight w:val="0"/>
      <w:marTop w:val="0"/>
      <w:marBottom w:val="240"/>
      <w:divBdr>
        <w:top w:val="none" w:sz="0" w:space="0" w:color="auto"/>
        <w:left w:val="none" w:sz="0" w:space="0" w:color="auto"/>
        <w:bottom w:val="none" w:sz="0" w:space="0" w:color="auto"/>
        <w:right w:val="none" w:sz="0" w:space="0" w:color="auto"/>
      </w:divBdr>
    </w:div>
    <w:div w:id="1473790157">
      <w:marLeft w:val="0"/>
      <w:marRight w:val="0"/>
      <w:marTop w:val="0"/>
      <w:marBottom w:val="0"/>
      <w:divBdr>
        <w:top w:val="none" w:sz="0" w:space="0" w:color="auto"/>
        <w:left w:val="none" w:sz="0" w:space="0" w:color="auto"/>
        <w:bottom w:val="none" w:sz="0" w:space="0" w:color="auto"/>
        <w:right w:val="none" w:sz="0" w:space="0" w:color="auto"/>
      </w:divBdr>
    </w:div>
    <w:div w:id="1481074743">
      <w:marLeft w:val="0"/>
      <w:marRight w:val="0"/>
      <w:marTop w:val="0"/>
      <w:marBottom w:val="240"/>
      <w:divBdr>
        <w:top w:val="none" w:sz="0" w:space="0" w:color="auto"/>
        <w:left w:val="none" w:sz="0" w:space="0" w:color="auto"/>
        <w:bottom w:val="none" w:sz="0" w:space="0" w:color="auto"/>
        <w:right w:val="none" w:sz="0" w:space="0" w:color="auto"/>
      </w:divBdr>
    </w:div>
    <w:div w:id="1485926696">
      <w:marLeft w:val="0"/>
      <w:marRight w:val="0"/>
      <w:marTop w:val="0"/>
      <w:marBottom w:val="0"/>
      <w:divBdr>
        <w:top w:val="none" w:sz="0" w:space="0" w:color="auto"/>
        <w:left w:val="none" w:sz="0" w:space="0" w:color="auto"/>
        <w:bottom w:val="none" w:sz="0" w:space="0" w:color="auto"/>
        <w:right w:val="none" w:sz="0" w:space="0" w:color="auto"/>
      </w:divBdr>
    </w:div>
    <w:div w:id="1490945428">
      <w:marLeft w:val="0"/>
      <w:marRight w:val="0"/>
      <w:marTop w:val="0"/>
      <w:marBottom w:val="240"/>
      <w:divBdr>
        <w:top w:val="none" w:sz="0" w:space="0" w:color="auto"/>
        <w:left w:val="none" w:sz="0" w:space="0" w:color="auto"/>
        <w:bottom w:val="none" w:sz="0" w:space="0" w:color="auto"/>
        <w:right w:val="none" w:sz="0" w:space="0" w:color="auto"/>
      </w:divBdr>
    </w:div>
    <w:div w:id="1491871498">
      <w:marLeft w:val="0"/>
      <w:marRight w:val="0"/>
      <w:marTop w:val="0"/>
      <w:marBottom w:val="0"/>
      <w:divBdr>
        <w:top w:val="none" w:sz="0" w:space="0" w:color="auto"/>
        <w:left w:val="none" w:sz="0" w:space="0" w:color="auto"/>
        <w:bottom w:val="none" w:sz="0" w:space="0" w:color="auto"/>
        <w:right w:val="none" w:sz="0" w:space="0" w:color="auto"/>
      </w:divBdr>
    </w:div>
    <w:div w:id="1500534440">
      <w:marLeft w:val="0"/>
      <w:marRight w:val="0"/>
      <w:marTop w:val="0"/>
      <w:marBottom w:val="0"/>
      <w:divBdr>
        <w:top w:val="none" w:sz="0" w:space="0" w:color="auto"/>
        <w:left w:val="none" w:sz="0" w:space="0" w:color="auto"/>
        <w:bottom w:val="none" w:sz="0" w:space="0" w:color="auto"/>
        <w:right w:val="none" w:sz="0" w:space="0" w:color="auto"/>
      </w:divBdr>
      <w:divsChild>
        <w:div w:id="705909988">
          <w:marLeft w:val="0"/>
          <w:marRight w:val="0"/>
          <w:marTop w:val="0"/>
          <w:marBottom w:val="0"/>
          <w:divBdr>
            <w:top w:val="none" w:sz="0" w:space="0" w:color="auto"/>
            <w:left w:val="none" w:sz="0" w:space="0" w:color="auto"/>
            <w:bottom w:val="none" w:sz="0" w:space="0" w:color="auto"/>
            <w:right w:val="none" w:sz="0" w:space="0" w:color="auto"/>
          </w:divBdr>
        </w:div>
      </w:divsChild>
    </w:div>
    <w:div w:id="1506168650">
      <w:marLeft w:val="0"/>
      <w:marRight w:val="0"/>
      <w:marTop w:val="0"/>
      <w:marBottom w:val="0"/>
      <w:divBdr>
        <w:top w:val="none" w:sz="0" w:space="0" w:color="auto"/>
        <w:left w:val="none" w:sz="0" w:space="0" w:color="auto"/>
        <w:bottom w:val="none" w:sz="0" w:space="0" w:color="auto"/>
        <w:right w:val="none" w:sz="0" w:space="0" w:color="auto"/>
      </w:divBdr>
      <w:divsChild>
        <w:div w:id="288440373">
          <w:marLeft w:val="0"/>
          <w:marRight w:val="0"/>
          <w:marTop w:val="0"/>
          <w:marBottom w:val="0"/>
          <w:divBdr>
            <w:top w:val="none" w:sz="0" w:space="0" w:color="auto"/>
            <w:left w:val="none" w:sz="0" w:space="0" w:color="auto"/>
            <w:bottom w:val="none" w:sz="0" w:space="0" w:color="auto"/>
            <w:right w:val="none" w:sz="0" w:space="0" w:color="auto"/>
          </w:divBdr>
        </w:div>
      </w:divsChild>
    </w:div>
    <w:div w:id="1507285265">
      <w:marLeft w:val="0"/>
      <w:marRight w:val="0"/>
      <w:marTop w:val="0"/>
      <w:marBottom w:val="240"/>
      <w:divBdr>
        <w:top w:val="none" w:sz="0" w:space="0" w:color="auto"/>
        <w:left w:val="none" w:sz="0" w:space="0" w:color="auto"/>
        <w:bottom w:val="none" w:sz="0" w:space="0" w:color="auto"/>
        <w:right w:val="none" w:sz="0" w:space="0" w:color="auto"/>
      </w:divBdr>
    </w:div>
    <w:div w:id="1508715604">
      <w:marLeft w:val="0"/>
      <w:marRight w:val="0"/>
      <w:marTop w:val="0"/>
      <w:marBottom w:val="240"/>
      <w:divBdr>
        <w:top w:val="none" w:sz="0" w:space="0" w:color="auto"/>
        <w:left w:val="none" w:sz="0" w:space="0" w:color="auto"/>
        <w:bottom w:val="none" w:sz="0" w:space="0" w:color="auto"/>
        <w:right w:val="none" w:sz="0" w:space="0" w:color="auto"/>
      </w:divBdr>
    </w:div>
    <w:div w:id="1509365290">
      <w:marLeft w:val="0"/>
      <w:marRight w:val="0"/>
      <w:marTop w:val="0"/>
      <w:marBottom w:val="0"/>
      <w:divBdr>
        <w:top w:val="none" w:sz="0" w:space="0" w:color="auto"/>
        <w:left w:val="none" w:sz="0" w:space="0" w:color="auto"/>
        <w:bottom w:val="none" w:sz="0" w:space="0" w:color="auto"/>
        <w:right w:val="none" w:sz="0" w:space="0" w:color="auto"/>
      </w:divBdr>
      <w:divsChild>
        <w:div w:id="971715707">
          <w:marLeft w:val="0"/>
          <w:marRight w:val="0"/>
          <w:marTop w:val="0"/>
          <w:marBottom w:val="0"/>
          <w:divBdr>
            <w:top w:val="none" w:sz="0" w:space="0" w:color="auto"/>
            <w:left w:val="none" w:sz="0" w:space="0" w:color="auto"/>
            <w:bottom w:val="none" w:sz="0" w:space="0" w:color="auto"/>
            <w:right w:val="none" w:sz="0" w:space="0" w:color="auto"/>
          </w:divBdr>
        </w:div>
      </w:divsChild>
    </w:div>
    <w:div w:id="1509444924">
      <w:marLeft w:val="0"/>
      <w:marRight w:val="0"/>
      <w:marTop w:val="0"/>
      <w:marBottom w:val="0"/>
      <w:divBdr>
        <w:top w:val="none" w:sz="0" w:space="0" w:color="auto"/>
        <w:left w:val="none" w:sz="0" w:space="0" w:color="auto"/>
        <w:bottom w:val="none" w:sz="0" w:space="0" w:color="auto"/>
        <w:right w:val="none" w:sz="0" w:space="0" w:color="auto"/>
      </w:divBdr>
      <w:divsChild>
        <w:div w:id="1360204310">
          <w:marLeft w:val="0"/>
          <w:marRight w:val="0"/>
          <w:marTop w:val="0"/>
          <w:marBottom w:val="0"/>
          <w:divBdr>
            <w:top w:val="none" w:sz="0" w:space="0" w:color="auto"/>
            <w:left w:val="none" w:sz="0" w:space="0" w:color="auto"/>
            <w:bottom w:val="none" w:sz="0" w:space="0" w:color="auto"/>
            <w:right w:val="none" w:sz="0" w:space="0" w:color="auto"/>
          </w:divBdr>
        </w:div>
      </w:divsChild>
    </w:div>
    <w:div w:id="1511215797">
      <w:marLeft w:val="0"/>
      <w:marRight w:val="0"/>
      <w:marTop w:val="240"/>
      <w:marBottom w:val="120"/>
      <w:divBdr>
        <w:top w:val="none" w:sz="0" w:space="0" w:color="auto"/>
        <w:left w:val="none" w:sz="0" w:space="0" w:color="auto"/>
        <w:bottom w:val="none" w:sz="0" w:space="0" w:color="auto"/>
        <w:right w:val="none" w:sz="0" w:space="0" w:color="auto"/>
      </w:divBdr>
    </w:div>
    <w:div w:id="1513645349">
      <w:marLeft w:val="0"/>
      <w:marRight w:val="0"/>
      <w:marTop w:val="0"/>
      <w:marBottom w:val="240"/>
      <w:divBdr>
        <w:top w:val="none" w:sz="0" w:space="0" w:color="auto"/>
        <w:left w:val="none" w:sz="0" w:space="0" w:color="auto"/>
        <w:bottom w:val="none" w:sz="0" w:space="0" w:color="auto"/>
        <w:right w:val="none" w:sz="0" w:space="0" w:color="auto"/>
      </w:divBdr>
    </w:div>
    <w:div w:id="1515726518">
      <w:marLeft w:val="0"/>
      <w:marRight w:val="0"/>
      <w:marTop w:val="0"/>
      <w:marBottom w:val="240"/>
      <w:divBdr>
        <w:top w:val="none" w:sz="0" w:space="0" w:color="auto"/>
        <w:left w:val="none" w:sz="0" w:space="0" w:color="auto"/>
        <w:bottom w:val="none" w:sz="0" w:space="0" w:color="auto"/>
        <w:right w:val="none" w:sz="0" w:space="0" w:color="auto"/>
      </w:divBdr>
    </w:div>
    <w:div w:id="1521309530">
      <w:marLeft w:val="0"/>
      <w:marRight w:val="0"/>
      <w:marTop w:val="0"/>
      <w:marBottom w:val="240"/>
      <w:divBdr>
        <w:top w:val="none" w:sz="0" w:space="0" w:color="auto"/>
        <w:left w:val="none" w:sz="0" w:space="0" w:color="auto"/>
        <w:bottom w:val="none" w:sz="0" w:space="0" w:color="auto"/>
        <w:right w:val="none" w:sz="0" w:space="0" w:color="auto"/>
      </w:divBdr>
    </w:div>
    <w:div w:id="1526334621">
      <w:marLeft w:val="0"/>
      <w:marRight w:val="0"/>
      <w:marTop w:val="0"/>
      <w:marBottom w:val="0"/>
      <w:divBdr>
        <w:top w:val="none" w:sz="0" w:space="0" w:color="auto"/>
        <w:left w:val="none" w:sz="0" w:space="0" w:color="auto"/>
        <w:bottom w:val="none" w:sz="0" w:space="0" w:color="auto"/>
        <w:right w:val="none" w:sz="0" w:space="0" w:color="auto"/>
      </w:divBdr>
      <w:divsChild>
        <w:div w:id="1332680401">
          <w:marLeft w:val="0"/>
          <w:marRight w:val="0"/>
          <w:marTop w:val="0"/>
          <w:marBottom w:val="0"/>
          <w:divBdr>
            <w:top w:val="none" w:sz="0" w:space="0" w:color="auto"/>
            <w:left w:val="none" w:sz="0" w:space="0" w:color="auto"/>
            <w:bottom w:val="none" w:sz="0" w:space="0" w:color="auto"/>
            <w:right w:val="none" w:sz="0" w:space="0" w:color="auto"/>
          </w:divBdr>
        </w:div>
      </w:divsChild>
    </w:div>
    <w:div w:id="1530751490">
      <w:marLeft w:val="0"/>
      <w:marRight w:val="0"/>
      <w:marTop w:val="240"/>
      <w:marBottom w:val="0"/>
      <w:divBdr>
        <w:top w:val="none" w:sz="0" w:space="0" w:color="auto"/>
        <w:left w:val="none" w:sz="0" w:space="0" w:color="auto"/>
        <w:bottom w:val="none" w:sz="0" w:space="0" w:color="auto"/>
        <w:right w:val="none" w:sz="0" w:space="0" w:color="auto"/>
      </w:divBdr>
    </w:div>
    <w:div w:id="1538540163">
      <w:marLeft w:val="0"/>
      <w:marRight w:val="0"/>
      <w:marTop w:val="0"/>
      <w:marBottom w:val="0"/>
      <w:divBdr>
        <w:top w:val="none" w:sz="0" w:space="0" w:color="auto"/>
        <w:left w:val="none" w:sz="0" w:space="0" w:color="auto"/>
        <w:bottom w:val="none" w:sz="0" w:space="0" w:color="auto"/>
        <w:right w:val="none" w:sz="0" w:space="0" w:color="auto"/>
      </w:divBdr>
      <w:divsChild>
        <w:div w:id="1092045955">
          <w:marLeft w:val="0"/>
          <w:marRight w:val="0"/>
          <w:marTop w:val="0"/>
          <w:marBottom w:val="0"/>
          <w:divBdr>
            <w:top w:val="none" w:sz="0" w:space="0" w:color="auto"/>
            <w:left w:val="none" w:sz="0" w:space="0" w:color="auto"/>
            <w:bottom w:val="none" w:sz="0" w:space="0" w:color="auto"/>
            <w:right w:val="none" w:sz="0" w:space="0" w:color="auto"/>
          </w:divBdr>
        </w:div>
      </w:divsChild>
    </w:div>
    <w:div w:id="1543443519">
      <w:marLeft w:val="0"/>
      <w:marRight w:val="0"/>
      <w:marTop w:val="60"/>
      <w:marBottom w:val="0"/>
      <w:divBdr>
        <w:top w:val="none" w:sz="0" w:space="0" w:color="auto"/>
        <w:left w:val="none" w:sz="0" w:space="0" w:color="auto"/>
        <w:bottom w:val="none" w:sz="0" w:space="0" w:color="auto"/>
        <w:right w:val="none" w:sz="0" w:space="0" w:color="auto"/>
      </w:divBdr>
    </w:div>
    <w:div w:id="1551503161">
      <w:marLeft w:val="0"/>
      <w:marRight w:val="0"/>
      <w:marTop w:val="0"/>
      <w:marBottom w:val="0"/>
      <w:divBdr>
        <w:top w:val="none" w:sz="0" w:space="0" w:color="auto"/>
        <w:left w:val="none" w:sz="0" w:space="0" w:color="auto"/>
        <w:bottom w:val="none" w:sz="0" w:space="0" w:color="auto"/>
        <w:right w:val="none" w:sz="0" w:space="0" w:color="auto"/>
      </w:divBdr>
      <w:divsChild>
        <w:div w:id="372926220">
          <w:marLeft w:val="0"/>
          <w:marRight w:val="0"/>
          <w:marTop w:val="0"/>
          <w:marBottom w:val="0"/>
          <w:divBdr>
            <w:top w:val="none" w:sz="0" w:space="0" w:color="auto"/>
            <w:left w:val="none" w:sz="0" w:space="0" w:color="auto"/>
            <w:bottom w:val="none" w:sz="0" w:space="0" w:color="auto"/>
            <w:right w:val="none" w:sz="0" w:space="0" w:color="auto"/>
          </w:divBdr>
        </w:div>
      </w:divsChild>
    </w:div>
    <w:div w:id="1567300671">
      <w:marLeft w:val="0"/>
      <w:marRight w:val="0"/>
      <w:marTop w:val="0"/>
      <w:marBottom w:val="0"/>
      <w:divBdr>
        <w:top w:val="none" w:sz="0" w:space="0" w:color="auto"/>
        <w:left w:val="none" w:sz="0" w:space="0" w:color="auto"/>
        <w:bottom w:val="none" w:sz="0" w:space="0" w:color="auto"/>
        <w:right w:val="none" w:sz="0" w:space="0" w:color="auto"/>
      </w:divBdr>
    </w:div>
    <w:div w:id="1574311486">
      <w:marLeft w:val="0"/>
      <w:marRight w:val="0"/>
      <w:marTop w:val="240"/>
      <w:marBottom w:val="240"/>
      <w:divBdr>
        <w:top w:val="none" w:sz="0" w:space="0" w:color="auto"/>
        <w:left w:val="none" w:sz="0" w:space="0" w:color="auto"/>
        <w:bottom w:val="none" w:sz="0" w:space="0" w:color="auto"/>
        <w:right w:val="none" w:sz="0" w:space="0" w:color="auto"/>
      </w:divBdr>
    </w:div>
    <w:div w:id="1580601834">
      <w:marLeft w:val="0"/>
      <w:marRight w:val="0"/>
      <w:marTop w:val="240"/>
      <w:marBottom w:val="240"/>
      <w:divBdr>
        <w:top w:val="none" w:sz="0" w:space="0" w:color="auto"/>
        <w:left w:val="none" w:sz="0" w:space="0" w:color="auto"/>
        <w:bottom w:val="none" w:sz="0" w:space="0" w:color="auto"/>
        <w:right w:val="none" w:sz="0" w:space="0" w:color="auto"/>
      </w:divBdr>
    </w:div>
    <w:div w:id="1581215224">
      <w:marLeft w:val="0"/>
      <w:marRight w:val="0"/>
      <w:marTop w:val="0"/>
      <w:marBottom w:val="240"/>
      <w:divBdr>
        <w:top w:val="none" w:sz="0" w:space="0" w:color="auto"/>
        <w:left w:val="none" w:sz="0" w:space="0" w:color="auto"/>
        <w:bottom w:val="none" w:sz="0" w:space="0" w:color="auto"/>
        <w:right w:val="none" w:sz="0" w:space="0" w:color="auto"/>
      </w:divBdr>
    </w:div>
    <w:div w:id="1583375586">
      <w:marLeft w:val="0"/>
      <w:marRight w:val="0"/>
      <w:marTop w:val="0"/>
      <w:marBottom w:val="0"/>
      <w:divBdr>
        <w:top w:val="none" w:sz="0" w:space="0" w:color="auto"/>
        <w:left w:val="none" w:sz="0" w:space="0" w:color="auto"/>
        <w:bottom w:val="none" w:sz="0" w:space="0" w:color="auto"/>
        <w:right w:val="none" w:sz="0" w:space="0" w:color="auto"/>
      </w:divBdr>
    </w:div>
    <w:div w:id="1583832286">
      <w:marLeft w:val="0"/>
      <w:marRight w:val="0"/>
      <w:marTop w:val="0"/>
      <w:marBottom w:val="240"/>
      <w:divBdr>
        <w:top w:val="none" w:sz="0" w:space="0" w:color="auto"/>
        <w:left w:val="none" w:sz="0" w:space="0" w:color="auto"/>
        <w:bottom w:val="none" w:sz="0" w:space="0" w:color="auto"/>
        <w:right w:val="none" w:sz="0" w:space="0" w:color="auto"/>
      </w:divBdr>
    </w:div>
    <w:div w:id="1587494123">
      <w:marLeft w:val="0"/>
      <w:marRight w:val="0"/>
      <w:marTop w:val="0"/>
      <w:marBottom w:val="240"/>
      <w:divBdr>
        <w:top w:val="none" w:sz="0" w:space="0" w:color="auto"/>
        <w:left w:val="none" w:sz="0" w:space="0" w:color="auto"/>
        <w:bottom w:val="none" w:sz="0" w:space="0" w:color="auto"/>
        <w:right w:val="none" w:sz="0" w:space="0" w:color="auto"/>
      </w:divBdr>
    </w:div>
    <w:div w:id="1590772614">
      <w:marLeft w:val="0"/>
      <w:marRight w:val="0"/>
      <w:marTop w:val="0"/>
      <w:marBottom w:val="240"/>
      <w:divBdr>
        <w:top w:val="none" w:sz="0" w:space="0" w:color="auto"/>
        <w:left w:val="none" w:sz="0" w:space="0" w:color="auto"/>
        <w:bottom w:val="none" w:sz="0" w:space="0" w:color="auto"/>
        <w:right w:val="none" w:sz="0" w:space="0" w:color="auto"/>
      </w:divBdr>
    </w:div>
    <w:div w:id="1590844102">
      <w:marLeft w:val="0"/>
      <w:marRight w:val="0"/>
      <w:marTop w:val="0"/>
      <w:marBottom w:val="240"/>
      <w:divBdr>
        <w:top w:val="none" w:sz="0" w:space="0" w:color="auto"/>
        <w:left w:val="none" w:sz="0" w:space="0" w:color="auto"/>
        <w:bottom w:val="none" w:sz="0" w:space="0" w:color="auto"/>
        <w:right w:val="none" w:sz="0" w:space="0" w:color="auto"/>
      </w:divBdr>
    </w:div>
    <w:div w:id="1594972372">
      <w:marLeft w:val="0"/>
      <w:marRight w:val="0"/>
      <w:marTop w:val="0"/>
      <w:marBottom w:val="0"/>
      <w:divBdr>
        <w:top w:val="none" w:sz="0" w:space="0" w:color="auto"/>
        <w:left w:val="none" w:sz="0" w:space="0" w:color="auto"/>
        <w:bottom w:val="none" w:sz="0" w:space="0" w:color="auto"/>
        <w:right w:val="none" w:sz="0" w:space="0" w:color="auto"/>
      </w:divBdr>
      <w:divsChild>
        <w:div w:id="1496995201">
          <w:marLeft w:val="0"/>
          <w:marRight w:val="0"/>
          <w:marTop w:val="0"/>
          <w:marBottom w:val="0"/>
          <w:divBdr>
            <w:top w:val="none" w:sz="0" w:space="0" w:color="auto"/>
            <w:left w:val="none" w:sz="0" w:space="0" w:color="auto"/>
            <w:bottom w:val="none" w:sz="0" w:space="0" w:color="auto"/>
            <w:right w:val="none" w:sz="0" w:space="0" w:color="auto"/>
          </w:divBdr>
        </w:div>
        <w:div w:id="1579363501">
          <w:marLeft w:val="0"/>
          <w:marRight w:val="0"/>
          <w:marTop w:val="0"/>
          <w:marBottom w:val="0"/>
          <w:divBdr>
            <w:top w:val="none" w:sz="0" w:space="0" w:color="auto"/>
            <w:left w:val="none" w:sz="0" w:space="0" w:color="auto"/>
            <w:bottom w:val="none" w:sz="0" w:space="0" w:color="auto"/>
            <w:right w:val="none" w:sz="0" w:space="0" w:color="auto"/>
          </w:divBdr>
        </w:div>
      </w:divsChild>
    </w:div>
    <w:div w:id="1601328004">
      <w:marLeft w:val="0"/>
      <w:marRight w:val="0"/>
      <w:marTop w:val="0"/>
      <w:marBottom w:val="240"/>
      <w:divBdr>
        <w:top w:val="none" w:sz="0" w:space="0" w:color="auto"/>
        <w:left w:val="none" w:sz="0" w:space="0" w:color="auto"/>
        <w:bottom w:val="none" w:sz="0" w:space="0" w:color="auto"/>
        <w:right w:val="none" w:sz="0" w:space="0" w:color="auto"/>
      </w:divBdr>
    </w:div>
    <w:div w:id="1603419957">
      <w:marLeft w:val="0"/>
      <w:marRight w:val="0"/>
      <w:marTop w:val="240"/>
      <w:marBottom w:val="240"/>
      <w:divBdr>
        <w:top w:val="none" w:sz="0" w:space="0" w:color="auto"/>
        <w:left w:val="none" w:sz="0" w:space="0" w:color="auto"/>
        <w:bottom w:val="none" w:sz="0" w:space="0" w:color="auto"/>
        <w:right w:val="none" w:sz="0" w:space="0" w:color="auto"/>
      </w:divBdr>
    </w:div>
    <w:div w:id="1603535006">
      <w:marLeft w:val="0"/>
      <w:marRight w:val="0"/>
      <w:marTop w:val="240"/>
      <w:marBottom w:val="240"/>
      <w:divBdr>
        <w:top w:val="none" w:sz="0" w:space="0" w:color="auto"/>
        <w:left w:val="none" w:sz="0" w:space="0" w:color="auto"/>
        <w:bottom w:val="none" w:sz="0" w:space="0" w:color="auto"/>
        <w:right w:val="none" w:sz="0" w:space="0" w:color="auto"/>
      </w:divBdr>
    </w:div>
    <w:div w:id="1607536581">
      <w:marLeft w:val="0"/>
      <w:marRight w:val="0"/>
      <w:marTop w:val="0"/>
      <w:marBottom w:val="240"/>
      <w:divBdr>
        <w:top w:val="none" w:sz="0" w:space="0" w:color="auto"/>
        <w:left w:val="none" w:sz="0" w:space="0" w:color="auto"/>
        <w:bottom w:val="none" w:sz="0" w:space="0" w:color="auto"/>
        <w:right w:val="none" w:sz="0" w:space="0" w:color="auto"/>
      </w:divBdr>
    </w:div>
    <w:div w:id="1623799617">
      <w:marLeft w:val="0"/>
      <w:marRight w:val="0"/>
      <w:marTop w:val="0"/>
      <w:marBottom w:val="240"/>
      <w:divBdr>
        <w:top w:val="none" w:sz="0" w:space="0" w:color="auto"/>
        <w:left w:val="none" w:sz="0" w:space="0" w:color="auto"/>
        <w:bottom w:val="none" w:sz="0" w:space="0" w:color="auto"/>
        <w:right w:val="none" w:sz="0" w:space="0" w:color="auto"/>
      </w:divBdr>
    </w:div>
    <w:div w:id="1628319555">
      <w:marLeft w:val="0"/>
      <w:marRight w:val="0"/>
      <w:marTop w:val="0"/>
      <w:marBottom w:val="0"/>
      <w:divBdr>
        <w:top w:val="none" w:sz="0" w:space="0" w:color="auto"/>
        <w:left w:val="none" w:sz="0" w:space="0" w:color="auto"/>
        <w:bottom w:val="none" w:sz="0" w:space="0" w:color="auto"/>
        <w:right w:val="none" w:sz="0" w:space="0" w:color="auto"/>
      </w:divBdr>
      <w:divsChild>
        <w:div w:id="845242651">
          <w:marLeft w:val="0"/>
          <w:marRight w:val="0"/>
          <w:marTop w:val="0"/>
          <w:marBottom w:val="0"/>
          <w:divBdr>
            <w:top w:val="none" w:sz="0" w:space="0" w:color="auto"/>
            <w:left w:val="none" w:sz="0" w:space="0" w:color="auto"/>
            <w:bottom w:val="none" w:sz="0" w:space="0" w:color="auto"/>
            <w:right w:val="none" w:sz="0" w:space="0" w:color="auto"/>
          </w:divBdr>
        </w:div>
      </w:divsChild>
    </w:div>
    <w:div w:id="1628975804">
      <w:marLeft w:val="0"/>
      <w:marRight w:val="0"/>
      <w:marTop w:val="0"/>
      <w:marBottom w:val="240"/>
      <w:divBdr>
        <w:top w:val="none" w:sz="0" w:space="0" w:color="auto"/>
        <w:left w:val="none" w:sz="0" w:space="0" w:color="auto"/>
        <w:bottom w:val="none" w:sz="0" w:space="0" w:color="auto"/>
        <w:right w:val="none" w:sz="0" w:space="0" w:color="auto"/>
      </w:divBdr>
    </w:div>
    <w:div w:id="1631518769">
      <w:marLeft w:val="0"/>
      <w:marRight w:val="0"/>
      <w:marTop w:val="0"/>
      <w:marBottom w:val="0"/>
      <w:divBdr>
        <w:top w:val="none" w:sz="0" w:space="0" w:color="auto"/>
        <w:left w:val="none" w:sz="0" w:space="0" w:color="auto"/>
        <w:bottom w:val="none" w:sz="0" w:space="0" w:color="auto"/>
        <w:right w:val="none" w:sz="0" w:space="0" w:color="auto"/>
      </w:divBdr>
      <w:divsChild>
        <w:div w:id="1175418310">
          <w:marLeft w:val="0"/>
          <w:marRight w:val="0"/>
          <w:marTop w:val="0"/>
          <w:marBottom w:val="0"/>
          <w:divBdr>
            <w:top w:val="none" w:sz="0" w:space="0" w:color="auto"/>
            <w:left w:val="none" w:sz="0" w:space="0" w:color="auto"/>
            <w:bottom w:val="none" w:sz="0" w:space="0" w:color="auto"/>
            <w:right w:val="none" w:sz="0" w:space="0" w:color="auto"/>
          </w:divBdr>
        </w:div>
      </w:divsChild>
    </w:div>
    <w:div w:id="1637024995">
      <w:marLeft w:val="0"/>
      <w:marRight w:val="0"/>
      <w:marTop w:val="0"/>
      <w:marBottom w:val="240"/>
      <w:divBdr>
        <w:top w:val="none" w:sz="0" w:space="0" w:color="auto"/>
        <w:left w:val="none" w:sz="0" w:space="0" w:color="auto"/>
        <w:bottom w:val="none" w:sz="0" w:space="0" w:color="auto"/>
        <w:right w:val="none" w:sz="0" w:space="0" w:color="auto"/>
      </w:divBdr>
    </w:div>
    <w:div w:id="1638099055">
      <w:marLeft w:val="0"/>
      <w:marRight w:val="0"/>
      <w:marTop w:val="0"/>
      <w:marBottom w:val="240"/>
      <w:divBdr>
        <w:top w:val="none" w:sz="0" w:space="0" w:color="auto"/>
        <w:left w:val="none" w:sz="0" w:space="0" w:color="auto"/>
        <w:bottom w:val="none" w:sz="0" w:space="0" w:color="auto"/>
        <w:right w:val="none" w:sz="0" w:space="0" w:color="auto"/>
      </w:divBdr>
    </w:div>
    <w:div w:id="1640304564">
      <w:marLeft w:val="0"/>
      <w:marRight w:val="0"/>
      <w:marTop w:val="240"/>
      <w:marBottom w:val="240"/>
      <w:divBdr>
        <w:top w:val="none" w:sz="0" w:space="0" w:color="auto"/>
        <w:left w:val="none" w:sz="0" w:space="0" w:color="auto"/>
        <w:bottom w:val="none" w:sz="0" w:space="0" w:color="auto"/>
        <w:right w:val="none" w:sz="0" w:space="0" w:color="auto"/>
      </w:divBdr>
    </w:div>
    <w:div w:id="1644964302">
      <w:marLeft w:val="0"/>
      <w:marRight w:val="0"/>
      <w:marTop w:val="0"/>
      <w:marBottom w:val="240"/>
      <w:divBdr>
        <w:top w:val="none" w:sz="0" w:space="0" w:color="auto"/>
        <w:left w:val="none" w:sz="0" w:space="0" w:color="auto"/>
        <w:bottom w:val="none" w:sz="0" w:space="0" w:color="auto"/>
        <w:right w:val="none" w:sz="0" w:space="0" w:color="auto"/>
      </w:divBdr>
    </w:div>
    <w:div w:id="1654407615">
      <w:marLeft w:val="0"/>
      <w:marRight w:val="0"/>
      <w:marTop w:val="0"/>
      <w:marBottom w:val="0"/>
      <w:divBdr>
        <w:top w:val="none" w:sz="0" w:space="0" w:color="auto"/>
        <w:left w:val="none" w:sz="0" w:space="0" w:color="auto"/>
        <w:bottom w:val="none" w:sz="0" w:space="0" w:color="auto"/>
        <w:right w:val="none" w:sz="0" w:space="0" w:color="auto"/>
      </w:divBdr>
    </w:div>
    <w:div w:id="1672097054">
      <w:marLeft w:val="0"/>
      <w:marRight w:val="0"/>
      <w:marTop w:val="0"/>
      <w:marBottom w:val="0"/>
      <w:divBdr>
        <w:top w:val="none" w:sz="0" w:space="0" w:color="auto"/>
        <w:left w:val="none" w:sz="0" w:space="0" w:color="auto"/>
        <w:bottom w:val="none" w:sz="0" w:space="0" w:color="auto"/>
        <w:right w:val="none" w:sz="0" w:space="0" w:color="auto"/>
      </w:divBdr>
    </w:div>
    <w:div w:id="1674071018">
      <w:marLeft w:val="0"/>
      <w:marRight w:val="0"/>
      <w:marTop w:val="240"/>
      <w:marBottom w:val="240"/>
      <w:divBdr>
        <w:top w:val="none" w:sz="0" w:space="0" w:color="auto"/>
        <w:left w:val="none" w:sz="0" w:space="0" w:color="auto"/>
        <w:bottom w:val="none" w:sz="0" w:space="0" w:color="auto"/>
        <w:right w:val="none" w:sz="0" w:space="0" w:color="auto"/>
      </w:divBdr>
    </w:div>
    <w:div w:id="1689328566">
      <w:marLeft w:val="0"/>
      <w:marRight w:val="0"/>
      <w:marTop w:val="240"/>
      <w:marBottom w:val="240"/>
      <w:divBdr>
        <w:top w:val="none" w:sz="0" w:space="0" w:color="auto"/>
        <w:left w:val="none" w:sz="0" w:space="0" w:color="auto"/>
        <w:bottom w:val="none" w:sz="0" w:space="0" w:color="auto"/>
        <w:right w:val="none" w:sz="0" w:space="0" w:color="auto"/>
      </w:divBdr>
    </w:div>
    <w:div w:id="1690719304">
      <w:marLeft w:val="0"/>
      <w:marRight w:val="0"/>
      <w:marTop w:val="0"/>
      <w:marBottom w:val="240"/>
      <w:divBdr>
        <w:top w:val="none" w:sz="0" w:space="0" w:color="auto"/>
        <w:left w:val="none" w:sz="0" w:space="0" w:color="auto"/>
        <w:bottom w:val="none" w:sz="0" w:space="0" w:color="auto"/>
        <w:right w:val="none" w:sz="0" w:space="0" w:color="auto"/>
      </w:divBdr>
    </w:div>
    <w:div w:id="1693679606">
      <w:marLeft w:val="0"/>
      <w:marRight w:val="0"/>
      <w:marTop w:val="0"/>
      <w:marBottom w:val="240"/>
      <w:divBdr>
        <w:top w:val="none" w:sz="0" w:space="0" w:color="auto"/>
        <w:left w:val="none" w:sz="0" w:space="0" w:color="auto"/>
        <w:bottom w:val="none" w:sz="0" w:space="0" w:color="auto"/>
        <w:right w:val="none" w:sz="0" w:space="0" w:color="auto"/>
      </w:divBdr>
    </w:div>
    <w:div w:id="1695570845">
      <w:marLeft w:val="0"/>
      <w:marRight w:val="0"/>
      <w:marTop w:val="0"/>
      <w:marBottom w:val="240"/>
      <w:divBdr>
        <w:top w:val="none" w:sz="0" w:space="0" w:color="auto"/>
        <w:left w:val="none" w:sz="0" w:space="0" w:color="auto"/>
        <w:bottom w:val="none" w:sz="0" w:space="0" w:color="auto"/>
        <w:right w:val="none" w:sz="0" w:space="0" w:color="auto"/>
      </w:divBdr>
    </w:div>
    <w:div w:id="1707173706">
      <w:marLeft w:val="0"/>
      <w:marRight w:val="0"/>
      <w:marTop w:val="0"/>
      <w:marBottom w:val="0"/>
      <w:divBdr>
        <w:top w:val="none" w:sz="0" w:space="0" w:color="auto"/>
        <w:left w:val="none" w:sz="0" w:space="0" w:color="auto"/>
        <w:bottom w:val="none" w:sz="0" w:space="0" w:color="auto"/>
        <w:right w:val="none" w:sz="0" w:space="0" w:color="auto"/>
      </w:divBdr>
      <w:divsChild>
        <w:div w:id="1734546950">
          <w:marLeft w:val="0"/>
          <w:marRight w:val="0"/>
          <w:marTop w:val="0"/>
          <w:marBottom w:val="0"/>
          <w:divBdr>
            <w:top w:val="none" w:sz="0" w:space="0" w:color="auto"/>
            <w:left w:val="none" w:sz="0" w:space="0" w:color="auto"/>
            <w:bottom w:val="none" w:sz="0" w:space="0" w:color="auto"/>
            <w:right w:val="none" w:sz="0" w:space="0" w:color="auto"/>
          </w:divBdr>
        </w:div>
      </w:divsChild>
    </w:div>
    <w:div w:id="1709523254">
      <w:marLeft w:val="0"/>
      <w:marRight w:val="0"/>
      <w:marTop w:val="0"/>
      <w:marBottom w:val="0"/>
      <w:divBdr>
        <w:top w:val="none" w:sz="0" w:space="0" w:color="auto"/>
        <w:left w:val="none" w:sz="0" w:space="0" w:color="auto"/>
        <w:bottom w:val="none" w:sz="0" w:space="0" w:color="auto"/>
        <w:right w:val="none" w:sz="0" w:space="0" w:color="auto"/>
      </w:divBdr>
    </w:div>
    <w:div w:id="1709799262">
      <w:marLeft w:val="0"/>
      <w:marRight w:val="0"/>
      <w:marTop w:val="0"/>
      <w:marBottom w:val="0"/>
      <w:divBdr>
        <w:top w:val="none" w:sz="0" w:space="0" w:color="auto"/>
        <w:left w:val="none" w:sz="0" w:space="0" w:color="auto"/>
        <w:bottom w:val="none" w:sz="0" w:space="0" w:color="auto"/>
        <w:right w:val="none" w:sz="0" w:space="0" w:color="auto"/>
      </w:divBdr>
    </w:div>
    <w:div w:id="1713069172">
      <w:marLeft w:val="0"/>
      <w:marRight w:val="0"/>
      <w:marTop w:val="0"/>
      <w:marBottom w:val="240"/>
      <w:divBdr>
        <w:top w:val="none" w:sz="0" w:space="0" w:color="auto"/>
        <w:left w:val="none" w:sz="0" w:space="0" w:color="auto"/>
        <w:bottom w:val="none" w:sz="0" w:space="0" w:color="auto"/>
        <w:right w:val="none" w:sz="0" w:space="0" w:color="auto"/>
      </w:divBdr>
    </w:div>
    <w:div w:id="1713536267">
      <w:marLeft w:val="0"/>
      <w:marRight w:val="0"/>
      <w:marTop w:val="240"/>
      <w:marBottom w:val="240"/>
      <w:divBdr>
        <w:top w:val="none" w:sz="0" w:space="0" w:color="auto"/>
        <w:left w:val="none" w:sz="0" w:space="0" w:color="auto"/>
        <w:bottom w:val="none" w:sz="0" w:space="0" w:color="auto"/>
        <w:right w:val="none" w:sz="0" w:space="0" w:color="auto"/>
      </w:divBdr>
    </w:div>
    <w:div w:id="1721829482">
      <w:marLeft w:val="0"/>
      <w:marRight w:val="0"/>
      <w:marTop w:val="0"/>
      <w:marBottom w:val="0"/>
      <w:divBdr>
        <w:top w:val="none" w:sz="0" w:space="0" w:color="auto"/>
        <w:left w:val="none" w:sz="0" w:space="0" w:color="auto"/>
        <w:bottom w:val="none" w:sz="0" w:space="0" w:color="auto"/>
        <w:right w:val="none" w:sz="0" w:space="0" w:color="auto"/>
      </w:divBdr>
      <w:divsChild>
        <w:div w:id="2112629369">
          <w:marLeft w:val="0"/>
          <w:marRight w:val="0"/>
          <w:marTop w:val="0"/>
          <w:marBottom w:val="0"/>
          <w:divBdr>
            <w:top w:val="none" w:sz="0" w:space="0" w:color="auto"/>
            <w:left w:val="none" w:sz="0" w:space="0" w:color="auto"/>
            <w:bottom w:val="none" w:sz="0" w:space="0" w:color="auto"/>
            <w:right w:val="none" w:sz="0" w:space="0" w:color="auto"/>
          </w:divBdr>
        </w:div>
      </w:divsChild>
    </w:div>
    <w:div w:id="1733850864">
      <w:marLeft w:val="0"/>
      <w:marRight w:val="0"/>
      <w:marTop w:val="0"/>
      <w:marBottom w:val="240"/>
      <w:divBdr>
        <w:top w:val="none" w:sz="0" w:space="0" w:color="auto"/>
        <w:left w:val="none" w:sz="0" w:space="0" w:color="auto"/>
        <w:bottom w:val="none" w:sz="0" w:space="0" w:color="auto"/>
        <w:right w:val="none" w:sz="0" w:space="0" w:color="auto"/>
      </w:divBdr>
    </w:div>
    <w:div w:id="1739549489">
      <w:marLeft w:val="0"/>
      <w:marRight w:val="0"/>
      <w:marTop w:val="60"/>
      <w:marBottom w:val="0"/>
      <w:divBdr>
        <w:top w:val="none" w:sz="0" w:space="0" w:color="auto"/>
        <w:left w:val="none" w:sz="0" w:space="0" w:color="auto"/>
        <w:bottom w:val="none" w:sz="0" w:space="0" w:color="auto"/>
        <w:right w:val="none" w:sz="0" w:space="0" w:color="auto"/>
      </w:divBdr>
    </w:div>
    <w:div w:id="1741058668">
      <w:marLeft w:val="0"/>
      <w:marRight w:val="0"/>
      <w:marTop w:val="0"/>
      <w:marBottom w:val="0"/>
      <w:divBdr>
        <w:top w:val="none" w:sz="0" w:space="0" w:color="auto"/>
        <w:left w:val="none" w:sz="0" w:space="0" w:color="auto"/>
        <w:bottom w:val="none" w:sz="0" w:space="0" w:color="auto"/>
        <w:right w:val="none" w:sz="0" w:space="0" w:color="auto"/>
      </w:divBdr>
    </w:div>
    <w:div w:id="1741557061">
      <w:marLeft w:val="0"/>
      <w:marRight w:val="0"/>
      <w:marTop w:val="0"/>
      <w:marBottom w:val="240"/>
      <w:divBdr>
        <w:top w:val="none" w:sz="0" w:space="0" w:color="auto"/>
        <w:left w:val="none" w:sz="0" w:space="0" w:color="auto"/>
        <w:bottom w:val="none" w:sz="0" w:space="0" w:color="auto"/>
        <w:right w:val="none" w:sz="0" w:space="0" w:color="auto"/>
      </w:divBdr>
    </w:div>
    <w:div w:id="1743327220">
      <w:marLeft w:val="0"/>
      <w:marRight w:val="0"/>
      <w:marTop w:val="0"/>
      <w:marBottom w:val="240"/>
      <w:divBdr>
        <w:top w:val="none" w:sz="0" w:space="0" w:color="auto"/>
        <w:left w:val="none" w:sz="0" w:space="0" w:color="auto"/>
        <w:bottom w:val="none" w:sz="0" w:space="0" w:color="auto"/>
        <w:right w:val="none" w:sz="0" w:space="0" w:color="auto"/>
      </w:divBdr>
    </w:div>
    <w:div w:id="1752576418">
      <w:marLeft w:val="0"/>
      <w:marRight w:val="0"/>
      <w:marTop w:val="0"/>
      <w:marBottom w:val="240"/>
      <w:divBdr>
        <w:top w:val="none" w:sz="0" w:space="0" w:color="auto"/>
        <w:left w:val="none" w:sz="0" w:space="0" w:color="auto"/>
        <w:bottom w:val="none" w:sz="0" w:space="0" w:color="auto"/>
        <w:right w:val="none" w:sz="0" w:space="0" w:color="auto"/>
      </w:divBdr>
    </w:div>
    <w:div w:id="1757558710">
      <w:marLeft w:val="0"/>
      <w:marRight w:val="0"/>
      <w:marTop w:val="0"/>
      <w:marBottom w:val="0"/>
      <w:divBdr>
        <w:top w:val="none" w:sz="0" w:space="0" w:color="auto"/>
        <w:left w:val="none" w:sz="0" w:space="0" w:color="auto"/>
        <w:bottom w:val="none" w:sz="0" w:space="0" w:color="auto"/>
        <w:right w:val="none" w:sz="0" w:space="0" w:color="auto"/>
      </w:divBdr>
    </w:div>
    <w:div w:id="1762263304">
      <w:marLeft w:val="0"/>
      <w:marRight w:val="0"/>
      <w:marTop w:val="0"/>
      <w:marBottom w:val="240"/>
      <w:divBdr>
        <w:top w:val="none" w:sz="0" w:space="0" w:color="auto"/>
        <w:left w:val="none" w:sz="0" w:space="0" w:color="auto"/>
        <w:bottom w:val="none" w:sz="0" w:space="0" w:color="auto"/>
        <w:right w:val="none" w:sz="0" w:space="0" w:color="auto"/>
      </w:divBdr>
    </w:div>
    <w:div w:id="1763065536">
      <w:marLeft w:val="0"/>
      <w:marRight w:val="0"/>
      <w:marTop w:val="0"/>
      <w:marBottom w:val="120"/>
      <w:divBdr>
        <w:top w:val="none" w:sz="0" w:space="0" w:color="auto"/>
        <w:left w:val="none" w:sz="0" w:space="0" w:color="auto"/>
        <w:bottom w:val="none" w:sz="0" w:space="0" w:color="auto"/>
        <w:right w:val="none" w:sz="0" w:space="0" w:color="auto"/>
      </w:divBdr>
    </w:div>
    <w:div w:id="1770393214">
      <w:marLeft w:val="0"/>
      <w:marRight w:val="0"/>
      <w:marTop w:val="0"/>
      <w:marBottom w:val="0"/>
      <w:divBdr>
        <w:top w:val="none" w:sz="0" w:space="0" w:color="auto"/>
        <w:left w:val="none" w:sz="0" w:space="0" w:color="auto"/>
        <w:bottom w:val="none" w:sz="0" w:space="0" w:color="auto"/>
        <w:right w:val="none" w:sz="0" w:space="0" w:color="auto"/>
      </w:divBdr>
    </w:div>
    <w:div w:id="1778676201">
      <w:marLeft w:val="0"/>
      <w:marRight w:val="0"/>
      <w:marTop w:val="240"/>
      <w:marBottom w:val="240"/>
      <w:divBdr>
        <w:top w:val="none" w:sz="0" w:space="0" w:color="auto"/>
        <w:left w:val="none" w:sz="0" w:space="0" w:color="auto"/>
        <w:bottom w:val="none" w:sz="0" w:space="0" w:color="auto"/>
        <w:right w:val="none" w:sz="0" w:space="0" w:color="auto"/>
      </w:divBdr>
    </w:div>
    <w:div w:id="1778940532">
      <w:marLeft w:val="0"/>
      <w:marRight w:val="0"/>
      <w:marTop w:val="0"/>
      <w:marBottom w:val="240"/>
      <w:divBdr>
        <w:top w:val="none" w:sz="0" w:space="0" w:color="auto"/>
        <w:left w:val="none" w:sz="0" w:space="0" w:color="auto"/>
        <w:bottom w:val="none" w:sz="0" w:space="0" w:color="auto"/>
        <w:right w:val="none" w:sz="0" w:space="0" w:color="auto"/>
      </w:divBdr>
    </w:div>
    <w:div w:id="1782021040">
      <w:marLeft w:val="0"/>
      <w:marRight w:val="0"/>
      <w:marTop w:val="0"/>
      <w:marBottom w:val="240"/>
      <w:divBdr>
        <w:top w:val="none" w:sz="0" w:space="0" w:color="auto"/>
        <w:left w:val="none" w:sz="0" w:space="0" w:color="auto"/>
        <w:bottom w:val="none" w:sz="0" w:space="0" w:color="auto"/>
        <w:right w:val="none" w:sz="0" w:space="0" w:color="auto"/>
      </w:divBdr>
    </w:div>
    <w:div w:id="1785270013">
      <w:marLeft w:val="0"/>
      <w:marRight w:val="0"/>
      <w:marTop w:val="0"/>
      <w:marBottom w:val="240"/>
      <w:divBdr>
        <w:top w:val="none" w:sz="0" w:space="0" w:color="auto"/>
        <w:left w:val="none" w:sz="0" w:space="0" w:color="auto"/>
        <w:bottom w:val="none" w:sz="0" w:space="0" w:color="auto"/>
        <w:right w:val="none" w:sz="0" w:space="0" w:color="auto"/>
      </w:divBdr>
    </w:div>
    <w:div w:id="1788501358">
      <w:marLeft w:val="0"/>
      <w:marRight w:val="0"/>
      <w:marTop w:val="0"/>
      <w:marBottom w:val="240"/>
      <w:divBdr>
        <w:top w:val="none" w:sz="0" w:space="0" w:color="auto"/>
        <w:left w:val="none" w:sz="0" w:space="0" w:color="auto"/>
        <w:bottom w:val="none" w:sz="0" w:space="0" w:color="auto"/>
        <w:right w:val="none" w:sz="0" w:space="0" w:color="auto"/>
      </w:divBdr>
    </w:div>
    <w:div w:id="1790973350">
      <w:marLeft w:val="0"/>
      <w:marRight w:val="0"/>
      <w:marTop w:val="0"/>
      <w:marBottom w:val="0"/>
      <w:divBdr>
        <w:top w:val="none" w:sz="0" w:space="0" w:color="auto"/>
        <w:left w:val="none" w:sz="0" w:space="0" w:color="auto"/>
        <w:bottom w:val="none" w:sz="0" w:space="0" w:color="auto"/>
        <w:right w:val="none" w:sz="0" w:space="0" w:color="auto"/>
      </w:divBdr>
      <w:divsChild>
        <w:div w:id="917443687">
          <w:marLeft w:val="0"/>
          <w:marRight w:val="0"/>
          <w:marTop w:val="0"/>
          <w:marBottom w:val="0"/>
          <w:divBdr>
            <w:top w:val="none" w:sz="0" w:space="0" w:color="auto"/>
            <w:left w:val="none" w:sz="0" w:space="0" w:color="auto"/>
            <w:bottom w:val="none" w:sz="0" w:space="0" w:color="auto"/>
            <w:right w:val="none" w:sz="0" w:space="0" w:color="auto"/>
          </w:divBdr>
        </w:div>
      </w:divsChild>
    </w:div>
    <w:div w:id="1796438864">
      <w:marLeft w:val="0"/>
      <w:marRight w:val="0"/>
      <w:marTop w:val="0"/>
      <w:marBottom w:val="240"/>
      <w:divBdr>
        <w:top w:val="none" w:sz="0" w:space="0" w:color="auto"/>
        <w:left w:val="none" w:sz="0" w:space="0" w:color="auto"/>
        <w:bottom w:val="none" w:sz="0" w:space="0" w:color="auto"/>
        <w:right w:val="none" w:sz="0" w:space="0" w:color="auto"/>
      </w:divBdr>
    </w:div>
    <w:div w:id="1811510265">
      <w:marLeft w:val="0"/>
      <w:marRight w:val="0"/>
      <w:marTop w:val="0"/>
      <w:marBottom w:val="240"/>
      <w:divBdr>
        <w:top w:val="none" w:sz="0" w:space="0" w:color="auto"/>
        <w:left w:val="none" w:sz="0" w:space="0" w:color="auto"/>
        <w:bottom w:val="none" w:sz="0" w:space="0" w:color="auto"/>
        <w:right w:val="none" w:sz="0" w:space="0" w:color="auto"/>
      </w:divBdr>
    </w:div>
    <w:div w:id="1813054987">
      <w:marLeft w:val="0"/>
      <w:marRight w:val="0"/>
      <w:marTop w:val="240"/>
      <w:marBottom w:val="120"/>
      <w:divBdr>
        <w:top w:val="none" w:sz="0" w:space="0" w:color="auto"/>
        <w:left w:val="none" w:sz="0" w:space="0" w:color="auto"/>
        <w:bottom w:val="none" w:sz="0" w:space="0" w:color="auto"/>
        <w:right w:val="none" w:sz="0" w:space="0" w:color="auto"/>
      </w:divBdr>
    </w:div>
    <w:div w:id="1817260560">
      <w:marLeft w:val="0"/>
      <w:marRight w:val="0"/>
      <w:marTop w:val="0"/>
      <w:marBottom w:val="240"/>
      <w:divBdr>
        <w:top w:val="none" w:sz="0" w:space="0" w:color="auto"/>
        <w:left w:val="none" w:sz="0" w:space="0" w:color="auto"/>
        <w:bottom w:val="none" w:sz="0" w:space="0" w:color="auto"/>
        <w:right w:val="none" w:sz="0" w:space="0" w:color="auto"/>
      </w:divBdr>
    </w:div>
    <w:div w:id="1819493878">
      <w:marLeft w:val="0"/>
      <w:marRight w:val="0"/>
      <w:marTop w:val="0"/>
      <w:marBottom w:val="240"/>
      <w:divBdr>
        <w:top w:val="none" w:sz="0" w:space="0" w:color="auto"/>
        <w:left w:val="none" w:sz="0" w:space="0" w:color="auto"/>
        <w:bottom w:val="none" w:sz="0" w:space="0" w:color="auto"/>
        <w:right w:val="none" w:sz="0" w:space="0" w:color="auto"/>
      </w:divBdr>
    </w:div>
    <w:div w:id="1821926600">
      <w:marLeft w:val="0"/>
      <w:marRight w:val="0"/>
      <w:marTop w:val="0"/>
      <w:marBottom w:val="240"/>
      <w:divBdr>
        <w:top w:val="none" w:sz="0" w:space="0" w:color="auto"/>
        <w:left w:val="none" w:sz="0" w:space="0" w:color="auto"/>
        <w:bottom w:val="none" w:sz="0" w:space="0" w:color="auto"/>
        <w:right w:val="none" w:sz="0" w:space="0" w:color="auto"/>
      </w:divBdr>
    </w:div>
    <w:div w:id="1824665302">
      <w:marLeft w:val="0"/>
      <w:marRight w:val="0"/>
      <w:marTop w:val="0"/>
      <w:marBottom w:val="240"/>
      <w:divBdr>
        <w:top w:val="none" w:sz="0" w:space="0" w:color="auto"/>
        <w:left w:val="none" w:sz="0" w:space="0" w:color="auto"/>
        <w:bottom w:val="none" w:sz="0" w:space="0" w:color="auto"/>
        <w:right w:val="none" w:sz="0" w:space="0" w:color="auto"/>
      </w:divBdr>
    </w:div>
    <w:div w:id="1825537875">
      <w:marLeft w:val="0"/>
      <w:marRight w:val="0"/>
      <w:marTop w:val="0"/>
      <w:marBottom w:val="240"/>
      <w:divBdr>
        <w:top w:val="none" w:sz="0" w:space="0" w:color="auto"/>
        <w:left w:val="none" w:sz="0" w:space="0" w:color="auto"/>
        <w:bottom w:val="none" w:sz="0" w:space="0" w:color="auto"/>
        <w:right w:val="none" w:sz="0" w:space="0" w:color="auto"/>
      </w:divBdr>
    </w:div>
    <w:div w:id="1827472208">
      <w:marLeft w:val="0"/>
      <w:marRight w:val="0"/>
      <w:marTop w:val="0"/>
      <w:marBottom w:val="240"/>
      <w:divBdr>
        <w:top w:val="none" w:sz="0" w:space="0" w:color="auto"/>
        <w:left w:val="none" w:sz="0" w:space="0" w:color="auto"/>
        <w:bottom w:val="none" w:sz="0" w:space="0" w:color="auto"/>
        <w:right w:val="none" w:sz="0" w:space="0" w:color="auto"/>
      </w:divBdr>
    </w:div>
    <w:div w:id="1828394933">
      <w:marLeft w:val="0"/>
      <w:marRight w:val="0"/>
      <w:marTop w:val="0"/>
      <w:marBottom w:val="240"/>
      <w:divBdr>
        <w:top w:val="none" w:sz="0" w:space="0" w:color="auto"/>
        <w:left w:val="none" w:sz="0" w:space="0" w:color="auto"/>
        <w:bottom w:val="none" w:sz="0" w:space="0" w:color="auto"/>
        <w:right w:val="none" w:sz="0" w:space="0" w:color="auto"/>
      </w:divBdr>
    </w:div>
    <w:div w:id="1835871410">
      <w:marLeft w:val="0"/>
      <w:marRight w:val="0"/>
      <w:marTop w:val="0"/>
      <w:marBottom w:val="0"/>
      <w:divBdr>
        <w:top w:val="none" w:sz="0" w:space="0" w:color="auto"/>
        <w:left w:val="none" w:sz="0" w:space="0" w:color="auto"/>
        <w:bottom w:val="none" w:sz="0" w:space="0" w:color="auto"/>
        <w:right w:val="none" w:sz="0" w:space="0" w:color="auto"/>
      </w:divBdr>
      <w:divsChild>
        <w:div w:id="1693457660">
          <w:marLeft w:val="0"/>
          <w:marRight w:val="0"/>
          <w:marTop w:val="0"/>
          <w:marBottom w:val="0"/>
          <w:divBdr>
            <w:top w:val="none" w:sz="0" w:space="0" w:color="auto"/>
            <w:left w:val="none" w:sz="0" w:space="0" w:color="auto"/>
            <w:bottom w:val="none" w:sz="0" w:space="0" w:color="auto"/>
            <w:right w:val="none" w:sz="0" w:space="0" w:color="auto"/>
          </w:divBdr>
        </w:div>
      </w:divsChild>
    </w:div>
    <w:div w:id="1835994737">
      <w:marLeft w:val="0"/>
      <w:marRight w:val="0"/>
      <w:marTop w:val="0"/>
      <w:marBottom w:val="0"/>
      <w:divBdr>
        <w:top w:val="none" w:sz="0" w:space="0" w:color="auto"/>
        <w:left w:val="none" w:sz="0" w:space="0" w:color="auto"/>
        <w:bottom w:val="none" w:sz="0" w:space="0" w:color="auto"/>
        <w:right w:val="none" w:sz="0" w:space="0" w:color="auto"/>
      </w:divBdr>
      <w:divsChild>
        <w:div w:id="1697727949">
          <w:marLeft w:val="0"/>
          <w:marRight w:val="0"/>
          <w:marTop w:val="0"/>
          <w:marBottom w:val="0"/>
          <w:divBdr>
            <w:top w:val="none" w:sz="0" w:space="0" w:color="auto"/>
            <w:left w:val="none" w:sz="0" w:space="0" w:color="auto"/>
            <w:bottom w:val="none" w:sz="0" w:space="0" w:color="auto"/>
            <w:right w:val="none" w:sz="0" w:space="0" w:color="auto"/>
          </w:divBdr>
        </w:div>
      </w:divsChild>
    </w:div>
    <w:div w:id="1841239999">
      <w:marLeft w:val="0"/>
      <w:marRight w:val="0"/>
      <w:marTop w:val="0"/>
      <w:marBottom w:val="0"/>
      <w:divBdr>
        <w:top w:val="none" w:sz="0" w:space="0" w:color="auto"/>
        <w:left w:val="none" w:sz="0" w:space="0" w:color="auto"/>
        <w:bottom w:val="none" w:sz="0" w:space="0" w:color="auto"/>
        <w:right w:val="none" w:sz="0" w:space="0" w:color="auto"/>
      </w:divBdr>
    </w:div>
    <w:div w:id="1844733736">
      <w:marLeft w:val="0"/>
      <w:marRight w:val="0"/>
      <w:marTop w:val="0"/>
      <w:marBottom w:val="0"/>
      <w:divBdr>
        <w:top w:val="none" w:sz="0" w:space="0" w:color="auto"/>
        <w:left w:val="none" w:sz="0" w:space="0" w:color="auto"/>
        <w:bottom w:val="none" w:sz="0" w:space="0" w:color="auto"/>
        <w:right w:val="none" w:sz="0" w:space="0" w:color="auto"/>
      </w:divBdr>
      <w:divsChild>
        <w:div w:id="178666296">
          <w:marLeft w:val="0"/>
          <w:marRight w:val="0"/>
          <w:marTop w:val="0"/>
          <w:marBottom w:val="0"/>
          <w:divBdr>
            <w:top w:val="none" w:sz="0" w:space="0" w:color="auto"/>
            <w:left w:val="none" w:sz="0" w:space="0" w:color="auto"/>
            <w:bottom w:val="none" w:sz="0" w:space="0" w:color="auto"/>
            <w:right w:val="none" w:sz="0" w:space="0" w:color="auto"/>
          </w:divBdr>
        </w:div>
      </w:divsChild>
    </w:div>
    <w:div w:id="1845780304">
      <w:marLeft w:val="0"/>
      <w:marRight w:val="0"/>
      <w:marTop w:val="0"/>
      <w:marBottom w:val="240"/>
      <w:divBdr>
        <w:top w:val="none" w:sz="0" w:space="0" w:color="auto"/>
        <w:left w:val="none" w:sz="0" w:space="0" w:color="auto"/>
        <w:bottom w:val="none" w:sz="0" w:space="0" w:color="auto"/>
        <w:right w:val="none" w:sz="0" w:space="0" w:color="auto"/>
      </w:divBdr>
    </w:div>
    <w:div w:id="1851409709">
      <w:marLeft w:val="0"/>
      <w:marRight w:val="0"/>
      <w:marTop w:val="0"/>
      <w:marBottom w:val="240"/>
      <w:divBdr>
        <w:top w:val="none" w:sz="0" w:space="0" w:color="auto"/>
        <w:left w:val="none" w:sz="0" w:space="0" w:color="auto"/>
        <w:bottom w:val="none" w:sz="0" w:space="0" w:color="auto"/>
        <w:right w:val="none" w:sz="0" w:space="0" w:color="auto"/>
      </w:divBdr>
    </w:div>
    <w:div w:id="1857422714">
      <w:marLeft w:val="0"/>
      <w:marRight w:val="0"/>
      <w:marTop w:val="240"/>
      <w:marBottom w:val="240"/>
      <w:divBdr>
        <w:top w:val="none" w:sz="0" w:space="0" w:color="auto"/>
        <w:left w:val="none" w:sz="0" w:space="0" w:color="auto"/>
        <w:bottom w:val="none" w:sz="0" w:space="0" w:color="auto"/>
        <w:right w:val="none" w:sz="0" w:space="0" w:color="auto"/>
      </w:divBdr>
    </w:div>
    <w:div w:id="1858545246">
      <w:marLeft w:val="0"/>
      <w:marRight w:val="0"/>
      <w:marTop w:val="240"/>
      <w:marBottom w:val="240"/>
      <w:divBdr>
        <w:top w:val="none" w:sz="0" w:space="0" w:color="auto"/>
        <w:left w:val="none" w:sz="0" w:space="0" w:color="auto"/>
        <w:bottom w:val="none" w:sz="0" w:space="0" w:color="auto"/>
        <w:right w:val="none" w:sz="0" w:space="0" w:color="auto"/>
      </w:divBdr>
    </w:div>
    <w:div w:id="1865095537">
      <w:marLeft w:val="0"/>
      <w:marRight w:val="0"/>
      <w:marTop w:val="0"/>
      <w:marBottom w:val="240"/>
      <w:divBdr>
        <w:top w:val="none" w:sz="0" w:space="0" w:color="auto"/>
        <w:left w:val="none" w:sz="0" w:space="0" w:color="auto"/>
        <w:bottom w:val="none" w:sz="0" w:space="0" w:color="auto"/>
        <w:right w:val="none" w:sz="0" w:space="0" w:color="auto"/>
      </w:divBdr>
    </w:div>
    <w:div w:id="1867870811">
      <w:marLeft w:val="0"/>
      <w:marRight w:val="0"/>
      <w:marTop w:val="240"/>
      <w:marBottom w:val="240"/>
      <w:divBdr>
        <w:top w:val="none" w:sz="0" w:space="0" w:color="auto"/>
        <w:left w:val="none" w:sz="0" w:space="0" w:color="auto"/>
        <w:bottom w:val="none" w:sz="0" w:space="0" w:color="auto"/>
        <w:right w:val="none" w:sz="0" w:space="0" w:color="auto"/>
      </w:divBdr>
    </w:div>
    <w:div w:id="1884978574">
      <w:marLeft w:val="0"/>
      <w:marRight w:val="0"/>
      <w:marTop w:val="0"/>
      <w:marBottom w:val="0"/>
      <w:divBdr>
        <w:top w:val="none" w:sz="0" w:space="0" w:color="auto"/>
        <w:left w:val="none" w:sz="0" w:space="0" w:color="auto"/>
        <w:bottom w:val="none" w:sz="0" w:space="0" w:color="auto"/>
        <w:right w:val="none" w:sz="0" w:space="0" w:color="auto"/>
      </w:divBdr>
    </w:div>
    <w:div w:id="1886021058">
      <w:marLeft w:val="0"/>
      <w:marRight w:val="0"/>
      <w:marTop w:val="0"/>
      <w:marBottom w:val="0"/>
      <w:divBdr>
        <w:top w:val="none" w:sz="0" w:space="0" w:color="auto"/>
        <w:left w:val="none" w:sz="0" w:space="0" w:color="auto"/>
        <w:bottom w:val="none" w:sz="0" w:space="0" w:color="auto"/>
        <w:right w:val="none" w:sz="0" w:space="0" w:color="auto"/>
      </w:divBdr>
    </w:div>
    <w:div w:id="1890338197">
      <w:marLeft w:val="0"/>
      <w:marRight w:val="0"/>
      <w:marTop w:val="0"/>
      <w:marBottom w:val="240"/>
      <w:divBdr>
        <w:top w:val="none" w:sz="0" w:space="0" w:color="auto"/>
        <w:left w:val="none" w:sz="0" w:space="0" w:color="auto"/>
        <w:bottom w:val="none" w:sz="0" w:space="0" w:color="auto"/>
        <w:right w:val="none" w:sz="0" w:space="0" w:color="auto"/>
      </w:divBdr>
    </w:div>
    <w:div w:id="1890922866">
      <w:marLeft w:val="0"/>
      <w:marRight w:val="0"/>
      <w:marTop w:val="0"/>
      <w:marBottom w:val="240"/>
      <w:divBdr>
        <w:top w:val="none" w:sz="0" w:space="0" w:color="auto"/>
        <w:left w:val="none" w:sz="0" w:space="0" w:color="auto"/>
        <w:bottom w:val="none" w:sz="0" w:space="0" w:color="auto"/>
        <w:right w:val="none" w:sz="0" w:space="0" w:color="auto"/>
      </w:divBdr>
    </w:div>
    <w:div w:id="1895458628">
      <w:marLeft w:val="0"/>
      <w:marRight w:val="0"/>
      <w:marTop w:val="0"/>
      <w:marBottom w:val="0"/>
      <w:divBdr>
        <w:top w:val="none" w:sz="0" w:space="0" w:color="auto"/>
        <w:left w:val="none" w:sz="0" w:space="0" w:color="auto"/>
        <w:bottom w:val="none" w:sz="0" w:space="0" w:color="auto"/>
        <w:right w:val="none" w:sz="0" w:space="0" w:color="auto"/>
      </w:divBdr>
    </w:div>
    <w:div w:id="1895851253">
      <w:marLeft w:val="0"/>
      <w:marRight w:val="0"/>
      <w:marTop w:val="0"/>
      <w:marBottom w:val="0"/>
      <w:divBdr>
        <w:top w:val="none" w:sz="0" w:space="0" w:color="auto"/>
        <w:left w:val="none" w:sz="0" w:space="0" w:color="auto"/>
        <w:bottom w:val="none" w:sz="0" w:space="0" w:color="auto"/>
        <w:right w:val="none" w:sz="0" w:space="0" w:color="auto"/>
      </w:divBdr>
    </w:div>
    <w:div w:id="1900751229">
      <w:marLeft w:val="0"/>
      <w:marRight w:val="0"/>
      <w:marTop w:val="60"/>
      <w:marBottom w:val="60"/>
      <w:divBdr>
        <w:top w:val="none" w:sz="0" w:space="0" w:color="auto"/>
        <w:left w:val="none" w:sz="0" w:space="0" w:color="auto"/>
        <w:bottom w:val="none" w:sz="0" w:space="0" w:color="auto"/>
        <w:right w:val="none" w:sz="0" w:space="0" w:color="auto"/>
      </w:divBdr>
    </w:div>
    <w:div w:id="1901819776">
      <w:marLeft w:val="0"/>
      <w:marRight w:val="0"/>
      <w:marTop w:val="0"/>
      <w:marBottom w:val="240"/>
      <w:divBdr>
        <w:top w:val="none" w:sz="0" w:space="0" w:color="auto"/>
        <w:left w:val="none" w:sz="0" w:space="0" w:color="auto"/>
        <w:bottom w:val="none" w:sz="0" w:space="0" w:color="auto"/>
        <w:right w:val="none" w:sz="0" w:space="0" w:color="auto"/>
      </w:divBdr>
      <w:divsChild>
        <w:div w:id="2030377574">
          <w:marLeft w:val="0"/>
          <w:marRight w:val="0"/>
          <w:marTop w:val="0"/>
          <w:marBottom w:val="0"/>
          <w:divBdr>
            <w:top w:val="none" w:sz="0" w:space="0" w:color="auto"/>
            <w:left w:val="none" w:sz="0" w:space="0" w:color="auto"/>
            <w:bottom w:val="none" w:sz="0" w:space="0" w:color="auto"/>
            <w:right w:val="none" w:sz="0" w:space="0" w:color="auto"/>
          </w:divBdr>
        </w:div>
        <w:div w:id="1277449107">
          <w:marLeft w:val="0"/>
          <w:marRight w:val="0"/>
          <w:marTop w:val="0"/>
          <w:marBottom w:val="0"/>
          <w:divBdr>
            <w:top w:val="none" w:sz="0" w:space="0" w:color="auto"/>
            <w:left w:val="none" w:sz="0" w:space="0" w:color="auto"/>
            <w:bottom w:val="none" w:sz="0" w:space="0" w:color="auto"/>
            <w:right w:val="none" w:sz="0" w:space="0" w:color="auto"/>
          </w:divBdr>
        </w:div>
        <w:div w:id="1639258405">
          <w:marLeft w:val="0"/>
          <w:marRight w:val="0"/>
          <w:marTop w:val="0"/>
          <w:marBottom w:val="0"/>
          <w:divBdr>
            <w:top w:val="none" w:sz="0" w:space="0" w:color="auto"/>
            <w:left w:val="none" w:sz="0" w:space="0" w:color="auto"/>
            <w:bottom w:val="none" w:sz="0" w:space="0" w:color="auto"/>
            <w:right w:val="none" w:sz="0" w:space="0" w:color="auto"/>
          </w:divBdr>
        </w:div>
      </w:divsChild>
    </w:div>
    <w:div w:id="1902667521">
      <w:marLeft w:val="0"/>
      <w:marRight w:val="0"/>
      <w:marTop w:val="0"/>
      <w:marBottom w:val="0"/>
      <w:divBdr>
        <w:top w:val="none" w:sz="0" w:space="0" w:color="auto"/>
        <w:left w:val="none" w:sz="0" w:space="0" w:color="auto"/>
        <w:bottom w:val="none" w:sz="0" w:space="0" w:color="auto"/>
        <w:right w:val="none" w:sz="0" w:space="0" w:color="auto"/>
      </w:divBdr>
    </w:div>
    <w:div w:id="1909412014">
      <w:marLeft w:val="0"/>
      <w:marRight w:val="0"/>
      <w:marTop w:val="0"/>
      <w:marBottom w:val="0"/>
      <w:divBdr>
        <w:top w:val="none" w:sz="0" w:space="0" w:color="auto"/>
        <w:left w:val="none" w:sz="0" w:space="0" w:color="auto"/>
        <w:bottom w:val="none" w:sz="0" w:space="0" w:color="auto"/>
        <w:right w:val="none" w:sz="0" w:space="0" w:color="auto"/>
      </w:divBdr>
      <w:divsChild>
        <w:div w:id="424568902">
          <w:marLeft w:val="0"/>
          <w:marRight w:val="0"/>
          <w:marTop w:val="0"/>
          <w:marBottom w:val="0"/>
          <w:divBdr>
            <w:top w:val="none" w:sz="0" w:space="0" w:color="auto"/>
            <w:left w:val="none" w:sz="0" w:space="0" w:color="auto"/>
            <w:bottom w:val="none" w:sz="0" w:space="0" w:color="auto"/>
            <w:right w:val="none" w:sz="0" w:space="0" w:color="auto"/>
          </w:divBdr>
        </w:div>
      </w:divsChild>
    </w:div>
    <w:div w:id="1911377916">
      <w:marLeft w:val="0"/>
      <w:marRight w:val="0"/>
      <w:marTop w:val="0"/>
      <w:marBottom w:val="240"/>
      <w:divBdr>
        <w:top w:val="none" w:sz="0" w:space="0" w:color="auto"/>
        <w:left w:val="none" w:sz="0" w:space="0" w:color="auto"/>
        <w:bottom w:val="none" w:sz="0" w:space="0" w:color="auto"/>
        <w:right w:val="none" w:sz="0" w:space="0" w:color="auto"/>
      </w:divBdr>
    </w:div>
    <w:div w:id="1914192428">
      <w:marLeft w:val="0"/>
      <w:marRight w:val="0"/>
      <w:marTop w:val="0"/>
      <w:marBottom w:val="240"/>
      <w:divBdr>
        <w:top w:val="none" w:sz="0" w:space="0" w:color="auto"/>
        <w:left w:val="none" w:sz="0" w:space="0" w:color="auto"/>
        <w:bottom w:val="none" w:sz="0" w:space="0" w:color="auto"/>
        <w:right w:val="none" w:sz="0" w:space="0" w:color="auto"/>
      </w:divBdr>
    </w:div>
    <w:div w:id="1918703529">
      <w:marLeft w:val="0"/>
      <w:marRight w:val="0"/>
      <w:marTop w:val="0"/>
      <w:marBottom w:val="240"/>
      <w:divBdr>
        <w:top w:val="none" w:sz="0" w:space="0" w:color="auto"/>
        <w:left w:val="none" w:sz="0" w:space="0" w:color="auto"/>
        <w:bottom w:val="none" w:sz="0" w:space="0" w:color="auto"/>
        <w:right w:val="none" w:sz="0" w:space="0" w:color="auto"/>
      </w:divBdr>
    </w:div>
    <w:div w:id="1919098099">
      <w:marLeft w:val="0"/>
      <w:marRight w:val="0"/>
      <w:marTop w:val="0"/>
      <w:marBottom w:val="0"/>
      <w:divBdr>
        <w:top w:val="none" w:sz="0" w:space="0" w:color="auto"/>
        <w:left w:val="none" w:sz="0" w:space="0" w:color="auto"/>
        <w:bottom w:val="none" w:sz="0" w:space="0" w:color="auto"/>
        <w:right w:val="none" w:sz="0" w:space="0" w:color="auto"/>
      </w:divBdr>
    </w:div>
    <w:div w:id="1923367149">
      <w:marLeft w:val="0"/>
      <w:marRight w:val="0"/>
      <w:marTop w:val="0"/>
      <w:marBottom w:val="240"/>
      <w:divBdr>
        <w:top w:val="none" w:sz="0" w:space="0" w:color="auto"/>
        <w:left w:val="none" w:sz="0" w:space="0" w:color="auto"/>
        <w:bottom w:val="none" w:sz="0" w:space="0" w:color="auto"/>
        <w:right w:val="none" w:sz="0" w:space="0" w:color="auto"/>
      </w:divBdr>
    </w:div>
    <w:div w:id="1925651496">
      <w:marLeft w:val="0"/>
      <w:marRight w:val="0"/>
      <w:marTop w:val="0"/>
      <w:marBottom w:val="0"/>
      <w:divBdr>
        <w:top w:val="none" w:sz="0" w:space="0" w:color="auto"/>
        <w:left w:val="none" w:sz="0" w:space="0" w:color="auto"/>
        <w:bottom w:val="none" w:sz="0" w:space="0" w:color="auto"/>
        <w:right w:val="none" w:sz="0" w:space="0" w:color="auto"/>
      </w:divBdr>
      <w:divsChild>
        <w:div w:id="2033990196">
          <w:marLeft w:val="0"/>
          <w:marRight w:val="0"/>
          <w:marTop w:val="0"/>
          <w:marBottom w:val="0"/>
          <w:divBdr>
            <w:top w:val="none" w:sz="0" w:space="0" w:color="auto"/>
            <w:left w:val="none" w:sz="0" w:space="0" w:color="auto"/>
            <w:bottom w:val="none" w:sz="0" w:space="0" w:color="auto"/>
            <w:right w:val="none" w:sz="0" w:space="0" w:color="auto"/>
          </w:divBdr>
        </w:div>
      </w:divsChild>
    </w:div>
    <w:div w:id="1925869261">
      <w:marLeft w:val="0"/>
      <w:marRight w:val="0"/>
      <w:marTop w:val="0"/>
      <w:marBottom w:val="0"/>
      <w:divBdr>
        <w:top w:val="none" w:sz="0" w:space="0" w:color="auto"/>
        <w:left w:val="none" w:sz="0" w:space="0" w:color="auto"/>
        <w:bottom w:val="none" w:sz="0" w:space="0" w:color="auto"/>
        <w:right w:val="none" w:sz="0" w:space="0" w:color="auto"/>
      </w:divBdr>
      <w:divsChild>
        <w:div w:id="2518794">
          <w:marLeft w:val="0"/>
          <w:marRight w:val="0"/>
          <w:marTop w:val="0"/>
          <w:marBottom w:val="0"/>
          <w:divBdr>
            <w:top w:val="none" w:sz="0" w:space="0" w:color="auto"/>
            <w:left w:val="none" w:sz="0" w:space="0" w:color="auto"/>
            <w:bottom w:val="none" w:sz="0" w:space="0" w:color="auto"/>
            <w:right w:val="none" w:sz="0" w:space="0" w:color="auto"/>
          </w:divBdr>
        </w:div>
      </w:divsChild>
    </w:div>
    <w:div w:id="1928952705">
      <w:marLeft w:val="0"/>
      <w:marRight w:val="0"/>
      <w:marTop w:val="0"/>
      <w:marBottom w:val="240"/>
      <w:divBdr>
        <w:top w:val="none" w:sz="0" w:space="0" w:color="auto"/>
        <w:left w:val="none" w:sz="0" w:space="0" w:color="auto"/>
        <w:bottom w:val="none" w:sz="0" w:space="0" w:color="auto"/>
        <w:right w:val="none" w:sz="0" w:space="0" w:color="auto"/>
      </w:divBdr>
    </w:div>
    <w:div w:id="1933077273">
      <w:marLeft w:val="0"/>
      <w:marRight w:val="0"/>
      <w:marTop w:val="0"/>
      <w:marBottom w:val="240"/>
      <w:divBdr>
        <w:top w:val="none" w:sz="0" w:space="0" w:color="auto"/>
        <w:left w:val="none" w:sz="0" w:space="0" w:color="auto"/>
        <w:bottom w:val="none" w:sz="0" w:space="0" w:color="auto"/>
        <w:right w:val="none" w:sz="0" w:space="0" w:color="auto"/>
      </w:divBdr>
    </w:div>
    <w:div w:id="1935673044">
      <w:marLeft w:val="0"/>
      <w:marRight w:val="0"/>
      <w:marTop w:val="0"/>
      <w:marBottom w:val="240"/>
      <w:divBdr>
        <w:top w:val="none" w:sz="0" w:space="0" w:color="auto"/>
        <w:left w:val="none" w:sz="0" w:space="0" w:color="auto"/>
        <w:bottom w:val="none" w:sz="0" w:space="0" w:color="auto"/>
        <w:right w:val="none" w:sz="0" w:space="0" w:color="auto"/>
      </w:divBdr>
    </w:div>
    <w:div w:id="1941640004">
      <w:marLeft w:val="0"/>
      <w:marRight w:val="0"/>
      <w:marTop w:val="0"/>
      <w:marBottom w:val="120"/>
      <w:divBdr>
        <w:top w:val="none" w:sz="0" w:space="0" w:color="auto"/>
        <w:left w:val="none" w:sz="0" w:space="0" w:color="auto"/>
        <w:bottom w:val="none" w:sz="0" w:space="0" w:color="auto"/>
        <w:right w:val="none" w:sz="0" w:space="0" w:color="auto"/>
      </w:divBdr>
    </w:div>
    <w:div w:id="1962806402">
      <w:marLeft w:val="0"/>
      <w:marRight w:val="0"/>
      <w:marTop w:val="0"/>
      <w:marBottom w:val="240"/>
      <w:divBdr>
        <w:top w:val="none" w:sz="0" w:space="0" w:color="auto"/>
        <w:left w:val="none" w:sz="0" w:space="0" w:color="auto"/>
        <w:bottom w:val="none" w:sz="0" w:space="0" w:color="auto"/>
        <w:right w:val="none" w:sz="0" w:space="0" w:color="auto"/>
      </w:divBdr>
    </w:div>
    <w:div w:id="1969314535">
      <w:marLeft w:val="0"/>
      <w:marRight w:val="0"/>
      <w:marTop w:val="0"/>
      <w:marBottom w:val="240"/>
      <w:divBdr>
        <w:top w:val="none" w:sz="0" w:space="0" w:color="auto"/>
        <w:left w:val="none" w:sz="0" w:space="0" w:color="auto"/>
        <w:bottom w:val="none" w:sz="0" w:space="0" w:color="auto"/>
        <w:right w:val="none" w:sz="0" w:space="0" w:color="auto"/>
      </w:divBdr>
    </w:div>
    <w:div w:id="1973249487">
      <w:marLeft w:val="0"/>
      <w:marRight w:val="0"/>
      <w:marTop w:val="0"/>
      <w:marBottom w:val="0"/>
      <w:divBdr>
        <w:top w:val="none" w:sz="0" w:space="0" w:color="auto"/>
        <w:left w:val="none" w:sz="0" w:space="0" w:color="auto"/>
        <w:bottom w:val="none" w:sz="0" w:space="0" w:color="auto"/>
        <w:right w:val="none" w:sz="0" w:space="0" w:color="auto"/>
      </w:divBdr>
      <w:divsChild>
        <w:div w:id="1024281602">
          <w:marLeft w:val="0"/>
          <w:marRight w:val="0"/>
          <w:marTop w:val="0"/>
          <w:marBottom w:val="0"/>
          <w:divBdr>
            <w:top w:val="none" w:sz="0" w:space="0" w:color="auto"/>
            <w:left w:val="none" w:sz="0" w:space="0" w:color="auto"/>
            <w:bottom w:val="none" w:sz="0" w:space="0" w:color="auto"/>
            <w:right w:val="none" w:sz="0" w:space="0" w:color="auto"/>
          </w:divBdr>
        </w:div>
      </w:divsChild>
    </w:div>
    <w:div w:id="1976329192">
      <w:marLeft w:val="0"/>
      <w:marRight w:val="0"/>
      <w:marTop w:val="0"/>
      <w:marBottom w:val="0"/>
      <w:divBdr>
        <w:top w:val="none" w:sz="0" w:space="0" w:color="auto"/>
        <w:left w:val="none" w:sz="0" w:space="0" w:color="auto"/>
        <w:bottom w:val="none" w:sz="0" w:space="0" w:color="auto"/>
        <w:right w:val="none" w:sz="0" w:space="0" w:color="auto"/>
      </w:divBdr>
    </w:div>
    <w:div w:id="1979607856">
      <w:marLeft w:val="0"/>
      <w:marRight w:val="0"/>
      <w:marTop w:val="0"/>
      <w:marBottom w:val="240"/>
      <w:divBdr>
        <w:top w:val="none" w:sz="0" w:space="0" w:color="auto"/>
        <w:left w:val="none" w:sz="0" w:space="0" w:color="auto"/>
        <w:bottom w:val="none" w:sz="0" w:space="0" w:color="auto"/>
        <w:right w:val="none" w:sz="0" w:space="0" w:color="auto"/>
      </w:divBdr>
      <w:divsChild>
        <w:div w:id="1553803847">
          <w:marLeft w:val="0"/>
          <w:marRight w:val="0"/>
          <w:marTop w:val="0"/>
          <w:marBottom w:val="0"/>
          <w:divBdr>
            <w:top w:val="none" w:sz="0" w:space="0" w:color="auto"/>
            <w:left w:val="none" w:sz="0" w:space="0" w:color="auto"/>
            <w:bottom w:val="none" w:sz="0" w:space="0" w:color="auto"/>
            <w:right w:val="none" w:sz="0" w:space="0" w:color="auto"/>
          </w:divBdr>
        </w:div>
        <w:div w:id="1961524182">
          <w:marLeft w:val="0"/>
          <w:marRight w:val="0"/>
          <w:marTop w:val="0"/>
          <w:marBottom w:val="0"/>
          <w:divBdr>
            <w:top w:val="none" w:sz="0" w:space="0" w:color="auto"/>
            <w:left w:val="none" w:sz="0" w:space="0" w:color="auto"/>
            <w:bottom w:val="none" w:sz="0" w:space="0" w:color="auto"/>
            <w:right w:val="none" w:sz="0" w:space="0" w:color="auto"/>
          </w:divBdr>
        </w:div>
      </w:divsChild>
    </w:div>
    <w:div w:id="1981225531">
      <w:marLeft w:val="0"/>
      <w:marRight w:val="0"/>
      <w:marTop w:val="0"/>
      <w:marBottom w:val="0"/>
      <w:divBdr>
        <w:top w:val="none" w:sz="0" w:space="0" w:color="auto"/>
        <w:left w:val="none" w:sz="0" w:space="0" w:color="auto"/>
        <w:bottom w:val="none" w:sz="0" w:space="0" w:color="auto"/>
        <w:right w:val="none" w:sz="0" w:space="0" w:color="auto"/>
      </w:divBdr>
    </w:div>
    <w:div w:id="1981377928">
      <w:marLeft w:val="0"/>
      <w:marRight w:val="0"/>
      <w:marTop w:val="0"/>
      <w:marBottom w:val="0"/>
      <w:divBdr>
        <w:top w:val="none" w:sz="0" w:space="0" w:color="auto"/>
        <w:left w:val="none" w:sz="0" w:space="0" w:color="auto"/>
        <w:bottom w:val="none" w:sz="0" w:space="0" w:color="auto"/>
        <w:right w:val="none" w:sz="0" w:space="0" w:color="auto"/>
      </w:divBdr>
    </w:div>
    <w:div w:id="1986080954">
      <w:marLeft w:val="0"/>
      <w:marRight w:val="0"/>
      <w:marTop w:val="0"/>
      <w:marBottom w:val="240"/>
      <w:divBdr>
        <w:top w:val="none" w:sz="0" w:space="0" w:color="auto"/>
        <w:left w:val="none" w:sz="0" w:space="0" w:color="auto"/>
        <w:bottom w:val="none" w:sz="0" w:space="0" w:color="auto"/>
        <w:right w:val="none" w:sz="0" w:space="0" w:color="auto"/>
      </w:divBdr>
    </w:div>
    <w:div w:id="1988632055">
      <w:marLeft w:val="0"/>
      <w:marRight w:val="0"/>
      <w:marTop w:val="0"/>
      <w:marBottom w:val="180"/>
      <w:divBdr>
        <w:top w:val="none" w:sz="0" w:space="0" w:color="auto"/>
        <w:left w:val="none" w:sz="0" w:space="0" w:color="auto"/>
        <w:bottom w:val="none" w:sz="0" w:space="0" w:color="auto"/>
        <w:right w:val="none" w:sz="0" w:space="0" w:color="auto"/>
      </w:divBdr>
    </w:div>
    <w:div w:id="1989049231">
      <w:marLeft w:val="0"/>
      <w:marRight w:val="0"/>
      <w:marTop w:val="0"/>
      <w:marBottom w:val="0"/>
      <w:divBdr>
        <w:top w:val="none" w:sz="0" w:space="0" w:color="auto"/>
        <w:left w:val="none" w:sz="0" w:space="0" w:color="auto"/>
        <w:bottom w:val="none" w:sz="0" w:space="0" w:color="auto"/>
        <w:right w:val="none" w:sz="0" w:space="0" w:color="auto"/>
      </w:divBdr>
    </w:div>
    <w:div w:id="1990209013">
      <w:marLeft w:val="0"/>
      <w:marRight w:val="0"/>
      <w:marTop w:val="240"/>
      <w:marBottom w:val="240"/>
      <w:divBdr>
        <w:top w:val="none" w:sz="0" w:space="0" w:color="auto"/>
        <w:left w:val="none" w:sz="0" w:space="0" w:color="auto"/>
        <w:bottom w:val="none" w:sz="0" w:space="0" w:color="auto"/>
        <w:right w:val="none" w:sz="0" w:space="0" w:color="auto"/>
      </w:divBdr>
    </w:div>
    <w:div w:id="1991473072">
      <w:marLeft w:val="0"/>
      <w:marRight w:val="0"/>
      <w:marTop w:val="0"/>
      <w:marBottom w:val="0"/>
      <w:divBdr>
        <w:top w:val="none" w:sz="0" w:space="0" w:color="auto"/>
        <w:left w:val="none" w:sz="0" w:space="0" w:color="auto"/>
        <w:bottom w:val="none" w:sz="0" w:space="0" w:color="auto"/>
        <w:right w:val="none" w:sz="0" w:space="0" w:color="auto"/>
      </w:divBdr>
      <w:divsChild>
        <w:div w:id="745109876">
          <w:marLeft w:val="0"/>
          <w:marRight w:val="0"/>
          <w:marTop w:val="0"/>
          <w:marBottom w:val="0"/>
          <w:divBdr>
            <w:top w:val="none" w:sz="0" w:space="0" w:color="auto"/>
            <w:left w:val="none" w:sz="0" w:space="0" w:color="auto"/>
            <w:bottom w:val="none" w:sz="0" w:space="0" w:color="auto"/>
            <w:right w:val="none" w:sz="0" w:space="0" w:color="auto"/>
          </w:divBdr>
        </w:div>
      </w:divsChild>
    </w:div>
    <w:div w:id="1998413270">
      <w:marLeft w:val="0"/>
      <w:marRight w:val="0"/>
      <w:marTop w:val="0"/>
      <w:marBottom w:val="240"/>
      <w:divBdr>
        <w:top w:val="none" w:sz="0" w:space="0" w:color="auto"/>
        <w:left w:val="none" w:sz="0" w:space="0" w:color="auto"/>
        <w:bottom w:val="none" w:sz="0" w:space="0" w:color="auto"/>
        <w:right w:val="none" w:sz="0" w:space="0" w:color="auto"/>
      </w:divBdr>
    </w:div>
    <w:div w:id="1999264797">
      <w:marLeft w:val="0"/>
      <w:marRight w:val="0"/>
      <w:marTop w:val="240"/>
      <w:marBottom w:val="0"/>
      <w:divBdr>
        <w:top w:val="none" w:sz="0" w:space="0" w:color="auto"/>
        <w:left w:val="none" w:sz="0" w:space="0" w:color="auto"/>
        <w:bottom w:val="none" w:sz="0" w:space="0" w:color="auto"/>
        <w:right w:val="none" w:sz="0" w:space="0" w:color="auto"/>
      </w:divBdr>
    </w:div>
    <w:div w:id="1999307241">
      <w:marLeft w:val="0"/>
      <w:marRight w:val="0"/>
      <w:marTop w:val="0"/>
      <w:marBottom w:val="240"/>
      <w:divBdr>
        <w:top w:val="none" w:sz="0" w:space="0" w:color="auto"/>
        <w:left w:val="none" w:sz="0" w:space="0" w:color="auto"/>
        <w:bottom w:val="none" w:sz="0" w:space="0" w:color="auto"/>
        <w:right w:val="none" w:sz="0" w:space="0" w:color="auto"/>
      </w:divBdr>
    </w:div>
    <w:div w:id="1999655241">
      <w:marLeft w:val="0"/>
      <w:marRight w:val="0"/>
      <w:marTop w:val="0"/>
      <w:marBottom w:val="240"/>
      <w:divBdr>
        <w:top w:val="none" w:sz="0" w:space="0" w:color="auto"/>
        <w:left w:val="none" w:sz="0" w:space="0" w:color="auto"/>
        <w:bottom w:val="none" w:sz="0" w:space="0" w:color="auto"/>
        <w:right w:val="none" w:sz="0" w:space="0" w:color="auto"/>
      </w:divBdr>
    </w:div>
    <w:div w:id="2005207787">
      <w:marLeft w:val="0"/>
      <w:marRight w:val="0"/>
      <w:marTop w:val="0"/>
      <w:marBottom w:val="0"/>
      <w:divBdr>
        <w:top w:val="none" w:sz="0" w:space="0" w:color="auto"/>
        <w:left w:val="none" w:sz="0" w:space="0" w:color="auto"/>
        <w:bottom w:val="none" w:sz="0" w:space="0" w:color="auto"/>
        <w:right w:val="none" w:sz="0" w:space="0" w:color="auto"/>
      </w:divBdr>
      <w:divsChild>
        <w:div w:id="1100105516">
          <w:marLeft w:val="0"/>
          <w:marRight w:val="0"/>
          <w:marTop w:val="0"/>
          <w:marBottom w:val="0"/>
          <w:divBdr>
            <w:top w:val="none" w:sz="0" w:space="0" w:color="auto"/>
            <w:left w:val="none" w:sz="0" w:space="0" w:color="auto"/>
            <w:bottom w:val="none" w:sz="0" w:space="0" w:color="auto"/>
            <w:right w:val="none" w:sz="0" w:space="0" w:color="auto"/>
          </w:divBdr>
        </w:div>
      </w:divsChild>
    </w:div>
    <w:div w:id="2007858878">
      <w:marLeft w:val="0"/>
      <w:marRight w:val="0"/>
      <w:marTop w:val="0"/>
      <w:marBottom w:val="0"/>
      <w:divBdr>
        <w:top w:val="none" w:sz="0" w:space="0" w:color="auto"/>
        <w:left w:val="none" w:sz="0" w:space="0" w:color="auto"/>
        <w:bottom w:val="none" w:sz="0" w:space="0" w:color="auto"/>
        <w:right w:val="none" w:sz="0" w:space="0" w:color="auto"/>
      </w:divBdr>
      <w:divsChild>
        <w:div w:id="1971209064">
          <w:marLeft w:val="0"/>
          <w:marRight w:val="0"/>
          <w:marTop w:val="0"/>
          <w:marBottom w:val="0"/>
          <w:divBdr>
            <w:top w:val="none" w:sz="0" w:space="0" w:color="auto"/>
            <w:left w:val="none" w:sz="0" w:space="0" w:color="auto"/>
            <w:bottom w:val="none" w:sz="0" w:space="0" w:color="auto"/>
            <w:right w:val="none" w:sz="0" w:space="0" w:color="auto"/>
          </w:divBdr>
        </w:div>
      </w:divsChild>
    </w:div>
    <w:div w:id="2024162972">
      <w:marLeft w:val="0"/>
      <w:marRight w:val="0"/>
      <w:marTop w:val="0"/>
      <w:marBottom w:val="0"/>
      <w:divBdr>
        <w:top w:val="none" w:sz="0" w:space="0" w:color="auto"/>
        <w:left w:val="none" w:sz="0" w:space="0" w:color="auto"/>
        <w:bottom w:val="none" w:sz="0" w:space="0" w:color="auto"/>
        <w:right w:val="none" w:sz="0" w:space="0" w:color="auto"/>
      </w:divBdr>
    </w:div>
    <w:div w:id="2028560603">
      <w:marLeft w:val="0"/>
      <w:marRight w:val="0"/>
      <w:marTop w:val="240"/>
      <w:marBottom w:val="240"/>
      <w:divBdr>
        <w:top w:val="none" w:sz="0" w:space="0" w:color="auto"/>
        <w:left w:val="none" w:sz="0" w:space="0" w:color="auto"/>
        <w:bottom w:val="none" w:sz="0" w:space="0" w:color="auto"/>
        <w:right w:val="none" w:sz="0" w:space="0" w:color="auto"/>
      </w:divBdr>
    </w:div>
    <w:div w:id="2033071555">
      <w:marLeft w:val="0"/>
      <w:marRight w:val="0"/>
      <w:marTop w:val="0"/>
      <w:marBottom w:val="1"/>
      <w:divBdr>
        <w:top w:val="none" w:sz="0" w:space="0" w:color="auto"/>
        <w:left w:val="none" w:sz="0" w:space="0" w:color="auto"/>
        <w:bottom w:val="none" w:sz="0" w:space="0" w:color="auto"/>
        <w:right w:val="none" w:sz="0" w:space="0" w:color="auto"/>
      </w:divBdr>
    </w:div>
    <w:div w:id="2036536852">
      <w:marLeft w:val="0"/>
      <w:marRight w:val="0"/>
      <w:marTop w:val="240"/>
      <w:marBottom w:val="240"/>
      <w:divBdr>
        <w:top w:val="none" w:sz="0" w:space="0" w:color="auto"/>
        <w:left w:val="none" w:sz="0" w:space="0" w:color="auto"/>
        <w:bottom w:val="none" w:sz="0" w:space="0" w:color="auto"/>
        <w:right w:val="none" w:sz="0" w:space="0" w:color="auto"/>
      </w:divBdr>
    </w:div>
    <w:div w:id="2037266036">
      <w:marLeft w:val="0"/>
      <w:marRight w:val="0"/>
      <w:marTop w:val="0"/>
      <w:marBottom w:val="0"/>
      <w:divBdr>
        <w:top w:val="none" w:sz="0" w:space="0" w:color="auto"/>
        <w:left w:val="none" w:sz="0" w:space="0" w:color="auto"/>
        <w:bottom w:val="none" w:sz="0" w:space="0" w:color="auto"/>
        <w:right w:val="none" w:sz="0" w:space="0" w:color="auto"/>
      </w:divBdr>
      <w:divsChild>
        <w:div w:id="1872188432">
          <w:marLeft w:val="0"/>
          <w:marRight w:val="0"/>
          <w:marTop w:val="0"/>
          <w:marBottom w:val="0"/>
          <w:divBdr>
            <w:top w:val="none" w:sz="0" w:space="0" w:color="auto"/>
            <w:left w:val="none" w:sz="0" w:space="0" w:color="auto"/>
            <w:bottom w:val="none" w:sz="0" w:space="0" w:color="auto"/>
            <w:right w:val="none" w:sz="0" w:space="0" w:color="auto"/>
          </w:divBdr>
        </w:div>
      </w:divsChild>
    </w:div>
    <w:div w:id="2058771290">
      <w:marLeft w:val="0"/>
      <w:marRight w:val="0"/>
      <w:marTop w:val="240"/>
      <w:marBottom w:val="240"/>
      <w:divBdr>
        <w:top w:val="none" w:sz="0" w:space="0" w:color="auto"/>
        <w:left w:val="none" w:sz="0" w:space="0" w:color="auto"/>
        <w:bottom w:val="none" w:sz="0" w:space="0" w:color="auto"/>
        <w:right w:val="none" w:sz="0" w:space="0" w:color="auto"/>
      </w:divBdr>
    </w:div>
    <w:div w:id="2060085238">
      <w:marLeft w:val="0"/>
      <w:marRight w:val="0"/>
      <w:marTop w:val="0"/>
      <w:marBottom w:val="240"/>
      <w:divBdr>
        <w:top w:val="none" w:sz="0" w:space="0" w:color="auto"/>
        <w:left w:val="none" w:sz="0" w:space="0" w:color="auto"/>
        <w:bottom w:val="none" w:sz="0" w:space="0" w:color="auto"/>
        <w:right w:val="none" w:sz="0" w:space="0" w:color="auto"/>
      </w:divBdr>
    </w:div>
    <w:div w:id="2073457045">
      <w:marLeft w:val="0"/>
      <w:marRight w:val="0"/>
      <w:marTop w:val="0"/>
      <w:marBottom w:val="0"/>
      <w:divBdr>
        <w:top w:val="none" w:sz="0" w:space="0" w:color="auto"/>
        <w:left w:val="none" w:sz="0" w:space="0" w:color="auto"/>
        <w:bottom w:val="none" w:sz="0" w:space="0" w:color="auto"/>
        <w:right w:val="none" w:sz="0" w:space="0" w:color="auto"/>
      </w:divBdr>
      <w:divsChild>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 w:id="2075347613">
      <w:marLeft w:val="0"/>
      <w:marRight w:val="0"/>
      <w:marTop w:val="0"/>
      <w:marBottom w:val="0"/>
      <w:divBdr>
        <w:top w:val="none" w:sz="0" w:space="0" w:color="auto"/>
        <w:left w:val="none" w:sz="0" w:space="0" w:color="auto"/>
        <w:bottom w:val="none" w:sz="0" w:space="0" w:color="auto"/>
        <w:right w:val="none" w:sz="0" w:space="0" w:color="auto"/>
      </w:divBdr>
    </w:div>
    <w:div w:id="2075737278">
      <w:marLeft w:val="0"/>
      <w:marRight w:val="0"/>
      <w:marTop w:val="0"/>
      <w:marBottom w:val="0"/>
      <w:divBdr>
        <w:top w:val="none" w:sz="0" w:space="0" w:color="auto"/>
        <w:left w:val="none" w:sz="0" w:space="0" w:color="auto"/>
        <w:bottom w:val="none" w:sz="0" w:space="0" w:color="auto"/>
        <w:right w:val="none" w:sz="0" w:space="0" w:color="auto"/>
      </w:divBdr>
      <w:divsChild>
        <w:div w:id="1283415203">
          <w:marLeft w:val="0"/>
          <w:marRight w:val="0"/>
          <w:marTop w:val="0"/>
          <w:marBottom w:val="0"/>
          <w:divBdr>
            <w:top w:val="none" w:sz="0" w:space="0" w:color="auto"/>
            <w:left w:val="none" w:sz="0" w:space="0" w:color="auto"/>
            <w:bottom w:val="none" w:sz="0" w:space="0" w:color="auto"/>
            <w:right w:val="none" w:sz="0" w:space="0" w:color="auto"/>
          </w:divBdr>
        </w:div>
      </w:divsChild>
    </w:div>
    <w:div w:id="2077164417">
      <w:marLeft w:val="0"/>
      <w:marRight w:val="0"/>
      <w:marTop w:val="0"/>
      <w:marBottom w:val="240"/>
      <w:divBdr>
        <w:top w:val="none" w:sz="0" w:space="0" w:color="auto"/>
        <w:left w:val="none" w:sz="0" w:space="0" w:color="auto"/>
        <w:bottom w:val="none" w:sz="0" w:space="0" w:color="auto"/>
        <w:right w:val="none" w:sz="0" w:space="0" w:color="auto"/>
      </w:divBdr>
    </w:div>
    <w:div w:id="2079670198">
      <w:marLeft w:val="0"/>
      <w:marRight w:val="0"/>
      <w:marTop w:val="0"/>
      <w:marBottom w:val="240"/>
      <w:divBdr>
        <w:top w:val="none" w:sz="0" w:space="0" w:color="auto"/>
        <w:left w:val="none" w:sz="0" w:space="0" w:color="auto"/>
        <w:bottom w:val="none" w:sz="0" w:space="0" w:color="auto"/>
        <w:right w:val="none" w:sz="0" w:space="0" w:color="auto"/>
      </w:divBdr>
    </w:div>
    <w:div w:id="2083285318">
      <w:marLeft w:val="0"/>
      <w:marRight w:val="0"/>
      <w:marTop w:val="0"/>
      <w:marBottom w:val="240"/>
      <w:divBdr>
        <w:top w:val="none" w:sz="0" w:space="0" w:color="auto"/>
        <w:left w:val="none" w:sz="0" w:space="0" w:color="auto"/>
        <w:bottom w:val="none" w:sz="0" w:space="0" w:color="auto"/>
        <w:right w:val="none" w:sz="0" w:space="0" w:color="auto"/>
      </w:divBdr>
    </w:div>
    <w:div w:id="2084250882">
      <w:marLeft w:val="0"/>
      <w:marRight w:val="0"/>
      <w:marTop w:val="0"/>
      <w:marBottom w:val="240"/>
      <w:divBdr>
        <w:top w:val="none" w:sz="0" w:space="0" w:color="auto"/>
        <w:left w:val="none" w:sz="0" w:space="0" w:color="auto"/>
        <w:bottom w:val="none" w:sz="0" w:space="0" w:color="auto"/>
        <w:right w:val="none" w:sz="0" w:space="0" w:color="auto"/>
      </w:divBdr>
    </w:div>
    <w:div w:id="2086950218">
      <w:marLeft w:val="0"/>
      <w:marRight w:val="0"/>
      <w:marTop w:val="0"/>
      <w:marBottom w:val="240"/>
      <w:divBdr>
        <w:top w:val="none" w:sz="0" w:space="0" w:color="auto"/>
        <w:left w:val="none" w:sz="0" w:space="0" w:color="auto"/>
        <w:bottom w:val="none" w:sz="0" w:space="0" w:color="auto"/>
        <w:right w:val="none" w:sz="0" w:space="0" w:color="auto"/>
      </w:divBdr>
    </w:div>
    <w:div w:id="2088918042">
      <w:marLeft w:val="0"/>
      <w:marRight w:val="0"/>
      <w:marTop w:val="0"/>
      <w:marBottom w:val="0"/>
      <w:divBdr>
        <w:top w:val="none" w:sz="0" w:space="0" w:color="auto"/>
        <w:left w:val="none" w:sz="0" w:space="0" w:color="auto"/>
        <w:bottom w:val="none" w:sz="0" w:space="0" w:color="auto"/>
        <w:right w:val="none" w:sz="0" w:space="0" w:color="auto"/>
      </w:divBdr>
      <w:divsChild>
        <w:div w:id="142357007">
          <w:marLeft w:val="0"/>
          <w:marRight w:val="0"/>
          <w:marTop w:val="0"/>
          <w:marBottom w:val="0"/>
          <w:divBdr>
            <w:top w:val="none" w:sz="0" w:space="0" w:color="auto"/>
            <w:left w:val="none" w:sz="0" w:space="0" w:color="auto"/>
            <w:bottom w:val="none" w:sz="0" w:space="0" w:color="auto"/>
            <w:right w:val="none" w:sz="0" w:space="0" w:color="auto"/>
          </w:divBdr>
        </w:div>
      </w:divsChild>
    </w:div>
    <w:div w:id="2091583849">
      <w:marLeft w:val="0"/>
      <w:marRight w:val="0"/>
      <w:marTop w:val="0"/>
      <w:marBottom w:val="0"/>
      <w:divBdr>
        <w:top w:val="none" w:sz="0" w:space="0" w:color="auto"/>
        <w:left w:val="none" w:sz="0" w:space="0" w:color="auto"/>
        <w:bottom w:val="none" w:sz="0" w:space="0" w:color="auto"/>
        <w:right w:val="none" w:sz="0" w:space="0" w:color="auto"/>
      </w:divBdr>
    </w:div>
    <w:div w:id="2093965907">
      <w:marLeft w:val="0"/>
      <w:marRight w:val="0"/>
      <w:marTop w:val="0"/>
      <w:marBottom w:val="240"/>
      <w:divBdr>
        <w:top w:val="none" w:sz="0" w:space="0" w:color="auto"/>
        <w:left w:val="none" w:sz="0" w:space="0" w:color="auto"/>
        <w:bottom w:val="none" w:sz="0" w:space="0" w:color="auto"/>
        <w:right w:val="none" w:sz="0" w:space="0" w:color="auto"/>
      </w:divBdr>
    </w:div>
    <w:div w:id="2097899887">
      <w:marLeft w:val="0"/>
      <w:marRight w:val="0"/>
      <w:marTop w:val="240"/>
      <w:marBottom w:val="240"/>
      <w:divBdr>
        <w:top w:val="none" w:sz="0" w:space="0" w:color="auto"/>
        <w:left w:val="none" w:sz="0" w:space="0" w:color="auto"/>
        <w:bottom w:val="none" w:sz="0" w:space="0" w:color="auto"/>
        <w:right w:val="none" w:sz="0" w:space="0" w:color="auto"/>
      </w:divBdr>
    </w:div>
    <w:div w:id="2104719139">
      <w:marLeft w:val="0"/>
      <w:marRight w:val="0"/>
      <w:marTop w:val="240"/>
      <w:marBottom w:val="240"/>
      <w:divBdr>
        <w:top w:val="none" w:sz="0" w:space="0" w:color="auto"/>
        <w:left w:val="none" w:sz="0" w:space="0" w:color="auto"/>
        <w:bottom w:val="none" w:sz="0" w:space="0" w:color="auto"/>
        <w:right w:val="none" w:sz="0" w:space="0" w:color="auto"/>
      </w:divBdr>
    </w:div>
    <w:div w:id="2107116791">
      <w:marLeft w:val="0"/>
      <w:marRight w:val="0"/>
      <w:marTop w:val="0"/>
      <w:marBottom w:val="0"/>
      <w:divBdr>
        <w:top w:val="none" w:sz="0" w:space="0" w:color="auto"/>
        <w:left w:val="none" w:sz="0" w:space="0" w:color="auto"/>
        <w:bottom w:val="none" w:sz="0" w:space="0" w:color="auto"/>
        <w:right w:val="none" w:sz="0" w:space="0" w:color="auto"/>
      </w:divBdr>
      <w:divsChild>
        <w:div w:id="770853930">
          <w:marLeft w:val="0"/>
          <w:marRight w:val="0"/>
          <w:marTop w:val="0"/>
          <w:marBottom w:val="0"/>
          <w:divBdr>
            <w:top w:val="none" w:sz="0" w:space="0" w:color="auto"/>
            <w:left w:val="none" w:sz="0" w:space="0" w:color="auto"/>
            <w:bottom w:val="none" w:sz="0" w:space="0" w:color="auto"/>
            <w:right w:val="none" w:sz="0" w:space="0" w:color="auto"/>
          </w:divBdr>
        </w:div>
        <w:div w:id="172115107">
          <w:marLeft w:val="0"/>
          <w:marRight w:val="0"/>
          <w:marTop w:val="0"/>
          <w:marBottom w:val="0"/>
          <w:divBdr>
            <w:top w:val="none" w:sz="0" w:space="0" w:color="auto"/>
            <w:left w:val="none" w:sz="0" w:space="0" w:color="auto"/>
            <w:bottom w:val="none" w:sz="0" w:space="0" w:color="auto"/>
            <w:right w:val="none" w:sz="0" w:space="0" w:color="auto"/>
          </w:divBdr>
        </w:div>
        <w:div w:id="1202594196">
          <w:marLeft w:val="0"/>
          <w:marRight w:val="0"/>
          <w:marTop w:val="0"/>
          <w:marBottom w:val="0"/>
          <w:divBdr>
            <w:top w:val="none" w:sz="0" w:space="0" w:color="auto"/>
            <w:left w:val="none" w:sz="0" w:space="0" w:color="auto"/>
            <w:bottom w:val="none" w:sz="0" w:space="0" w:color="auto"/>
            <w:right w:val="none" w:sz="0" w:space="0" w:color="auto"/>
          </w:divBdr>
        </w:div>
        <w:div w:id="972251548">
          <w:marLeft w:val="0"/>
          <w:marRight w:val="0"/>
          <w:marTop w:val="0"/>
          <w:marBottom w:val="120"/>
          <w:divBdr>
            <w:top w:val="none" w:sz="0" w:space="0" w:color="auto"/>
            <w:left w:val="none" w:sz="0" w:space="0" w:color="auto"/>
            <w:bottom w:val="none" w:sz="0" w:space="0" w:color="auto"/>
            <w:right w:val="none" w:sz="0" w:space="0" w:color="auto"/>
          </w:divBdr>
        </w:div>
        <w:div w:id="1221477534">
          <w:marLeft w:val="0"/>
          <w:marRight w:val="0"/>
          <w:marTop w:val="0"/>
          <w:marBottom w:val="120"/>
          <w:divBdr>
            <w:top w:val="none" w:sz="0" w:space="0" w:color="auto"/>
            <w:left w:val="none" w:sz="0" w:space="0" w:color="auto"/>
            <w:bottom w:val="none" w:sz="0" w:space="0" w:color="auto"/>
            <w:right w:val="none" w:sz="0" w:space="0" w:color="auto"/>
          </w:divBdr>
        </w:div>
        <w:div w:id="2009092234">
          <w:marLeft w:val="0"/>
          <w:marRight w:val="0"/>
          <w:marTop w:val="0"/>
          <w:marBottom w:val="120"/>
          <w:divBdr>
            <w:top w:val="none" w:sz="0" w:space="0" w:color="auto"/>
            <w:left w:val="none" w:sz="0" w:space="0" w:color="auto"/>
            <w:bottom w:val="none" w:sz="0" w:space="0" w:color="auto"/>
            <w:right w:val="none" w:sz="0" w:space="0" w:color="auto"/>
          </w:divBdr>
        </w:div>
        <w:div w:id="1568607746">
          <w:marLeft w:val="0"/>
          <w:marRight w:val="0"/>
          <w:marTop w:val="0"/>
          <w:marBottom w:val="120"/>
          <w:divBdr>
            <w:top w:val="none" w:sz="0" w:space="0" w:color="auto"/>
            <w:left w:val="none" w:sz="0" w:space="0" w:color="auto"/>
            <w:bottom w:val="none" w:sz="0" w:space="0" w:color="auto"/>
            <w:right w:val="none" w:sz="0" w:space="0" w:color="auto"/>
          </w:divBdr>
        </w:div>
      </w:divsChild>
    </w:div>
    <w:div w:id="2107269459">
      <w:marLeft w:val="0"/>
      <w:marRight w:val="0"/>
      <w:marTop w:val="0"/>
      <w:marBottom w:val="0"/>
      <w:divBdr>
        <w:top w:val="none" w:sz="0" w:space="0" w:color="auto"/>
        <w:left w:val="none" w:sz="0" w:space="0" w:color="auto"/>
        <w:bottom w:val="none" w:sz="0" w:space="0" w:color="auto"/>
        <w:right w:val="none" w:sz="0" w:space="0" w:color="auto"/>
      </w:divBdr>
      <w:divsChild>
        <w:div w:id="3630487">
          <w:marLeft w:val="0"/>
          <w:marRight w:val="0"/>
          <w:marTop w:val="0"/>
          <w:marBottom w:val="0"/>
          <w:divBdr>
            <w:top w:val="none" w:sz="0" w:space="0" w:color="auto"/>
            <w:left w:val="none" w:sz="0" w:space="0" w:color="auto"/>
            <w:bottom w:val="none" w:sz="0" w:space="0" w:color="auto"/>
            <w:right w:val="none" w:sz="0" w:space="0" w:color="auto"/>
          </w:divBdr>
        </w:div>
      </w:divsChild>
    </w:div>
    <w:div w:id="2108571537">
      <w:marLeft w:val="0"/>
      <w:marRight w:val="0"/>
      <w:marTop w:val="0"/>
      <w:marBottom w:val="240"/>
      <w:divBdr>
        <w:top w:val="none" w:sz="0" w:space="0" w:color="auto"/>
        <w:left w:val="none" w:sz="0" w:space="0" w:color="auto"/>
        <w:bottom w:val="none" w:sz="0" w:space="0" w:color="auto"/>
        <w:right w:val="none" w:sz="0" w:space="0" w:color="auto"/>
      </w:divBdr>
    </w:div>
    <w:div w:id="2111780957">
      <w:marLeft w:val="0"/>
      <w:marRight w:val="0"/>
      <w:marTop w:val="0"/>
      <w:marBottom w:val="240"/>
      <w:divBdr>
        <w:top w:val="none" w:sz="0" w:space="0" w:color="auto"/>
        <w:left w:val="none" w:sz="0" w:space="0" w:color="auto"/>
        <w:bottom w:val="none" w:sz="0" w:space="0" w:color="auto"/>
        <w:right w:val="none" w:sz="0" w:space="0" w:color="auto"/>
      </w:divBdr>
    </w:div>
    <w:div w:id="2113014916">
      <w:marLeft w:val="0"/>
      <w:marRight w:val="0"/>
      <w:marTop w:val="0"/>
      <w:marBottom w:val="240"/>
      <w:divBdr>
        <w:top w:val="none" w:sz="0" w:space="0" w:color="auto"/>
        <w:left w:val="none" w:sz="0" w:space="0" w:color="auto"/>
        <w:bottom w:val="none" w:sz="0" w:space="0" w:color="auto"/>
        <w:right w:val="none" w:sz="0" w:space="0" w:color="auto"/>
      </w:divBdr>
    </w:div>
    <w:div w:id="2116633252">
      <w:marLeft w:val="0"/>
      <w:marRight w:val="0"/>
      <w:marTop w:val="0"/>
      <w:marBottom w:val="240"/>
      <w:divBdr>
        <w:top w:val="none" w:sz="0" w:space="0" w:color="auto"/>
        <w:left w:val="none" w:sz="0" w:space="0" w:color="auto"/>
        <w:bottom w:val="none" w:sz="0" w:space="0" w:color="auto"/>
        <w:right w:val="none" w:sz="0" w:space="0" w:color="auto"/>
      </w:divBdr>
    </w:div>
    <w:div w:id="2117943652">
      <w:marLeft w:val="0"/>
      <w:marRight w:val="0"/>
      <w:marTop w:val="240"/>
      <w:marBottom w:val="240"/>
      <w:divBdr>
        <w:top w:val="none" w:sz="0" w:space="0" w:color="auto"/>
        <w:left w:val="none" w:sz="0" w:space="0" w:color="auto"/>
        <w:bottom w:val="none" w:sz="0" w:space="0" w:color="auto"/>
        <w:right w:val="none" w:sz="0" w:space="0" w:color="auto"/>
      </w:divBdr>
    </w:div>
    <w:div w:id="2126003924">
      <w:marLeft w:val="0"/>
      <w:marRight w:val="0"/>
      <w:marTop w:val="0"/>
      <w:marBottom w:val="240"/>
      <w:divBdr>
        <w:top w:val="none" w:sz="0" w:space="0" w:color="auto"/>
        <w:left w:val="none" w:sz="0" w:space="0" w:color="auto"/>
        <w:bottom w:val="none" w:sz="0" w:space="0" w:color="auto"/>
        <w:right w:val="none" w:sz="0" w:space="0" w:color="auto"/>
      </w:divBdr>
    </w:div>
    <w:div w:id="2129930052">
      <w:marLeft w:val="0"/>
      <w:marRight w:val="0"/>
      <w:marTop w:val="0"/>
      <w:marBottom w:val="0"/>
      <w:divBdr>
        <w:top w:val="none" w:sz="0" w:space="0" w:color="auto"/>
        <w:left w:val="none" w:sz="0" w:space="0" w:color="auto"/>
        <w:bottom w:val="none" w:sz="0" w:space="0" w:color="auto"/>
        <w:right w:val="none" w:sz="0" w:space="0" w:color="auto"/>
      </w:divBdr>
      <w:divsChild>
        <w:div w:id="184638644">
          <w:marLeft w:val="0"/>
          <w:marRight w:val="0"/>
          <w:marTop w:val="0"/>
          <w:marBottom w:val="0"/>
          <w:divBdr>
            <w:top w:val="none" w:sz="0" w:space="0" w:color="auto"/>
            <w:left w:val="none" w:sz="0" w:space="0" w:color="auto"/>
            <w:bottom w:val="none" w:sz="0" w:space="0" w:color="auto"/>
            <w:right w:val="none" w:sz="0" w:space="0" w:color="auto"/>
          </w:divBdr>
        </w:div>
      </w:divsChild>
    </w:div>
    <w:div w:id="2134132075">
      <w:marLeft w:val="0"/>
      <w:marRight w:val="0"/>
      <w:marTop w:val="0"/>
      <w:marBottom w:val="240"/>
      <w:divBdr>
        <w:top w:val="none" w:sz="0" w:space="0" w:color="auto"/>
        <w:left w:val="none" w:sz="0" w:space="0" w:color="auto"/>
        <w:bottom w:val="none" w:sz="0" w:space="0" w:color="auto"/>
        <w:right w:val="none" w:sz="0" w:space="0" w:color="auto"/>
      </w:divBdr>
    </w:div>
    <w:div w:id="2134521374">
      <w:marLeft w:val="0"/>
      <w:marRight w:val="0"/>
      <w:marTop w:val="60"/>
      <w:marBottom w:val="0"/>
      <w:divBdr>
        <w:top w:val="none" w:sz="0" w:space="0" w:color="auto"/>
        <w:left w:val="none" w:sz="0" w:space="0" w:color="auto"/>
        <w:bottom w:val="none" w:sz="0" w:space="0" w:color="auto"/>
        <w:right w:val="none" w:sz="0" w:space="0" w:color="auto"/>
      </w:divBdr>
    </w:div>
    <w:div w:id="2136096179">
      <w:marLeft w:val="0"/>
      <w:marRight w:val="0"/>
      <w:marTop w:val="0"/>
      <w:marBottom w:val="240"/>
      <w:divBdr>
        <w:top w:val="none" w:sz="0" w:space="0" w:color="auto"/>
        <w:left w:val="none" w:sz="0" w:space="0" w:color="auto"/>
        <w:bottom w:val="none" w:sz="0" w:space="0" w:color="auto"/>
        <w:right w:val="none" w:sz="0" w:space="0" w:color="auto"/>
      </w:divBdr>
    </w:div>
    <w:div w:id="2136679687">
      <w:marLeft w:val="0"/>
      <w:marRight w:val="0"/>
      <w:marTop w:val="0"/>
      <w:marBottom w:val="240"/>
      <w:divBdr>
        <w:top w:val="none" w:sz="0" w:space="0" w:color="auto"/>
        <w:left w:val="none" w:sz="0" w:space="0" w:color="auto"/>
        <w:bottom w:val="none" w:sz="0" w:space="0" w:color="auto"/>
        <w:right w:val="none" w:sz="0" w:space="0" w:color="auto"/>
      </w:divBdr>
    </w:div>
    <w:div w:id="2144076283">
      <w:marLeft w:val="0"/>
      <w:marRight w:val="0"/>
      <w:marTop w:val="0"/>
      <w:marBottom w:val="1"/>
      <w:divBdr>
        <w:top w:val="none" w:sz="0" w:space="0" w:color="auto"/>
        <w:left w:val="none" w:sz="0" w:space="0" w:color="auto"/>
        <w:bottom w:val="none" w:sz="0" w:space="0" w:color="auto"/>
        <w:right w:val="none" w:sz="0" w:space="0" w:color="auto"/>
      </w:divBdr>
    </w:div>
    <w:div w:id="2144273640">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2022q2ex312.htm" TargetMode="External"/><Relationship Id="rId3" Type="http://schemas.openxmlformats.org/officeDocument/2006/relationships/webSettings" Target="webSettings.xml"/><Relationship Id="rId7" Type="http://schemas.openxmlformats.org/officeDocument/2006/relationships/hyperlink" Target="a2022q2ex311.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93847/000141588917001027/ex4-06232017_100639.htm" TargetMode="External"/><Relationship Id="rId11" Type="http://schemas.openxmlformats.org/officeDocument/2006/relationships/fontTable" Target="fontTable.xml"/><Relationship Id="rId5" Type="http://schemas.openxmlformats.org/officeDocument/2006/relationships/hyperlink" Target="https://www.sec.gov/Archives/edgar/data/893847/000155837021000457/hwbk-20210127xex3d1.htm" TargetMode="External"/><Relationship Id="rId10" Type="http://schemas.openxmlformats.org/officeDocument/2006/relationships/hyperlink" Target="a2022q2ex322.htm" TargetMode="Externa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a2022q2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37009</Words>
  <Characters>210952</Characters>
  <Application>Microsoft Office Word</Application>
  <DocSecurity>0</DocSecurity>
  <Lines>1757</Lines>
  <Paragraphs>494</Paragraphs>
  <ScaleCrop>false</ScaleCrop>
  <Company/>
  <LinksUpToDate>false</LinksUpToDate>
  <CharactersWithSpaces>247467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hwbk-20220630</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